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56498767" w:rsidR="00986B43" w:rsidRPr="00953C68" w:rsidRDefault="00986B43" w:rsidP="005D3F07">
            <w:pPr>
              <w:overflowPunct/>
              <w:autoSpaceDE/>
              <w:autoSpaceDN/>
              <w:adjustRightInd/>
              <w:ind w:right="-957"/>
              <w:textAlignment w:val="auto"/>
              <w:rPr>
                <w:rFonts w:ascii="Times New Roman" w:hAnsi="Times New Roman" w:cs="Times New Roman"/>
                <w:b/>
                <w:color w:val="auto"/>
                <w:sz w:val="44"/>
                <w:szCs w:val="18"/>
              </w:rPr>
            </w:pPr>
            <w:r w:rsidRPr="00953C68">
              <w:rPr>
                <w:rFonts w:ascii="Times New Roman" w:hAnsi="Times New Roman" w:cs="Times New Roman"/>
                <w:b/>
                <w:color w:val="auto"/>
                <w:sz w:val="44"/>
                <w:szCs w:val="18"/>
              </w:rPr>
              <w:t>Learner’s name:</w:t>
            </w:r>
            <w:r w:rsidR="00247265" w:rsidRPr="00953C68">
              <w:rPr>
                <w:rFonts w:ascii="Times New Roman" w:hAnsi="Times New Roman" w:cs="Times New Roman"/>
                <w:b/>
                <w:color w:val="auto"/>
                <w:sz w:val="44"/>
                <w:szCs w:val="18"/>
              </w:rPr>
              <w:t xml:space="preserve"> </w:t>
            </w:r>
            <w:r w:rsidR="005F7AEE" w:rsidRPr="00953C68">
              <w:rPr>
                <w:rFonts w:ascii="Times New Roman" w:hAnsi="Times New Roman" w:cs="Times New Roman"/>
                <w:b/>
                <w:color w:val="auto"/>
                <w:sz w:val="40"/>
                <w:szCs w:val="16"/>
              </w:rPr>
              <w:t>Angharad Correia-Martins</w:t>
            </w:r>
          </w:p>
          <w:p w14:paraId="0B6CD0DB" w14:textId="689515B5" w:rsidR="009C337F" w:rsidRPr="00953C68" w:rsidRDefault="009C337F" w:rsidP="005D3F07">
            <w:pPr>
              <w:overflowPunct/>
              <w:autoSpaceDE/>
              <w:autoSpaceDN/>
              <w:adjustRightInd/>
              <w:ind w:right="-957"/>
              <w:textAlignment w:val="auto"/>
              <w:rPr>
                <w:rFonts w:ascii="Times New Roman" w:hAnsi="Times New Roman" w:cs="Times New Roman"/>
                <w:b/>
                <w:color w:val="auto"/>
                <w:sz w:val="44"/>
                <w:szCs w:val="18"/>
              </w:rPr>
            </w:pPr>
          </w:p>
          <w:p w14:paraId="3A6EAAC7" w14:textId="7EED56D4" w:rsidR="009C337F" w:rsidRPr="00953C68" w:rsidRDefault="009C337F" w:rsidP="005D3F07">
            <w:pPr>
              <w:overflowPunct/>
              <w:autoSpaceDE/>
              <w:autoSpaceDN/>
              <w:adjustRightInd/>
              <w:ind w:right="-957"/>
              <w:textAlignment w:val="auto"/>
              <w:rPr>
                <w:rFonts w:ascii="Times New Roman" w:hAnsi="Times New Roman" w:cs="Times New Roman"/>
                <w:b/>
                <w:color w:val="auto"/>
                <w:sz w:val="44"/>
                <w:szCs w:val="18"/>
              </w:rPr>
            </w:pPr>
            <w:r w:rsidRPr="00953C68">
              <w:rPr>
                <w:rFonts w:ascii="Times New Roman" w:hAnsi="Times New Roman" w:cs="Times New Roman"/>
                <w:b/>
                <w:color w:val="auto"/>
                <w:sz w:val="44"/>
                <w:szCs w:val="18"/>
              </w:rPr>
              <w:t>Email address:</w:t>
            </w:r>
            <w:r w:rsidR="005A06F1" w:rsidRPr="00953C68">
              <w:rPr>
                <w:rFonts w:ascii="Times New Roman" w:hAnsi="Times New Roman" w:cs="Times New Roman"/>
                <w:b/>
                <w:color w:val="auto"/>
                <w:sz w:val="44"/>
                <w:szCs w:val="18"/>
              </w:rPr>
              <w:t xml:space="preserve"> </w:t>
            </w:r>
            <w:r w:rsidR="005A06F1" w:rsidRPr="00953C68">
              <w:rPr>
                <w:rFonts w:ascii="Times New Roman" w:hAnsi="Times New Roman" w:cs="Times New Roman"/>
                <w:b/>
                <w:color w:val="auto"/>
                <w:sz w:val="40"/>
                <w:szCs w:val="16"/>
              </w:rPr>
              <w:t>2224776@student.uwtsd.ac.uk</w:t>
            </w:r>
          </w:p>
          <w:p w14:paraId="22E38809" w14:textId="77777777" w:rsidR="00986B43" w:rsidRPr="00953C68" w:rsidRDefault="00986B43" w:rsidP="005D3F07">
            <w:pPr>
              <w:overflowPunct/>
              <w:autoSpaceDE/>
              <w:autoSpaceDN/>
              <w:adjustRightInd/>
              <w:ind w:right="-957"/>
              <w:textAlignment w:val="auto"/>
              <w:rPr>
                <w:rFonts w:ascii="Times New Roman" w:hAnsi="Times New Roman" w:cs="Times New Roman"/>
                <w:b/>
                <w:color w:val="auto"/>
                <w:sz w:val="44"/>
                <w:szCs w:val="18"/>
              </w:rPr>
            </w:pPr>
          </w:p>
          <w:p w14:paraId="0DE696B2" w14:textId="1167508C" w:rsidR="00F927A1" w:rsidRPr="00953C68" w:rsidRDefault="0085230E" w:rsidP="005D3F07">
            <w:pPr>
              <w:overflowPunct/>
              <w:autoSpaceDE/>
              <w:autoSpaceDN/>
              <w:adjustRightInd/>
              <w:ind w:right="-957"/>
              <w:textAlignment w:val="auto"/>
              <w:rPr>
                <w:rFonts w:ascii="Times New Roman" w:hAnsi="Times New Roman" w:cs="Times New Roman"/>
                <w:b/>
                <w:color w:val="auto"/>
                <w:sz w:val="44"/>
                <w:szCs w:val="18"/>
              </w:rPr>
            </w:pPr>
            <w:r w:rsidRPr="00953C68">
              <w:rPr>
                <w:rFonts w:ascii="Times New Roman" w:hAnsi="Times New Roman" w:cs="Times New Roman"/>
                <w:b/>
                <w:color w:val="auto"/>
                <w:sz w:val="44"/>
                <w:szCs w:val="18"/>
              </w:rPr>
              <w:t>Learner’s University Registration</w:t>
            </w:r>
            <w:r w:rsidR="00F927A1" w:rsidRPr="00953C68">
              <w:rPr>
                <w:rFonts w:ascii="Times New Roman" w:hAnsi="Times New Roman" w:cs="Times New Roman"/>
                <w:b/>
                <w:color w:val="auto"/>
                <w:sz w:val="44"/>
                <w:szCs w:val="18"/>
              </w:rPr>
              <w:t xml:space="preserve"> Number:</w:t>
            </w:r>
            <w:r w:rsidR="00953C68" w:rsidRPr="00953C68">
              <w:rPr>
                <w:rFonts w:ascii="Times New Roman" w:hAnsi="Times New Roman" w:cs="Times New Roman"/>
                <w:b/>
                <w:color w:val="auto"/>
                <w:sz w:val="40"/>
                <w:szCs w:val="16"/>
              </w:rPr>
              <w:t xml:space="preserve"> 2224776</w:t>
            </w:r>
          </w:p>
          <w:p w14:paraId="622FD17A" w14:textId="77777777" w:rsidR="0085230E" w:rsidRPr="00953C68" w:rsidRDefault="0085230E" w:rsidP="005D3F07">
            <w:pPr>
              <w:overflowPunct/>
              <w:autoSpaceDE/>
              <w:autoSpaceDN/>
              <w:adjustRightInd/>
              <w:ind w:right="-957"/>
              <w:textAlignment w:val="auto"/>
              <w:rPr>
                <w:rFonts w:ascii="Times New Roman" w:hAnsi="Times New Roman" w:cs="Times New Roman"/>
                <w:b/>
                <w:color w:val="auto"/>
                <w:sz w:val="44"/>
                <w:szCs w:val="18"/>
              </w:rPr>
            </w:pPr>
          </w:p>
          <w:p w14:paraId="5F84129B" w14:textId="621C4FBB"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953C68">
              <w:rPr>
                <w:rFonts w:ascii="Times New Roman" w:hAnsi="Times New Roman" w:cs="Times New Roman"/>
                <w:b/>
                <w:color w:val="auto"/>
                <w:sz w:val="44"/>
                <w:szCs w:val="18"/>
              </w:rPr>
              <w:t>Cohort: 1</w:t>
            </w:r>
            <w:r w:rsidR="000F1A97" w:rsidRPr="00953C68">
              <w:rPr>
                <w:rFonts w:ascii="Times New Roman" w:hAnsi="Times New Roman" w:cs="Times New Roman"/>
                <w:b/>
                <w:color w:val="auto"/>
                <w:sz w:val="44"/>
                <w:szCs w:val="18"/>
              </w:rPr>
              <w:t>8</w:t>
            </w:r>
            <w:r w:rsidR="00AE6231" w:rsidRPr="00953C68">
              <w:rPr>
                <w:rFonts w:ascii="Times New Roman" w:hAnsi="Times New Roman" w:cs="Times New Roman"/>
                <w:b/>
                <w:color w:val="auto"/>
                <w:sz w:val="44"/>
                <w:szCs w:val="18"/>
              </w:rPr>
              <w:t xml:space="preserve"> onwards</w:t>
            </w:r>
            <w:r w:rsidR="00953C68">
              <w:rPr>
                <w:rFonts w:ascii="Times New Roman" w:hAnsi="Times New Roman" w:cs="Times New Roman"/>
                <w:b/>
                <w:color w:val="auto"/>
                <w:sz w:val="44"/>
                <w:szCs w:val="18"/>
              </w:rPr>
              <w:t xml:space="preserve"> (Cohort 20)</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5A670606" w14:textId="63DC81B5" w:rsidR="00F546D1" w:rsidRPr="00EE5BC3" w:rsidRDefault="007374EF" w:rsidP="00EE5BC3">
      <w:pPr>
        <w:jc w:val="center"/>
        <w:rPr>
          <w:sz w:val="28"/>
          <w:szCs w:val="28"/>
        </w:rPr>
      </w:pPr>
      <w:r w:rsidRPr="00EE5BC3">
        <w:rPr>
          <w:b/>
          <w:sz w:val="28"/>
          <w:szCs w:val="28"/>
        </w:rPr>
        <w:t>Task 3</w:t>
      </w:r>
    </w:p>
    <w:p w14:paraId="3D5F0C24" w14:textId="77777777" w:rsidR="00F546D1" w:rsidRPr="00EE5BC3" w:rsidRDefault="00F546D1" w:rsidP="00EE5BC3">
      <w:pPr>
        <w:jc w:val="center"/>
        <w:rPr>
          <w:b/>
          <w:sz w:val="28"/>
          <w:szCs w:val="28"/>
        </w:rPr>
      </w:pPr>
    </w:p>
    <w:p w14:paraId="02619381" w14:textId="77777777" w:rsidR="00A12F22" w:rsidRPr="00EE5BC3" w:rsidRDefault="00E559CE" w:rsidP="00EE5BC3">
      <w:pPr>
        <w:jc w:val="center"/>
        <w:rPr>
          <w:b/>
          <w:color w:val="auto"/>
          <w:sz w:val="28"/>
          <w:szCs w:val="28"/>
        </w:rPr>
      </w:pPr>
      <w:r w:rsidRPr="00EE5BC3">
        <w:rPr>
          <w:b/>
          <w:color w:val="auto"/>
          <w:sz w:val="28"/>
          <w:szCs w:val="28"/>
        </w:rPr>
        <w:t>Safeguarding and working in complex situations</w:t>
      </w:r>
      <w:r w:rsidR="00002C7A" w:rsidRPr="00EE5BC3">
        <w:rPr>
          <w:b/>
          <w:color w:val="auto"/>
          <w:sz w:val="28"/>
          <w:szCs w:val="28"/>
        </w:rPr>
        <w:t xml:space="preserve"> – Case Study</w:t>
      </w:r>
    </w:p>
    <w:p w14:paraId="746467D8" w14:textId="77777777" w:rsidR="007C5ABE" w:rsidRDefault="007C5ABE" w:rsidP="0093018C">
      <w:pPr>
        <w:rPr>
          <w:b/>
          <w:color w:val="auto"/>
          <w:sz w:val="24"/>
          <w:szCs w:val="24"/>
        </w:rPr>
      </w:pPr>
    </w:p>
    <w:p w14:paraId="4AF0BB36" w14:textId="77777777" w:rsidR="00D0503D" w:rsidRDefault="00D0503D" w:rsidP="0093018C">
      <w:pPr>
        <w:rPr>
          <w:b/>
          <w:color w:val="auto"/>
          <w:sz w:val="24"/>
          <w:szCs w:val="24"/>
        </w:rPr>
      </w:pPr>
      <w:proofErr w:type="gramStart"/>
      <w:r>
        <w:rPr>
          <w:b/>
          <w:color w:val="auto"/>
          <w:sz w:val="24"/>
          <w:szCs w:val="24"/>
        </w:rPr>
        <w:t>Guidance</w:t>
      </w:r>
      <w:r w:rsidR="00084DA6">
        <w:rPr>
          <w:b/>
          <w:color w:val="auto"/>
          <w:sz w:val="24"/>
          <w:szCs w:val="24"/>
        </w:rPr>
        <w:t>;</w:t>
      </w:r>
      <w:proofErr w:type="gramEnd"/>
    </w:p>
    <w:p w14:paraId="104AED32" w14:textId="7E0942CD" w:rsidR="007C5ABE" w:rsidRPr="00706BB5" w:rsidRDefault="00084DA6">
      <w:pPr>
        <w:jc w:val="both"/>
        <w:rPr>
          <w:i/>
          <w:iCs/>
          <w:sz w:val="24"/>
          <w:szCs w:val="24"/>
        </w:rPr>
      </w:pPr>
      <w:r w:rsidRPr="00F15354">
        <w:rPr>
          <w:i/>
          <w:iCs/>
          <w:sz w:val="24"/>
          <w:szCs w:val="24"/>
        </w:rPr>
        <w:t xml:space="preserve">Please ensure that you </w:t>
      </w:r>
      <w:r w:rsidR="00F45521" w:rsidRPr="00F15354">
        <w:rPr>
          <w:i/>
          <w:iCs/>
          <w:sz w:val="24"/>
          <w:szCs w:val="24"/>
        </w:rPr>
        <w:t>meet</w:t>
      </w:r>
      <w:r w:rsidRPr="006179BB">
        <w:rPr>
          <w:i/>
          <w:iCs/>
          <w:sz w:val="24"/>
          <w:szCs w:val="24"/>
        </w:rPr>
        <w:t xml:space="preserve"> the </w:t>
      </w:r>
      <w:r w:rsidR="00AA7960" w:rsidRPr="006179BB">
        <w:rPr>
          <w:i/>
          <w:iCs/>
          <w:sz w:val="24"/>
          <w:szCs w:val="24"/>
        </w:rPr>
        <w:t xml:space="preserve">National Occupational Standards and assigned </w:t>
      </w:r>
      <w:r w:rsidRPr="00A5656A">
        <w:rPr>
          <w:i/>
          <w:iCs/>
          <w:sz w:val="24"/>
          <w:szCs w:val="24"/>
        </w:rPr>
        <w:t>Learning Outcomes for this task</w:t>
      </w:r>
      <w:r w:rsidR="00AA7960" w:rsidRPr="00A5656A">
        <w:rPr>
          <w:i/>
          <w:iCs/>
          <w:sz w:val="24"/>
          <w:szCs w:val="24"/>
        </w:rPr>
        <w:t xml:space="preserve"> (s</w:t>
      </w:r>
      <w:r w:rsidRPr="00A5656A">
        <w:rPr>
          <w:i/>
          <w:iCs/>
          <w:sz w:val="24"/>
          <w:szCs w:val="24"/>
        </w:rPr>
        <w:t xml:space="preserve">ee appendix </w:t>
      </w:r>
      <w:r w:rsidR="6D1B720D" w:rsidRPr="00A5656A">
        <w:rPr>
          <w:i/>
          <w:iCs/>
          <w:sz w:val="24"/>
          <w:szCs w:val="24"/>
        </w:rPr>
        <w:t>5 and 6 of the handbook</w:t>
      </w:r>
      <w:r w:rsidR="00AA7960" w:rsidRPr="00A5656A">
        <w:rPr>
          <w:i/>
          <w:iCs/>
          <w:sz w:val="24"/>
          <w:szCs w:val="24"/>
        </w:rPr>
        <w:t>)</w:t>
      </w:r>
      <w:r w:rsidR="007374EF" w:rsidRPr="00A5656A">
        <w:rPr>
          <w:i/>
          <w:iCs/>
          <w:sz w:val="24"/>
          <w:szCs w:val="24"/>
        </w:rPr>
        <w:t>.</w:t>
      </w:r>
      <w:r w:rsidR="00540EEC" w:rsidRPr="009C7342">
        <w:rPr>
          <w:i/>
          <w:iCs/>
          <w:sz w:val="24"/>
          <w:szCs w:val="24"/>
        </w:rPr>
        <w:t xml:space="preserve"> </w:t>
      </w:r>
    </w:p>
    <w:p w14:paraId="257A643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8B28E7" w:rsidRPr="008B28E7" w14:paraId="2E129DEE" w14:textId="77777777" w:rsidTr="7B2CF1A9">
        <w:tc>
          <w:tcPr>
            <w:tcW w:w="10031" w:type="dxa"/>
            <w:shd w:val="clear" w:color="auto" w:fill="auto"/>
          </w:tcPr>
          <w:p w14:paraId="63627B26" w14:textId="64A7A177" w:rsidR="006872A0" w:rsidRPr="006872A0" w:rsidRDefault="006872A0" w:rsidP="00064063">
            <w:pPr>
              <w:jc w:val="both"/>
              <w:rPr>
                <w:b/>
                <w:sz w:val="24"/>
                <w:szCs w:val="24"/>
              </w:rPr>
            </w:pPr>
            <w:r w:rsidRPr="006872A0">
              <w:rPr>
                <w:b/>
                <w:sz w:val="24"/>
                <w:szCs w:val="24"/>
              </w:rPr>
              <w:t>Question</w:t>
            </w:r>
            <w:r w:rsidR="007A628F">
              <w:rPr>
                <w:b/>
                <w:sz w:val="24"/>
                <w:szCs w:val="24"/>
              </w:rPr>
              <w:t>:</w:t>
            </w:r>
          </w:p>
          <w:p w14:paraId="2F8A7CA5" w14:textId="4F371A34" w:rsidR="008D5999" w:rsidRDefault="000A584A" w:rsidP="00B43442">
            <w:pPr>
              <w:jc w:val="both"/>
              <w:rPr>
                <w:sz w:val="24"/>
                <w:szCs w:val="24"/>
              </w:rPr>
            </w:pPr>
            <w:r w:rsidRPr="008B28E7">
              <w:rPr>
                <w:sz w:val="24"/>
                <w:szCs w:val="24"/>
              </w:rPr>
              <w:t xml:space="preserve">Complete a critically reflective case study </w:t>
            </w:r>
            <w:r w:rsidR="00D0503D" w:rsidRPr="008B28E7">
              <w:rPr>
                <w:sz w:val="24"/>
                <w:szCs w:val="24"/>
              </w:rPr>
              <w:t>based</w:t>
            </w:r>
            <w:r w:rsidRPr="008B28E7">
              <w:rPr>
                <w:sz w:val="24"/>
                <w:szCs w:val="24"/>
              </w:rPr>
              <w:t xml:space="preserve"> on</w:t>
            </w:r>
            <w:r w:rsidR="00696A88">
              <w:rPr>
                <w:sz w:val="24"/>
                <w:szCs w:val="24"/>
              </w:rPr>
              <w:t xml:space="preserve"> </w:t>
            </w:r>
            <w:r w:rsidR="00411EF7" w:rsidRPr="008B28E7">
              <w:rPr>
                <w:sz w:val="24"/>
                <w:szCs w:val="24"/>
              </w:rPr>
              <w:t xml:space="preserve">an </w:t>
            </w:r>
            <w:r w:rsidR="00411EF7" w:rsidRPr="00EE5BC3">
              <w:rPr>
                <w:sz w:val="24"/>
                <w:szCs w:val="24"/>
              </w:rPr>
              <w:t>assessment</w:t>
            </w:r>
            <w:r w:rsidR="007F312E">
              <w:rPr>
                <w:sz w:val="24"/>
                <w:szCs w:val="24"/>
              </w:rPr>
              <w:t xml:space="preserve"> </w:t>
            </w:r>
            <w:r w:rsidR="007C5ABE" w:rsidRPr="00EE5BC3">
              <w:rPr>
                <w:sz w:val="24"/>
                <w:szCs w:val="24"/>
              </w:rPr>
              <w:t>that</w:t>
            </w:r>
            <w:r w:rsidR="007C5ABE">
              <w:rPr>
                <w:sz w:val="24"/>
                <w:szCs w:val="24"/>
              </w:rPr>
              <w:t xml:space="preserve"> you have </w:t>
            </w:r>
            <w:r>
              <w:rPr>
                <w:sz w:val="24"/>
                <w:szCs w:val="24"/>
              </w:rPr>
              <w:t>u</w:t>
            </w:r>
            <w:r w:rsidRPr="008B28E7">
              <w:rPr>
                <w:sz w:val="24"/>
                <w:szCs w:val="24"/>
              </w:rPr>
              <w:t>ndertake</w:t>
            </w:r>
            <w:r>
              <w:rPr>
                <w:sz w:val="24"/>
                <w:szCs w:val="24"/>
              </w:rPr>
              <w:t>n</w:t>
            </w:r>
            <w:r w:rsidRPr="008B28E7">
              <w:rPr>
                <w:sz w:val="24"/>
                <w:szCs w:val="24"/>
              </w:rPr>
              <w:t xml:space="preserve"> with </w:t>
            </w:r>
            <w:r w:rsidR="00D0503D" w:rsidRPr="008B28E7">
              <w:rPr>
                <w:sz w:val="24"/>
                <w:szCs w:val="24"/>
              </w:rPr>
              <w:t>others</w:t>
            </w:r>
            <w:r w:rsidR="00D0503D">
              <w:rPr>
                <w:sz w:val="24"/>
                <w:szCs w:val="24"/>
              </w:rPr>
              <w:t>,</w:t>
            </w:r>
            <w:r w:rsidR="00D0503D" w:rsidRPr="00F15354">
              <w:rPr>
                <w:b/>
                <w:bCs/>
                <w:sz w:val="24"/>
                <w:szCs w:val="24"/>
              </w:rPr>
              <w:t xml:space="preserve"> </w:t>
            </w:r>
            <w:r w:rsidR="00D0503D" w:rsidRPr="00064063">
              <w:rPr>
                <w:sz w:val="24"/>
                <w:szCs w:val="24"/>
              </w:rPr>
              <w:t>in</w:t>
            </w:r>
            <w:r w:rsidR="0002440E" w:rsidRPr="00064063">
              <w:rPr>
                <w:sz w:val="24"/>
                <w:szCs w:val="24"/>
              </w:rPr>
              <w:t xml:space="preserve"> your own area of work</w:t>
            </w:r>
            <w:r w:rsidR="00D0503D" w:rsidRPr="00D0503D">
              <w:rPr>
                <w:sz w:val="24"/>
                <w:szCs w:val="24"/>
              </w:rPr>
              <w:t xml:space="preserve">, </w:t>
            </w:r>
            <w:r w:rsidR="00587923">
              <w:rPr>
                <w:sz w:val="24"/>
                <w:szCs w:val="24"/>
              </w:rPr>
              <w:t>c</w:t>
            </w:r>
            <w:r w:rsidR="008B28E7" w:rsidRPr="008B28E7">
              <w:rPr>
                <w:sz w:val="24"/>
                <w:szCs w:val="24"/>
              </w:rPr>
              <w:t>oncerning the safeguarding of either an adult or a child</w:t>
            </w:r>
            <w:r>
              <w:rPr>
                <w:sz w:val="24"/>
                <w:szCs w:val="24"/>
              </w:rPr>
              <w:t xml:space="preserve">. </w:t>
            </w:r>
            <w:r w:rsidR="00216563">
              <w:rPr>
                <w:sz w:val="24"/>
                <w:szCs w:val="24"/>
              </w:rPr>
              <w:t xml:space="preserve">You must demonstrate how </w:t>
            </w:r>
            <w:r w:rsidR="00F34C86">
              <w:rPr>
                <w:sz w:val="24"/>
                <w:szCs w:val="24"/>
              </w:rPr>
              <w:t xml:space="preserve">the case relates to or could relate to safeguarding </w:t>
            </w:r>
            <w:r w:rsidR="00216563">
              <w:rPr>
                <w:sz w:val="24"/>
                <w:szCs w:val="24"/>
              </w:rPr>
              <w:t>legislation, policies</w:t>
            </w:r>
            <w:r w:rsidR="00F34C86">
              <w:rPr>
                <w:sz w:val="24"/>
                <w:szCs w:val="24"/>
              </w:rPr>
              <w:t xml:space="preserve">, </w:t>
            </w:r>
            <w:proofErr w:type="gramStart"/>
            <w:r w:rsidR="00F34C86">
              <w:rPr>
                <w:sz w:val="24"/>
                <w:szCs w:val="24"/>
              </w:rPr>
              <w:t>strategies</w:t>
            </w:r>
            <w:proofErr w:type="gramEnd"/>
            <w:r w:rsidR="00F34C86">
              <w:rPr>
                <w:sz w:val="24"/>
                <w:szCs w:val="24"/>
              </w:rPr>
              <w:t xml:space="preserve"> and procedures</w:t>
            </w:r>
            <w:r w:rsidR="7AAB400D">
              <w:rPr>
                <w:sz w:val="24"/>
                <w:szCs w:val="24"/>
              </w:rPr>
              <w:t xml:space="preserve"> </w:t>
            </w:r>
            <w:r w:rsidR="623F2A43">
              <w:rPr>
                <w:sz w:val="24"/>
                <w:szCs w:val="24"/>
              </w:rPr>
              <w:t>(</w:t>
            </w:r>
            <w:r w:rsidR="7AAB400D">
              <w:rPr>
                <w:sz w:val="24"/>
                <w:szCs w:val="24"/>
              </w:rPr>
              <w:t>i</w:t>
            </w:r>
            <w:r w:rsidR="623F2A43" w:rsidRPr="00706BB5">
              <w:rPr>
                <w:sz w:val="24"/>
                <w:szCs w:val="24"/>
              </w:rPr>
              <w:t xml:space="preserve">ncluding </w:t>
            </w:r>
            <w:r w:rsidR="322513AD" w:rsidRPr="00706BB5">
              <w:rPr>
                <w:sz w:val="24"/>
                <w:szCs w:val="24"/>
              </w:rPr>
              <w:t>d</w:t>
            </w:r>
            <w:r w:rsidR="7E97696C" w:rsidRPr="00706BB5">
              <w:rPr>
                <w:sz w:val="24"/>
                <w:szCs w:val="24"/>
              </w:rPr>
              <w:t xml:space="preserve">emonstrating an understanding of </w:t>
            </w:r>
            <w:r w:rsidR="623F2A43" w:rsidRPr="00706BB5">
              <w:rPr>
                <w:sz w:val="24"/>
                <w:szCs w:val="24"/>
              </w:rPr>
              <w:t>the</w:t>
            </w:r>
            <w:r w:rsidR="350F702B">
              <w:rPr>
                <w:sz w:val="24"/>
                <w:szCs w:val="24"/>
              </w:rPr>
              <w:t xml:space="preserve"> </w:t>
            </w:r>
            <w:r w:rsidR="3B2446CA" w:rsidRPr="00706BB5">
              <w:rPr>
                <w:rFonts w:eastAsia="Arial"/>
                <w:color w:val="000000" w:themeColor="text1"/>
                <w:sz w:val="24"/>
                <w:szCs w:val="24"/>
              </w:rPr>
              <w:t xml:space="preserve">interface </w:t>
            </w:r>
            <w:r w:rsidR="534A9052" w:rsidRPr="00706BB5">
              <w:rPr>
                <w:rFonts w:eastAsia="Arial"/>
                <w:color w:val="000000" w:themeColor="text1"/>
                <w:sz w:val="24"/>
                <w:szCs w:val="24"/>
              </w:rPr>
              <w:t>between social services provision in Wales with the United Kingdom, the European Union</w:t>
            </w:r>
            <w:r w:rsidR="007A628F">
              <w:rPr>
                <w:rFonts w:eastAsia="Arial"/>
                <w:color w:val="000000" w:themeColor="text1"/>
                <w:sz w:val="24"/>
                <w:szCs w:val="24"/>
              </w:rPr>
              <w:t xml:space="preserve"> (EU)</w:t>
            </w:r>
            <w:r w:rsidR="534A9052" w:rsidRPr="00706BB5">
              <w:rPr>
                <w:rFonts w:eastAsia="Arial"/>
                <w:color w:val="000000" w:themeColor="text1"/>
                <w:sz w:val="24"/>
                <w:szCs w:val="24"/>
              </w:rPr>
              <w:t xml:space="preserve"> and outside the EU</w:t>
            </w:r>
            <w:r w:rsidR="623F2A43" w:rsidRPr="00706BB5">
              <w:rPr>
                <w:rFonts w:eastAsia="Arial"/>
                <w:color w:val="000000" w:themeColor="text1"/>
                <w:sz w:val="24"/>
                <w:szCs w:val="24"/>
              </w:rPr>
              <w:t>)</w:t>
            </w:r>
            <w:r w:rsidR="00411EF7">
              <w:rPr>
                <w:sz w:val="24"/>
                <w:szCs w:val="24"/>
              </w:rPr>
              <w:t>.</w:t>
            </w:r>
            <w:r w:rsidR="00354B6D">
              <w:rPr>
                <w:sz w:val="24"/>
                <w:szCs w:val="24"/>
              </w:rPr>
              <w:t xml:space="preserve"> </w:t>
            </w:r>
            <w:r w:rsidR="102A3950">
              <w:rPr>
                <w:sz w:val="24"/>
                <w:szCs w:val="24"/>
              </w:rPr>
              <w:t>You</w:t>
            </w:r>
            <w:r w:rsidR="00354B6D">
              <w:rPr>
                <w:sz w:val="24"/>
                <w:szCs w:val="24"/>
              </w:rPr>
              <w:t xml:space="preserve"> must</w:t>
            </w:r>
            <w:r w:rsidR="00411EF7">
              <w:rPr>
                <w:sz w:val="24"/>
                <w:szCs w:val="24"/>
              </w:rPr>
              <w:t xml:space="preserve"> </w:t>
            </w:r>
            <w:r w:rsidR="00354B6D">
              <w:rPr>
                <w:sz w:val="24"/>
                <w:szCs w:val="24"/>
              </w:rPr>
              <w:t>demonstrate your understanding of</w:t>
            </w:r>
            <w:r w:rsidR="00F34C86">
              <w:rPr>
                <w:sz w:val="24"/>
                <w:szCs w:val="24"/>
              </w:rPr>
              <w:t xml:space="preserve"> </w:t>
            </w:r>
            <w:r w:rsidR="00411EF7">
              <w:rPr>
                <w:sz w:val="24"/>
                <w:szCs w:val="24"/>
              </w:rPr>
              <w:t xml:space="preserve">the </w:t>
            </w:r>
            <w:r w:rsidR="00216563">
              <w:rPr>
                <w:sz w:val="24"/>
                <w:szCs w:val="24"/>
              </w:rPr>
              <w:t xml:space="preserve">integration of </w:t>
            </w:r>
            <w:r w:rsidR="6A854C79">
              <w:rPr>
                <w:sz w:val="24"/>
                <w:szCs w:val="24"/>
              </w:rPr>
              <w:t>analysis in asses</w:t>
            </w:r>
            <w:r w:rsidR="0F77E214">
              <w:rPr>
                <w:sz w:val="24"/>
                <w:szCs w:val="24"/>
              </w:rPr>
              <w:t>sment, collabo</w:t>
            </w:r>
            <w:r w:rsidR="6A854C79">
              <w:rPr>
                <w:sz w:val="24"/>
                <w:szCs w:val="24"/>
              </w:rPr>
              <w:t>rative work</w:t>
            </w:r>
            <w:r w:rsidR="0F77E214">
              <w:rPr>
                <w:sz w:val="24"/>
                <w:szCs w:val="24"/>
              </w:rPr>
              <w:t>ing</w:t>
            </w:r>
            <w:r w:rsidR="6A854C79">
              <w:rPr>
                <w:sz w:val="24"/>
                <w:szCs w:val="24"/>
              </w:rPr>
              <w:t xml:space="preserve"> a</w:t>
            </w:r>
            <w:r w:rsidR="0F77E214">
              <w:rPr>
                <w:sz w:val="24"/>
                <w:szCs w:val="24"/>
              </w:rPr>
              <w:t xml:space="preserve">nd </w:t>
            </w:r>
            <w:r w:rsidR="6A854C79">
              <w:rPr>
                <w:sz w:val="24"/>
                <w:szCs w:val="24"/>
              </w:rPr>
              <w:t>professional</w:t>
            </w:r>
            <w:r w:rsidR="00F34C86">
              <w:rPr>
                <w:sz w:val="24"/>
                <w:szCs w:val="24"/>
              </w:rPr>
              <w:t xml:space="preserve"> </w:t>
            </w:r>
            <w:r w:rsidR="00216563">
              <w:rPr>
                <w:sz w:val="24"/>
                <w:szCs w:val="24"/>
              </w:rPr>
              <w:t>judgements</w:t>
            </w:r>
            <w:r w:rsidR="0F77E214">
              <w:rPr>
                <w:sz w:val="24"/>
                <w:szCs w:val="24"/>
              </w:rPr>
              <w:t xml:space="preserve"> in increasingly complex situations </w:t>
            </w:r>
            <w:r w:rsidR="00E5498A" w:rsidRPr="007374EF">
              <w:rPr>
                <w:sz w:val="24"/>
                <w:szCs w:val="24"/>
              </w:rPr>
              <w:t>and</w:t>
            </w:r>
            <w:r w:rsidR="1D6670C0" w:rsidRPr="007374EF">
              <w:rPr>
                <w:sz w:val="24"/>
                <w:szCs w:val="24"/>
              </w:rPr>
              <w:t xml:space="preserve"> </w:t>
            </w:r>
            <w:r w:rsidR="39C47EB7" w:rsidRPr="007374EF">
              <w:rPr>
                <w:sz w:val="24"/>
                <w:szCs w:val="24"/>
              </w:rPr>
              <w:t>the</w:t>
            </w:r>
            <w:r w:rsidR="25F327FB" w:rsidRPr="007374EF">
              <w:rPr>
                <w:sz w:val="24"/>
                <w:szCs w:val="24"/>
              </w:rPr>
              <w:t xml:space="preserve"> </w:t>
            </w:r>
            <w:r w:rsidR="00F34C86">
              <w:rPr>
                <w:sz w:val="24"/>
                <w:szCs w:val="24"/>
              </w:rPr>
              <w:t>use of social work theories</w:t>
            </w:r>
            <w:r w:rsidR="756EEE2D">
              <w:rPr>
                <w:sz w:val="24"/>
                <w:szCs w:val="24"/>
              </w:rPr>
              <w:t>.</w:t>
            </w:r>
            <w:r w:rsidR="00216563">
              <w:rPr>
                <w:sz w:val="24"/>
                <w:szCs w:val="24"/>
              </w:rPr>
              <w:t xml:space="preserve"> </w:t>
            </w:r>
            <w:r w:rsidR="756EEE2D">
              <w:rPr>
                <w:sz w:val="24"/>
                <w:szCs w:val="24"/>
              </w:rPr>
              <w:t>You</w:t>
            </w:r>
            <w:r w:rsidR="00216563">
              <w:rPr>
                <w:sz w:val="24"/>
                <w:szCs w:val="24"/>
              </w:rPr>
              <w:t xml:space="preserve"> </w:t>
            </w:r>
            <w:r w:rsidR="00E5498A" w:rsidRPr="00FC0334">
              <w:rPr>
                <w:sz w:val="24"/>
                <w:szCs w:val="24"/>
              </w:rPr>
              <w:t>must</w:t>
            </w:r>
            <w:r w:rsidR="00E5498A">
              <w:rPr>
                <w:sz w:val="24"/>
                <w:szCs w:val="24"/>
              </w:rPr>
              <w:t xml:space="preserve"> </w:t>
            </w:r>
            <w:r w:rsidR="00F030D4">
              <w:rPr>
                <w:sz w:val="24"/>
                <w:szCs w:val="24"/>
              </w:rPr>
              <w:t>refer to</w:t>
            </w:r>
            <w:r w:rsidR="00216563">
              <w:rPr>
                <w:sz w:val="24"/>
                <w:szCs w:val="24"/>
              </w:rPr>
              <w:t xml:space="preserve"> </w:t>
            </w:r>
            <w:r w:rsidR="00F34C86">
              <w:rPr>
                <w:sz w:val="24"/>
                <w:szCs w:val="24"/>
              </w:rPr>
              <w:t>the specific dimensions of working in Wales</w:t>
            </w:r>
            <w:r w:rsidR="00411EF7">
              <w:rPr>
                <w:sz w:val="24"/>
                <w:szCs w:val="24"/>
              </w:rPr>
              <w:t xml:space="preserve">. </w:t>
            </w:r>
          </w:p>
          <w:p w14:paraId="20A5906F" w14:textId="77777777" w:rsidR="008D5999" w:rsidRDefault="008D5999" w:rsidP="00064063">
            <w:pPr>
              <w:jc w:val="both"/>
              <w:rPr>
                <w:sz w:val="24"/>
                <w:szCs w:val="24"/>
              </w:rPr>
            </w:pPr>
          </w:p>
          <w:p w14:paraId="51AF4546" w14:textId="476CB9AF" w:rsidR="00D3203C" w:rsidRDefault="00045C40" w:rsidP="00FF7EBB">
            <w:pPr>
              <w:jc w:val="both"/>
              <w:rPr>
                <w:i/>
                <w:sz w:val="24"/>
                <w:szCs w:val="24"/>
              </w:rPr>
            </w:pPr>
            <w:r>
              <w:rPr>
                <w:i/>
                <w:sz w:val="24"/>
                <w:szCs w:val="24"/>
              </w:rPr>
              <w:t xml:space="preserve">4000 </w:t>
            </w:r>
            <w:r w:rsidR="008B28E7" w:rsidRPr="008B28E7">
              <w:rPr>
                <w:i/>
                <w:sz w:val="24"/>
                <w:szCs w:val="24"/>
              </w:rPr>
              <w:t>words</w:t>
            </w:r>
            <w:r w:rsidR="008B28E7" w:rsidRPr="008B28E7">
              <w:rPr>
                <w:sz w:val="24"/>
                <w:szCs w:val="24"/>
              </w:rPr>
              <w:t xml:space="preserve"> </w:t>
            </w:r>
            <w:r w:rsidR="008B28E7" w:rsidRPr="008B28E7">
              <w:rPr>
                <w:i/>
                <w:sz w:val="24"/>
                <w:szCs w:val="24"/>
              </w:rPr>
              <w:t>(+/- 10%: include your actual word count at the end of each section)</w:t>
            </w:r>
            <w:r w:rsidR="007A628F">
              <w:rPr>
                <w:i/>
                <w:sz w:val="24"/>
                <w:szCs w:val="24"/>
              </w:rPr>
              <w:t>.</w:t>
            </w:r>
          </w:p>
          <w:p w14:paraId="76DEA783" w14:textId="77777777" w:rsidR="00936F93" w:rsidRDefault="00936F93" w:rsidP="00FF7EBB">
            <w:pPr>
              <w:jc w:val="both"/>
              <w:rPr>
                <w:i/>
                <w:sz w:val="24"/>
                <w:szCs w:val="24"/>
              </w:rPr>
            </w:pPr>
          </w:p>
          <w:p w14:paraId="29499476" w14:textId="77777777" w:rsidR="00936F93" w:rsidRDefault="00936F93" w:rsidP="00936F93">
            <w:pPr>
              <w:jc w:val="both"/>
              <w:rPr>
                <w:iCs/>
                <w:sz w:val="24"/>
                <w:szCs w:val="24"/>
              </w:rPr>
            </w:pPr>
            <w:r w:rsidRPr="00936F93">
              <w:rPr>
                <w:iCs/>
                <w:sz w:val="24"/>
                <w:szCs w:val="24"/>
              </w:rPr>
              <w:t>This case study will be structured according to Gibbs’ Reflective Cycle, that includes six key stages: description, feelings, evaluation, analysis, conclusion, and action plan (</w:t>
            </w:r>
            <w:proofErr w:type="spellStart"/>
            <w:r w:rsidRPr="00936F93">
              <w:rPr>
                <w:iCs/>
                <w:sz w:val="24"/>
                <w:szCs w:val="24"/>
              </w:rPr>
              <w:t>Pendrey</w:t>
            </w:r>
            <w:proofErr w:type="spellEnd"/>
            <w:r w:rsidRPr="00936F93">
              <w:rPr>
                <w:iCs/>
                <w:sz w:val="24"/>
                <w:szCs w:val="24"/>
              </w:rPr>
              <w:t>, 2022).</w:t>
            </w:r>
          </w:p>
          <w:p w14:paraId="5F6696FA" w14:textId="77777777" w:rsidR="00061307" w:rsidRPr="00936F93" w:rsidRDefault="00061307" w:rsidP="00936F93">
            <w:pPr>
              <w:jc w:val="both"/>
              <w:rPr>
                <w:iCs/>
                <w:sz w:val="24"/>
                <w:szCs w:val="24"/>
              </w:rPr>
            </w:pPr>
          </w:p>
          <w:p w14:paraId="06D13FAC" w14:textId="77777777" w:rsidR="00936F93" w:rsidRDefault="00936F93" w:rsidP="00936F93">
            <w:pPr>
              <w:jc w:val="both"/>
              <w:rPr>
                <w:iCs/>
                <w:sz w:val="24"/>
                <w:szCs w:val="24"/>
              </w:rPr>
            </w:pPr>
            <w:r w:rsidRPr="00936F93">
              <w:rPr>
                <w:iCs/>
                <w:sz w:val="24"/>
                <w:szCs w:val="24"/>
              </w:rPr>
              <w:t>I will start with a detailed description of the assessment, outlining the family’s background within the Welsh context and the rationale for undertaking the assessment in relation to safeguarding legislation.</w:t>
            </w:r>
          </w:p>
          <w:p w14:paraId="070F0799" w14:textId="77777777" w:rsidR="00061307" w:rsidRPr="00936F93" w:rsidRDefault="00061307" w:rsidP="00936F93">
            <w:pPr>
              <w:jc w:val="both"/>
              <w:rPr>
                <w:iCs/>
                <w:sz w:val="24"/>
                <w:szCs w:val="24"/>
              </w:rPr>
            </w:pPr>
          </w:p>
          <w:p w14:paraId="248463EE" w14:textId="77777777" w:rsidR="00936F93" w:rsidRDefault="00936F93" w:rsidP="00936F93">
            <w:pPr>
              <w:jc w:val="both"/>
              <w:rPr>
                <w:iCs/>
                <w:sz w:val="24"/>
                <w:szCs w:val="24"/>
              </w:rPr>
            </w:pPr>
            <w:r w:rsidRPr="00936F93">
              <w:rPr>
                <w:iCs/>
                <w:sz w:val="24"/>
                <w:szCs w:val="24"/>
              </w:rPr>
              <w:t xml:space="preserve">The assessment involved a family unit comprising of an unborn child (referred to as 1); the mother of the unborn child (referred to as 2); the father of the unborn child (referred to as 3); the paternal aunt of the unborn child (referred to as 4); and finally, the friend of 2 (referred to as 5). Both 2 and 3 did not cohabitate, despite their intention to co-parent 1, which was contingent upon the child's allowance to remain in 2's care following the completion of a parenting assessment. 2 has older children who were removed from her care less than a decade ago due to concerns regarding her ability to provide adequate care, as well as issues pertaining to her mental health, chaotic lifestyle, substance misuse, and criminal behaviour. 2’s children are currently residing in foster care under Full Care Orders (under Section 31 of the Children Act 1989). 3 has five older children, but they reside with their mother within a different Local Authority, with whom he shares custody. 2 became pregnant very early in her relationship with 3, having known 3 for less than 6 months.  As a child, 3 had been open to statutory services in a different Local Authority. </w:t>
            </w:r>
          </w:p>
          <w:p w14:paraId="1E36FD9B" w14:textId="77777777" w:rsidR="00061307" w:rsidRPr="00936F93" w:rsidRDefault="00061307" w:rsidP="00936F93">
            <w:pPr>
              <w:jc w:val="both"/>
              <w:rPr>
                <w:iCs/>
                <w:sz w:val="24"/>
                <w:szCs w:val="24"/>
              </w:rPr>
            </w:pPr>
          </w:p>
          <w:p w14:paraId="05FA6F04" w14:textId="77777777" w:rsidR="00936F93" w:rsidRDefault="00936F93" w:rsidP="00936F93">
            <w:pPr>
              <w:jc w:val="both"/>
              <w:rPr>
                <w:iCs/>
                <w:sz w:val="24"/>
                <w:szCs w:val="24"/>
              </w:rPr>
            </w:pPr>
            <w:r w:rsidRPr="00936F93">
              <w:rPr>
                <w:iCs/>
                <w:sz w:val="24"/>
                <w:szCs w:val="24"/>
              </w:rPr>
              <w:lastRenderedPageBreak/>
              <w:t xml:space="preserve">Both 2 and 3 had the ability to communicate in Welsh. Being a fluent Welsh speaker enabled me to deliver services to 2 and 3 in their preferred language. This also aligns with the strategic framework established by the Welsh Government (2015), known as ‘More Than Just Words’. For many native Welsh speakers, a crucial aspect of their identity is reflected in the Welsh language and its connotations (Drakeford &amp; Lynn, 1999). Language functions as a primary medium of communication; proficiency differs among individuals and is subject to change throughout one's life. A bilingual individual proficient in a second language does not inherently possess the capacity to interact on an equal footing with native speakers of that language (Pugh &amp; Jones, 1999). The families of both 2 and 3 reside in a Local Authority where over sixty percent of the population speaks Welsh (XXXX Council, 2022). Communication with individuals is a critical aspect of the provision of social care. It assists individuals in understanding the events that are occurring in their life, as well as helping them feel safe and content (Social Care Wales, 2017). </w:t>
            </w:r>
          </w:p>
          <w:p w14:paraId="61EB6839" w14:textId="77777777" w:rsidR="00061307" w:rsidRPr="00936F93" w:rsidRDefault="00061307" w:rsidP="00936F93">
            <w:pPr>
              <w:jc w:val="both"/>
              <w:rPr>
                <w:iCs/>
                <w:sz w:val="24"/>
                <w:szCs w:val="24"/>
              </w:rPr>
            </w:pPr>
          </w:p>
          <w:p w14:paraId="73819FDA" w14:textId="77777777" w:rsidR="00936F93" w:rsidRDefault="00936F93" w:rsidP="00936F93">
            <w:pPr>
              <w:jc w:val="both"/>
              <w:rPr>
                <w:iCs/>
                <w:sz w:val="24"/>
                <w:szCs w:val="24"/>
              </w:rPr>
            </w:pPr>
            <w:r w:rsidRPr="00936F93">
              <w:rPr>
                <w:iCs/>
                <w:sz w:val="24"/>
                <w:szCs w:val="24"/>
              </w:rPr>
              <w:t xml:space="preserve">The intake team (for the children and families service within my Local Authority) received a referral from a health visitor who expressed concerns regarding the unborn child of 2, based on the aforementioned history of 2. Section 163 of the Social Service and Well-Being (Wales) Act 2014 sets out the obligations of agencies to collaborate with social services in addressing the needs of children, which includes aspects of safeguarding such as protection from abuse and neglect. </w:t>
            </w:r>
          </w:p>
          <w:p w14:paraId="67E81FAA" w14:textId="77777777" w:rsidR="00061307" w:rsidRPr="00936F93" w:rsidRDefault="00061307" w:rsidP="00936F93">
            <w:pPr>
              <w:jc w:val="both"/>
              <w:rPr>
                <w:iCs/>
                <w:sz w:val="24"/>
                <w:szCs w:val="24"/>
              </w:rPr>
            </w:pPr>
          </w:p>
          <w:p w14:paraId="4EDE5F43" w14:textId="77777777" w:rsidR="00936F93" w:rsidRDefault="00936F93" w:rsidP="00936F93">
            <w:pPr>
              <w:jc w:val="both"/>
              <w:rPr>
                <w:iCs/>
                <w:sz w:val="24"/>
                <w:szCs w:val="24"/>
              </w:rPr>
            </w:pPr>
            <w:r w:rsidRPr="00936F93">
              <w:rPr>
                <w:iCs/>
                <w:sz w:val="24"/>
                <w:szCs w:val="24"/>
              </w:rPr>
              <w:t>Section 2 of the Wales Safeguarding Procedures (2019) notes that it is recommended that practitioners attempt to obtain parental consent prior to making a safeguarding referral. This is due to the fact that involving families and carers is more likely to promote an effective working partnership with the family; lead to engagement in the safeguarding process and to child-centred outcomes. 2 was aware of the referral and provided consent for the sharing of information with the social services department. In light of the concerns presented, the team manager convened a strategy discussion (under section 47 of the Children Act 1989) to determine whether the threshold for involvement and conducting a family assessment had been met.</w:t>
            </w:r>
          </w:p>
          <w:p w14:paraId="3DC47A69" w14:textId="77777777" w:rsidR="00061307" w:rsidRPr="00936F93" w:rsidRDefault="00061307" w:rsidP="00936F93">
            <w:pPr>
              <w:jc w:val="both"/>
              <w:rPr>
                <w:iCs/>
                <w:sz w:val="24"/>
                <w:szCs w:val="24"/>
              </w:rPr>
            </w:pPr>
          </w:p>
          <w:p w14:paraId="43F96AED" w14:textId="77777777" w:rsidR="00936F93" w:rsidRDefault="00936F93" w:rsidP="00936F93">
            <w:pPr>
              <w:jc w:val="both"/>
              <w:rPr>
                <w:iCs/>
                <w:sz w:val="24"/>
                <w:szCs w:val="24"/>
              </w:rPr>
            </w:pPr>
            <w:r w:rsidRPr="00936F93">
              <w:rPr>
                <w:iCs/>
                <w:sz w:val="24"/>
                <w:szCs w:val="24"/>
              </w:rPr>
              <w:t xml:space="preserve">A single agency section 47 investigation was convened by social services and was completed by a colleague within my team. A section 47 investigation under the Children Act 1989 is initiated when there is a concern that a child is suffering, or is likely to suffer, significant harm. This legal process begins with a referral to the Local Authority, which examines the situation to determine whether a formal investigation is necessary. If so, a designated social worker will conduct interviews with the child, parents, and other relevant individuals, gathering information from a range of sources including schools, healthcare providers, and the police (Carr and </w:t>
            </w:r>
            <w:proofErr w:type="spellStart"/>
            <w:r w:rsidRPr="00936F93">
              <w:rPr>
                <w:iCs/>
                <w:sz w:val="24"/>
                <w:szCs w:val="24"/>
              </w:rPr>
              <w:t>Goosey</w:t>
            </w:r>
            <w:proofErr w:type="spellEnd"/>
            <w:r w:rsidRPr="00936F93">
              <w:rPr>
                <w:iCs/>
                <w:sz w:val="24"/>
                <w:szCs w:val="24"/>
              </w:rPr>
              <w:t>, 2021). The social worker must also consider the child's wishes and feelings ensuring that their voice is heard throughout the process (Social Care Wales, 2017). Throughout the investigation, the Local Authority works with other agencies to gain a comprehensive understanding of the child's circumstances. The findings are documented in a report, which is then used to determine the best protective measure, which may include a child protection plan or, in exceptional circumstances, legal action to ensure the child's safety. The entire process is designed to be timely, thorough, and focused in the best interest of the child.</w:t>
            </w:r>
          </w:p>
          <w:p w14:paraId="43E0990D" w14:textId="77777777" w:rsidR="00061307" w:rsidRPr="00936F93" w:rsidRDefault="00061307" w:rsidP="00936F93">
            <w:pPr>
              <w:jc w:val="both"/>
              <w:rPr>
                <w:iCs/>
                <w:sz w:val="24"/>
                <w:szCs w:val="24"/>
              </w:rPr>
            </w:pPr>
          </w:p>
          <w:p w14:paraId="5287DAEA" w14:textId="77777777" w:rsidR="00936F93" w:rsidRDefault="00936F93" w:rsidP="00936F93">
            <w:pPr>
              <w:jc w:val="both"/>
              <w:rPr>
                <w:iCs/>
                <w:sz w:val="24"/>
                <w:szCs w:val="24"/>
              </w:rPr>
            </w:pPr>
            <w:r w:rsidRPr="00936F93">
              <w:rPr>
                <w:iCs/>
                <w:sz w:val="24"/>
                <w:szCs w:val="24"/>
              </w:rPr>
              <w:t xml:space="preserve">The Children Act 1989 serves as the primary legislation for child protection within the UK. However, as a practitioner in Wales, I observe that the Social Services and Well-being (Wales) Act 2014 supersedes certain portions of the Children Act 1989. Parts 3 and 4 of the Social Services and Well-being (Wales) Act 2014 have supplanted Part 3 of the Children Act regarding the provision of support for children. Parts 4 and 5 of the Children Act 1989 highlight statutory responsibilities for child protection and are concurrently enforced in Wales along with part seven of the Social Services and Well-Being (Wales) Act 2014. </w:t>
            </w:r>
          </w:p>
          <w:p w14:paraId="62DE7C97" w14:textId="77777777" w:rsidR="00061307" w:rsidRPr="00936F93" w:rsidRDefault="00061307" w:rsidP="00936F93">
            <w:pPr>
              <w:jc w:val="both"/>
              <w:rPr>
                <w:iCs/>
                <w:sz w:val="24"/>
                <w:szCs w:val="24"/>
              </w:rPr>
            </w:pPr>
          </w:p>
          <w:p w14:paraId="40E63486" w14:textId="77777777" w:rsidR="00936F93" w:rsidRDefault="00936F93" w:rsidP="00936F93">
            <w:pPr>
              <w:jc w:val="both"/>
              <w:rPr>
                <w:iCs/>
                <w:sz w:val="24"/>
                <w:szCs w:val="24"/>
              </w:rPr>
            </w:pPr>
            <w:r w:rsidRPr="00936F93">
              <w:rPr>
                <w:iCs/>
                <w:sz w:val="24"/>
                <w:szCs w:val="24"/>
              </w:rPr>
              <w:t xml:space="preserve">According to Article 8 of the Human Rights Act 1998, every resident in the UK is entitled to a family life free from interference by government entities. However, the United Nations Convention on the Rights of the Child (UNCRC) establishes principles for child protection. Children have the right to be safe from any form of violence, abuse, neglect, or maltreatment (Carr and </w:t>
            </w:r>
            <w:proofErr w:type="spellStart"/>
            <w:r w:rsidRPr="00936F93">
              <w:rPr>
                <w:iCs/>
                <w:sz w:val="24"/>
                <w:szCs w:val="24"/>
              </w:rPr>
              <w:t>Goosey</w:t>
            </w:r>
            <w:proofErr w:type="spellEnd"/>
            <w:r w:rsidRPr="00936F93">
              <w:rPr>
                <w:iCs/>
                <w:sz w:val="24"/>
                <w:szCs w:val="24"/>
              </w:rPr>
              <w:t xml:space="preserve">, 2021). Article 19 of the convention requires states to implement all appropriate legislative, administrative, and social measures to protect children. Furthermore, Article 3 of the convention mandates that states prioritise the best interest of the child in all actions involving children, particularly in decisions pertaining to their protection (Carr and </w:t>
            </w:r>
            <w:proofErr w:type="spellStart"/>
            <w:r w:rsidRPr="00936F93">
              <w:rPr>
                <w:iCs/>
                <w:sz w:val="24"/>
                <w:szCs w:val="24"/>
              </w:rPr>
              <w:t>Goosey</w:t>
            </w:r>
            <w:proofErr w:type="spellEnd"/>
            <w:r w:rsidRPr="00936F93">
              <w:rPr>
                <w:iCs/>
                <w:sz w:val="24"/>
                <w:szCs w:val="24"/>
              </w:rPr>
              <w:t>, 2021).</w:t>
            </w:r>
          </w:p>
          <w:p w14:paraId="22DD9B44" w14:textId="77777777" w:rsidR="00061307" w:rsidRPr="00936F93" w:rsidRDefault="00061307" w:rsidP="00936F93">
            <w:pPr>
              <w:jc w:val="both"/>
              <w:rPr>
                <w:iCs/>
                <w:sz w:val="24"/>
                <w:szCs w:val="24"/>
              </w:rPr>
            </w:pPr>
          </w:p>
          <w:p w14:paraId="5A79D9A3" w14:textId="77777777" w:rsidR="00936F93" w:rsidRDefault="00936F93" w:rsidP="00936F93">
            <w:pPr>
              <w:jc w:val="both"/>
              <w:rPr>
                <w:iCs/>
                <w:sz w:val="24"/>
                <w:szCs w:val="24"/>
              </w:rPr>
            </w:pPr>
            <w:r w:rsidRPr="00936F93">
              <w:rPr>
                <w:iCs/>
                <w:sz w:val="24"/>
                <w:szCs w:val="24"/>
              </w:rPr>
              <w:t xml:space="preserve">The recommendation following the conclusion of the section 47 investigation was to carry out a pre-birth assessment of 2. A pre-birth assessment is a procedure carried out by social services to assess the needs and circumstances of expectant parents, especially those recognised as at risk for issues that may impact the well-being and health of the baby. The purpose of the pre-birth assessment is to recognise any possible risks and offer appropriate strategies or resources to promote a healthy pregnancy and positive outcomes for both the mother and child. It may involve working collaboratively with health professionals, community organisations, and family support services (Carr and </w:t>
            </w:r>
            <w:proofErr w:type="spellStart"/>
            <w:r w:rsidRPr="00936F93">
              <w:rPr>
                <w:iCs/>
                <w:sz w:val="24"/>
                <w:szCs w:val="24"/>
              </w:rPr>
              <w:t>Goosey</w:t>
            </w:r>
            <w:proofErr w:type="spellEnd"/>
            <w:r w:rsidRPr="00936F93">
              <w:rPr>
                <w:iCs/>
                <w:sz w:val="24"/>
                <w:szCs w:val="24"/>
              </w:rPr>
              <w:t>, 2021).</w:t>
            </w:r>
          </w:p>
          <w:p w14:paraId="7D5047D7" w14:textId="77777777" w:rsidR="00061307" w:rsidRPr="00936F93" w:rsidRDefault="00061307" w:rsidP="00936F93">
            <w:pPr>
              <w:jc w:val="both"/>
              <w:rPr>
                <w:iCs/>
                <w:sz w:val="24"/>
                <w:szCs w:val="24"/>
              </w:rPr>
            </w:pPr>
          </w:p>
          <w:p w14:paraId="0F9F1DB5" w14:textId="77777777" w:rsidR="00936F93" w:rsidRDefault="00936F93" w:rsidP="00936F93">
            <w:pPr>
              <w:jc w:val="both"/>
              <w:rPr>
                <w:iCs/>
                <w:sz w:val="24"/>
                <w:szCs w:val="24"/>
              </w:rPr>
            </w:pPr>
            <w:r w:rsidRPr="00936F93">
              <w:rPr>
                <w:iCs/>
                <w:sz w:val="24"/>
                <w:szCs w:val="24"/>
              </w:rPr>
              <w:t>Section 31 of the Children Act 1989 outlines the responsibilities of Local Authorities when considering initiating legal proceedings to request orders such a care order or a supervision order – this is known as Public Law Outline (PLO). To obtain such orders, Local Authorities must prove that the ‘Threshold Criteria’ has been met.</w:t>
            </w:r>
          </w:p>
          <w:p w14:paraId="4F7FDF85" w14:textId="77777777" w:rsidR="00061307" w:rsidRPr="00936F93" w:rsidRDefault="00061307" w:rsidP="00936F93">
            <w:pPr>
              <w:jc w:val="both"/>
              <w:rPr>
                <w:iCs/>
                <w:sz w:val="24"/>
                <w:szCs w:val="24"/>
              </w:rPr>
            </w:pPr>
          </w:p>
          <w:p w14:paraId="664353E9" w14:textId="77777777" w:rsidR="00936F93" w:rsidRDefault="00936F93" w:rsidP="00936F93">
            <w:pPr>
              <w:jc w:val="both"/>
              <w:rPr>
                <w:iCs/>
                <w:sz w:val="24"/>
                <w:szCs w:val="24"/>
              </w:rPr>
            </w:pPr>
            <w:r w:rsidRPr="00936F93">
              <w:rPr>
                <w:iCs/>
                <w:sz w:val="24"/>
                <w:szCs w:val="24"/>
              </w:rPr>
              <w:t>The recommendation made following the completion of the pre-birth assessment was to escalate the case to a Public Law Outline meeting, followed by a separate discussion at a pre-birth case conference. Since the pre-birth assessment did not identify any immediate safeguarding concerns that would put 1 at immediate risk of harm, it did not meet the threshold criteria for instant removal at birth.</w:t>
            </w:r>
          </w:p>
          <w:p w14:paraId="71E3F3AF" w14:textId="77777777" w:rsidR="008224A0" w:rsidRPr="00936F93" w:rsidRDefault="008224A0" w:rsidP="00936F93">
            <w:pPr>
              <w:jc w:val="both"/>
              <w:rPr>
                <w:iCs/>
                <w:sz w:val="24"/>
                <w:szCs w:val="24"/>
              </w:rPr>
            </w:pPr>
          </w:p>
          <w:p w14:paraId="3FF70376" w14:textId="77777777" w:rsidR="00936F93" w:rsidRDefault="00936F93" w:rsidP="00936F93">
            <w:pPr>
              <w:jc w:val="both"/>
              <w:rPr>
                <w:iCs/>
                <w:sz w:val="24"/>
                <w:szCs w:val="24"/>
              </w:rPr>
            </w:pPr>
            <w:r w:rsidRPr="00936F93">
              <w:rPr>
                <w:iCs/>
                <w:sz w:val="24"/>
                <w:szCs w:val="24"/>
              </w:rPr>
              <w:t xml:space="preserve">However, the pre-birth assessment recommended that a community-based parenting assessment should be carried out subsequent to the issuance of an Interim Care Order for the child (under Section 38 of the Children Act 1989). Community-based parenting assessments focus on assessing risk and the proficiencies of parents within their natural environment, rather than separating them for evaluation within a setting that they are unfamiliar with. The objective of the assessment is to acquire a more precise comprehension </w:t>
            </w:r>
            <w:r w:rsidRPr="00936F93">
              <w:rPr>
                <w:iCs/>
                <w:sz w:val="24"/>
                <w:szCs w:val="24"/>
              </w:rPr>
              <w:lastRenderedPageBreak/>
              <w:t xml:space="preserve">of the familial dynamics and the context in which children are raised and nurtured (Fowler, 2003). </w:t>
            </w:r>
          </w:p>
          <w:p w14:paraId="4E49C3BA" w14:textId="77777777" w:rsidR="008224A0" w:rsidRPr="00936F93" w:rsidRDefault="008224A0" w:rsidP="00936F93">
            <w:pPr>
              <w:jc w:val="both"/>
              <w:rPr>
                <w:iCs/>
                <w:sz w:val="24"/>
                <w:szCs w:val="24"/>
              </w:rPr>
            </w:pPr>
          </w:p>
          <w:p w14:paraId="024C9C57" w14:textId="77777777" w:rsidR="00936F93" w:rsidRDefault="00936F93" w:rsidP="00936F93">
            <w:pPr>
              <w:jc w:val="both"/>
              <w:rPr>
                <w:iCs/>
                <w:sz w:val="24"/>
                <w:szCs w:val="24"/>
              </w:rPr>
            </w:pPr>
            <w:r w:rsidRPr="00936F93">
              <w:rPr>
                <w:iCs/>
                <w:sz w:val="24"/>
                <w:szCs w:val="24"/>
              </w:rPr>
              <w:t>The Local Authority established a care plan that would allow the child to live with 2 under a strict Placement with Parent(s) Agreement after their birth. An Interim Care Order (as defined in Section 38 of the Children Act 1989) had to be obtained before the child could be discharged from the hospital. The care plan put forth by the Local Authority received unanimous agreement from all parties involved, and the judge granted approval for the application. This meant the Local Authority now shared parental responsibility with 2 and 3.</w:t>
            </w:r>
          </w:p>
          <w:p w14:paraId="6E69FBE0" w14:textId="77777777" w:rsidR="008224A0" w:rsidRPr="00936F93" w:rsidRDefault="008224A0" w:rsidP="00936F93">
            <w:pPr>
              <w:jc w:val="both"/>
              <w:rPr>
                <w:iCs/>
                <w:sz w:val="24"/>
                <w:szCs w:val="24"/>
              </w:rPr>
            </w:pPr>
          </w:p>
          <w:p w14:paraId="50165A3F" w14:textId="77777777" w:rsidR="00936F93" w:rsidRDefault="00936F93" w:rsidP="00936F93">
            <w:pPr>
              <w:jc w:val="both"/>
              <w:rPr>
                <w:iCs/>
                <w:sz w:val="24"/>
                <w:szCs w:val="24"/>
              </w:rPr>
            </w:pPr>
            <w:r w:rsidRPr="00936F93">
              <w:rPr>
                <w:iCs/>
                <w:sz w:val="24"/>
                <w:szCs w:val="24"/>
              </w:rPr>
              <w:t xml:space="preserve">In light of the ongoing court proceedings, individuals 2 and 3 were asked whether they wished to put forward names of any family members or a close associate as potential candidates for a viability assessment. A viability assessment is a comprehensive assessment of a caregiver's or family's ability to provide a safe and nurturing environment for a child in need and placement. This assessment typically includes a thorough review of the caregiver's background, including personal history, parenting skills, financial stability, and support systems. It also inspects the home environment to ensure that it meets safety and health requirements. The viability assessment aims to identify the caregiver's ability to meet the child's emotional, physical, and developmental needs, ensuring that the placement is in the child's best interests. This process is critical for making informed foster care placement decisions, with the ultimate goal of providing stability and security for vulnerable children (Carr and </w:t>
            </w:r>
            <w:proofErr w:type="spellStart"/>
            <w:r w:rsidRPr="00936F93">
              <w:rPr>
                <w:iCs/>
                <w:sz w:val="24"/>
                <w:szCs w:val="24"/>
              </w:rPr>
              <w:t>Goosey</w:t>
            </w:r>
            <w:proofErr w:type="spellEnd"/>
            <w:r w:rsidRPr="00936F93">
              <w:rPr>
                <w:iCs/>
                <w:sz w:val="24"/>
                <w:szCs w:val="24"/>
              </w:rPr>
              <w:t xml:space="preserve">, 2021). </w:t>
            </w:r>
          </w:p>
          <w:p w14:paraId="1586A8A4" w14:textId="77777777" w:rsidR="008224A0" w:rsidRPr="00936F93" w:rsidRDefault="008224A0" w:rsidP="00936F93">
            <w:pPr>
              <w:jc w:val="both"/>
              <w:rPr>
                <w:iCs/>
                <w:sz w:val="24"/>
                <w:szCs w:val="24"/>
              </w:rPr>
            </w:pPr>
          </w:p>
          <w:p w14:paraId="0490F5EA" w14:textId="77777777" w:rsidR="00936F93" w:rsidRDefault="00936F93" w:rsidP="00936F93">
            <w:pPr>
              <w:jc w:val="both"/>
              <w:rPr>
                <w:iCs/>
                <w:sz w:val="24"/>
                <w:szCs w:val="24"/>
              </w:rPr>
            </w:pPr>
            <w:r w:rsidRPr="00936F93">
              <w:rPr>
                <w:iCs/>
                <w:sz w:val="24"/>
                <w:szCs w:val="24"/>
              </w:rPr>
              <w:t xml:space="preserve">3 put forward his sister, referred to as 4, as a potential candidate for a viability assessment. As 2 was known to the social services department as a child (and prior to the issuance of Care Orders concerning her older children), 2 was aware of the department's concerns regarding her immediate and extended family. Consequently,  2 opted to put forward her friend, referred to as 5. </w:t>
            </w:r>
          </w:p>
          <w:p w14:paraId="2ACE47C6" w14:textId="77777777" w:rsidR="008224A0" w:rsidRPr="00936F93" w:rsidRDefault="008224A0" w:rsidP="00936F93">
            <w:pPr>
              <w:jc w:val="both"/>
              <w:rPr>
                <w:iCs/>
                <w:sz w:val="24"/>
                <w:szCs w:val="24"/>
              </w:rPr>
            </w:pPr>
          </w:p>
          <w:p w14:paraId="4836C003" w14:textId="77777777" w:rsidR="00936F93" w:rsidRDefault="00936F93" w:rsidP="00936F93">
            <w:pPr>
              <w:jc w:val="both"/>
              <w:rPr>
                <w:iCs/>
                <w:sz w:val="24"/>
                <w:szCs w:val="24"/>
              </w:rPr>
            </w:pPr>
            <w:r w:rsidRPr="00936F93">
              <w:rPr>
                <w:iCs/>
                <w:sz w:val="24"/>
                <w:szCs w:val="24"/>
              </w:rPr>
              <w:t xml:space="preserve">In the Local Authority where I am employed, viability assessments are conducted by both the child's social worker and a fostering social worker, as this approach incorporates insights from different disciplines. The child’s social worker is positioned to represent the child's voice and needs throughout the assessment, while the fostering social worker brings valuable expertise of kinship care into the process.  </w:t>
            </w:r>
          </w:p>
          <w:p w14:paraId="2728F959" w14:textId="77777777" w:rsidR="008224A0" w:rsidRPr="00936F93" w:rsidRDefault="008224A0" w:rsidP="00936F93">
            <w:pPr>
              <w:jc w:val="both"/>
              <w:rPr>
                <w:iCs/>
                <w:sz w:val="24"/>
                <w:szCs w:val="24"/>
              </w:rPr>
            </w:pPr>
          </w:p>
          <w:p w14:paraId="77712128" w14:textId="77777777" w:rsidR="00936F93" w:rsidRPr="00936F93" w:rsidRDefault="00936F93" w:rsidP="00936F93">
            <w:pPr>
              <w:jc w:val="both"/>
              <w:rPr>
                <w:iCs/>
                <w:sz w:val="24"/>
                <w:szCs w:val="24"/>
              </w:rPr>
            </w:pPr>
            <w:r w:rsidRPr="00936F93">
              <w:rPr>
                <w:iCs/>
                <w:sz w:val="24"/>
                <w:szCs w:val="24"/>
              </w:rPr>
              <w:t xml:space="preserve">Prior to returning to court, it was necessary to discuss the community-based parenting assessment and the final care plan in a permanency panel. The panel concurred with the recommendation to obtain a Full Care Order (under section 31 of the Children Act 1989) for the child, and for 1 to be placed in 2’s care under a placement with parents’ agreement.  </w:t>
            </w:r>
          </w:p>
          <w:p w14:paraId="4A11F537" w14:textId="77777777" w:rsidR="00936F93" w:rsidRDefault="00936F93" w:rsidP="00936F93">
            <w:pPr>
              <w:jc w:val="both"/>
              <w:rPr>
                <w:iCs/>
                <w:sz w:val="24"/>
                <w:szCs w:val="24"/>
              </w:rPr>
            </w:pPr>
            <w:r w:rsidRPr="00936F93">
              <w:rPr>
                <w:iCs/>
                <w:sz w:val="24"/>
                <w:szCs w:val="24"/>
              </w:rPr>
              <w:t>I will employ the second stage of Gibbs reflective cycle to examine my emotions and thought processes during the process of completing a pre-birth assessment, as well as any subsequent feelings that may have arisen.</w:t>
            </w:r>
          </w:p>
          <w:p w14:paraId="1E95C10D" w14:textId="77777777" w:rsidR="002A78EE" w:rsidRPr="00936F93" w:rsidRDefault="002A78EE" w:rsidP="00936F93">
            <w:pPr>
              <w:jc w:val="both"/>
              <w:rPr>
                <w:iCs/>
                <w:sz w:val="24"/>
                <w:szCs w:val="24"/>
              </w:rPr>
            </w:pPr>
          </w:p>
          <w:p w14:paraId="2DF91839" w14:textId="77777777" w:rsidR="00936F93" w:rsidRDefault="00936F93" w:rsidP="00936F93">
            <w:pPr>
              <w:jc w:val="both"/>
              <w:rPr>
                <w:iCs/>
                <w:sz w:val="24"/>
                <w:szCs w:val="24"/>
              </w:rPr>
            </w:pPr>
            <w:r w:rsidRPr="00936F93">
              <w:rPr>
                <w:iCs/>
                <w:sz w:val="24"/>
                <w:szCs w:val="24"/>
              </w:rPr>
              <w:t xml:space="preserve">This was my first experience carrying out a pre-birth assessment on my own, and with that came a profound sense of responsibility. Nevertheless, I was afforded numerous opportunities to seek guidance from the senior social worker in our team and also my team manager </w:t>
            </w:r>
            <w:r w:rsidRPr="00936F93">
              <w:rPr>
                <w:iCs/>
                <w:sz w:val="24"/>
                <w:szCs w:val="24"/>
              </w:rPr>
              <w:lastRenderedPageBreak/>
              <w:t>throughout the process. It was evident that my manager believed in my ability to manage the task independently.</w:t>
            </w:r>
          </w:p>
          <w:p w14:paraId="31CE02A7" w14:textId="77777777" w:rsidR="002A78EE" w:rsidRPr="00936F93" w:rsidRDefault="002A78EE" w:rsidP="00936F93">
            <w:pPr>
              <w:jc w:val="both"/>
              <w:rPr>
                <w:iCs/>
                <w:sz w:val="24"/>
                <w:szCs w:val="24"/>
              </w:rPr>
            </w:pPr>
          </w:p>
          <w:p w14:paraId="482302FF" w14:textId="77777777" w:rsidR="00936F93" w:rsidRDefault="00936F93" w:rsidP="00936F93">
            <w:pPr>
              <w:jc w:val="both"/>
              <w:rPr>
                <w:iCs/>
                <w:sz w:val="24"/>
                <w:szCs w:val="24"/>
              </w:rPr>
            </w:pPr>
            <w:r w:rsidRPr="00936F93">
              <w:rPr>
                <w:iCs/>
                <w:sz w:val="24"/>
                <w:szCs w:val="24"/>
              </w:rPr>
              <w:t xml:space="preserve">Having completed a pre-birth assessment previously, on one hand, I felt a sense of readiness, as I was already acquainted with the necessary steps in the process. Before starting the pre-birth process, I engaged in extensive research and reading. I explored examples of pre-birth assessments from colleagues in order to understand how to structure my own work. Additionally, I examined how colleagues applied analysis in their assessments, which ultimately informed their recommendations regarding the child's future after birth. </w:t>
            </w:r>
          </w:p>
          <w:p w14:paraId="4556D62D" w14:textId="77777777" w:rsidR="002A78EE" w:rsidRPr="00936F93" w:rsidRDefault="002A78EE" w:rsidP="00936F93">
            <w:pPr>
              <w:jc w:val="both"/>
              <w:rPr>
                <w:iCs/>
                <w:sz w:val="24"/>
                <w:szCs w:val="24"/>
              </w:rPr>
            </w:pPr>
          </w:p>
          <w:p w14:paraId="0236C4A3" w14:textId="77777777" w:rsidR="00936F93" w:rsidRDefault="00936F93" w:rsidP="00936F93">
            <w:pPr>
              <w:jc w:val="both"/>
              <w:rPr>
                <w:iCs/>
                <w:sz w:val="24"/>
                <w:szCs w:val="24"/>
              </w:rPr>
            </w:pPr>
            <w:r w:rsidRPr="00936F93">
              <w:rPr>
                <w:iCs/>
                <w:sz w:val="24"/>
                <w:szCs w:val="24"/>
              </w:rPr>
              <w:t xml:space="preserve">However, looking back, I remember experiencing a significant pressure when I started conducting assessments on my own. Having previously navigated each aspect of the process under the supervision and guidance of my manager and senior colleagues, the transition to autonomy carried an emotional weight that was both challenging and enlightening. At times, balancing the urgency of strict deadlines with the intricate nature of the work could feel overwhelming. This experience has influenced my understanding of the intricacies of social work, emphasising the significance of support and the resilience needed to meet the demands of the profession (i.e. professional accountability). </w:t>
            </w:r>
          </w:p>
          <w:p w14:paraId="12CB6BA5" w14:textId="77777777" w:rsidR="002A78EE" w:rsidRPr="00936F93" w:rsidRDefault="002A78EE" w:rsidP="00936F93">
            <w:pPr>
              <w:jc w:val="both"/>
              <w:rPr>
                <w:iCs/>
                <w:sz w:val="24"/>
                <w:szCs w:val="24"/>
              </w:rPr>
            </w:pPr>
          </w:p>
          <w:p w14:paraId="0A224615" w14:textId="77777777" w:rsidR="00936F93" w:rsidRDefault="00936F93" w:rsidP="00936F93">
            <w:pPr>
              <w:jc w:val="both"/>
              <w:rPr>
                <w:iCs/>
                <w:sz w:val="24"/>
                <w:szCs w:val="24"/>
              </w:rPr>
            </w:pPr>
            <w:r w:rsidRPr="00936F93">
              <w:rPr>
                <w:iCs/>
                <w:sz w:val="24"/>
                <w:szCs w:val="24"/>
              </w:rPr>
              <w:t>In regard to my skills and knowledge, I recognised that 2 had undergone psychological assessments previously and struggled with reflecting on her past and the circumstances surrounding the removal of her older children from care. Understanding that 2 had a lack of trust in social workers, I recognised that my primary objective was to build a trusting working relationship with her. This would enable her to feel comfortable enough to open-up and be honest with me throughout the assessment process. Promoting for the well-being, voice, choice, and control of individuals as emphasised in the Code of Professional Practice for those who practice in Wales (Social Care Wales, 2017). Consequently, a crucial aspect of my role in this assessment was to make certain that I represented the perspectives of the parents accurately.</w:t>
            </w:r>
          </w:p>
          <w:p w14:paraId="4B7F6C32" w14:textId="77777777" w:rsidR="002A78EE" w:rsidRPr="00936F93" w:rsidRDefault="002A78EE" w:rsidP="00936F93">
            <w:pPr>
              <w:jc w:val="both"/>
              <w:rPr>
                <w:iCs/>
                <w:sz w:val="24"/>
                <w:szCs w:val="24"/>
              </w:rPr>
            </w:pPr>
          </w:p>
          <w:p w14:paraId="5FE75531" w14:textId="77777777" w:rsidR="00936F93" w:rsidRPr="00936F93" w:rsidRDefault="00936F93" w:rsidP="00936F93">
            <w:pPr>
              <w:jc w:val="both"/>
              <w:rPr>
                <w:iCs/>
                <w:sz w:val="24"/>
                <w:szCs w:val="24"/>
              </w:rPr>
            </w:pPr>
            <w:r w:rsidRPr="00936F93">
              <w:rPr>
                <w:iCs/>
                <w:sz w:val="24"/>
                <w:szCs w:val="24"/>
              </w:rPr>
              <w:t>The arrangement of conducting sessions at 2's home address was strategically chosen, as it provided her with a comfortable environment conducive to open dialogue. This setting allowed for an optimal balance of power, enabling her to take regular breaks as needed, thereby enhancing the overall effectiveness of the sessions. I provided 2 a letter outlining the times and dates of my visits to complete the parenting assessment, ensuring she was informed of my schedule. Prior to her receiving the letter, we discussed the possibility of holding the sessions in the morning, allowing her the chance to clarify any points or address topics she felt were overlooked in the afternoon. I would occasionally provide her with a summary of the topics we would address in our next sessions to ensure she was prepared for the discussions.</w:t>
            </w:r>
          </w:p>
          <w:p w14:paraId="48BC2729" w14:textId="77777777" w:rsidR="00936F93" w:rsidRDefault="00936F93" w:rsidP="00936F93">
            <w:pPr>
              <w:jc w:val="both"/>
              <w:rPr>
                <w:iCs/>
                <w:sz w:val="24"/>
                <w:szCs w:val="24"/>
              </w:rPr>
            </w:pPr>
            <w:r w:rsidRPr="00936F93">
              <w:rPr>
                <w:iCs/>
                <w:sz w:val="24"/>
                <w:szCs w:val="24"/>
              </w:rPr>
              <w:t>My communication skills were a key aspect to achieve a comprehensive assessment. I maintained openness and transparency with 2 during the entire process. We frequently revisited the concerns that were initially highlighted in the parenting assessment, engaging in discussions about the reasons behind those concerns, the changes that have occurred, and the proactive steps 2 had taken to alter her lifestyle, which now minimises any risk to her current children and future child.</w:t>
            </w:r>
          </w:p>
          <w:p w14:paraId="668D61E9" w14:textId="77777777" w:rsidR="002A78EE" w:rsidRPr="00936F93" w:rsidRDefault="002A78EE" w:rsidP="00936F93">
            <w:pPr>
              <w:jc w:val="both"/>
              <w:rPr>
                <w:iCs/>
                <w:sz w:val="24"/>
                <w:szCs w:val="24"/>
              </w:rPr>
            </w:pPr>
          </w:p>
          <w:p w14:paraId="75372FCD" w14:textId="77777777" w:rsidR="00936F93" w:rsidRPr="00936F93" w:rsidRDefault="00936F93" w:rsidP="00936F93">
            <w:pPr>
              <w:jc w:val="both"/>
              <w:rPr>
                <w:iCs/>
                <w:sz w:val="24"/>
                <w:szCs w:val="24"/>
              </w:rPr>
            </w:pPr>
            <w:r w:rsidRPr="00936F93">
              <w:rPr>
                <w:iCs/>
                <w:sz w:val="24"/>
                <w:szCs w:val="24"/>
              </w:rPr>
              <w:lastRenderedPageBreak/>
              <w:t xml:space="preserve">During the assessment process, I demonstrated compassion for the family being assessed and recognised the challenges they faced. I observed a positive change in the mother’s circumstances, which instilled a sense of hope and indicated her capacity for potential change. </w:t>
            </w:r>
          </w:p>
          <w:p w14:paraId="6131B87E" w14:textId="77777777" w:rsidR="00936F93" w:rsidRDefault="00936F93" w:rsidP="00936F93">
            <w:pPr>
              <w:jc w:val="both"/>
              <w:rPr>
                <w:iCs/>
                <w:sz w:val="24"/>
                <w:szCs w:val="24"/>
              </w:rPr>
            </w:pPr>
            <w:r w:rsidRPr="00936F93">
              <w:rPr>
                <w:iCs/>
                <w:sz w:val="24"/>
                <w:szCs w:val="24"/>
              </w:rPr>
              <w:t>3 did not participate in the community-based parenting assessment, which is disappointing given that both 2 and 3 expressed a desire to co-parent the child together after birth. To prepare for the assessment, I conducted extensive research on methods for incorporating 3's voice into the assessment. Research indicates that information regarding fathers is frequently absent from children's case files, and they are often excluded from important meetings, such as Child Protection Case Conferences pertaining to their children (Strega et al., 2008; Bayne &amp; Holland 2010; Roskill 2011). A recurring observation in Serious Case Reviews is the inconsistent engagement of fathers in Social Care processes, which frequently leads to the oversight of paternal family support and resources.</w:t>
            </w:r>
          </w:p>
          <w:p w14:paraId="58D93094" w14:textId="77777777" w:rsidR="002A78EE" w:rsidRPr="00936F93" w:rsidRDefault="002A78EE" w:rsidP="00936F93">
            <w:pPr>
              <w:jc w:val="both"/>
              <w:rPr>
                <w:iCs/>
                <w:sz w:val="24"/>
                <w:szCs w:val="24"/>
              </w:rPr>
            </w:pPr>
          </w:p>
          <w:p w14:paraId="4B7F9EB4" w14:textId="77777777" w:rsidR="00936F93" w:rsidRDefault="00936F93" w:rsidP="00936F93">
            <w:pPr>
              <w:jc w:val="both"/>
              <w:rPr>
                <w:iCs/>
                <w:sz w:val="24"/>
                <w:szCs w:val="24"/>
              </w:rPr>
            </w:pPr>
            <w:r w:rsidRPr="00936F93">
              <w:rPr>
                <w:iCs/>
                <w:sz w:val="24"/>
                <w:szCs w:val="24"/>
              </w:rPr>
              <w:t>After 4 and 5’s viability assessments fell through, 3 made threats of assault and was verbally abusive towards me, prior to ending his relationship with 2 and relocating to a different county. I experienced a sense of relief at the prospect of not having to undertake a parenting assessment of him, as such threats could occasionally elicit an assortment of unsettling emotions, including anxiety regarding the progression of the assessment process. The department ultimately commissioned an ISW to conduct the assessment; however, 3 did not participate in the process at all.</w:t>
            </w:r>
          </w:p>
          <w:p w14:paraId="15628109" w14:textId="77777777" w:rsidR="002A78EE" w:rsidRPr="00936F93" w:rsidRDefault="002A78EE" w:rsidP="00936F93">
            <w:pPr>
              <w:jc w:val="both"/>
              <w:rPr>
                <w:iCs/>
                <w:sz w:val="24"/>
                <w:szCs w:val="24"/>
              </w:rPr>
            </w:pPr>
          </w:p>
          <w:p w14:paraId="79F82C90" w14:textId="77777777" w:rsidR="00936F93" w:rsidRDefault="00936F93" w:rsidP="00936F93">
            <w:pPr>
              <w:jc w:val="both"/>
              <w:rPr>
                <w:iCs/>
                <w:sz w:val="24"/>
                <w:szCs w:val="24"/>
              </w:rPr>
            </w:pPr>
            <w:r w:rsidRPr="00936F93">
              <w:rPr>
                <w:iCs/>
                <w:sz w:val="24"/>
                <w:szCs w:val="24"/>
              </w:rPr>
              <w:t>The subsequent phase of Gibbs' reflective cycle (Jasper, 2003) is evaluation, which aids in examining the effectiveness and limitations associated with the assessment.</w:t>
            </w:r>
          </w:p>
          <w:p w14:paraId="47E512F4" w14:textId="77777777" w:rsidR="002A78EE" w:rsidRPr="00936F93" w:rsidRDefault="002A78EE" w:rsidP="00936F93">
            <w:pPr>
              <w:jc w:val="both"/>
              <w:rPr>
                <w:iCs/>
                <w:sz w:val="24"/>
                <w:szCs w:val="24"/>
              </w:rPr>
            </w:pPr>
          </w:p>
          <w:p w14:paraId="40D293F6" w14:textId="77777777" w:rsidR="00936F93" w:rsidRDefault="00936F93" w:rsidP="00936F93">
            <w:pPr>
              <w:jc w:val="both"/>
              <w:rPr>
                <w:iCs/>
                <w:sz w:val="24"/>
                <w:szCs w:val="24"/>
              </w:rPr>
            </w:pPr>
            <w:r w:rsidRPr="00936F93">
              <w:rPr>
                <w:iCs/>
                <w:sz w:val="24"/>
                <w:szCs w:val="24"/>
              </w:rPr>
              <w:t xml:space="preserve">To identify the strengths of 2 in terms of her ability to consistently meet 1's needs and ensuring the child’s safety, a strengths-based approach was utilised during the assessment. </w:t>
            </w:r>
            <w:proofErr w:type="spellStart"/>
            <w:r w:rsidRPr="00936F93">
              <w:rPr>
                <w:iCs/>
                <w:sz w:val="24"/>
                <w:szCs w:val="24"/>
              </w:rPr>
              <w:t>Glicken</w:t>
            </w:r>
            <w:proofErr w:type="spellEnd"/>
            <w:r w:rsidRPr="00936F93">
              <w:rPr>
                <w:iCs/>
                <w:sz w:val="24"/>
                <w:szCs w:val="24"/>
              </w:rPr>
              <w:t xml:space="preserve"> (2004) characterises strengths-based practice as a perspective that highlights the positive behaviours of individuals. This approach helps individuals in recognising that their problem areas are secondary to their strengths, indicating that effective solutions can arise from the successful strategies they implement in their daily lives to tackle multiple important life issues, problems, and concerns.</w:t>
            </w:r>
          </w:p>
          <w:p w14:paraId="535548F0" w14:textId="77777777" w:rsidR="002A78EE" w:rsidRPr="00936F93" w:rsidRDefault="002A78EE" w:rsidP="00936F93">
            <w:pPr>
              <w:jc w:val="both"/>
              <w:rPr>
                <w:iCs/>
                <w:sz w:val="24"/>
                <w:szCs w:val="24"/>
              </w:rPr>
            </w:pPr>
          </w:p>
          <w:p w14:paraId="698323C0" w14:textId="77777777" w:rsidR="00936F93" w:rsidRDefault="00936F93" w:rsidP="00936F93">
            <w:pPr>
              <w:jc w:val="both"/>
              <w:rPr>
                <w:iCs/>
                <w:sz w:val="24"/>
                <w:szCs w:val="24"/>
              </w:rPr>
            </w:pPr>
            <w:r w:rsidRPr="00936F93">
              <w:rPr>
                <w:iCs/>
                <w:sz w:val="24"/>
                <w:szCs w:val="24"/>
              </w:rPr>
              <w:t xml:space="preserve">I accomplished this by integrating the four fundamental elements proposed by </w:t>
            </w:r>
            <w:proofErr w:type="spellStart"/>
            <w:r w:rsidRPr="00936F93">
              <w:rPr>
                <w:iCs/>
                <w:sz w:val="24"/>
                <w:szCs w:val="24"/>
              </w:rPr>
              <w:t>Saleebey</w:t>
            </w:r>
            <w:proofErr w:type="spellEnd"/>
            <w:r w:rsidRPr="00936F93">
              <w:rPr>
                <w:iCs/>
                <w:sz w:val="24"/>
                <w:szCs w:val="24"/>
              </w:rPr>
              <w:t xml:space="preserve"> (2009) into my practice. This involved attentively listening to 2's narrative to identify and reflect her strengths; guiding her from a focus on her challenges to a conversation centred around her capabilities and strengths; supporting 2 in expressing her aspirations and goals, as well as recognising her own inherent strengths in pursuing these goals; and lastly, helping 2 to take advantage of these strengths by applying the newly acquired insight to various aspects of her life.</w:t>
            </w:r>
          </w:p>
          <w:p w14:paraId="582984FD" w14:textId="77777777" w:rsidR="002A78EE" w:rsidRPr="00936F93" w:rsidRDefault="002A78EE" w:rsidP="00936F93">
            <w:pPr>
              <w:jc w:val="both"/>
              <w:rPr>
                <w:iCs/>
                <w:sz w:val="24"/>
                <w:szCs w:val="24"/>
              </w:rPr>
            </w:pPr>
          </w:p>
          <w:p w14:paraId="66FF5F5B" w14:textId="77777777" w:rsidR="00936F93" w:rsidRDefault="00936F93" w:rsidP="00936F93">
            <w:pPr>
              <w:jc w:val="both"/>
              <w:rPr>
                <w:iCs/>
                <w:sz w:val="24"/>
                <w:szCs w:val="24"/>
              </w:rPr>
            </w:pPr>
            <w:r w:rsidRPr="00936F93">
              <w:rPr>
                <w:iCs/>
                <w:sz w:val="24"/>
                <w:szCs w:val="24"/>
              </w:rPr>
              <w:t xml:space="preserve">Strengths-based assessments prioritise a person-centred approach, foster collaboration, provide meaningful choices, and ensure open and honest communication. It emphasises strengths rather than deficiencies (Edwards, Parkinson, and </w:t>
            </w:r>
            <w:proofErr w:type="spellStart"/>
            <w:r w:rsidRPr="00936F93">
              <w:rPr>
                <w:iCs/>
                <w:sz w:val="24"/>
                <w:szCs w:val="24"/>
              </w:rPr>
              <w:t>Pulla</w:t>
            </w:r>
            <w:proofErr w:type="spellEnd"/>
            <w:r w:rsidRPr="00936F93">
              <w:rPr>
                <w:iCs/>
                <w:sz w:val="24"/>
                <w:szCs w:val="24"/>
              </w:rPr>
              <w:t xml:space="preserve">, 2017). Throughout the assessment process, I effectively used a range of verbal and non-verbal communication methods. Effective verbal communication requires clarity and conciseness, which I demonstrated by using clear and simple language to explain any questions I raised. I </w:t>
            </w:r>
            <w:r w:rsidRPr="00936F93">
              <w:rPr>
                <w:iCs/>
                <w:sz w:val="24"/>
                <w:szCs w:val="24"/>
              </w:rPr>
              <w:lastRenderedPageBreak/>
              <w:t>deliberately steered clear of jargon, especially frequently used social work terms, unless I was confident it was essential and that I could clearly explain it to 2. This was done in accordance with the Code of Professional Practice for Social Care (Social Care Wales, 2017). Furthermore, I also used effective verbal communication by employing scenarios to clearly clarify intricate problems and subjects.</w:t>
            </w:r>
          </w:p>
          <w:p w14:paraId="3155D6D3" w14:textId="77777777" w:rsidR="0028324B" w:rsidRPr="00936F93" w:rsidRDefault="0028324B" w:rsidP="00936F93">
            <w:pPr>
              <w:jc w:val="both"/>
              <w:rPr>
                <w:iCs/>
                <w:sz w:val="24"/>
                <w:szCs w:val="24"/>
              </w:rPr>
            </w:pPr>
          </w:p>
          <w:p w14:paraId="6DFA0165" w14:textId="77777777" w:rsidR="00936F93" w:rsidRDefault="00936F93" w:rsidP="00936F93">
            <w:pPr>
              <w:jc w:val="both"/>
              <w:rPr>
                <w:iCs/>
                <w:sz w:val="24"/>
                <w:szCs w:val="24"/>
              </w:rPr>
            </w:pPr>
            <w:r w:rsidRPr="00936F93">
              <w:rPr>
                <w:iCs/>
                <w:sz w:val="24"/>
                <w:szCs w:val="24"/>
              </w:rPr>
              <w:t xml:space="preserve">Collaborating with other professionals in the Children and Families Services proved to be effective. Given the Interim Care Order in place for 1, and the potential risk of 1 entering the ‘primary’ care system or being adopted, a member of the Edge of Care Team was appointed to support 2 in refining her parenting skills and understanding prior to the conclusion of the court proceedings. It was encouraging that 2 was open to engaging with this service, as it demonstrated her dedication to achieving long-term stability for 1. In my role as the assessing social worker, I was able to document this positive achievement in the community-based assessment, which also highlighted 2's ability to work in partnership effectively with professionals while striving to achieve the outcomes identified during our assessment sessions.  </w:t>
            </w:r>
          </w:p>
          <w:p w14:paraId="56301756" w14:textId="77777777" w:rsidR="0028324B" w:rsidRPr="00936F93" w:rsidRDefault="0028324B" w:rsidP="00936F93">
            <w:pPr>
              <w:jc w:val="both"/>
              <w:rPr>
                <w:iCs/>
                <w:sz w:val="24"/>
                <w:szCs w:val="24"/>
              </w:rPr>
            </w:pPr>
          </w:p>
          <w:p w14:paraId="2B1469A4" w14:textId="77777777" w:rsidR="00936F93" w:rsidRDefault="00936F93" w:rsidP="00936F93">
            <w:pPr>
              <w:jc w:val="both"/>
              <w:rPr>
                <w:iCs/>
                <w:sz w:val="24"/>
                <w:szCs w:val="24"/>
              </w:rPr>
            </w:pPr>
            <w:r w:rsidRPr="00936F93">
              <w:rPr>
                <w:iCs/>
                <w:sz w:val="24"/>
                <w:szCs w:val="24"/>
              </w:rPr>
              <w:t>Regarding the aspects that did not proceed as planned, the viability of both candidates 4 and 5 fell through, as they withdrew from the assessment upon discovering that they might be responsible for the care of 1 for the next 18 years. This led to significant stress for both 2 and 3, with 3 holding 2 responsible for the initial problem. Furthermore, this ultimately resulted in 2 and 3 ending their relationship.</w:t>
            </w:r>
          </w:p>
          <w:p w14:paraId="1DDDF0A7" w14:textId="77777777" w:rsidR="0028324B" w:rsidRPr="00936F93" w:rsidRDefault="0028324B" w:rsidP="00936F93">
            <w:pPr>
              <w:jc w:val="both"/>
              <w:rPr>
                <w:iCs/>
                <w:sz w:val="24"/>
                <w:szCs w:val="24"/>
              </w:rPr>
            </w:pPr>
          </w:p>
          <w:p w14:paraId="49258C6C" w14:textId="77777777" w:rsidR="00936F93" w:rsidRDefault="00936F93" w:rsidP="00936F93">
            <w:pPr>
              <w:jc w:val="both"/>
              <w:rPr>
                <w:iCs/>
                <w:sz w:val="24"/>
                <w:szCs w:val="24"/>
              </w:rPr>
            </w:pPr>
            <w:r w:rsidRPr="00936F93">
              <w:rPr>
                <w:iCs/>
                <w:sz w:val="24"/>
                <w:szCs w:val="24"/>
              </w:rPr>
              <w:t>Part 4 of the Gibbs’ reflective cycle looks at applying analysis to make sense of the situation.</w:t>
            </w:r>
          </w:p>
          <w:p w14:paraId="0E40F172" w14:textId="77777777" w:rsidR="00CE6453" w:rsidRPr="00936F93" w:rsidRDefault="00CE6453" w:rsidP="00936F93">
            <w:pPr>
              <w:jc w:val="both"/>
              <w:rPr>
                <w:iCs/>
                <w:sz w:val="24"/>
                <w:szCs w:val="24"/>
              </w:rPr>
            </w:pPr>
          </w:p>
          <w:p w14:paraId="4088EEE4" w14:textId="77777777" w:rsidR="00936F93" w:rsidRDefault="00936F93" w:rsidP="00936F93">
            <w:pPr>
              <w:jc w:val="both"/>
              <w:rPr>
                <w:iCs/>
                <w:sz w:val="24"/>
                <w:szCs w:val="24"/>
              </w:rPr>
            </w:pPr>
            <w:r w:rsidRPr="00936F93">
              <w:rPr>
                <w:iCs/>
                <w:sz w:val="24"/>
                <w:szCs w:val="24"/>
              </w:rPr>
              <w:t xml:space="preserve">In this specific case study, I dedicated considerable time with 2 ensuring that I was able to get the most out of our assessment sessions because I knew that I could evidence change. Even though the 2's eldest children had previously been removed from her care, her situation had changed dramatically, and she has been working with services to reflect on what she failed to do and how she would do things differently this time. </w:t>
            </w:r>
          </w:p>
          <w:p w14:paraId="71DF5C10" w14:textId="77777777" w:rsidR="0028324B" w:rsidRPr="00936F93" w:rsidRDefault="0028324B" w:rsidP="00936F93">
            <w:pPr>
              <w:jc w:val="both"/>
              <w:rPr>
                <w:iCs/>
                <w:sz w:val="24"/>
                <w:szCs w:val="24"/>
              </w:rPr>
            </w:pPr>
          </w:p>
          <w:p w14:paraId="60416AA1" w14:textId="77777777" w:rsidR="00936F93" w:rsidRDefault="00936F93" w:rsidP="00936F93">
            <w:pPr>
              <w:jc w:val="both"/>
              <w:rPr>
                <w:iCs/>
                <w:sz w:val="24"/>
                <w:szCs w:val="24"/>
              </w:rPr>
            </w:pPr>
            <w:r w:rsidRPr="00936F93">
              <w:rPr>
                <w:iCs/>
                <w:sz w:val="24"/>
                <w:szCs w:val="24"/>
              </w:rPr>
              <w:t>Furthermore, I believe I had adequately prepared for the assessment process and carefully developed detailed plans for its execution. I am certain that the application of my communication skills and social work values was instrumental in achieving success in this domain; demonstrated significant proficiency in that respect. I am confident that my professional assertiveness during the presentation of the community-based assessment and final care plan at the permanency panel played a significant role in influencing the decision to place 1 in the care of 2 at the conclusion of the court proceedings.</w:t>
            </w:r>
          </w:p>
          <w:p w14:paraId="2B5F9D46" w14:textId="77777777" w:rsidR="0028324B" w:rsidRPr="00936F93" w:rsidRDefault="0028324B" w:rsidP="00936F93">
            <w:pPr>
              <w:jc w:val="both"/>
              <w:rPr>
                <w:iCs/>
                <w:sz w:val="24"/>
                <w:szCs w:val="24"/>
              </w:rPr>
            </w:pPr>
          </w:p>
          <w:p w14:paraId="48A49F78" w14:textId="77777777" w:rsidR="00936F93" w:rsidRDefault="00936F93" w:rsidP="00936F93">
            <w:pPr>
              <w:jc w:val="both"/>
              <w:rPr>
                <w:iCs/>
                <w:sz w:val="24"/>
                <w:szCs w:val="24"/>
              </w:rPr>
            </w:pPr>
            <w:r w:rsidRPr="00936F93">
              <w:rPr>
                <w:iCs/>
                <w:sz w:val="24"/>
                <w:szCs w:val="24"/>
              </w:rPr>
              <w:t>Social work is grounded in research and evidence that shows effective interventions can lead to lasting improvements in wellbeing. Moreover, social work practice emphasises strengths and resources to promote positive change (</w:t>
            </w:r>
            <w:proofErr w:type="spellStart"/>
            <w:r w:rsidRPr="00936F93">
              <w:rPr>
                <w:iCs/>
                <w:sz w:val="24"/>
                <w:szCs w:val="24"/>
              </w:rPr>
              <w:t>Glicken</w:t>
            </w:r>
            <w:proofErr w:type="spellEnd"/>
            <w:r w:rsidRPr="00936F93">
              <w:rPr>
                <w:iCs/>
                <w:sz w:val="24"/>
                <w:szCs w:val="24"/>
              </w:rPr>
              <w:t>, 2004). My social work values also help me recognise that people can adapt and recover from adversity, hence why I strongly supported the view of 1 remaining with his birth family for these reasons.</w:t>
            </w:r>
          </w:p>
          <w:p w14:paraId="300FB8E8" w14:textId="77777777" w:rsidR="0028324B" w:rsidRPr="00936F93" w:rsidRDefault="0028324B" w:rsidP="00936F93">
            <w:pPr>
              <w:jc w:val="both"/>
              <w:rPr>
                <w:iCs/>
                <w:sz w:val="24"/>
                <w:szCs w:val="24"/>
              </w:rPr>
            </w:pPr>
          </w:p>
          <w:p w14:paraId="6E869788" w14:textId="77777777" w:rsidR="00936F93" w:rsidRDefault="00936F93" w:rsidP="00936F93">
            <w:pPr>
              <w:jc w:val="both"/>
              <w:rPr>
                <w:iCs/>
                <w:sz w:val="24"/>
                <w:szCs w:val="24"/>
              </w:rPr>
            </w:pPr>
            <w:r w:rsidRPr="00936F93">
              <w:rPr>
                <w:iCs/>
                <w:sz w:val="24"/>
                <w:szCs w:val="24"/>
              </w:rPr>
              <w:lastRenderedPageBreak/>
              <w:t>Supervision with my manager also provided me with a structured space to reflect on various aspects of the assessment process. Being able to openly explore my experiences, feelings and reactions led me to have a deeper insight and understanding of this complex situation. My manager frequently offered advice and perspectives that enhanced my critical thinking skills, thereby informing my professional judgement and overall social work practice.</w:t>
            </w:r>
          </w:p>
          <w:p w14:paraId="55721CC8" w14:textId="77777777" w:rsidR="00CE6453" w:rsidRPr="00936F93" w:rsidRDefault="00CE6453" w:rsidP="00936F93">
            <w:pPr>
              <w:jc w:val="both"/>
              <w:rPr>
                <w:iCs/>
                <w:sz w:val="24"/>
                <w:szCs w:val="24"/>
              </w:rPr>
            </w:pPr>
          </w:p>
          <w:p w14:paraId="3C702D8C" w14:textId="77777777" w:rsidR="00936F93" w:rsidRDefault="00936F93" w:rsidP="00936F93">
            <w:pPr>
              <w:jc w:val="both"/>
              <w:rPr>
                <w:iCs/>
                <w:sz w:val="24"/>
                <w:szCs w:val="24"/>
              </w:rPr>
            </w:pPr>
            <w:r w:rsidRPr="00936F93">
              <w:rPr>
                <w:iCs/>
                <w:sz w:val="24"/>
                <w:szCs w:val="24"/>
              </w:rPr>
              <w:t>Part five of Gibbs’ reflective cycle guides the reflector towards a  conclusion. In this section, I will use my professional judgement to draw conclusions, discussed what I learnt, and outline what I could have done differently.</w:t>
            </w:r>
          </w:p>
          <w:p w14:paraId="39DC22E3" w14:textId="77777777" w:rsidR="007445AD" w:rsidRPr="00936F93" w:rsidRDefault="007445AD" w:rsidP="00936F93">
            <w:pPr>
              <w:jc w:val="both"/>
              <w:rPr>
                <w:iCs/>
                <w:sz w:val="24"/>
                <w:szCs w:val="24"/>
              </w:rPr>
            </w:pPr>
          </w:p>
          <w:p w14:paraId="3690387D" w14:textId="77777777" w:rsidR="00936F93" w:rsidRDefault="00936F93" w:rsidP="00936F93">
            <w:pPr>
              <w:jc w:val="both"/>
              <w:rPr>
                <w:iCs/>
                <w:sz w:val="24"/>
                <w:szCs w:val="24"/>
              </w:rPr>
            </w:pPr>
            <w:r w:rsidRPr="00936F93">
              <w:rPr>
                <w:iCs/>
                <w:sz w:val="24"/>
                <w:szCs w:val="24"/>
              </w:rPr>
              <w:t>I learnt about the entire process from start to finish, from the initial health visiting referral to the court agreeing on a care plan under a placement with parent(s) agreement. This included understanding the various steps taken to assess the family situation and needs. I learnt that health visitors play a crucial role in identifying potential concerns and initiating referrals to social services. As the case progressed, I observed how multidisciplinary meetings were conducted to discuss findings of the assessment, share insights, and plan interventions. I was reminded of the significance of collaboration among health professionals, social workers (from various teams), and the family in question to develop a comprehensive understanding of the child’s needs. I was able to follow the process through the court proceedings, where the care plan was presented. I understood the legal framework surrounding placement with parent’s agreements, including the criteria that must be met for the court to approve such arrangements. This gave me insight into the complexities of balancing parental rights and the child’s best interests. By the end of the of the journey, I had a thorough understanding of each stage, the roles of various professionals involved, and the critical considerations that influence the development of a care plan under a placement with parents’ agreement. I felt that the plan reflected  the best outcome for the child (i.e. to be placed in the care of 2), with the possibility of working with the service to reduce the historic risks and making revocation an option in the future.</w:t>
            </w:r>
          </w:p>
          <w:p w14:paraId="4062E140" w14:textId="77777777" w:rsidR="007445AD" w:rsidRPr="00936F93" w:rsidRDefault="007445AD" w:rsidP="00936F93">
            <w:pPr>
              <w:jc w:val="both"/>
              <w:rPr>
                <w:iCs/>
                <w:sz w:val="24"/>
                <w:szCs w:val="24"/>
              </w:rPr>
            </w:pPr>
          </w:p>
          <w:p w14:paraId="55D3EB13" w14:textId="77777777" w:rsidR="00936F93" w:rsidRDefault="00936F93" w:rsidP="00936F93">
            <w:pPr>
              <w:jc w:val="both"/>
              <w:rPr>
                <w:iCs/>
                <w:sz w:val="24"/>
                <w:szCs w:val="24"/>
              </w:rPr>
            </w:pPr>
            <w:r w:rsidRPr="00936F93">
              <w:rPr>
                <w:iCs/>
                <w:sz w:val="24"/>
                <w:szCs w:val="24"/>
              </w:rPr>
              <w:t xml:space="preserve">The concluding phase in Gibbs' reflective cycle, as outlined by </w:t>
            </w:r>
            <w:proofErr w:type="spellStart"/>
            <w:r w:rsidRPr="00936F93">
              <w:rPr>
                <w:iCs/>
                <w:sz w:val="24"/>
                <w:szCs w:val="24"/>
              </w:rPr>
              <w:t>Pendrey</w:t>
            </w:r>
            <w:proofErr w:type="spellEnd"/>
            <w:r w:rsidRPr="00936F93">
              <w:rPr>
                <w:iCs/>
                <w:sz w:val="24"/>
                <w:szCs w:val="24"/>
              </w:rPr>
              <w:t xml:space="preserve"> (2022), is the formulation of an action plan. This provides an opportunity to consider how I might respond should this situation present itself again, and whether my actions would differ in any way. </w:t>
            </w:r>
          </w:p>
          <w:p w14:paraId="33C2B9C5" w14:textId="77777777" w:rsidR="007445AD" w:rsidRPr="00936F93" w:rsidRDefault="007445AD" w:rsidP="00936F93">
            <w:pPr>
              <w:jc w:val="both"/>
              <w:rPr>
                <w:iCs/>
                <w:sz w:val="24"/>
                <w:szCs w:val="24"/>
              </w:rPr>
            </w:pPr>
          </w:p>
          <w:p w14:paraId="3DEE25AC" w14:textId="77777777" w:rsidR="00936F93" w:rsidRDefault="00936F93" w:rsidP="00936F93">
            <w:pPr>
              <w:jc w:val="both"/>
              <w:rPr>
                <w:iCs/>
                <w:sz w:val="24"/>
                <w:szCs w:val="24"/>
              </w:rPr>
            </w:pPr>
            <w:r w:rsidRPr="00936F93">
              <w:rPr>
                <w:iCs/>
                <w:sz w:val="24"/>
                <w:szCs w:val="24"/>
              </w:rPr>
              <w:t>I feel a deep sense of relief and satisfaction with the favourable result of the parenting assessment, as it showcases the effort and commitment that both the family and I invested in the process. The agreement of a Placement with Parents by my Head of Service and the court affirms the value of our efforts. During the assessment sessions, I felt that 2 and I had a good working relationship, enabling me to uncover significant insights and concerns that may have otherwise remained suppressed. This collaborative approach not only enabled me to identify essential safeguards to protect 1, but also helped me foster a deeper understanding of 2’s strengths and areas for development.</w:t>
            </w:r>
          </w:p>
          <w:p w14:paraId="2FC5BA75" w14:textId="77777777" w:rsidR="007445AD" w:rsidRPr="00936F93" w:rsidRDefault="007445AD" w:rsidP="00936F93">
            <w:pPr>
              <w:jc w:val="both"/>
              <w:rPr>
                <w:iCs/>
                <w:sz w:val="24"/>
                <w:szCs w:val="24"/>
              </w:rPr>
            </w:pPr>
          </w:p>
          <w:p w14:paraId="7428154B" w14:textId="77777777" w:rsidR="00936F93" w:rsidRPr="00936F93" w:rsidRDefault="00936F93" w:rsidP="00936F93">
            <w:pPr>
              <w:jc w:val="both"/>
              <w:rPr>
                <w:iCs/>
                <w:sz w:val="24"/>
                <w:szCs w:val="24"/>
              </w:rPr>
            </w:pPr>
            <w:r w:rsidRPr="00936F93">
              <w:rPr>
                <w:iCs/>
                <w:sz w:val="24"/>
                <w:szCs w:val="24"/>
              </w:rPr>
              <w:t xml:space="preserve">I would welcome the chance to further engage in court work, given the considerable interval since my last court case and the one referenced within this case study. Such opportunities would enhance my confidence in expressing professional opinions and making judgements on various complex cases, including both accidental and non-accidental injuries—areas in </w:t>
            </w:r>
            <w:r w:rsidRPr="00936F93">
              <w:rPr>
                <w:iCs/>
                <w:sz w:val="24"/>
                <w:szCs w:val="24"/>
              </w:rPr>
              <w:lastRenderedPageBreak/>
              <w:t>which I have yet to gain experience. Additionally, I am keen to participate in more continuing professional development training, particularly focused on strategies for supporting individuals who are challenging to engage and who may lack trust in social workers and statutory services (for instance, 3 in the context of this case study).</w:t>
            </w:r>
          </w:p>
          <w:p w14:paraId="40C5C7F8" w14:textId="77777777" w:rsidR="00936F93" w:rsidRPr="00936F93" w:rsidRDefault="00936F93" w:rsidP="00936F93">
            <w:pPr>
              <w:jc w:val="both"/>
              <w:rPr>
                <w:iCs/>
                <w:sz w:val="24"/>
                <w:szCs w:val="24"/>
              </w:rPr>
            </w:pPr>
          </w:p>
          <w:p w14:paraId="1C4D01FA" w14:textId="7E955A52" w:rsidR="00936F93" w:rsidRPr="00936F93" w:rsidRDefault="00936F93" w:rsidP="00936F93">
            <w:pPr>
              <w:jc w:val="both"/>
              <w:rPr>
                <w:iCs/>
                <w:sz w:val="24"/>
                <w:szCs w:val="24"/>
              </w:rPr>
            </w:pPr>
            <w:r w:rsidRPr="00936F93">
              <w:rPr>
                <w:iCs/>
                <w:sz w:val="24"/>
                <w:szCs w:val="24"/>
              </w:rPr>
              <w:t>4053 words.</w:t>
            </w:r>
          </w:p>
          <w:p w14:paraId="6AE0F9A2" w14:textId="77777777" w:rsidR="00953C68" w:rsidRDefault="00953C68" w:rsidP="00FF7EBB">
            <w:pPr>
              <w:jc w:val="both"/>
              <w:rPr>
                <w:i/>
                <w:sz w:val="24"/>
                <w:szCs w:val="24"/>
              </w:rPr>
            </w:pPr>
          </w:p>
          <w:p w14:paraId="461B5F2F" w14:textId="77777777" w:rsidR="00953C68" w:rsidRDefault="00953C68" w:rsidP="00FF7EBB">
            <w:pPr>
              <w:jc w:val="both"/>
              <w:rPr>
                <w:i/>
                <w:sz w:val="24"/>
                <w:szCs w:val="24"/>
              </w:rPr>
            </w:pPr>
          </w:p>
          <w:p w14:paraId="701D8D4D" w14:textId="38C2B218" w:rsidR="00D3203C" w:rsidRDefault="00D3203C" w:rsidP="00FF7EBB">
            <w:pPr>
              <w:jc w:val="both"/>
              <w:rPr>
                <w:i/>
                <w:sz w:val="24"/>
                <w:szCs w:val="24"/>
              </w:rPr>
            </w:pPr>
          </w:p>
          <w:p w14:paraId="20370495" w14:textId="79B79501" w:rsidR="00D3203C" w:rsidRDefault="00D3203C" w:rsidP="00FF7EBB">
            <w:pPr>
              <w:jc w:val="both"/>
              <w:rPr>
                <w:i/>
                <w:sz w:val="24"/>
                <w:szCs w:val="24"/>
              </w:rPr>
            </w:pPr>
          </w:p>
          <w:p w14:paraId="12DC2F24" w14:textId="24094196" w:rsidR="00D3203C" w:rsidRDefault="00D3203C" w:rsidP="00FF7EBB">
            <w:pPr>
              <w:jc w:val="both"/>
              <w:rPr>
                <w:i/>
                <w:sz w:val="24"/>
                <w:szCs w:val="24"/>
              </w:rPr>
            </w:pPr>
          </w:p>
          <w:p w14:paraId="1225D23D" w14:textId="4FFF3138" w:rsidR="00D3203C" w:rsidRDefault="00D3203C" w:rsidP="00FF7EBB">
            <w:pPr>
              <w:jc w:val="both"/>
              <w:rPr>
                <w:i/>
                <w:sz w:val="24"/>
                <w:szCs w:val="24"/>
              </w:rPr>
            </w:pPr>
          </w:p>
          <w:p w14:paraId="0C1020FE" w14:textId="61CE561C" w:rsidR="00D3203C" w:rsidRDefault="00D3203C" w:rsidP="00FF7EBB">
            <w:pPr>
              <w:jc w:val="both"/>
              <w:rPr>
                <w:i/>
                <w:sz w:val="24"/>
                <w:szCs w:val="24"/>
              </w:rPr>
            </w:pPr>
          </w:p>
          <w:p w14:paraId="43CA65F6" w14:textId="46B65686" w:rsidR="00D3203C" w:rsidRDefault="00D3203C" w:rsidP="00FF7EBB">
            <w:pPr>
              <w:jc w:val="both"/>
              <w:rPr>
                <w:i/>
                <w:sz w:val="24"/>
                <w:szCs w:val="24"/>
              </w:rPr>
            </w:pPr>
          </w:p>
          <w:p w14:paraId="5C222972" w14:textId="259CE14B" w:rsidR="00D3203C" w:rsidRDefault="00D3203C" w:rsidP="00FF7EBB">
            <w:pPr>
              <w:jc w:val="both"/>
              <w:rPr>
                <w:i/>
                <w:sz w:val="24"/>
                <w:szCs w:val="24"/>
              </w:rPr>
            </w:pPr>
          </w:p>
          <w:p w14:paraId="0E7BBCC9" w14:textId="77777777" w:rsidR="00D3203C" w:rsidRDefault="00D3203C" w:rsidP="00FF7EBB">
            <w:pPr>
              <w:jc w:val="both"/>
              <w:rPr>
                <w:i/>
                <w:sz w:val="24"/>
                <w:szCs w:val="24"/>
              </w:rPr>
            </w:pPr>
          </w:p>
          <w:p w14:paraId="47F21B6A" w14:textId="007FFCCE" w:rsidR="007A628F" w:rsidRPr="008B28E7" w:rsidRDefault="007A628F" w:rsidP="00FF7EBB">
            <w:pPr>
              <w:jc w:val="both"/>
              <w:rPr>
                <w:sz w:val="24"/>
                <w:szCs w:val="24"/>
              </w:rPr>
            </w:pPr>
          </w:p>
        </w:tc>
      </w:tr>
    </w:tbl>
    <w:p w14:paraId="1B4186EF" w14:textId="77777777" w:rsidR="00D3442D" w:rsidRDefault="00D3442D" w:rsidP="00D3442D">
      <w:pPr>
        <w:jc w:val="both"/>
        <w:rPr>
          <w:sz w:val="24"/>
          <w:szCs w:val="24"/>
        </w:rPr>
      </w:pPr>
    </w:p>
    <w:p w14:paraId="3BE23FA3" w14:textId="77777777" w:rsidR="00DD31C5" w:rsidRDefault="00DD31C5" w:rsidP="00064063">
      <w:pPr>
        <w:ind w:firstLine="720"/>
        <w:jc w:val="both"/>
        <w:rPr>
          <w:b/>
          <w:sz w:val="24"/>
          <w:szCs w:val="24"/>
        </w:rPr>
      </w:pPr>
    </w:p>
    <w:p w14:paraId="71B02E9F" w14:textId="77777777" w:rsidR="00DD31C5" w:rsidRPr="008B28E7" w:rsidRDefault="00DD31C5" w:rsidP="00064063">
      <w:pPr>
        <w:ind w:firstLine="720"/>
        <w:jc w:val="both"/>
        <w:rPr>
          <w:b/>
          <w:sz w:val="24"/>
          <w:szCs w:val="24"/>
        </w:rPr>
      </w:pPr>
    </w:p>
    <w:p w14:paraId="7F4433FA" w14:textId="247A8309" w:rsidR="00CC135E" w:rsidRPr="003B29BC" w:rsidRDefault="00CC135E" w:rsidP="003B29BC">
      <w:pPr>
        <w:rPr>
          <w:color w:val="auto"/>
          <w:sz w:val="24"/>
          <w:szCs w:val="24"/>
        </w:rPr>
      </w:pPr>
    </w:p>
    <w:sectPr w:rsidR="00CC135E" w:rsidRPr="003B29BC"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510308" w14:textId="77777777" w:rsidR="00CF5135" w:rsidRDefault="00CF5135">
      <w:r>
        <w:separator/>
      </w:r>
    </w:p>
  </w:endnote>
  <w:endnote w:type="continuationSeparator" w:id="0">
    <w:p w14:paraId="13C1F5CB" w14:textId="77777777" w:rsidR="00CF5135" w:rsidRDefault="00CF51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3DEAF" w14:textId="311829FB" w:rsidR="00A5656A" w:rsidRDefault="00A5656A">
    <w:pPr>
      <w:pStyle w:val="Troedyn"/>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Troedyn"/>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95F146" w14:textId="77777777" w:rsidR="00CF5135" w:rsidRDefault="00CF5135">
      <w:r>
        <w:separator/>
      </w:r>
    </w:p>
  </w:footnote>
  <w:footnote w:type="continuationSeparator" w:id="0">
    <w:p w14:paraId="000974ED" w14:textId="77777777" w:rsidR="00CF5135" w:rsidRDefault="00CF51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3128E" w14:textId="52E03DEF" w:rsidR="00A5656A" w:rsidRDefault="00A5656A">
    <w:pPr>
      <w:pStyle w:val="Pennyn"/>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1307"/>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8324B"/>
    <w:rsid w:val="00291ADD"/>
    <w:rsid w:val="002920DF"/>
    <w:rsid w:val="00292F3D"/>
    <w:rsid w:val="00295CA1"/>
    <w:rsid w:val="002A0E51"/>
    <w:rsid w:val="002A1A44"/>
    <w:rsid w:val="002A291A"/>
    <w:rsid w:val="002A2C54"/>
    <w:rsid w:val="002A4E2E"/>
    <w:rsid w:val="002A5604"/>
    <w:rsid w:val="002A78EE"/>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29BC"/>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8554D"/>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06F1"/>
    <w:rsid w:val="005A1B4C"/>
    <w:rsid w:val="005A545C"/>
    <w:rsid w:val="005B271A"/>
    <w:rsid w:val="005B3A2D"/>
    <w:rsid w:val="005C1567"/>
    <w:rsid w:val="005C28D3"/>
    <w:rsid w:val="005C6CE5"/>
    <w:rsid w:val="005D3F07"/>
    <w:rsid w:val="005D4A1E"/>
    <w:rsid w:val="005D4F72"/>
    <w:rsid w:val="005E13EA"/>
    <w:rsid w:val="005E17F1"/>
    <w:rsid w:val="005F64AA"/>
    <w:rsid w:val="005F7851"/>
    <w:rsid w:val="005F7AEE"/>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45AD"/>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4A0"/>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A4647"/>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36F93"/>
    <w:rsid w:val="0094495F"/>
    <w:rsid w:val="00953C68"/>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442"/>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6453"/>
    <w:rsid w:val="00CE7DA2"/>
    <w:rsid w:val="00CF2F8A"/>
    <w:rsid w:val="00CF3DB3"/>
    <w:rsid w:val="00CF5135"/>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Pennawd1">
    <w:name w:val="heading 1"/>
    <w:basedOn w:val="Normal"/>
    <w:next w:val="Normal"/>
    <w:qFormat/>
    <w:pPr>
      <w:keepNext/>
      <w:spacing w:before="240" w:after="60"/>
      <w:outlineLvl w:val="0"/>
    </w:pPr>
    <w:rPr>
      <w:b/>
      <w:kern w:val="28"/>
      <w:sz w:val="28"/>
    </w:rPr>
  </w:style>
  <w:style w:type="paragraph" w:styleId="Pennawd2">
    <w:name w:val="heading 2"/>
    <w:basedOn w:val="Normal"/>
    <w:next w:val="Normal"/>
    <w:link w:val="Pennawd2Nod"/>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FfontParagraffDdiofyn">
    <w:name w:val="Default Paragraph Font"/>
    <w:uiPriority w:val="1"/>
    <w:semiHidden/>
    <w:unhideWhenUsed/>
  </w:style>
  <w:style w:type="table" w:default="1" w:styleId="TablNormal">
    <w:name w:val="Normal Table"/>
    <w:uiPriority w:val="99"/>
    <w:semiHidden/>
    <w:unhideWhenUsed/>
    <w:tblPr>
      <w:tblInd w:w="0" w:type="dxa"/>
      <w:tblCellMar>
        <w:top w:w="0" w:type="dxa"/>
        <w:left w:w="108" w:type="dxa"/>
        <w:bottom w:w="0" w:type="dxa"/>
        <w:right w:w="108" w:type="dxa"/>
      </w:tblCellMar>
    </w:tblPr>
  </w:style>
  <w:style w:type="numbering" w:default="1" w:styleId="DimRhestr">
    <w:name w:val="No List"/>
    <w:uiPriority w:val="99"/>
    <w:semiHidden/>
    <w:unhideWhenUsed/>
  </w:style>
  <w:style w:type="paragraph" w:styleId="Pennyn">
    <w:name w:val="header"/>
    <w:basedOn w:val="Normal"/>
    <w:semiHidden/>
    <w:pPr>
      <w:tabs>
        <w:tab w:val="center" w:pos="4320"/>
        <w:tab w:val="right" w:pos="8640"/>
      </w:tabs>
    </w:pPr>
  </w:style>
  <w:style w:type="paragraph" w:styleId="Troedyn">
    <w:name w:val="footer"/>
    <w:basedOn w:val="Normal"/>
    <w:link w:val="TroedynNod"/>
    <w:uiPriority w:val="99"/>
    <w:pPr>
      <w:tabs>
        <w:tab w:val="center" w:pos="4320"/>
        <w:tab w:val="right" w:pos="8640"/>
      </w:tabs>
    </w:pPr>
    <w:rPr>
      <w:rFonts w:cs="Times New Roman"/>
      <w:lang w:val="x-none" w:eastAsia="x-none"/>
    </w:rPr>
  </w:style>
  <w:style w:type="character" w:styleId="RhifTudalen">
    <w:name w:val="page number"/>
    <w:semiHidden/>
  </w:style>
  <w:style w:type="paragraph" w:styleId="CorffyTestun">
    <w:name w:val="Body Text"/>
    <w:basedOn w:val="Normal"/>
    <w:semiHidden/>
    <w:rPr>
      <w:b/>
      <w:sz w:val="24"/>
    </w:rPr>
  </w:style>
  <w:style w:type="table" w:styleId="GridTabl">
    <w:name w:val="Table Grid"/>
    <w:basedOn w:val="Tabl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unmewnSwigen">
    <w:name w:val="Balloon Text"/>
    <w:basedOn w:val="Normal"/>
    <w:semiHidden/>
    <w:rsid w:val="00C3278B"/>
    <w:rPr>
      <w:rFonts w:ascii="Tahoma" w:hAnsi="Tahoma" w:cs="Tahoma"/>
      <w:sz w:val="16"/>
      <w:szCs w:val="16"/>
    </w:rPr>
  </w:style>
  <w:style w:type="character" w:styleId="Hyperddolen">
    <w:name w:val="Hyperlink"/>
    <w:rsid w:val="00EA4D48"/>
    <w:rPr>
      <w:color w:val="0000FF"/>
      <w:u w:val="single"/>
    </w:rPr>
  </w:style>
  <w:style w:type="character" w:styleId="CyfeirnodSylw">
    <w:name w:val="annotation reference"/>
    <w:uiPriority w:val="99"/>
    <w:semiHidden/>
    <w:unhideWhenUsed/>
    <w:rsid w:val="0057780F"/>
    <w:rPr>
      <w:sz w:val="16"/>
      <w:szCs w:val="16"/>
    </w:rPr>
  </w:style>
  <w:style w:type="paragraph" w:styleId="TestunSylw">
    <w:name w:val="annotation text"/>
    <w:basedOn w:val="Normal"/>
    <w:link w:val="TestunSylwNod"/>
    <w:uiPriority w:val="99"/>
    <w:semiHidden/>
    <w:unhideWhenUsed/>
    <w:rsid w:val="0057780F"/>
    <w:rPr>
      <w:rFonts w:cs="Times New Roman"/>
      <w:lang w:val="x-none" w:eastAsia="x-none"/>
    </w:rPr>
  </w:style>
  <w:style w:type="character" w:customStyle="1" w:styleId="TestunSylwNod">
    <w:name w:val="Testun Sylw Nod"/>
    <w:link w:val="TestunSylw"/>
    <w:uiPriority w:val="99"/>
    <w:semiHidden/>
    <w:rsid w:val="0057780F"/>
    <w:rPr>
      <w:rFonts w:ascii="Arial" w:hAnsi="Arial" w:cs="Arial"/>
      <w:color w:val="000000"/>
    </w:rPr>
  </w:style>
  <w:style w:type="paragraph" w:styleId="PwncSylw">
    <w:name w:val="annotation subject"/>
    <w:basedOn w:val="TestunSylw"/>
    <w:next w:val="TestunSylw"/>
    <w:link w:val="PwncSylwNod"/>
    <w:uiPriority w:val="99"/>
    <w:semiHidden/>
    <w:unhideWhenUsed/>
    <w:rsid w:val="0057780F"/>
    <w:rPr>
      <w:b/>
      <w:bCs/>
    </w:rPr>
  </w:style>
  <w:style w:type="character" w:customStyle="1" w:styleId="PwncSylwNod">
    <w:name w:val="Pwnc Sylw Nod"/>
    <w:link w:val="PwncSylw"/>
    <w:uiPriority w:val="99"/>
    <w:semiHidden/>
    <w:rsid w:val="0057780F"/>
    <w:rPr>
      <w:rFonts w:ascii="Arial" w:hAnsi="Arial" w:cs="Arial"/>
      <w:b/>
      <w:bCs/>
      <w:color w:val="000000"/>
    </w:rPr>
  </w:style>
  <w:style w:type="character" w:customStyle="1" w:styleId="Pennawd2Nod">
    <w:name w:val="Pennawd 2 Nod"/>
    <w:link w:val="Pennawd2"/>
    <w:uiPriority w:val="9"/>
    <w:semiHidden/>
    <w:rsid w:val="00F927A1"/>
    <w:rPr>
      <w:rFonts w:ascii="Cambria" w:eastAsia="Times New Roman" w:hAnsi="Cambria" w:cs="Times New Roman"/>
      <w:b/>
      <w:bCs/>
      <w:i/>
      <w:iCs/>
      <w:color w:val="000000"/>
      <w:sz w:val="28"/>
      <w:szCs w:val="28"/>
    </w:rPr>
  </w:style>
  <w:style w:type="paragraph" w:styleId="CorffyTestun3">
    <w:name w:val="Body Text 3"/>
    <w:basedOn w:val="Normal"/>
    <w:link w:val="CorffyTestun3Nod"/>
    <w:uiPriority w:val="99"/>
    <w:semiHidden/>
    <w:unhideWhenUsed/>
    <w:rsid w:val="00F927A1"/>
    <w:pPr>
      <w:spacing w:after="120"/>
    </w:pPr>
    <w:rPr>
      <w:rFonts w:cs="Times New Roman"/>
      <w:sz w:val="16"/>
      <w:szCs w:val="16"/>
      <w:lang w:val="x-none" w:eastAsia="x-none"/>
    </w:rPr>
  </w:style>
  <w:style w:type="character" w:customStyle="1" w:styleId="CorffyTestun3Nod">
    <w:name w:val="Corff y Testun 3 Nod"/>
    <w:link w:val="CorffyTestun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TroedynNod">
    <w:name w:val="Troedyn Nod"/>
    <w:link w:val="Troedyn"/>
    <w:uiPriority w:val="99"/>
    <w:rsid w:val="00727C4C"/>
    <w:rPr>
      <w:rFonts w:ascii="Arial" w:hAnsi="Arial" w:cs="Arial"/>
      <w:color w:val="000000"/>
    </w:rPr>
  </w:style>
  <w:style w:type="paragraph" w:styleId="Testunl-nodyn">
    <w:name w:val="endnote text"/>
    <w:basedOn w:val="Normal"/>
    <w:link w:val="Testunl-nodynNod"/>
    <w:uiPriority w:val="99"/>
    <w:semiHidden/>
    <w:unhideWhenUsed/>
    <w:rsid w:val="00B2292C"/>
  </w:style>
  <w:style w:type="character" w:customStyle="1" w:styleId="Testunl-nodynNod">
    <w:name w:val="Testun Ôl-nodyn Nod"/>
    <w:link w:val="Testunl-nodyn"/>
    <w:uiPriority w:val="99"/>
    <w:semiHidden/>
    <w:rsid w:val="00B2292C"/>
    <w:rPr>
      <w:rFonts w:ascii="Arial" w:hAnsi="Arial" w:cs="Arial"/>
      <w:color w:val="000000"/>
    </w:rPr>
  </w:style>
  <w:style w:type="character" w:styleId="Cyfeirnodl-nodyn">
    <w:name w:val="endnote reference"/>
    <w:uiPriority w:val="99"/>
    <w:semiHidden/>
    <w:unhideWhenUsed/>
    <w:rsid w:val="00B2292C"/>
    <w:rPr>
      <w:vertAlign w:val="superscript"/>
    </w:rPr>
  </w:style>
  <w:style w:type="paragraph" w:styleId="Teitl">
    <w:name w:val="Title"/>
    <w:basedOn w:val="Normal"/>
    <w:link w:val="TeitlNod"/>
    <w:qFormat/>
    <w:rsid w:val="00986C0B"/>
    <w:pPr>
      <w:overflowPunct/>
      <w:autoSpaceDE/>
      <w:autoSpaceDN/>
      <w:adjustRightInd/>
      <w:jc w:val="center"/>
      <w:textAlignment w:val="auto"/>
    </w:pPr>
    <w:rPr>
      <w:rFonts w:cs="Times New Roman"/>
      <w:b/>
      <w:color w:val="auto"/>
      <w:sz w:val="24"/>
    </w:rPr>
  </w:style>
  <w:style w:type="character" w:customStyle="1" w:styleId="TeitlNod">
    <w:name w:val="Teitl Nod"/>
    <w:link w:val="Teitl"/>
    <w:rsid w:val="00986C0B"/>
    <w:rPr>
      <w:rFonts w:ascii="Arial" w:hAnsi="Arial"/>
      <w:b/>
      <w:sz w:val="24"/>
    </w:rPr>
  </w:style>
  <w:style w:type="paragraph" w:styleId="Adolygiad">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3.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10</Pages>
  <Words>4098</Words>
  <Characters>23363</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27407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Angharad Correia-Martins (PLANT)</cp:lastModifiedBy>
  <cp:revision>2</cp:revision>
  <cp:lastPrinted>2020-02-11T19:20:00Z</cp:lastPrinted>
  <dcterms:created xsi:type="dcterms:W3CDTF">2025-02-21T11:28:00Z</dcterms:created>
  <dcterms:modified xsi:type="dcterms:W3CDTF">2025-02-21T11:28:00Z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