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1743F"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Pr>
          <w:rFonts w:ascii="Arial" w:eastAsia="Arial" w:hAnsi="Arial" w:cs="Arial"/>
          <w:b/>
          <w:bCs/>
          <w:noProof/>
          <w:sz w:val="32"/>
          <w:szCs w:val="32"/>
        </w:rPr>
        <w:drawing>
          <wp:inline distT="114300" distB="114300" distL="114300" distR="114300" wp14:anchorId="3BE17936" wp14:editId="3BE17937">
            <wp:extent cx="2663663" cy="1026443"/>
            <wp:effectExtent l="0" t="0" r="0" b="0"/>
            <wp:docPr id="2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663663" cy="1026443"/>
                    </a:xfrm>
                    <a:prstGeom prst="rect">
                      <a:avLst/>
                    </a:prstGeom>
                    <a:ln/>
                  </pic:spPr>
                </pic:pic>
              </a:graphicData>
            </a:graphic>
          </wp:inline>
        </w:drawing>
      </w:r>
    </w:p>
    <w:p w14:paraId="3BE17440"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Pr>
          <w:rFonts w:ascii="Arial" w:eastAsia="Arial" w:hAnsi="Arial" w:cs="Arial"/>
          <w:b/>
          <w:bCs/>
          <w:sz w:val="32"/>
          <w:szCs w:val="32"/>
        </w:rPr>
        <w:t xml:space="preserve">MASTER OF BUSINESS ADMINISTRATION </w:t>
      </w:r>
    </w:p>
    <w:p w14:paraId="3BE17441"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Pr>
          <w:rFonts w:ascii="Arial" w:eastAsia="Arial" w:hAnsi="Arial" w:cs="Arial"/>
          <w:b/>
          <w:bCs/>
          <w:sz w:val="32"/>
          <w:szCs w:val="32"/>
        </w:rPr>
        <w:t>LCMB7035</w:t>
      </w:r>
    </w:p>
    <w:p w14:paraId="3BE17442" w14:textId="77777777" w:rsidR="000D0697" w:rsidRDefault="000D0697">
      <w:pPr>
        <w:pStyle w:val="Normal1"/>
        <w:pBdr>
          <w:top w:val="nil"/>
          <w:left w:val="nil"/>
          <w:bottom w:val="nil"/>
          <w:right w:val="nil"/>
          <w:between w:val="nil"/>
        </w:pBdr>
        <w:spacing w:line="360" w:lineRule="auto"/>
        <w:rPr>
          <w:rFonts w:ascii="Arial" w:eastAsia="Arial" w:hAnsi="Arial" w:cs="Arial"/>
          <w:b/>
          <w:bCs/>
          <w:color w:val="000000"/>
          <w:sz w:val="32"/>
          <w:szCs w:val="32"/>
        </w:rPr>
      </w:pPr>
    </w:p>
    <w:p w14:paraId="3BE17443"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Pr>
          <w:rFonts w:ascii="Arial" w:eastAsia="Arial" w:hAnsi="Arial" w:cs="Arial"/>
          <w:b/>
          <w:bCs/>
          <w:sz w:val="32"/>
          <w:szCs w:val="32"/>
        </w:rPr>
        <w:t>DISSERTATION</w:t>
      </w:r>
    </w:p>
    <w:p w14:paraId="3BE17444"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Pr>
          <w:rFonts w:ascii="Arial" w:eastAsia="Arial" w:hAnsi="Arial" w:cs="Arial"/>
          <w:b/>
          <w:bCs/>
          <w:color w:val="000000"/>
          <w:sz w:val="32"/>
          <w:szCs w:val="32"/>
        </w:rPr>
        <w:t>A CRITICAL ASSESSMENT OF HSBC’S STRATEGY FOR SCALING ANTI-MONEY LAUNDERING (AML) AND FINANCIAL CRIME RISK MANAGEMENT</w:t>
      </w:r>
    </w:p>
    <w:p w14:paraId="3BE17445" w14:textId="77777777" w:rsidR="000D0697" w:rsidRDefault="000D0697">
      <w:pPr>
        <w:pStyle w:val="Normal1"/>
        <w:pBdr>
          <w:top w:val="nil"/>
          <w:left w:val="nil"/>
          <w:bottom w:val="nil"/>
          <w:right w:val="nil"/>
          <w:between w:val="nil"/>
        </w:pBdr>
        <w:spacing w:line="360" w:lineRule="auto"/>
        <w:jc w:val="center"/>
        <w:rPr>
          <w:rFonts w:ascii="Arial" w:eastAsia="Arial" w:hAnsi="Arial" w:cs="Arial"/>
          <w:b/>
          <w:bCs/>
          <w:sz w:val="32"/>
          <w:szCs w:val="32"/>
        </w:rPr>
      </w:pPr>
    </w:p>
    <w:p w14:paraId="3BE17446" w14:textId="77777777" w:rsidR="000D0697" w:rsidRDefault="000D0697">
      <w:pPr>
        <w:pStyle w:val="Normal1"/>
        <w:pBdr>
          <w:top w:val="nil"/>
          <w:left w:val="nil"/>
          <w:bottom w:val="nil"/>
          <w:right w:val="nil"/>
          <w:between w:val="nil"/>
        </w:pBdr>
        <w:spacing w:line="360" w:lineRule="auto"/>
        <w:jc w:val="center"/>
        <w:rPr>
          <w:rFonts w:ascii="Arial" w:eastAsia="Arial" w:hAnsi="Arial" w:cs="Arial"/>
          <w:b/>
          <w:bCs/>
          <w:sz w:val="24"/>
          <w:szCs w:val="24"/>
        </w:rPr>
      </w:pPr>
    </w:p>
    <w:p w14:paraId="3BE17447"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sz w:val="24"/>
          <w:szCs w:val="24"/>
        </w:rPr>
      </w:pPr>
      <w:r>
        <w:rPr>
          <w:rFonts w:ascii="Arial" w:eastAsia="Arial" w:hAnsi="Arial" w:cs="Arial"/>
          <w:b/>
          <w:bCs/>
          <w:sz w:val="24"/>
          <w:szCs w:val="24"/>
        </w:rPr>
        <w:t xml:space="preserve">Student name: </w:t>
      </w:r>
      <w:r>
        <w:rPr>
          <w:rFonts w:ascii="Arial" w:eastAsia="Arial" w:hAnsi="Arial" w:cs="Arial"/>
          <w:sz w:val="24"/>
          <w:szCs w:val="24"/>
        </w:rPr>
        <w:t>DIPAK MODHAVADIYA</w:t>
      </w:r>
    </w:p>
    <w:p w14:paraId="3BE17448"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sz w:val="24"/>
          <w:szCs w:val="24"/>
        </w:rPr>
      </w:pPr>
      <w:r>
        <w:rPr>
          <w:rFonts w:ascii="Arial" w:eastAsia="Arial" w:hAnsi="Arial" w:cs="Arial"/>
          <w:b/>
          <w:bCs/>
          <w:sz w:val="24"/>
          <w:szCs w:val="24"/>
        </w:rPr>
        <w:t xml:space="preserve">Student ID: </w:t>
      </w:r>
      <w:r>
        <w:rPr>
          <w:rFonts w:ascii="Arial" w:eastAsia="Arial" w:hAnsi="Arial" w:cs="Arial"/>
          <w:sz w:val="24"/>
          <w:szCs w:val="24"/>
        </w:rPr>
        <w:t>2506701</w:t>
      </w:r>
    </w:p>
    <w:p w14:paraId="3BE17449" w14:textId="77777777" w:rsidR="000D0697" w:rsidRDefault="000D0697">
      <w:pPr>
        <w:pStyle w:val="Normal1"/>
        <w:pBdr>
          <w:top w:val="nil"/>
          <w:left w:val="nil"/>
          <w:bottom w:val="nil"/>
          <w:right w:val="nil"/>
          <w:between w:val="nil"/>
        </w:pBdr>
        <w:spacing w:line="360" w:lineRule="auto"/>
        <w:rPr>
          <w:rFonts w:ascii="Arial" w:eastAsia="Arial" w:hAnsi="Arial" w:cs="Arial"/>
          <w:b/>
          <w:bCs/>
          <w:sz w:val="24"/>
          <w:szCs w:val="24"/>
        </w:rPr>
      </w:pPr>
    </w:p>
    <w:p w14:paraId="3BE1744A"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sz w:val="24"/>
          <w:szCs w:val="24"/>
        </w:rPr>
      </w:pPr>
      <w:r>
        <w:rPr>
          <w:rFonts w:ascii="Arial" w:eastAsia="Arial" w:hAnsi="Arial" w:cs="Arial"/>
          <w:b/>
          <w:bCs/>
          <w:sz w:val="24"/>
          <w:szCs w:val="24"/>
        </w:rPr>
        <w:t xml:space="preserve">Supervisor name: </w:t>
      </w:r>
      <w:r>
        <w:rPr>
          <w:rFonts w:ascii="Arial" w:eastAsia="Arial" w:hAnsi="Arial" w:cs="Arial"/>
          <w:sz w:val="24"/>
          <w:szCs w:val="24"/>
        </w:rPr>
        <w:t>SHAHRUKH IRFAN</w:t>
      </w:r>
    </w:p>
    <w:p w14:paraId="3BE1744B" w14:textId="77777777" w:rsidR="000D0697" w:rsidRDefault="000D0697">
      <w:pPr>
        <w:pStyle w:val="Normal1"/>
        <w:pBdr>
          <w:top w:val="nil"/>
          <w:left w:val="nil"/>
          <w:bottom w:val="nil"/>
          <w:right w:val="nil"/>
          <w:between w:val="nil"/>
        </w:pBdr>
        <w:spacing w:line="360" w:lineRule="auto"/>
        <w:jc w:val="center"/>
        <w:rPr>
          <w:rFonts w:ascii="Arial" w:eastAsia="Arial" w:hAnsi="Arial" w:cs="Arial"/>
          <w:b/>
          <w:bCs/>
          <w:sz w:val="24"/>
          <w:szCs w:val="24"/>
        </w:rPr>
      </w:pPr>
    </w:p>
    <w:p w14:paraId="3BE1744C" w14:textId="1F34E186" w:rsidR="000D0697" w:rsidRDefault="00DB5716">
      <w:pPr>
        <w:pStyle w:val="Normal1"/>
        <w:spacing w:line="360" w:lineRule="auto"/>
        <w:jc w:val="center"/>
        <w:rPr>
          <w:rFonts w:ascii="Arial" w:eastAsia="Arial" w:hAnsi="Arial" w:cs="Arial"/>
          <w:b/>
          <w:bCs/>
          <w:sz w:val="24"/>
          <w:szCs w:val="24"/>
        </w:rPr>
      </w:pPr>
      <w:r>
        <w:rPr>
          <w:rFonts w:ascii="Arial" w:eastAsia="Arial" w:hAnsi="Arial" w:cs="Arial"/>
          <w:b/>
          <w:bCs/>
          <w:sz w:val="24"/>
          <w:szCs w:val="24"/>
        </w:rPr>
        <w:t>Date of submission:</w:t>
      </w:r>
      <w:r w:rsidR="003B6717">
        <w:rPr>
          <w:rFonts w:ascii="Arial" w:eastAsia="Arial" w:hAnsi="Arial" w:cs="Arial"/>
          <w:b/>
          <w:bCs/>
          <w:sz w:val="24"/>
          <w:szCs w:val="24"/>
        </w:rPr>
        <w:t xml:space="preserve"> </w:t>
      </w:r>
      <w:r w:rsidR="003B6717" w:rsidRPr="003B6717">
        <w:rPr>
          <w:rFonts w:ascii="Arial" w:eastAsia="Arial" w:hAnsi="Arial" w:cs="Arial"/>
          <w:sz w:val="24"/>
          <w:szCs w:val="24"/>
        </w:rPr>
        <w:t>25</w:t>
      </w:r>
      <w:r w:rsidR="003B6717" w:rsidRPr="003B6717">
        <w:rPr>
          <w:rFonts w:ascii="Arial" w:eastAsia="Arial" w:hAnsi="Arial" w:cs="Arial"/>
          <w:sz w:val="24"/>
          <w:szCs w:val="24"/>
          <w:vertAlign w:val="superscript"/>
        </w:rPr>
        <w:t>th</w:t>
      </w:r>
      <w:r w:rsidR="003B6717" w:rsidRPr="003B6717">
        <w:rPr>
          <w:rFonts w:ascii="Arial" w:eastAsia="Arial" w:hAnsi="Arial" w:cs="Arial"/>
          <w:sz w:val="24"/>
          <w:szCs w:val="24"/>
        </w:rPr>
        <w:t xml:space="preserve"> September 2026</w:t>
      </w:r>
    </w:p>
    <w:p w14:paraId="3BE1744D" w14:textId="1B61AED1" w:rsidR="000D0697" w:rsidRDefault="00DB5716">
      <w:pPr>
        <w:pStyle w:val="Normal1"/>
        <w:pBdr>
          <w:top w:val="nil"/>
          <w:left w:val="nil"/>
          <w:bottom w:val="nil"/>
          <w:right w:val="nil"/>
          <w:between w:val="nil"/>
        </w:pBdr>
        <w:spacing w:line="360" w:lineRule="auto"/>
        <w:jc w:val="center"/>
        <w:rPr>
          <w:rFonts w:ascii="Arial" w:eastAsia="Arial" w:hAnsi="Arial" w:cs="Arial"/>
        </w:rPr>
      </w:pPr>
      <w:r>
        <w:rPr>
          <w:rFonts w:ascii="Arial" w:eastAsia="Arial" w:hAnsi="Arial" w:cs="Arial"/>
          <w:b/>
          <w:bCs/>
          <w:sz w:val="24"/>
          <w:szCs w:val="24"/>
        </w:rPr>
        <w:t xml:space="preserve">Word count: </w:t>
      </w:r>
      <w:r>
        <w:rPr>
          <w:rFonts w:ascii="Arial" w:eastAsia="Arial" w:hAnsi="Arial" w:cs="Arial"/>
          <w:sz w:val="24"/>
          <w:szCs w:val="24"/>
        </w:rPr>
        <w:t>15,</w:t>
      </w:r>
      <w:r w:rsidR="005C5FB6">
        <w:rPr>
          <w:rFonts w:ascii="Arial" w:eastAsia="Arial" w:hAnsi="Arial" w:cs="Arial"/>
          <w:sz w:val="24"/>
          <w:szCs w:val="24"/>
        </w:rPr>
        <w:t>514</w:t>
      </w:r>
      <w:r>
        <w:br w:type="page"/>
      </w:r>
    </w:p>
    <w:p w14:paraId="3BE1744E" w14:textId="77777777" w:rsidR="000D0697" w:rsidRDefault="00DB5716">
      <w:pPr>
        <w:pStyle w:val="Normal1"/>
        <w:spacing w:line="360" w:lineRule="auto"/>
        <w:jc w:val="center"/>
        <w:rPr>
          <w:rFonts w:ascii="Arial" w:eastAsia="Arial" w:hAnsi="Arial" w:cs="Arial"/>
          <w:b/>
          <w:bCs/>
          <w:color w:val="FF0000"/>
          <w:sz w:val="28"/>
          <w:szCs w:val="28"/>
        </w:rPr>
      </w:pPr>
      <w:r w:rsidRPr="00775AD5">
        <w:rPr>
          <w:rFonts w:ascii="Arial" w:eastAsia="Arial" w:hAnsi="Arial" w:cs="Arial"/>
          <w:b/>
          <w:bCs/>
          <w:color w:val="FF0000"/>
          <w:sz w:val="28"/>
          <w:szCs w:val="28"/>
        </w:rPr>
        <w:lastRenderedPageBreak/>
        <w:t>Declaration</w:t>
      </w:r>
    </w:p>
    <w:p w14:paraId="14A6EE0B" w14:textId="77777777" w:rsidR="00775AD5" w:rsidRPr="00775AD5" w:rsidRDefault="00775AD5">
      <w:pPr>
        <w:pStyle w:val="Normal1"/>
        <w:spacing w:line="360" w:lineRule="auto"/>
        <w:jc w:val="center"/>
        <w:rPr>
          <w:rFonts w:ascii="Arial" w:eastAsia="Arial" w:hAnsi="Arial" w:cs="Arial"/>
          <w:b/>
          <w:bCs/>
          <w:color w:val="FF0000"/>
          <w:sz w:val="28"/>
          <w:szCs w:val="28"/>
        </w:rPr>
      </w:pPr>
    </w:p>
    <w:p w14:paraId="3BE1744F" w14:textId="77777777" w:rsidR="000D0697" w:rsidRDefault="00DB5716">
      <w:pPr>
        <w:pStyle w:val="Normal1"/>
        <w:spacing w:line="360" w:lineRule="auto"/>
        <w:jc w:val="both"/>
        <w:rPr>
          <w:rFonts w:ascii="Arial" w:eastAsia="Arial" w:hAnsi="Arial" w:cs="Arial"/>
          <w:color w:val="FF0000"/>
          <w:sz w:val="24"/>
          <w:szCs w:val="24"/>
        </w:rPr>
      </w:pPr>
      <w:r>
        <w:rPr>
          <w:rFonts w:ascii="Arial" w:eastAsia="Arial" w:hAnsi="Arial" w:cs="Arial"/>
          <w:color w:val="FF0000"/>
          <w:sz w:val="24"/>
          <w:szCs w:val="24"/>
        </w:rPr>
        <w:t xml:space="preserve">I hereby declare that this complete work is my own original work and has been independently developed aligning with academic integrity standards. All the data. Scholarly sources and institutional information used in this research have been acknowledged and cited properly. This dissertation has not been submitted previously for any other professional qualifications or degree in this or any other academic institutions. </w:t>
      </w:r>
    </w:p>
    <w:p w14:paraId="3BE17450" w14:textId="77777777" w:rsidR="000D0697" w:rsidRDefault="000D0697">
      <w:pPr>
        <w:pStyle w:val="Normal1"/>
        <w:spacing w:line="360" w:lineRule="auto"/>
        <w:jc w:val="both"/>
      </w:pPr>
    </w:p>
    <w:p w14:paraId="3BE17451" w14:textId="77777777" w:rsidR="000D0697" w:rsidRDefault="000D0697">
      <w:pPr>
        <w:pStyle w:val="Normal1"/>
        <w:spacing w:line="360" w:lineRule="auto"/>
        <w:jc w:val="both"/>
      </w:pPr>
    </w:p>
    <w:p w14:paraId="3BE17452" w14:textId="77777777" w:rsidR="000D0697" w:rsidRDefault="00DB5716">
      <w:pPr>
        <w:pStyle w:val="Normal1"/>
        <w:spacing w:line="360" w:lineRule="auto"/>
        <w:jc w:val="center"/>
        <w:rPr>
          <w:rFonts w:ascii="Arial" w:eastAsia="Arial" w:hAnsi="Arial" w:cs="Arial"/>
          <w:b/>
          <w:bCs/>
          <w:sz w:val="28"/>
          <w:szCs w:val="28"/>
        </w:rPr>
      </w:pPr>
      <w:r>
        <w:br w:type="page"/>
      </w:r>
    </w:p>
    <w:p w14:paraId="3BE17453" w14:textId="77777777" w:rsidR="000D0697" w:rsidRDefault="00DB5716">
      <w:pPr>
        <w:pStyle w:val="Normal1"/>
        <w:spacing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 xml:space="preserve">Acknowledgement </w:t>
      </w:r>
    </w:p>
    <w:p w14:paraId="3BE17454" w14:textId="77777777" w:rsidR="000D0697" w:rsidRDefault="000D0697">
      <w:pPr>
        <w:pStyle w:val="Normal1"/>
        <w:spacing w:line="360" w:lineRule="auto"/>
        <w:jc w:val="center"/>
        <w:rPr>
          <w:rFonts w:ascii="Arial" w:eastAsia="Arial" w:hAnsi="Arial" w:cs="Arial"/>
          <w:b/>
          <w:bCs/>
          <w:sz w:val="28"/>
          <w:szCs w:val="28"/>
        </w:rPr>
      </w:pPr>
    </w:p>
    <w:p w14:paraId="3BE17455" w14:textId="77777777" w:rsidR="000D0697" w:rsidRDefault="00DB5716">
      <w:pPr>
        <w:pStyle w:val="Normal1"/>
        <w:spacing w:line="360" w:lineRule="auto"/>
        <w:jc w:val="both"/>
        <w:rPr>
          <w:rFonts w:ascii="Arial" w:eastAsia="Arial" w:hAnsi="Arial" w:cs="Arial"/>
          <w:color w:val="000000"/>
          <w:sz w:val="24"/>
          <w:szCs w:val="24"/>
        </w:rPr>
      </w:pPr>
      <w:r>
        <w:rPr>
          <w:rFonts w:ascii="Arial" w:eastAsia="Arial" w:hAnsi="Arial" w:cs="Arial"/>
          <w:sz w:val="24"/>
          <w:szCs w:val="24"/>
        </w:rPr>
        <w:t xml:space="preserve">I would like to express my gratitude to my supervisor for continuous support, guidance and feedback that turned out to be insightful for me and helped me </w:t>
      </w:r>
      <w:r>
        <w:rPr>
          <w:rFonts w:ascii="Arial" w:eastAsia="Arial" w:hAnsi="Arial" w:cs="Arial"/>
          <w:color w:val="000000"/>
          <w:sz w:val="24"/>
          <w:szCs w:val="24"/>
        </w:rPr>
        <w:t>complete the dissertation within the desired timeframe. Through th</w:t>
      </w:r>
      <w:r>
        <w:rPr>
          <w:rFonts w:ascii="Arial" w:eastAsia="Arial" w:hAnsi="Arial" w:cs="Arial"/>
          <w:sz w:val="24"/>
          <w:szCs w:val="24"/>
        </w:rPr>
        <w:t>is</w:t>
      </w:r>
      <w:r>
        <w:rPr>
          <w:rFonts w:ascii="Arial" w:eastAsia="Arial" w:hAnsi="Arial" w:cs="Arial"/>
          <w:color w:val="000000"/>
          <w:sz w:val="24"/>
          <w:szCs w:val="24"/>
        </w:rPr>
        <w:t xml:space="preserve"> expertise and encouragement, I was able to efficiently develop this research. I am also grateful to my academic institution </w:t>
      </w:r>
      <w:r>
        <w:rPr>
          <w:rFonts w:ascii="Arial" w:eastAsia="Arial" w:hAnsi="Arial" w:cs="Arial"/>
          <w:sz w:val="24"/>
          <w:szCs w:val="24"/>
        </w:rPr>
        <w:t xml:space="preserve">that approved this research topic and </w:t>
      </w:r>
      <w:r>
        <w:rPr>
          <w:rFonts w:ascii="Arial" w:eastAsia="Arial" w:hAnsi="Arial" w:cs="Arial"/>
          <w:color w:val="000000"/>
          <w:sz w:val="24"/>
          <w:szCs w:val="24"/>
        </w:rPr>
        <w:t xml:space="preserve">provided </w:t>
      </w:r>
      <w:r>
        <w:rPr>
          <w:rFonts w:ascii="Arial" w:eastAsia="Arial" w:hAnsi="Arial" w:cs="Arial"/>
          <w:sz w:val="24"/>
          <w:szCs w:val="24"/>
        </w:rPr>
        <w:t>me with the</w:t>
      </w:r>
      <w:r>
        <w:rPr>
          <w:rFonts w:ascii="Arial" w:eastAsia="Arial" w:hAnsi="Arial" w:cs="Arial"/>
          <w:color w:val="000000"/>
          <w:sz w:val="24"/>
          <w:szCs w:val="24"/>
        </w:rPr>
        <w:t xml:space="preserve"> knowledge and resources to learn and develop this study. I am also thankful to all the authors whose published work developed the strong basis for the literature and analysis conducted in this study.</w:t>
      </w:r>
    </w:p>
    <w:p w14:paraId="3BE17456" w14:textId="77777777" w:rsidR="000D0697" w:rsidRDefault="00DB5716">
      <w:pPr>
        <w:pStyle w:val="Normal1"/>
        <w:spacing w:line="360" w:lineRule="auto"/>
        <w:jc w:val="both"/>
        <w:rPr>
          <w:rFonts w:ascii="Arial" w:eastAsia="Arial" w:hAnsi="Arial" w:cs="Arial"/>
          <w:b/>
          <w:bCs/>
          <w:color w:val="000000"/>
          <w:sz w:val="24"/>
          <w:szCs w:val="24"/>
        </w:rPr>
      </w:pPr>
      <w:r>
        <w:rPr>
          <w:rFonts w:ascii="Arial" w:eastAsia="Arial" w:hAnsi="Arial" w:cs="Arial"/>
          <w:color w:val="000000"/>
          <w:sz w:val="24"/>
          <w:szCs w:val="24"/>
        </w:rPr>
        <w:t xml:space="preserve">Finally, I would like to thank my family and friends for their continuous motivation, and support for me during this research. Their encouragement </w:t>
      </w:r>
      <w:r>
        <w:rPr>
          <w:rFonts w:ascii="Arial" w:eastAsia="Arial" w:hAnsi="Arial" w:cs="Arial"/>
          <w:sz w:val="24"/>
          <w:szCs w:val="24"/>
        </w:rPr>
        <w:t xml:space="preserve">has significantly </w:t>
      </w:r>
      <w:r>
        <w:rPr>
          <w:rFonts w:ascii="Arial" w:eastAsia="Arial" w:hAnsi="Arial" w:cs="Arial"/>
          <w:color w:val="000000"/>
          <w:sz w:val="24"/>
          <w:szCs w:val="24"/>
        </w:rPr>
        <w:t>supported me to effectively complete the research.</w:t>
      </w:r>
      <w:r>
        <w:br w:type="page"/>
      </w:r>
    </w:p>
    <w:p w14:paraId="3BE17457" w14:textId="77777777" w:rsidR="000D0697" w:rsidRDefault="00DB5716">
      <w:pPr>
        <w:pStyle w:val="Normal1"/>
        <w:pBdr>
          <w:top w:val="nil"/>
          <w:left w:val="nil"/>
          <w:bottom w:val="nil"/>
          <w:right w:val="nil"/>
          <w:between w:val="nil"/>
        </w:pBdr>
        <w:spacing w:before="120" w:after="120"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Abstract</w:t>
      </w:r>
    </w:p>
    <w:p w14:paraId="3BE17458" w14:textId="77777777" w:rsidR="000D0697" w:rsidRDefault="000D0697">
      <w:pPr>
        <w:pStyle w:val="Normal1"/>
        <w:pBdr>
          <w:top w:val="nil"/>
          <w:left w:val="nil"/>
          <w:bottom w:val="nil"/>
          <w:right w:val="nil"/>
          <w:between w:val="nil"/>
        </w:pBdr>
        <w:spacing w:before="120" w:after="120" w:line="360" w:lineRule="auto"/>
        <w:jc w:val="center"/>
        <w:rPr>
          <w:rFonts w:ascii="Arial" w:eastAsia="Arial" w:hAnsi="Arial" w:cs="Arial"/>
          <w:b/>
          <w:bCs/>
          <w:sz w:val="24"/>
          <w:szCs w:val="24"/>
        </w:rPr>
      </w:pPr>
    </w:p>
    <w:p w14:paraId="3BE17459"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color w:val="000000"/>
          <w:sz w:val="24"/>
          <w:szCs w:val="24"/>
        </w:rPr>
        <w:t>This study has focused on FCRM policies to a risk-based approach of HSBC</w:t>
      </w:r>
      <w:r>
        <w:rPr>
          <w:rFonts w:ascii="Arial" w:eastAsia="Arial" w:hAnsi="Arial" w:cs="Arial"/>
          <w:sz w:val="24"/>
          <w:szCs w:val="24"/>
        </w:rPr>
        <w:t>. The role of AI and ‘integrated systems’ has been assessed using secondary data in regards to the detection of suspicious activities across the global network. It has shown</w:t>
      </w:r>
      <w:r>
        <w:rPr>
          <w:rFonts w:ascii="Arial" w:eastAsia="Arial" w:hAnsi="Arial" w:cs="Arial"/>
          <w:color w:val="000000"/>
          <w:sz w:val="24"/>
          <w:szCs w:val="24"/>
        </w:rPr>
        <w:t xml:space="preserve"> how major progress </w:t>
      </w:r>
      <w:r>
        <w:rPr>
          <w:rFonts w:ascii="Arial" w:eastAsia="Arial" w:hAnsi="Arial" w:cs="Arial"/>
          <w:sz w:val="24"/>
          <w:szCs w:val="24"/>
        </w:rPr>
        <w:t>is</w:t>
      </w:r>
      <w:r>
        <w:rPr>
          <w:rFonts w:ascii="Arial" w:eastAsia="Arial" w:hAnsi="Arial" w:cs="Arial"/>
          <w:color w:val="000000"/>
          <w:sz w:val="24"/>
          <w:szCs w:val="24"/>
        </w:rPr>
        <w:t xml:space="preserve"> made in transform</w:t>
      </w:r>
      <w:r>
        <w:rPr>
          <w:rFonts w:ascii="Arial" w:eastAsia="Arial" w:hAnsi="Arial" w:cs="Arial"/>
          <w:sz w:val="24"/>
          <w:szCs w:val="24"/>
        </w:rPr>
        <w:t xml:space="preserve">ing </w:t>
      </w:r>
      <w:r>
        <w:rPr>
          <w:rFonts w:ascii="Arial" w:eastAsia="Arial" w:hAnsi="Arial" w:cs="Arial"/>
          <w:color w:val="000000"/>
          <w:sz w:val="24"/>
          <w:szCs w:val="24"/>
        </w:rPr>
        <w:t xml:space="preserve">AML and FCRM capabilities through risk-based alignments, advanced technological considerations, and intelligence-based decision-making. </w:t>
      </w:r>
      <w:r>
        <w:rPr>
          <w:rFonts w:ascii="Arial" w:eastAsia="Arial" w:hAnsi="Arial" w:cs="Arial"/>
          <w:sz w:val="24"/>
          <w:szCs w:val="24"/>
        </w:rPr>
        <w:t>This</w:t>
      </w:r>
      <w:r>
        <w:rPr>
          <w:rFonts w:ascii="Arial" w:eastAsia="Arial" w:hAnsi="Arial" w:cs="Arial"/>
          <w:color w:val="000000"/>
          <w:sz w:val="24"/>
          <w:szCs w:val="24"/>
        </w:rPr>
        <w:t xml:space="preserve"> is a </w:t>
      </w:r>
      <w:r>
        <w:rPr>
          <w:rFonts w:ascii="Arial" w:eastAsia="Arial" w:hAnsi="Arial" w:cs="Arial"/>
          <w:sz w:val="24"/>
          <w:szCs w:val="24"/>
        </w:rPr>
        <w:t xml:space="preserve">qualitative </w:t>
      </w:r>
      <w:r>
        <w:rPr>
          <w:rFonts w:ascii="Arial" w:eastAsia="Arial" w:hAnsi="Arial" w:cs="Arial"/>
          <w:color w:val="000000"/>
          <w:sz w:val="24"/>
          <w:szCs w:val="24"/>
        </w:rPr>
        <w:t xml:space="preserve">study that has relied on the use of </w:t>
      </w:r>
      <w:r>
        <w:rPr>
          <w:rFonts w:ascii="Arial" w:eastAsia="Arial" w:hAnsi="Arial" w:cs="Arial"/>
          <w:sz w:val="24"/>
          <w:szCs w:val="24"/>
        </w:rPr>
        <w:t xml:space="preserve">secondary data. As a means of data collection, </w:t>
      </w:r>
      <w:r>
        <w:rPr>
          <w:rFonts w:ascii="Arial" w:eastAsia="Arial" w:hAnsi="Arial" w:cs="Arial"/>
          <w:color w:val="000000"/>
          <w:sz w:val="24"/>
          <w:szCs w:val="24"/>
        </w:rPr>
        <w:t>key data were selected from credible academic, professional, and institutional platforms,</w:t>
      </w:r>
      <w:r>
        <w:rPr>
          <w:rFonts w:ascii="Arial" w:eastAsia="Arial" w:hAnsi="Arial" w:cs="Arial"/>
          <w:sz w:val="24"/>
          <w:szCs w:val="24"/>
        </w:rPr>
        <w:t xml:space="preserve"> especially</w:t>
      </w:r>
      <w:r>
        <w:rPr>
          <w:rFonts w:ascii="Arial" w:eastAsia="Arial" w:hAnsi="Arial" w:cs="Arial"/>
          <w:color w:val="000000"/>
          <w:sz w:val="24"/>
          <w:szCs w:val="24"/>
        </w:rPr>
        <w:t xml:space="preserve"> Google Scholar. </w:t>
      </w:r>
      <w:r>
        <w:rPr>
          <w:rFonts w:ascii="Arial" w:eastAsia="Arial" w:hAnsi="Arial" w:cs="Arial"/>
          <w:sz w:val="24"/>
          <w:szCs w:val="24"/>
        </w:rPr>
        <w:t>T</w:t>
      </w:r>
      <w:r>
        <w:rPr>
          <w:rFonts w:ascii="Arial" w:eastAsia="Arial" w:hAnsi="Arial" w:cs="Arial"/>
          <w:color w:val="000000"/>
          <w:sz w:val="24"/>
          <w:szCs w:val="24"/>
        </w:rPr>
        <w:t xml:space="preserve">he </w:t>
      </w:r>
      <w:r>
        <w:rPr>
          <w:rFonts w:ascii="Arial" w:eastAsia="Arial" w:hAnsi="Arial" w:cs="Arial"/>
          <w:sz w:val="24"/>
          <w:szCs w:val="24"/>
        </w:rPr>
        <w:t>use</w:t>
      </w:r>
      <w:r>
        <w:rPr>
          <w:rFonts w:ascii="Arial" w:eastAsia="Arial" w:hAnsi="Arial" w:cs="Arial"/>
          <w:color w:val="000000"/>
          <w:sz w:val="24"/>
          <w:szCs w:val="24"/>
        </w:rPr>
        <w:t xml:space="preserve"> of </w:t>
      </w:r>
      <w:r>
        <w:rPr>
          <w:rFonts w:ascii="Arial" w:eastAsia="Arial" w:hAnsi="Arial" w:cs="Arial"/>
          <w:sz w:val="24"/>
          <w:szCs w:val="24"/>
        </w:rPr>
        <w:t xml:space="preserve">thematic analysis method has helped in finding recurring patterns in data and accordingly interpreting existing data. </w:t>
      </w:r>
    </w:p>
    <w:p w14:paraId="2DAE9C65" w14:textId="77777777" w:rsidR="002640AD" w:rsidRDefault="00DB5716" w:rsidP="002640AD">
      <w:pPr>
        <w:pStyle w:val="Normal1"/>
        <w:pBdr>
          <w:top w:val="nil"/>
          <w:left w:val="nil"/>
          <w:bottom w:val="nil"/>
          <w:right w:val="nil"/>
          <w:between w:val="nil"/>
        </w:pBdr>
        <w:spacing w:before="120" w:after="120" w:line="360" w:lineRule="auto"/>
        <w:jc w:val="both"/>
      </w:pPr>
      <w:r>
        <w:rPr>
          <w:rFonts w:ascii="Arial" w:eastAsia="Arial" w:hAnsi="Arial" w:cs="Arial"/>
          <w:color w:val="000000"/>
          <w:sz w:val="24"/>
          <w:szCs w:val="24"/>
        </w:rPr>
        <w:t>Through a qualitative research analysis approach, it was identified that effective success is based on balancing innovation with governance, automation with human contribution and efficiency with consumer fairness.</w:t>
      </w:r>
      <w:r>
        <w:rPr>
          <w:rFonts w:ascii="Arial" w:eastAsia="Arial" w:hAnsi="Arial" w:cs="Arial"/>
          <w:sz w:val="24"/>
          <w:szCs w:val="24"/>
        </w:rPr>
        <w:t xml:space="preserve"> W</w:t>
      </w:r>
      <w:r>
        <w:rPr>
          <w:rFonts w:ascii="Arial" w:eastAsia="Arial" w:hAnsi="Arial" w:cs="Arial"/>
          <w:color w:val="000000"/>
          <w:sz w:val="24"/>
          <w:szCs w:val="24"/>
        </w:rPr>
        <w:t xml:space="preserve">ith the support of Risk-Based Regulation Theory and the Technology-Organisation-Environment framework, </w:t>
      </w:r>
      <w:r>
        <w:rPr>
          <w:rFonts w:ascii="Arial" w:eastAsia="Arial" w:hAnsi="Arial" w:cs="Arial"/>
          <w:sz w:val="24"/>
          <w:szCs w:val="24"/>
        </w:rPr>
        <w:t>the findings addressed existing</w:t>
      </w:r>
      <w:r>
        <w:rPr>
          <w:rFonts w:ascii="Arial" w:eastAsia="Arial" w:hAnsi="Arial" w:cs="Arial"/>
          <w:color w:val="000000"/>
          <w:sz w:val="24"/>
          <w:szCs w:val="24"/>
        </w:rPr>
        <w:t xml:space="preserve"> gaps in existing literature</w:t>
      </w:r>
      <w:r>
        <w:rPr>
          <w:rFonts w:ascii="Arial" w:eastAsia="Arial" w:hAnsi="Arial" w:cs="Arial"/>
          <w:sz w:val="24"/>
          <w:szCs w:val="24"/>
        </w:rPr>
        <w:t>. T</w:t>
      </w:r>
      <w:r>
        <w:rPr>
          <w:rFonts w:ascii="Arial" w:eastAsia="Arial" w:hAnsi="Arial" w:cs="Arial"/>
          <w:color w:val="000000"/>
          <w:sz w:val="24"/>
          <w:szCs w:val="24"/>
        </w:rPr>
        <w:t>hrough the focused analysis of HSBC’s current financial crime strategies</w:t>
      </w:r>
      <w:r>
        <w:rPr>
          <w:rFonts w:ascii="Arial" w:eastAsia="Arial" w:hAnsi="Arial" w:cs="Arial"/>
          <w:sz w:val="24"/>
          <w:szCs w:val="24"/>
        </w:rPr>
        <w:t xml:space="preserve">, ways in which </w:t>
      </w:r>
      <w:r>
        <w:rPr>
          <w:rFonts w:ascii="Arial" w:eastAsia="Arial" w:hAnsi="Arial" w:cs="Arial"/>
          <w:color w:val="000000"/>
          <w:sz w:val="24"/>
          <w:szCs w:val="24"/>
        </w:rPr>
        <w:t xml:space="preserve">technology, operational, and governance contexts can be related in the global banking context have been discussed. </w:t>
      </w:r>
      <w:r>
        <w:rPr>
          <w:rFonts w:ascii="Arial" w:eastAsia="Arial" w:hAnsi="Arial" w:cs="Arial"/>
          <w:sz w:val="24"/>
          <w:szCs w:val="24"/>
        </w:rPr>
        <w:t xml:space="preserve">Actionable </w:t>
      </w:r>
      <w:r>
        <w:rPr>
          <w:rFonts w:ascii="Arial" w:eastAsia="Arial" w:hAnsi="Arial" w:cs="Arial"/>
          <w:color w:val="000000"/>
          <w:sz w:val="24"/>
          <w:szCs w:val="24"/>
        </w:rPr>
        <w:t>recommendations showed the cruciality of analysing the implementation challenges and even technological performance. The findings, therefore, supported the understanding that operational efficiency and compliance effectiveness should not be considered as different priorities, as HSBC’s strategy shows that effective AML frameworks can also enhance regulatory outcomes while reducing operational issues and managing positive consumer experiences.</w:t>
      </w:r>
    </w:p>
    <w:p w14:paraId="4714F9C9" w14:textId="77777777" w:rsidR="002640AD" w:rsidRDefault="002640AD" w:rsidP="002640AD">
      <w:pPr>
        <w:pStyle w:val="Normal1"/>
        <w:pBdr>
          <w:top w:val="nil"/>
          <w:left w:val="nil"/>
          <w:bottom w:val="nil"/>
          <w:right w:val="nil"/>
          <w:between w:val="nil"/>
        </w:pBdr>
        <w:spacing w:before="120" w:after="120" w:line="360" w:lineRule="auto"/>
        <w:jc w:val="both"/>
      </w:pPr>
    </w:p>
    <w:p w14:paraId="3BE17468" w14:textId="71F4DFC5" w:rsidR="000D0697" w:rsidRPr="002640AD" w:rsidRDefault="002640AD" w:rsidP="002640AD">
      <w:pPr>
        <w:pStyle w:val="Normal1"/>
        <w:pBdr>
          <w:top w:val="nil"/>
          <w:left w:val="nil"/>
          <w:bottom w:val="nil"/>
          <w:right w:val="nil"/>
          <w:between w:val="nil"/>
        </w:pBdr>
        <w:spacing w:before="120" w:after="120" w:line="360" w:lineRule="auto"/>
        <w:jc w:val="both"/>
        <w:rPr>
          <w:rFonts w:ascii="Arial" w:eastAsia="Arial" w:hAnsi="Arial" w:cs="Arial"/>
          <w:b/>
          <w:bCs/>
          <w:color w:val="FF0000"/>
          <w:sz w:val="24"/>
          <w:szCs w:val="24"/>
        </w:rPr>
      </w:pPr>
      <w:r>
        <w:rPr>
          <w:rFonts w:ascii="Arial" w:eastAsia="Arial" w:hAnsi="Arial" w:cs="Arial"/>
          <w:b/>
          <w:bCs/>
          <w:color w:val="FF0000"/>
          <w:sz w:val="24"/>
          <w:szCs w:val="24"/>
        </w:rPr>
        <w:t>Keywords</w:t>
      </w:r>
      <w:r>
        <w:rPr>
          <w:rFonts w:ascii="Arial" w:eastAsia="Arial" w:hAnsi="Arial" w:cs="Arial"/>
          <w:b/>
          <w:bCs/>
          <w:color w:val="FF0000"/>
          <w:sz w:val="24"/>
          <w:szCs w:val="24"/>
        </w:rPr>
        <w:t xml:space="preserve">: </w:t>
      </w:r>
      <w:r>
        <w:rPr>
          <w:rFonts w:ascii="Arial" w:eastAsia="Arial" w:hAnsi="Arial" w:cs="Arial"/>
          <w:b/>
          <w:bCs/>
          <w:color w:val="FF0000"/>
          <w:sz w:val="24"/>
          <w:szCs w:val="24"/>
        </w:rPr>
        <w:t xml:space="preserve"> </w:t>
      </w:r>
      <w:r w:rsidRPr="002640AD">
        <w:rPr>
          <w:rFonts w:ascii="Arial" w:eastAsia="Arial" w:hAnsi="Arial" w:cs="Arial"/>
          <w:i/>
          <w:iCs/>
          <w:color w:val="FF0000"/>
          <w:sz w:val="24"/>
          <w:szCs w:val="24"/>
        </w:rPr>
        <w:t>Anti-Money Laundering</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Financial Crime Risk Management (FCRM)</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Risk-Based Approach</w:t>
      </w:r>
      <w:r w:rsidRPr="002640AD">
        <w:rPr>
          <w:rFonts w:ascii="Arial" w:eastAsia="Arial" w:hAnsi="Arial" w:cs="Arial"/>
          <w:i/>
          <w:iCs/>
          <w:color w:val="FF0000"/>
          <w:sz w:val="24"/>
          <w:szCs w:val="24"/>
        </w:rPr>
        <w:t>,</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Machine Learning</w:t>
      </w:r>
      <w:r w:rsidRPr="002640AD">
        <w:rPr>
          <w:rFonts w:ascii="Arial" w:eastAsia="Arial" w:hAnsi="Arial" w:cs="Arial"/>
          <w:i/>
          <w:iCs/>
          <w:color w:val="FF0000"/>
          <w:sz w:val="24"/>
          <w:szCs w:val="24"/>
        </w:rPr>
        <w:t>,</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Artificial intelligence</w:t>
      </w:r>
      <w:r w:rsidRPr="002640AD">
        <w:rPr>
          <w:rFonts w:ascii="Arial" w:eastAsia="Arial" w:hAnsi="Arial" w:cs="Arial"/>
          <w:i/>
          <w:iCs/>
          <w:color w:val="FF0000"/>
          <w:sz w:val="24"/>
          <w:szCs w:val="24"/>
        </w:rPr>
        <w:t>,</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Enterprise-Wide Systems</w:t>
      </w:r>
      <w:r w:rsidRPr="002640AD">
        <w:rPr>
          <w:rFonts w:ascii="Arial" w:eastAsia="Arial" w:hAnsi="Arial" w:cs="Arial"/>
          <w:i/>
          <w:iCs/>
          <w:color w:val="FF0000"/>
          <w:sz w:val="24"/>
          <w:szCs w:val="24"/>
        </w:rPr>
        <w:t>,</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Dynamic Risk Assessment</w:t>
      </w:r>
      <w:r w:rsidRPr="002640AD">
        <w:rPr>
          <w:rFonts w:ascii="Arial" w:eastAsia="Arial" w:hAnsi="Arial" w:cs="Arial"/>
          <w:i/>
          <w:iCs/>
          <w:color w:val="FF0000"/>
          <w:sz w:val="24"/>
          <w:szCs w:val="24"/>
        </w:rPr>
        <w:t xml:space="preserve">, </w:t>
      </w:r>
      <w:r w:rsidRPr="002640AD">
        <w:rPr>
          <w:rFonts w:ascii="Arial" w:eastAsia="Arial" w:hAnsi="Arial" w:cs="Arial"/>
          <w:i/>
          <w:iCs/>
          <w:color w:val="FF0000"/>
          <w:sz w:val="24"/>
          <w:szCs w:val="24"/>
        </w:rPr>
        <w:t>Operational efficiency</w:t>
      </w:r>
      <w:r w:rsidRPr="002640AD">
        <w:rPr>
          <w:rFonts w:ascii="Arial" w:eastAsia="Arial" w:hAnsi="Arial" w:cs="Arial"/>
          <w:i/>
          <w:iCs/>
          <w:color w:val="FF0000"/>
          <w:sz w:val="24"/>
          <w:szCs w:val="24"/>
        </w:rPr>
        <w:t xml:space="preserve"> </w:t>
      </w:r>
      <w:r w:rsidRPr="002640AD">
        <w:rPr>
          <w:rFonts w:ascii="Arial" w:eastAsia="Arial" w:hAnsi="Arial" w:cs="Arial"/>
          <w:i/>
          <w:iCs/>
          <w:color w:val="FF0000"/>
          <w:sz w:val="24"/>
          <w:szCs w:val="24"/>
        </w:rPr>
        <w:t>Compliance effectiveness</w:t>
      </w:r>
      <w:r w:rsidRPr="002640AD">
        <w:rPr>
          <w:rFonts w:ascii="Arial" w:eastAsia="Arial" w:hAnsi="Arial" w:cs="Arial"/>
          <w:i/>
          <w:iCs/>
          <w:color w:val="FF0000"/>
          <w:sz w:val="24"/>
          <w:szCs w:val="24"/>
        </w:rPr>
        <w:t>,</w:t>
      </w:r>
      <w:r w:rsidRPr="002640AD">
        <w:rPr>
          <w:rFonts w:ascii="Arial" w:eastAsia="Arial" w:hAnsi="Arial" w:cs="Arial"/>
          <w:b/>
          <w:bCs/>
          <w:i/>
          <w:iCs/>
          <w:color w:val="FF0000"/>
          <w:sz w:val="24"/>
          <w:szCs w:val="24"/>
        </w:rPr>
        <w:t xml:space="preserve"> </w:t>
      </w:r>
      <w:r w:rsidRPr="002640AD">
        <w:rPr>
          <w:rFonts w:ascii="Arial" w:eastAsia="Arial" w:hAnsi="Arial" w:cs="Arial"/>
          <w:i/>
          <w:iCs/>
          <w:color w:val="FF0000"/>
          <w:sz w:val="24"/>
          <w:szCs w:val="24"/>
        </w:rPr>
        <w:t>Customer experiences</w:t>
      </w:r>
      <w:r w:rsidRPr="002640AD">
        <w:rPr>
          <w:rFonts w:ascii="Arial" w:eastAsia="Arial" w:hAnsi="Arial" w:cs="Arial"/>
          <w:i/>
          <w:iCs/>
          <w:color w:val="FF0000"/>
          <w:sz w:val="24"/>
          <w:szCs w:val="24"/>
        </w:rPr>
        <w:t xml:space="preserve">, </w:t>
      </w:r>
      <w:r w:rsidRPr="002640AD">
        <w:rPr>
          <w:rFonts w:ascii="Arial" w:eastAsia="Arial" w:hAnsi="Arial" w:cs="Arial"/>
          <w:i/>
          <w:iCs/>
          <w:color w:val="FF0000"/>
          <w:sz w:val="24"/>
          <w:szCs w:val="24"/>
        </w:rPr>
        <w:t>Ethical data Governance</w:t>
      </w:r>
      <w:r w:rsidRPr="002640AD">
        <w:rPr>
          <w:rFonts w:ascii="Arial" w:eastAsia="Arial" w:hAnsi="Arial" w:cs="Arial"/>
          <w:i/>
          <w:iCs/>
          <w:color w:val="FF0000"/>
          <w:sz w:val="24"/>
          <w:szCs w:val="24"/>
        </w:rPr>
        <w:t xml:space="preserve">, </w:t>
      </w:r>
      <w:r w:rsidRPr="002640AD">
        <w:rPr>
          <w:rFonts w:ascii="Arial" w:eastAsia="Arial" w:hAnsi="Arial" w:cs="Arial"/>
          <w:i/>
          <w:iCs/>
          <w:color w:val="FF0000"/>
          <w:sz w:val="24"/>
          <w:szCs w:val="24"/>
        </w:rPr>
        <w:t>Technological Integration</w:t>
      </w:r>
      <w:r w:rsidR="00DB5716">
        <w:br w:type="page"/>
      </w:r>
    </w:p>
    <w:p w14:paraId="3BE17469" w14:textId="77777777" w:rsidR="000D0697" w:rsidRDefault="00DB5716">
      <w:pPr>
        <w:pStyle w:val="Normal1"/>
        <w:keepNext/>
        <w:keepLines/>
        <w:pBdr>
          <w:top w:val="nil"/>
          <w:left w:val="nil"/>
          <w:bottom w:val="nil"/>
          <w:right w:val="nil"/>
          <w:between w:val="nil"/>
        </w:pBdr>
        <w:spacing w:before="480" w:after="0"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Table of Contents</w:t>
      </w:r>
    </w:p>
    <w:p w14:paraId="3BE1746A" w14:textId="77777777" w:rsidR="000D0697" w:rsidRDefault="000D0697">
      <w:pPr>
        <w:pStyle w:val="Normal1"/>
        <w:keepNext/>
        <w:keepLines/>
        <w:pBdr>
          <w:top w:val="nil"/>
          <w:left w:val="nil"/>
          <w:bottom w:val="nil"/>
          <w:right w:val="nil"/>
          <w:between w:val="nil"/>
        </w:pBdr>
        <w:spacing w:before="480" w:after="0" w:line="360" w:lineRule="auto"/>
        <w:jc w:val="center"/>
        <w:rPr>
          <w:rFonts w:ascii="Arial" w:eastAsia="Arial" w:hAnsi="Arial" w:cs="Arial"/>
          <w:b/>
          <w:bCs/>
          <w:sz w:val="24"/>
          <w:szCs w:val="24"/>
        </w:rPr>
      </w:pPr>
    </w:p>
    <w:sdt>
      <w:sdtPr>
        <w:id w:val="-1050011266"/>
        <w:docPartObj>
          <w:docPartGallery w:val="Table of Contents"/>
          <w:docPartUnique/>
        </w:docPartObj>
      </w:sdtPr>
      <w:sdtEndPr>
        <w:rPr>
          <w:rFonts w:ascii="Arial" w:hAnsi="Arial" w:cs="Arial"/>
          <w:sz w:val="24"/>
          <w:szCs w:val="24"/>
        </w:rPr>
      </w:sdtEndPr>
      <w:sdtContent>
        <w:p w14:paraId="2AF255D8" w14:textId="3957AE21" w:rsidR="00F76A1F" w:rsidRPr="005C5FB6" w:rsidRDefault="000D0697"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r w:rsidRPr="005C5FB6">
            <w:rPr>
              <w:rFonts w:ascii="Arial" w:hAnsi="Arial" w:cs="Arial"/>
              <w:sz w:val="24"/>
              <w:szCs w:val="24"/>
            </w:rPr>
            <w:fldChar w:fldCharType="begin"/>
          </w:r>
          <w:r w:rsidR="00DB5716" w:rsidRPr="005C5FB6">
            <w:rPr>
              <w:rFonts w:ascii="Arial" w:hAnsi="Arial" w:cs="Arial"/>
              <w:sz w:val="24"/>
              <w:szCs w:val="24"/>
            </w:rPr>
            <w:instrText xml:space="preserve"> TOC \h \u \z \t "Heading 1,1,Heading 2,2,Heading 3,3,"</w:instrText>
          </w:r>
          <w:r w:rsidRPr="005C5FB6">
            <w:rPr>
              <w:rFonts w:ascii="Arial" w:hAnsi="Arial" w:cs="Arial"/>
              <w:sz w:val="24"/>
              <w:szCs w:val="24"/>
            </w:rPr>
            <w:fldChar w:fldCharType="separate"/>
          </w:r>
          <w:hyperlink w:anchor="_Toc240985299" w:history="1">
            <w:r w:rsidR="00F76A1F" w:rsidRPr="005C5FB6">
              <w:rPr>
                <w:rStyle w:val="Hyperlink"/>
                <w:rFonts w:ascii="Arial" w:hAnsi="Arial" w:cs="Arial"/>
                <w:noProof/>
                <w:sz w:val="24"/>
                <w:szCs w:val="24"/>
              </w:rPr>
              <w:t>Chapter 1: Introduction</w:t>
            </w:r>
            <w:r w:rsidR="00F76A1F" w:rsidRPr="005C5FB6">
              <w:rPr>
                <w:rFonts w:ascii="Arial" w:hAnsi="Arial" w:cs="Arial"/>
                <w:noProof/>
                <w:webHidden/>
                <w:sz w:val="24"/>
                <w:szCs w:val="24"/>
              </w:rPr>
              <w:tab/>
            </w:r>
            <w:r w:rsidR="00F76A1F" w:rsidRPr="005C5FB6">
              <w:rPr>
                <w:rFonts w:ascii="Arial" w:hAnsi="Arial" w:cs="Arial"/>
                <w:noProof/>
                <w:webHidden/>
                <w:sz w:val="24"/>
                <w:szCs w:val="24"/>
              </w:rPr>
              <w:fldChar w:fldCharType="begin"/>
            </w:r>
            <w:r w:rsidR="00F76A1F" w:rsidRPr="005C5FB6">
              <w:rPr>
                <w:rFonts w:ascii="Arial" w:hAnsi="Arial" w:cs="Arial"/>
                <w:noProof/>
                <w:webHidden/>
                <w:sz w:val="24"/>
                <w:szCs w:val="24"/>
              </w:rPr>
              <w:instrText xml:space="preserve"> PAGEREF _Toc240985299 \h </w:instrText>
            </w:r>
            <w:r w:rsidR="00F76A1F" w:rsidRPr="005C5FB6">
              <w:rPr>
                <w:rFonts w:ascii="Arial" w:hAnsi="Arial" w:cs="Arial"/>
                <w:noProof/>
                <w:webHidden/>
                <w:sz w:val="24"/>
                <w:szCs w:val="24"/>
              </w:rPr>
            </w:r>
            <w:r w:rsidR="00F76A1F" w:rsidRPr="005C5FB6">
              <w:rPr>
                <w:rFonts w:ascii="Arial" w:hAnsi="Arial" w:cs="Arial"/>
                <w:noProof/>
                <w:webHidden/>
                <w:sz w:val="24"/>
                <w:szCs w:val="24"/>
              </w:rPr>
              <w:fldChar w:fldCharType="separate"/>
            </w:r>
            <w:r w:rsidR="00F76A1F" w:rsidRPr="005C5FB6">
              <w:rPr>
                <w:rFonts w:ascii="Arial" w:hAnsi="Arial" w:cs="Arial"/>
                <w:noProof/>
                <w:webHidden/>
                <w:sz w:val="24"/>
                <w:szCs w:val="24"/>
              </w:rPr>
              <w:t>10</w:t>
            </w:r>
            <w:r w:rsidR="00F76A1F" w:rsidRPr="005C5FB6">
              <w:rPr>
                <w:rFonts w:ascii="Arial" w:hAnsi="Arial" w:cs="Arial"/>
                <w:noProof/>
                <w:webHidden/>
                <w:sz w:val="24"/>
                <w:szCs w:val="24"/>
              </w:rPr>
              <w:fldChar w:fldCharType="end"/>
            </w:r>
          </w:hyperlink>
        </w:p>
        <w:p w14:paraId="2DD40155" w14:textId="24755D55"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0" w:history="1">
            <w:r w:rsidRPr="005C5FB6">
              <w:rPr>
                <w:rStyle w:val="Hyperlink"/>
                <w:rFonts w:ascii="Arial" w:hAnsi="Arial" w:cs="Arial"/>
                <w:noProof/>
                <w:sz w:val="24"/>
                <w:szCs w:val="24"/>
              </w:rPr>
              <w:t>1.1 Background to the study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10</w:t>
            </w:r>
            <w:r w:rsidRPr="005C5FB6">
              <w:rPr>
                <w:rFonts w:ascii="Arial" w:hAnsi="Arial" w:cs="Arial"/>
                <w:noProof/>
                <w:webHidden/>
                <w:sz w:val="24"/>
                <w:szCs w:val="24"/>
              </w:rPr>
              <w:fldChar w:fldCharType="end"/>
            </w:r>
          </w:hyperlink>
        </w:p>
        <w:p w14:paraId="3943E6C2" w14:textId="661A0373"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1" w:history="1">
            <w:r w:rsidRPr="005C5FB6">
              <w:rPr>
                <w:rStyle w:val="Hyperlink"/>
                <w:rFonts w:ascii="Arial" w:hAnsi="Arial" w:cs="Arial"/>
                <w:noProof/>
                <w:sz w:val="24"/>
                <w:szCs w:val="24"/>
              </w:rPr>
              <w:t>1.2 Research rationale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11</w:t>
            </w:r>
            <w:r w:rsidRPr="005C5FB6">
              <w:rPr>
                <w:rFonts w:ascii="Arial" w:hAnsi="Arial" w:cs="Arial"/>
                <w:noProof/>
                <w:webHidden/>
                <w:sz w:val="24"/>
                <w:szCs w:val="24"/>
              </w:rPr>
              <w:fldChar w:fldCharType="end"/>
            </w:r>
          </w:hyperlink>
        </w:p>
        <w:p w14:paraId="7CF861E3" w14:textId="08ED2E66"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2" w:history="1">
            <w:r w:rsidRPr="005C5FB6">
              <w:rPr>
                <w:rStyle w:val="Hyperlink"/>
                <w:rFonts w:ascii="Arial" w:hAnsi="Arial" w:cs="Arial"/>
                <w:noProof/>
                <w:sz w:val="24"/>
                <w:szCs w:val="24"/>
              </w:rPr>
              <w:t>1.3 Research Problem</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11</w:t>
            </w:r>
            <w:r w:rsidRPr="005C5FB6">
              <w:rPr>
                <w:rFonts w:ascii="Arial" w:hAnsi="Arial" w:cs="Arial"/>
                <w:noProof/>
                <w:webHidden/>
                <w:sz w:val="24"/>
                <w:szCs w:val="24"/>
              </w:rPr>
              <w:fldChar w:fldCharType="end"/>
            </w:r>
          </w:hyperlink>
        </w:p>
        <w:p w14:paraId="5FD03142" w14:textId="0D893E90"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3" w:history="1">
            <w:r w:rsidRPr="005C5FB6">
              <w:rPr>
                <w:rStyle w:val="Hyperlink"/>
                <w:rFonts w:ascii="Arial" w:hAnsi="Arial" w:cs="Arial"/>
                <w:noProof/>
                <w:sz w:val="24"/>
                <w:szCs w:val="24"/>
              </w:rPr>
              <w:t>1.4 Research Aim and Objectives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12</w:t>
            </w:r>
            <w:r w:rsidRPr="005C5FB6">
              <w:rPr>
                <w:rFonts w:ascii="Arial" w:hAnsi="Arial" w:cs="Arial"/>
                <w:noProof/>
                <w:webHidden/>
                <w:sz w:val="24"/>
                <w:szCs w:val="24"/>
              </w:rPr>
              <w:fldChar w:fldCharType="end"/>
            </w:r>
          </w:hyperlink>
        </w:p>
        <w:p w14:paraId="50FE8B1D" w14:textId="4099E81C"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4" w:history="1">
            <w:r w:rsidRPr="005C5FB6">
              <w:rPr>
                <w:rStyle w:val="Hyperlink"/>
                <w:rFonts w:ascii="Arial" w:hAnsi="Arial" w:cs="Arial"/>
                <w:noProof/>
                <w:sz w:val="24"/>
                <w:szCs w:val="24"/>
              </w:rPr>
              <w:t>1.5 Research Questions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12</w:t>
            </w:r>
            <w:r w:rsidRPr="005C5FB6">
              <w:rPr>
                <w:rFonts w:ascii="Arial" w:hAnsi="Arial" w:cs="Arial"/>
                <w:noProof/>
                <w:webHidden/>
                <w:sz w:val="24"/>
                <w:szCs w:val="24"/>
              </w:rPr>
              <w:fldChar w:fldCharType="end"/>
            </w:r>
          </w:hyperlink>
        </w:p>
        <w:p w14:paraId="502BC514" w14:textId="68F7CAD4"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5" w:history="1">
            <w:r w:rsidRPr="005C5FB6">
              <w:rPr>
                <w:rStyle w:val="Hyperlink"/>
                <w:rFonts w:ascii="Arial" w:hAnsi="Arial" w:cs="Arial"/>
                <w:noProof/>
                <w:sz w:val="24"/>
                <w:szCs w:val="24"/>
              </w:rPr>
              <w:t>1.6 Significance of the research</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13</w:t>
            </w:r>
            <w:r w:rsidRPr="005C5FB6">
              <w:rPr>
                <w:rFonts w:ascii="Arial" w:hAnsi="Arial" w:cs="Arial"/>
                <w:noProof/>
                <w:webHidden/>
                <w:sz w:val="24"/>
                <w:szCs w:val="24"/>
              </w:rPr>
              <w:fldChar w:fldCharType="end"/>
            </w:r>
          </w:hyperlink>
        </w:p>
        <w:p w14:paraId="3A347F89" w14:textId="2E9CF42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6" w:history="1">
            <w:r w:rsidRPr="005C5FB6">
              <w:rPr>
                <w:rStyle w:val="Hyperlink"/>
                <w:rFonts w:ascii="Arial" w:hAnsi="Arial" w:cs="Arial"/>
                <w:noProof/>
                <w:sz w:val="24"/>
                <w:szCs w:val="24"/>
              </w:rPr>
              <w:t>1.7 Theoretical foundation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13</w:t>
            </w:r>
            <w:r w:rsidRPr="005C5FB6">
              <w:rPr>
                <w:rFonts w:ascii="Arial" w:hAnsi="Arial" w:cs="Arial"/>
                <w:noProof/>
                <w:webHidden/>
                <w:sz w:val="24"/>
                <w:szCs w:val="24"/>
              </w:rPr>
              <w:fldChar w:fldCharType="end"/>
            </w:r>
          </w:hyperlink>
        </w:p>
        <w:p w14:paraId="0B0D7A7F" w14:textId="41BC61AF"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7" w:history="1">
            <w:r w:rsidRPr="005C5FB6">
              <w:rPr>
                <w:rStyle w:val="Hyperlink"/>
                <w:rFonts w:ascii="Arial" w:hAnsi="Arial" w:cs="Arial"/>
                <w:noProof/>
                <w:sz w:val="24"/>
                <w:szCs w:val="24"/>
              </w:rPr>
              <w:t>1.8 Methodology overview</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14</w:t>
            </w:r>
            <w:r w:rsidRPr="005C5FB6">
              <w:rPr>
                <w:rFonts w:ascii="Arial" w:hAnsi="Arial" w:cs="Arial"/>
                <w:noProof/>
                <w:webHidden/>
                <w:sz w:val="24"/>
                <w:szCs w:val="24"/>
              </w:rPr>
              <w:fldChar w:fldCharType="end"/>
            </w:r>
          </w:hyperlink>
        </w:p>
        <w:p w14:paraId="1F2117CE" w14:textId="55E7B5B2"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8" w:history="1">
            <w:r w:rsidRPr="005C5FB6">
              <w:rPr>
                <w:rStyle w:val="Hyperlink"/>
                <w:rFonts w:ascii="Arial" w:hAnsi="Arial" w:cs="Arial"/>
                <w:noProof/>
                <w:sz w:val="24"/>
                <w:szCs w:val="24"/>
              </w:rPr>
              <w:t>1.9 Main findings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14</w:t>
            </w:r>
            <w:r w:rsidRPr="005C5FB6">
              <w:rPr>
                <w:rFonts w:ascii="Arial" w:hAnsi="Arial" w:cs="Arial"/>
                <w:noProof/>
                <w:webHidden/>
                <w:sz w:val="24"/>
                <w:szCs w:val="24"/>
              </w:rPr>
              <w:fldChar w:fldCharType="end"/>
            </w:r>
          </w:hyperlink>
        </w:p>
        <w:p w14:paraId="539B001E" w14:textId="64B4741F"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09" w:history="1">
            <w:r w:rsidRPr="005C5FB6">
              <w:rPr>
                <w:rStyle w:val="Hyperlink"/>
                <w:rFonts w:ascii="Arial" w:hAnsi="Arial" w:cs="Arial"/>
                <w:noProof/>
                <w:sz w:val="24"/>
                <w:szCs w:val="24"/>
              </w:rPr>
              <w:t>1.10 Research Structure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_Toc240985309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15</w:t>
            </w:r>
            <w:r w:rsidRPr="005C5FB6">
              <w:rPr>
                <w:rFonts w:ascii="Arial" w:hAnsi="Arial" w:cs="Arial"/>
                <w:noProof/>
                <w:webHidden/>
                <w:sz w:val="24"/>
                <w:szCs w:val="24"/>
              </w:rPr>
              <w:fldChar w:fldCharType="end"/>
            </w:r>
          </w:hyperlink>
        </w:p>
        <w:p w14:paraId="7C606745" w14:textId="61622510"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0" w:history="1">
            <w:r w:rsidRPr="005C5FB6">
              <w:rPr>
                <w:rStyle w:val="Hyperlink"/>
                <w:rFonts w:ascii="Arial" w:hAnsi="Arial" w:cs="Arial"/>
                <w:noProof/>
                <w:sz w:val="24"/>
                <w:szCs w:val="24"/>
              </w:rPr>
              <w:t>1.11 Summary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15</w:t>
            </w:r>
            <w:r w:rsidRPr="005C5FB6">
              <w:rPr>
                <w:rFonts w:ascii="Arial" w:hAnsi="Arial" w:cs="Arial"/>
                <w:noProof/>
                <w:webHidden/>
                <w:sz w:val="24"/>
                <w:szCs w:val="24"/>
              </w:rPr>
              <w:fldChar w:fldCharType="end"/>
            </w:r>
          </w:hyperlink>
        </w:p>
        <w:p w14:paraId="1966C33F" w14:textId="3C1BA94D"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11" w:history="1">
            <w:r w:rsidRPr="005C5FB6">
              <w:rPr>
                <w:rStyle w:val="Hyperlink"/>
                <w:rFonts w:ascii="Arial" w:hAnsi="Arial" w:cs="Arial"/>
                <w:noProof/>
                <w:sz w:val="24"/>
                <w:szCs w:val="24"/>
              </w:rPr>
              <w:t>Chapter 2: Literature review</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16</w:t>
            </w:r>
            <w:r w:rsidRPr="005C5FB6">
              <w:rPr>
                <w:rFonts w:ascii="Arial" w:hAnsi="Arial" w:cs="Arial"/>
                <w:noProof/>
                <w:webHidden/>
                <w:sz w:val="24"/>
                <w:szCs w:val="24"/>
              </w:rPr>
              <w:fldChar w:fldCharType="end"/>
            </w:r>
          </w:hyperlink>
        </w:p>
        <w:p w14:paraId="165D010F" w14:textId="47675787"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2" w:history="1">
            <w:r w:rsidRPr="005C5FB6">
              <w:rPr>
                <w:rStyle w:val="Hyperlink"/>
                <w:rFonts w:ascii="Arial" w:hAnsi="Arial" w:cs="Arial"/>
                <w:noProof/>
                <w:sz w:val="24"/>
                <w:szCs w:val="24"/>
              </w:rPr>
              <w:t>2.1 Introduction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16</w:t>
            </w:r>
            <w:r w:rsidRPr="005C5FB6">
              <w:rPr>
                <w:rFonts w:ascii="Arial" w:hAnsi="Arial" w:cs="Arial"/>
                <w:noProof/>
                <w:webHidden/>
                <w:sz w:val="24"/>
                <w:szCs w:val="24"/>
              </w:rPr>
              <w:fldChar w:fldCharType="end"/>
            </w:r>
          </w:hyperlink>
        </w:p>
        <w:p w14:paraId="08FE66A2" w14:textId="213EDD2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3" w:history="1">
            <w:r w:rsidRPr="005C5FB6">
              <w:rPr>
                <w:rStyle w:val="Hyperlink"/>
                <w:rFonts w:ascii="Arial" w:hAnsi="Arial" w:cs="Arial"/>
                <w:noProof/>
                <w:sz w:val="24"/>
                <w:szCs w:val="24"/>
              </w:rPr>
              <w:t>2.2 Risk-based transformation of financial crime risk management: An analysis of HSBC’s shift towards FCRM</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16</w:t>
            </w:r>
            <w:r w:rsidRPr="005C5FB6">
              <w:rPr>
                <w:rFonts w:ascii="Arial" w:hAnsi="Arial" w:cs="Arial"/>
                <w:noProof/>
                <w:webHidden/>
                <w:sz w:val="24"/>
                <w:szCs w:val="24"/>
              </w:rPr>
              <w:fldChar w:fldCharType="end"/>
            </w:r>
          </w:hyperlink>
        </w:p>
        <w:p w14:paraId="22B40196" w14:textId="22F851A7"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4" w:history="1">
            <w:r w:rsidRPr="005C5FB6">
              <w:rPr>
                <w:rStyle w:val="Hyperlink"/>
                <w:rFonts w:ascii="Arial" w:hAnsi="Arial" w:cs="Arial"/>
                <w:noProof/>
                <w:sz w:val="24"/>
                <w:szCs w:val="24"/>
              </w:rPr>
              <w:t>2.3 Artificial Intelligence, advanced analytics and integrated monitoring systems: Evaluation in relation to financial crime detection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19</w:t>
            </w:r>
            <w:r w:rsidRPr="005C5FB6">
              <w:rPr>
                <w:rFonts w:ascii="Arial" w:hAnsi="Arial" w:cs="Arial"/>
                <w:noProof/>
                <w:webHidden/>
                <w:sz w:val="24"/>
                <w:szCs w:val="24"/>
              </w:rPr>
              <w:fldChar w:fldCharType="end"/>
            </w:r>
          </w:hyperlink>
        </w:p>
        <w:p w14:paraId="6EAD9BD3" w14:textId="4B387051"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5" w:history="1">
            <w:r w:rsidRPr="005C5FB6">
              <w:rPr>
                <w:rStyle w:val="Hyperlink"/>
                <w:rFonts w:ascii="Arial" w:hAnsi="Arial" w:cs="Arial"/>
                <w:noProof/>
                <w:sz w:val="24"/>
                <w:szCs w:val="24"/>
              </w:rPr>
              <w:t>2.4 Compliance effectiveness, customer experiences and operational efficiency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23</w:t>
            </w:r>
            <w:r w:rsidRPr="005C5FB6">
              <w:rPr>
                <w:rFonts w:ascii="Arial" w:hAnsi="Arial" w:cs="Arial"/>
                <w:noProof/>
                <w:webHidden/>
                <w:sz w:val="24"/>
                <w:szCs w:val="24"/>
              </w:rPr>
              <w:fldChar w:fldCharType="end"/>
            </w:r>
          </w:hyperlink>
        </w:p>
        <w:p w14:paraId="153FE0AC" w14:textId="74008CA1"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6" w:history="1">
            <w:r w:rsidRPr="005C5FB6">
              <w:rPr>
                <w:rStyle w:val="Hyperlink"/>
                <w:rFonts w:ascii="Arial" w:hAnsi="Arial" w:cs="Arial"/>
                <w:noProof/>
                <w:sz w:val="24"/>
                <w:szCs w:val="24"/>
              </w:rPr>
              <w:t>2.5 Advanced technologies, ethical data governance and the future direction of AML systems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27</w:t>
            </w:r>
            <w:r w:rsidRPr="005C5FB6">
              <w:rPr>
                <w:rFonts w:ascii="Arial" w:hAnsi="Arial" w:cs="Arial"/>
                <w:noProof/>
                <w:webHidden/>
                <w:sz w:val="24"/>
                <w:szCs w:val="24"/>
              </w:rPr>
              <w:fldChar w:fldCharType="end"/>
            </w:r>
          </w:hyperlink>
        </w:p>
        <w:p w14:paraId="4E9AD311" w14:textId="68B2751E"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7" w:history="1">
            <w:r w:rsidRPr="005C5FB6">
              <w:rPr>
                <w:rStyle w:val="Hyperlink"/>
                <w:rFonts w:ascii="Arial" w:hAnsi="Arial" w:cs="Arial"/>
                <w:noProof/>
                <w:sz w:val="24"/>
                <w:szCs w:val="24"/>
              </w:rPr>
              <w:t>2.6 Theoretical framework</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29</w:t>
            </w:r>
            <w:r w:rsidRPr="005C5FB6">
              <w:rPr>
                <w:rFonts w:ascii="Arial" w:hAnsi="Arial" w:cs="Arial"/>
                <w:noProof/>
                <w:webHidden/>
                <w:sz w:val="24"/>
                <w:szCs w:val="24"/>
              </w:rPr>
              <w:fldChar w:fldCharType="end"/>
            </w:r>
          </w:hyperlink>
        </w:p>
        <w:p w14:paraId="24A00FF0" w14:textId="4507822F"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8" w:history="1">
            <w:r w:rsidRPr="005C5FB6">
              <w:rPr>
                <w:rStyle w:val="Hyperlink"/>
                <w:rFonts w:ascii="Arial" w:hAnsi="Arial" w:cs="Arial"/>
                <w:noProof/>
                <w:sz w:val="24"/>
                <w:szCs w:val="24"/>
              </w:rPr>
              <w:t>2.7 Literature gap</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31</w:t>
            </w:r>
            <w:r w:rsidRPr="005C5FB6">
              <w:rPr>
                <w:rFonts w:ascii="Arial" w:hAnsi="Arial" w:cs="Arial"/>
                <w:noProof/>
                <w:webHidden/>
                <w:sz w:val="24"/>
                <w:szCs w:val="24"/>
              </w:rPr>
              <w:fldChar w:fldCharType="end"/>
            </w:r>
          </w:hyperlink>
        </w:p>
        <w:p w14:paraId="2B903F15" w14:textId="1FBF3897"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19" w:history="1">
            <w:r w:rsidRPr="005C5FB6">
              <w:rPr>
                <w:rStyle w:val="Hyperlink"/>
                <w:rFonts w:ascii="Arial" w:hAnsi="Arial" w:cs="Arial"/>
                <w:noProof/>
                <w:sz w:val="24"/>
                <w:szCs w:val="24"/>
              </w:rPr>
              <w:t>2.9 Summary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_Toc240985319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32</w:t>
            </w:r>
            <w:r w:rsidRPr="005C5FB6">
              <w:rPr>
                <w:rFonts w:ascii="Arial" w:hAnsi="Arial" w:cs="Arial"/>
                <w:noProof/>
                <w:webHidden/>
                <w:sz w:val="24"/>
                <w:szCs w:val="24"/>
              </w:rPr>
              <w:fldChar w:fldCharType="end"/>
            </w:r>
          </w:hyperlink>
        </w:p>
        <w:p w14:paraId="57D0DAC0" w14:textId="180A1D3C"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20" w:history="1">
            <w:r w:rsidRPr="005C5FB6">
              <w:rPr>
                <w:rStyle w:val="Hyperlink"/>
                <w:rFonts w:ascii="Arial" w:hAnsi="Arial" w:cs="Arial"/>
                <w:noProof/>
                <w:sz w:val="24"/>
                <w:szCs w:val="24"/>
              </w:rPr>
              <w:t>Chapter 3: Methodology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33</w:t>
            </w:r>
            <w:r w:rsidRPr="005C5FB6">
              <w:rPr>
                <w:rFonts w:ascii="Arial" w:hAnsi="Arial" w:cs="Arial"/>
                <w:noProof/>
                <w:webHidden/>
                <w:sz w:val="24"/>
                <w:szCs w:val="24"/>
              </w:rPr>
              <w:fldChar w:fldCharType="end"/>
            </w:r>
          </w:hyperlink>
        </w:p>
        <w:p w14:paraId="0264D497" w14:textId="24284626"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1" w:history="1">
            <w:r w:rsidRPr="005C5FB6">
              <w:rPr>
                <w:rStyle w:val="Hyperlink"/>
                <w:rFonts w:ascii="Arial" w:hAnsi="Arial" w:cs="Arial"/>
                <w:noProof/>
                <w:sz w:val="24"/>
                <w:szCs w:val="24"/>
              </w:rPr>
              <w:t>3.1 Introduction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33</w:t>
            </w:r>
            <w:r w:rsidRPr="005C5FB6">
              <w:rPr>
                <w:rFonts w:ascii="Arial" w:hAnsi="Arial" w:cs="Arial"/>
                <w:noProof/>
                <w:webHidden/>
                <w:sz w:val="24"/>
                <w:szCs w:val="24"/>
              </w:rPr>
              <w:fldChar w:fldCharType="end"/>
            </w:r>
          </w:hyperlink>
        </w:p>
        <w:p w14:paraId="713C5A5A" w14:textId="0616D710"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2" w:history="1">
            <w:r w:rsidRPr="005C5FB6">
              <w:rPr>
                <w:rStyle w:val="Hyperlink"/>
                <w:rFonts w:ascii="Arial" w:hAnsi="Arial" w:cs="Arial"/>
                <w:noProof/>
                <w:sz w:val="24"/>
                <w:szCs w:val="24"/>
              </w:rPr>
              <w:t>3.2 Research onion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33</w:t>
            </w:r>
            <w:r w:rsidRPr="005C5FB6">
              <w:rPr>
                <w:rFonts w:ascii="Arial" w:hAnsi="Arial" w:cs="Arial"/>
                <w:noProof/>
                <w:webHidden/>
                <w:sz w:val="24"/>
                <w:szCs w:val="24"/>
              </w:rPr>
              <w:fldChar w:fldCharType="end"/>
            </w:r>
          </w:hyperlink>
        </w:p>
        <w:p w14:paraId="33632310" w14:textId="3C2D1E75"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3" w:history="1">
            <w:r w:rsidRPr="005C5FB6">
              <w:rPr>
                <w:rStyle w:val="Hyperlink"/>
                <w:rFonts w:ascii="Arial" w:hAnsi="Arial" w:cs="Arial"/>
                <w:noProof/>
                <w:sz w:val="24"/>
                <w:szCs w:val="24"/>
              </w:rPr>
              <w:t>3.3 Research philosophy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34</w:t>
            </w:r>
            <w:r w:rsidRPr="005C5FB6">
              <w:rPr>
                <w:rFonts w:ascii="Arial" w:hAnsi="Arial" w:cs="Arial"/>
                <w:noProof/>
                <w:webHidden/>
                <w:sz w:val="24"/>
                <w:szCs w:val="24"/>
              </w:rPr>
              <w:fldChar w:fldCharType="end"/>
            </w:r>
          </w:hyperlink>
        </w:p>
        <w:p w14:paraId="7D44EAA9" w14:textId="69DD3725"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4" w:history="1">
            <w:r w:rsidRPr="005C5FB6">
              <w:rPr>
                <w:rStyle w:val="Hyperlink"/>
                <w:rFonts w:ascii="Arial" w:hAnsi="Arial" w:cs="Arial"/>
                <w:noProof/>
                <w:sz w:val="24"/>
                <w:szCs w:val="24"/>
              </w:rPr>
              <w:t>3.4 Research methodology and approach</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34</w:t>
            </w:r>
            <w:r w:rsidRPr="005C5FB6">
              <w:rPr>
                <w:rFonts w:ascii="Arial" w:hAnsi="Arial" w:cs="Arial"/>
                <w:noProof/>
                <w:webHidden/>
                <w:sz w:val="24"/>
                <w:szCs w:val="24"/>
              </w:rPr>
              <w:fldChar w:fldCharType="end"/>
            </w:r>
          </w:hyperlink>
        </w:p>
        <w:p w14:paraId="57EB4B08" w14:textId="28AA3251"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5" w:history="1">
            <w:r w:rsidRPr="005C5FB6">
              <w:rPr>
                <w:rStyle w:val="Hyperlink"/>
                <w:rFonts w:ascii="Arial" w:hAnsi="Arial" w:cs="Arial"/>
                <w:noProof/>
                <w:sz w:val="24"/>
                <w:szCs w:val="24"/>
              </w:rPr>
              <w:t>3.5 Research strategy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35</w:t>
            </w:r>
            <w:r w:rsidRPr="005C5FB6">
              <w:rPr>
                <w:rFonts w:ascii="Arial" w:hAnsi="Arial" w:cs="Arial"/>
                <w:noProof/>
                <w:webHidden/>
                <w:sz w:val="24"/>
                <w:szCs w:val="24"/>
              </w:rPr>
              <w:fldChar w:fldCharType="end"/>
            </w:r>
          </w:hyperlink>
        </w:p>
        <w:p w14:paraId="78AA52A3" w14:textId="086CEE19"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6" w:history="1">
            <w:r w:rsidRPr="005C5FB6">
              <w:rPr>
                <w:rStyle w:val="Hyperlink"/>
                <w:rFonts w:ascii="Arial" w:hAnsi="Arial" w:cs="Arial"/>
                <w:noProof/>
                <w:sz w:val="24"/>
                <w:szCs w:val="24"/>
              </w:rPr>
              <w:t>3.6 Data collection and sampling method</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35</w:t>
            </w:r>
            <w:r w:rsidRPr="005C5FB6">
              <w:rPr>
                <w:rFonts w:ascii="Arial" w:hAnsi="Arial" w:cs="Arial"/>
                <w:noProof/>
                <w:webHidden/>
                <w:sz w:val="24"/>
                <w:szCs w:val="24"/>
              </w:rPr>
              <w:fldChar w:fldCharType="end"/>
            </w:r>
          </w:hyperlink>
        </w:p>
        <w:p w14:paraId="39312429" w14:textId="7D38DCA0"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7" w:history="1">
            <w:r w:rsidRPr="005C5FB6">
              <w:rPr>
                <w:rStyle w:val="Hyperlink"/>
                <w:rFonts w:ascii="Arial" w:hAnsi="Arial" w:cs="Arial"/>
                <w:noProof/>
                <w:sz w:val="24"/>
                <w:szCs w:val="24"/>
              </w:rPr>
              <w:t>3.7 Data analysis methods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37</w:t>
            </w:r>
            <w:r w:rsidRPr="005C5FB6">
              <w:rPr>
                <w:rFonts w:ascii="Arial" w:hAnsi="Arial" w:cs="Arial"/>
                <w:noProof/>
                <w:webHidden/>
                <w:sz w:val="24"/>
                <w:szCs w:val="24"/>
              </w:rPr>
              <w:fldChar w:fldCharType="end"/>
            </w:r>
          </w:hyperlink>
        </w:p>
        <w:p w14:paraId="2D4516EE" w14:textId="63E31FC7"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8" w:history="1">
            <w:r w:rsidRPr="005C5FB6">
              <w:rPr>
                <w:rStyle w:val="Hyperlink"/>
                <w:rFonts w:ascii="Arial" w:hAnsi="Arial" w:cs="Arial"/>
                <w:noProof/>
                <w:sz w:val="24"/>
                <w:szCs w:val="24"/>
              </w:rPr>
              <w:t>3.8 Validity and reliability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37</w:t>
            </w:r>
            <w:r w:rsidRPr="005C5FB6">
              <w:rPr>
                <w:rFonts w:ascii="Arial" w:hAnsi="Arial" w:cs="Arial"/>
                <w:noProof/>
                <w:webHidden/>
                <w:sz w:val="24"/>
                <w:szCs w:val="24"/>
              </w:rPr>
              <w:fldChar w:fldCharType="end"/>
            </w:r>
          </w:hyperlink>
        </w:p>
        <w:p w14:paraId="4E8D80BA" w14:textId="0C6D5039"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29" w:history="1">
            <w:r w:rsidRPr="005C5FB6">
              <w:rPr>
                <w:rStyle w:val="Hyperlink"/>
                <w:rFonts w:ascii="Arial" w:hAnsi="Arial" w:cs="Arial"/>
                <w:noProof/>
                <w:sz w:val="24"/>
                <w:szCs w:val="24"/>
              </w:rPr>
              <w:t>3.9 Limitations of the research</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_Toc240985329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38</w:t>
            </w:r>
            <w:r w:rsidRPr="005C5FB6">
              <w:rPr>
                <w:rFonts w:ascii="Arial" w:hAnsi="Arial" w:cs="Arial"/>
                <w:noProof/>
                <w:webHidden/>
                <w:sz w:val="24"/>
                <w:szCs w:val="24"/>
              </w:rPr>
              <w:fldChar w:fldCharType="end"/>
            </w:r>
          </w:hyperlink>
        </w:p>
        <w:p w14:paraId="2590385D" w14:textId="40EB7B57"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30" w:history="1">
            <w:r w:rsidRPr="005C5FB6">
              <w:rPr>
                <w:rStyle w:val="Hyperlink"/>
                <w:rFonts w:ascii="Arial" w:hAnsi="Arial" w:cs="Arial"/>
                <w:noProof/>
                <w:sz w:val="24"/>
                <w:szCs w:val="24"/>
              </w:rPr>
              <w:t>3.10 Ethical alignments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38</w:t>
            </w:r>
            <w:r w:rsidRPr="005C5FB6">
              <w:rPr>
                <w:rFonts w:ascii="Arial" w:hAnsi="Arial" w:cs="Arial"/>
                <w:noProof/>
                <w:webHidden/>
                <w:sz w:val="24"/>
                <w:szCs w:val="24"/>
              </w:rPr>
              <w:fldChar w:fldCharType="end"/>
            </w:r>
          </w:hyperlink>
        </w:p>
        <w:p w14:paraId="28CF04A1" w14:textId="604C2F3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31" w:history="1">
            <w:r w:rsidRPr="005C5FB6">
              <w:rPr>
                <w:rStyle w:val="Hyperlink"/>
                <w:rFonts w:ascii="Arial" w:hAnsi="Arial" w:cs="Arial"/>
                <w:noProof/>
                <w:sz w:val="24"/>
                <w:szCs w:val="24"/>
              </w:rPr>
              <w:t>3.11 Chapter summary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38</w:t>
            </w:r>
            <w:r w:rsidRPr="005C5FB6">
              <w:rPr>
                <w:rFonts w:ascii="Arial" w:hAnsi="Arial" w:cs="Arial"/>
                <w:noProof/>
                <w:webHidden/>
                <w:sz w:val="24"/>
                <w:szCs w:val="24"/>
              </w:rPr>
              <w:fldChar w:fldCharType="end"/>
            </w:r>
          </w:hyperlink>
        </w:p>
        <w:p w14:paraId="28F15AD9" w14:textId="049D2896"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32" w:history="1">
            <w:r w:rsidRPr="005C5FB6">
              <w:rPr>
                <w:rStyle w:val="Hyperlink"/>
                <w:rFonts w:ascii="Arial" w:hAnsi="Arial" w:cs="Arial"/>
                <w:noProof/>
                <w:sz w:val="24"/>
                <w:szCs w:val="24"/>
              </w:rPr>
              <w:t>Chapter 4: Results and discussion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40</w:t>
            </w:r>
            <w:r w:rsidRPr="005C5FB6">
              <w:rPr>
                <w:rFonts w:ascii="Arial" w:hAnsi="Arial" w:cs="Arial"/>
                <w:noProof/>
                <w:webHidden/>
                <w:sz w:val="24"/>
                <w:szCs w:val="24"/>
              </w:rPr>
              <w:fldChar w:fldCharType="end"/>
            </w:r>
          </w:hyperlink>
        </w:p>
        <w:p w14:paraId="4E36FFD0" w14:textId="2DB35B5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33" w:history="1">
            <w:r w:rsidRPr="005C5FB6">
              <w:rPr>
                <w:rStyle w:val="Hyperlink"/>
                <w:rFonts w:ascii="Arial" w:hAnsi="Arial" w:cs="Arial"/>
                <w:noProof/>
                <w:sz w:val="24"/>
                <w:szCs w:val="24"/>
              </w:rPr>
              <w:t>4.1 Introduction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40</w:t>
            </w:r>
            <w:r w:rsidRPr="005C5FB6">
              <w:rPr>
                <w:rFonts w:ascii="Arial" w:hAnsi="Arial" w:cs="Arial"/>
                <w:noProof/>
                <w:webHidden/>
                <w:sz w:val="24"/>
                <w:szCs w:val="24"/>
              </w:rPr>
              <w:fldChar w:fldCharType="end"/>
            </w:r>
          </w:hyperlink>
        </w:p>
        <w:p w14:paraId="2F00A542" w14:textId="00DBFBAE"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34" w:history="1">
            <w:r w:rsidRPr="005C5FB6">
              <w:rPr>
                <w:rStyle w:val="Hyperlink"/>
                <w:rFonts w:ascii="Arial" w:hAnsi="Arial" w:cs="Arial"/>
                <w:noProof/>
                <w:sz w:val="24"/>
                <w:szCs w:val="24"/>
              </w:rPr>
              <w:t>4.2 Thematic table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40</w:t>
            </w:r>
            <w:r w:rsidRPr="005C5FB6">
              <w:rPr>
                <w:rFonts w:ascii="Arial" w:hAnsi="Arial" w:cs="Arial"/>
                <w:noProof/>
                <w:webHidden/>
                <w:sz w:val="24"/>
                <w:szCs w:val="24"/>
              </w:rPr>
              <w:fldChar w:fldCharType="end"/>
            </w:r>
          </w:hyperlink>
        </w:p>
        <w:p w14:paraId="46D08E85" w14:textId="117D6B93"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35" w:history="1">
            <w:r w:rsidRPr="005C5FB6">
              <w:rPr>
                <w:rStyle w:val="Hyperlink"/>
                <w:rFonts w:ascii="Arial" w:hAnsi="Arial" w:cs="Arial"/>
                <w:noProof/>
                <w:sz w:val="24"/>
                <w:szCs w:val="24"/>
              </w:rPr>
              <w:t>4.3 Results through thematic analysis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40</w:t>
            </w:r>
            <w:r w:rsidRPr="005C5FB6">
              <w:rPr>
                <w:rFonts w:ascii="Arial" w:hAnsi="Arial" w:cs="Arial"/>
                <w:noProof/>
                <w:webHidden/>
                <w:sz w:val="24"/>
                <w:szCs w:val="24"/>
              </w:rPr>
              <w:fldChar w:fldCharType="end"/>
            </w:r>
          </w:hyperlink>
        </w:p>
        <w:p w14:paraId="49F87156" w14:textId="46FE4D0D"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36" w:history="1">
            <w:r w:rsidRPr="005C5FB6">
              <w:rPr>
                <w:rStyle w:val="Hyperlink"/>
                <w:rFonts w:ascii="Arial" w:hAnsi="Arial" w:cs="Arial"/>
                <w:noProof/>
                <w:sz w:val="24"/>
                <w:szCs w:val="24"/>
              </w:rPr>
              <w:t>Theme 1: Transformation from rules to risk intelligence, which lead to strategic evolution of HSBC’s AML/FCRM</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40</w:t>
            </w:r>
            <w:r w:rsidRPr="005C5FB6">
              <w:rPr>
                <w:rFonts w:ascii="Arial" w:hAnsi="Arial" w:cs="Arial"/>
                <w:noProof/>
                <w:webHidden/>
                <w:sz w:val="24"/>
                <w:szCs w:val="24"/>
              </w:rPr>
              <w:fldChar w:fldCharType="end"/>
            </w:r>
          </w:hyperlink>
        </w:p>
        <w:p w14:paraId="5B20D518" w14:textId="13604F17"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37" w:history="1">
            <w:r w:rsidRPr="005C5FB6">
              <w:rPr>
                <w:rStyle w:val="Hyperlink"/>
                <w:rFonts w:ascii="Arial" w:hAnsi="Arial" w:cs="Arial"/>
                <w:noProof/>
                <w:sz w:val="24"/>
                <w:szCs w:val="24"/>
              </w:rPr>
              <w:t>Theme 2: Strategic integration of AI-based Intelligence and Enterprise-Wide systems for enhanced level of financial crime detection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43</w:t>
            </w:r>
            <w:r w:rsidRPr="005C5FB6">
              <w:rPr>
                <w:rFonts w:ascii="Arial" w:hAnsi="Arial" w:cs="Arial"/>
                <w:noProof/>
                <w:webHidden/>
                <w:sz w:val="24"/>
                <w:szCs w:val="24"/>
              </w:rPr>
              <w:fldChar w:fldCharType="end"/>
            </w:r>
          </w:hyperlink>
        </w:p>
        <w:p w14:paraId="159BE64B" w14:textId="17EC2FE1"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38" w:history="1">
            <w:r w:rsidRPr="005C5FB6">
              <w:rPr>
                <w:rStyle w:val="Hyperlink"/>
                <w:rFonts w:ascii="Arial" w:hAnsi="Arial" w:cs="Arial"/>
                <w:noProof/>
                <w:sz w:val="24"/>
                <w:szCs w:val="24"/>
              </w:rPr>
              <w:t>Theme 3: Balancing the Effectiveness of AML by Adhering the Regulation Without Customer Friction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45</w:t>
            </w:r>
            <w:r w:rsidRPr="005C5FB6">
              <w:rPr>
                <w:rFonts w:ascii="Arial" w:hAnsi="Arial" w:cs="Arial"/>
                <w:noProof/>
                <w:webHidden/>
                <w:sz w:val="24"/>
                <w:szCs w:val="24"/>
              </w:rPr>
              <w:fldChar w:fldCharType="end"/>
            </w:r>
          </w:hyperlink>
        </w:p>
        <w:p w14:paraId="18DE864B" w14:textId="1AF7279D"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39" w:history="1">
            <w:r w:rsidRPr="005C5FB6">
              <w:rPr>
                <w:rStyle w:val="Hyperlink"/>
                <w:rFonts w:ascii="Arial" w:hAnsi="Arial" w:cs="Arial"/>
                <w:noProof/>
                <w:sz w:val="24"/>
                <w:szCs w:val="24"/>
              </w:rPr>
              <w:t>Theme 4: Strategies for scalable and ethical AML frameworks through risk-based governance and innovation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_Toc240985339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46</w:t>
            </w:r>
            <w:r w:rsidRPr="005C5FB6">
              <w:rPr>
                <w:rFonts w:ascii="Arial" w:hAnsi="Arial" w:cs="Arial"/>
                <w:noProof/>
                <w:webHidden/>
                <w:sz w:val="24"/>
                <w:szCs w:val="24"/>
              </w:rPr>
              <w:fldChar w:fldCharType="end"/>
            </w:r>
          </w:hyperlink>
        </w:p>
        <w:p w14:paraId="2BD2A3D2" w14:textId="190832DD"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40" w:history="1">
            <w:r w:rsidRPr="005C5FB6">
              <w:rPr>
                <w:rStyle w:val="Hyperlink"/>
                <w:rFonts w:ascii="Arial" w:hAnsi="Arial" w:cs="Arial"/>
                <w:noProof/>
                <w:sz w:val="24"/>
                <w:szCs w:val="24"/>
              </w:rPr>
              <w:t>4.4 Discussion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47</w:t>
            </w:r>
            <w:r w:rsidRPr="005C5FB6">
              <w:rPr>
                <w:rFonts w:ascii="Arial" w:hAnsi="Arial" w:cs="Arial"/>
                <w:noProof/>
                <w:webHidden/>
                <w:sz w:val="24"/>
                <w:szCs w:val="24"/>
              </w:rPr>
              <w:fldChar w:fldCharType="end"/>
            </w:r>
          </w:hyperlink>
        </w:p>
        <w:p w14:paraId="4AE36816" w14:textId="49E93C9D"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41" w:history="1">
            <w:r w:rsidRPr="005C5FB6">
              <w:rPr>
                <w:rStyle w:val="Hyperlink"/>
                <w:rFonts w:ascii="Arial" w:hAnsi="Arial" w:cs="Arial"/>
                <w:noProof/>
                <w:sz w:val="24"/>
                <w:szCs w:val="24"/>
              </w:rPr>
              <w:t>4.5 Chapter Summary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51</w:t>
            </w:r>
            <w:r w:rsidRPr="005C5FB6">
              <w:rPr>
                <w:rFonts w:ascii="Arial" w:hAnsi="Arial" w:cs="Arial"/>
                <w:noProof/>
                <w:webHidden/>
                <w:sz w:val="24"/>
                <w:szCs w:val="24"/>
              </w:rPr>
              <w:fldChar w:fldCharType="end"/>
            </w:r>
          </w:hyperlink>
        </w:p>
        <w:p w14:paraId="111CE1B2" w14:textId="5E52F98A"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42" w:history="1">
            <w:r w:rsidRPr="005C5FB6">
              <w:rPr>
                <w:rStyle w:val="Hyperlink"/>
                <w:rFonts w:ascii="Arial" w:hAnsi="Arial" w:cs="Arial"/>
                <w:noProof/>
                <w:sz w:val="24"/>
                <w:szCs w:val="24"/>
              </w:rPr>
              <w:t>Chapter 5: Conclusion and recommendations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52</w:t>
            </w:r>
            <w:r w:rsidRPr="005C5FB6">
              <w:rPr>
                <w:rFonts w:ascii="Arial" w:hAnsi="Arial" w:cs="Arial"/>
                <w:noProof/>
                <w:webHidden/>
                <w:sz w:val="24"/>
                <w:szCs w:val="24"/>
              </w:rPr>
              <w:fldChar w:fldCharType="end"/>
            </w:r>
          </w:hyperlink>
        </w:p>
        <w:p w14:paraId="1C0B2B01" w14:textId="0D32F6C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43" w:history="1">
            <w:r w:rsidRPr="005C5FB6">
              <w:rPr>
                <w:rStyle w:val="Hyperlink"/>
                <w:rFonts w:ascii="Arial" w:hAnsi="Arial" w:cs="Arial"/>
                <w:noProof/>
                <w:sz w:val="24"/>
                <w:szCs w:val="24"/>
              </w:rPr>
              <w:t>5.1 Introduction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52</w:t>
            </w:r>
            <w:r w:rsidRPr="005C5FB6">
              <w:rPr>
                <w:rFonts w:ascii="Arial" w:hAnsi="Arial" w:cs="Arial"/>
                <w:noProof/>
                <w:webHidden/>
                <w:sz w:val="24"/>
                <w:szCs w:val="24"/>
              </w:rPr>
              <w:fldChar w:fldCharType="end"/>
            </w:r>
          </w:hyperlink>
        </w:p>
        <w:p w14:paraId="737D87D2" w14:textId="55CCCB3F"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44" w:history="1">
            <w:r w:rsidRPr="005C5FB6">
              <w:rPr>
                <w:rStyle w:val="Hyperlink"/>
                <w:rFonts w:ascii="Arial" w:hAnsi="Arial" w:cs="Arial"/>
                <w:noProof/>
                <w:sz w:val="24"/>
                <w:szCs w:val="24"/>
              </w:rPr>
              <w:t>5.2 Summarising the key findings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52</w:t>
            </w:r>
            <w:r w:rsidRPr="005C5FB6">
              <w:rPr>
                <w:rFonts w:ascii="Arial" w:hAnsi="Arial" w:cs="Arial"/>
                <w:noProof/>
                <w:webHidden/>
                <w:sz w:val="24"/>
                <w:szCs w:val="24"/>
              </w:rPr>
              <w:fldChar w:fldCharType="end"/>
            </w:r>
          </w:hyperlink>
        </w:p>
        <w:p w14:paraId="31D087EA" w14:textId="47E1DF7B"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45" w:history="1">
            <w:r w:rsidRPr="005C5FB6">
              <w:rPr>
                <w:rStyle w:val="Hyperlink"/>
                <w:rFonts w:ascii="Arial" w:hAnsi="Arial" w:cs="Arial"/>
                <w:noProof/>
                <w:sz w:val="24"/>
                <w:szCs w:val="24"/>
              </w:rPr>
              <w:t>5.2.1 Shift towards a Risk-based Financial Crime Risk Management framework</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52</w:t>
            </w:r>
            <w:r w:rsidRPr="005C5FB6">
              <w:rPr>
                <w:rFonts w:ascii="Arial" w:hAnsi="Arial" w:cs="Arial"/>
                <w:noProof/>
                <w:webHidden/>
                <w:sz w:val="24"/>
                <w:szCs w:val="24"/>
              </w:rPr>
              <w:fldChar w:fldCharType="end"/>
            </w:r>
          </w:hyperlink>
        </w:p>
        <w:p w14:paraId="27FAE2F7" w14:textId="2DA1DFEC"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46" w:history="1">
            <w:r w:rsidRPr="005C5FB6">
              <w:rPr>
                <w:rStyle w:val="Hyperlink"/>
                <w:rFonts w:ascii="Arial" w:hAnsi="Arial" w:cs="Arial"/>
                <w:noProof/>
                <w:sz w:val="24"/>
                <w:szCs w:val="24"/>
              </w:rPr>
              <w:t>5.2.2 Technological stability, Ethical governance and operational balance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53</w:t>
            </w:r>
            <w:r w:rsidRPr="005C5FB6">
              <w:rPr>
                <w:rFonts w:ascii="Arial" w:hAnsi="Arial" w:cs="Arial"/>
                <w:noProof/>
                <w:webHidden/>
                <w:sz w:val="24"/>
                <w:szCs w:val="24"/>
              </w:rPr>
              <w:fldChar w:fldCharType="end"/>
            </w:r>
          </w:hyperlink>
        </w:p>
        <w:p w14:paraId="5EE1F818" w14:textId="57898DBB"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47" w:history="1">
            <w:r w:rsidRPr="005C5FB6">
              <w:rPr>
                <w:rStyle w:val="Hyperlink"/>
                <w:rFonts w:ascii="Arial" w:hAnsi="Arial" w:cs="Arial"/>
                <w:noProof/>
                <w:sz w:val="24"/>
                <w:szCs w:val="24"/>
              </w:rPr>
              <w:t>5.2.3 Compliance and consumer alignment and future strategic aspects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54</w:t>
            </w:r>
            <w:r w:rsidRPr="005C5FB6">
              <w:rPr>
                <w:rFonts w:ascii="Arial" w:hAnsi="Arial" w:cs="Arial"/>
                <w:noProof/>
                <w:webHidden/>
                <w:sz w:val="24"/>
                <w:szCs w:val="24"/>
              </w:rPr>
              <w:fldChar w:fldCharType="end"/>
            </w:r>
          </w:hyperlink>
        </w:p>
        <w:p w14:paraId="1DF78CCF" w14:textId="09AE4222"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48" w:history="1">
            <w:r w:rsidRPr="005C5FB6">
              <w:rPr>
                <w:rStyle w:val="Hyperlink"/>
                <w:rFonts w:ascii="Arial" w:hAnsi="Arial" w:cs="Arial"/>
                <w:noProof/>
                <w:sz w:val="24"/>
                <w:szCs w:val="24"/>
              </w:rPr>
              <w:t>5.2.4 Strategic integration of the emerging technologies and ethical governance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54</w:t>
            </w:r>
            <w:r w:rsidRPr="005C5FB6">
              <w:rPr>
                <w:rFonts w:ascii="Arial" w:hAnsi="Arial" w:cs="Arial"/>
                <w:noProof/>
                <w:webHidden/>
                <w:sz w:val="24"/>
                <w:szCs w:val="24"/>
              </w:rPr>
              <w:fldChar w:fldCharType="end"/>
            </w:r>
          </w:hyperlink>
        </w:p>
        <w:p w14:paraId="3CE19DBE" w14:textId="14AA182C"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49" w:history="1">
            <w:r w:rsidRPr="005C5FB6">
              <w:rPr>
                <w:rStyle w:val="Hyperlink"/>
                <w:rFonts w:ascii="Arial" w:hAnsi="Arial" w:cs="Arial"/>
                <w:noProof/>
                <w:sz w:val="24"/>
                <w:szCs w:val="24"/>
              </w:rPr>
              <w:t>5.3 Conclusion of the study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_Toc240985349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55</w:t>
            </w:r>
            <w:r w:rsidRPr="005C5FB6">
              <w:rPr>
                <w:rFonts w:ascii="Arial" w:hAnsi="Arial" w:cs="Arial"/>
                <w:noProof/>
                <w:webHidden/>
                <w:sz w:val="24"/>
                <w:szCs w:val="24"/>
              </w:rPr>
              <w:fldChar w:fldCharType="end"/>
            </w:r>
          </w:hyperlink>
        </w:p>
        <w:p w14:paraId="366D52DF" w14:textId="041D10D1"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50" w:history="1">
            <w:r w:rsidRPr="005C5FB6">
              <w:rPr>
                <w:rStyle w:val="Hyperlink"/>
                <w:rFonts w:ascii="Arial" w:hAnsi="Arial" w:cs="Arial"/>
                <w:noProof/>
                <w:sz w:val="24"/>
                <w:szCs w:val="24"/>
              </w:rPr>
              <w:t>5.4 Contribution of the study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56</w:t>
            </w:r>
            <w:r w:rsidRPr="005C5FB6">
              <w:rPr>
                <w:rFonts w:ascii="Arial" w:hAnsi="Arial" w:cs="Arial"/>
                <w:noProof/>
                <w:webHidden/>
                <w:sz w:val="24"/>
                <w:szCs w:val="24"/>
              </w:rPr>
              <w:fldChar w:fldCharType="end"/>
            </w:r>
          </w:hyperlink>
        </w:p>
        <w:p w14:paraId="1B110E7B" w14:textId="24C9C773"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51" w:history="1">
            <w:r w:rsidRPr="005C5FB6">
              <w:rPr>
                <w:rStyle w:val="Hyperlink"/>
                <w:rFonts w:ascii="Arial" w:hAnsi="Arial" w:cs="Arial"/>
                <w:noProof/>
                <w:sz w:val="24"/>
                <w:szCs w:val="24"/>
              </w:rPr>
              <w:t>5.5 Limitations of the study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57</w:t>
            </w:r>
            <w:r w:rsidRPr="005C5FB6">
              <w:rPr>
                <w:rFonts w:ascii="Arial" w:hAnsi="Arial" w:cs="Arial"/>
                <w:noProof/>
                <w:webHidden/>
                <w:sz w:val="24"/>
                <w:szCs w:val="24"/>
              </w:rPr>
              <w:fldChar w:fldCharType="end"/>
            </w:r>
          </w:hyperlink>
        </w:p>
        <w:p w14:paraId="78653383" w14:textId="3EB96862"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52" w:history="1">
            <w:r w:rsidRPr="005C5FB6">
              <w:rPr>
                <w:rStyle w:val="Hyperlink"/>
                <w:rFonts w:ascii="Arial" w:hAnsi="Arial" w:cs="Arial"/>
                <w:noProof/>
                <w:sz w:val="24"/>
                <w:szCs w:val="24"/>
              </w:rPr>
              <w:t>5.6 Recommendations for practical and academic context</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58</w:t>
            </w:r>
            <w:r w:rsidRPr="005C5FB6">
              <w:rPr>
                <w:rFonts w:ascii="Arial" w:hAnsi="Arial" w:cs="Arial"/>
                <w:noProof/>
                <w:webHidden/>
                <w:sz w:val="24"/>
                <w:szCs w:val="24"/>
              </w:rPr>
              <w:fldChar w:fldCharType="end"/>
            </w:r>
          </w:hyperlink>
        </w:p>
        <w:p w14:paraId="5D761695" w14:textId="423CBFD4"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53" w:history="1">
            <w:r w:rsidRPr="005C5FB6">
              <w:rPr>
                <w:rStyle w:val="Hyperlink"/>
                <w:rFonts w:ascii="Arial" w:hAnsi="Arial" w:cs="Arial"/>
                <w:noProof/>
                <w:sz w:val="24"/>
                <w:szCs w:val="24"/>
              </w:rPr>
              <w:t>5.6.2 Technological integration and data quality optimisation</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_Toc240985353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58</w:t>
            </w:r>
            <w:r w:rsidRPr="005C5FB6">
              <w:rPr>
                <w:rFonts w:ascii="Arial" w:hAnsi="Arial" w:cs="Arial"/>
                <w:noProof/>
                <w:webHidden/>
                <w:sz w:val="24"/>
                <w:szCs w:val="24"/>
              </w:rPr>
              <w:fldChar w:fldCharType="end"/>
            </w:r>
          </w:hyperlink>
        </w:p>
        <w:p w14:paraId="164D44D9" w14:textId="75B43E6B"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54" w:history="1">
            <w:r w:rsidRPr="005C5FB6">
              <w:rPr>
                <w:rStyle w:val="Hyperlink"/>
                <w:rFonts w:ascii="Arial" w:hAnsi="Arial" w:cs="Arial"/>
                <w:noProof/>
                <w:sz w:val="24"/>
                <w:szCs w:val="24"/>
              </w:rPr>
              <w:t>5.6.3 Ethical accountability and tarnsperency management</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_Toc240985354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59</w:t>
            </w:r>
            <w:r w:rsidRPr="005C5FB6">
              <w:rPr>
                <w:rFonts w:ascii="Arial" w:hAnsi="Arial" w:cs="Arial"/>
                <w:noProof/>
                <w:webHidden/>
                <w:sz w:val="24"/>
                <w:szCs w:val="24"/>
              </w:rPr>
              <w:fldChar w:fldCharType="end"/>
            </w:r>
          </w:hyperlink>
        </w:p>
        <w:p w14:paraId="2D56EFD5" w14:textId="7F45BFCA"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55" w:history="1">
            <w:r w:rsidRPr="005C5FB6">
              <w:rPr>
                <w:rStyle w:val="Hyperlink"/>
                <w:rFonts w:ascii="Arial" w:hAnsi="Arial" w:cs="Arial"/>
                <w:noProof/>
                <w:sz w:val="24"/>
                <w:szCs w:val="24"/>
              </w:rPr>
              <w:t>5.6.4 Mitigation of consumer frictions and streamline due diligence</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_Toc240985355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59</w:t>
            </w:r>
            <w:r w:rsidRPr="005C5FB6">
              <w:rPr>
                <w:rFonts w:ascii="Arial" w:hAnsi="Arial" w:cs="Arial"/>
                <w:noProof/>
                <w:webHidden/>
                <w:sz w:val="24"/>
                <w:szCs w:val="24"/>
              </w:rPr>
              <w:fldChar w:fldCharType="end"/>
            </w:r>
          </w:hyperlink>
        </w:p>
        <w:p w14:paraId="7B3B7E4A" w14:textId="502A937B" w:rsidR="00F76A1F" w:rsidRPr="005C5FB6" w:rsidRDefault="00F76A1F" w:rsidP="005C5FB6">
          <w:pPr>
            <w:pStyle w:val="TOC3"/>
            <w:tabs>
              <w:tab w:val="right" w:pos="9016"/>
            </w:tabs>
            <w:spacing w:line="360" w:lineRule="auto"/>
            <w:jc w:val="both"/>
            <w:rPr>
              <w:rFonts w:ascii="Arial" w:eastAsiaTheme="minorEastAsia" w:hAnsi="Arial" w:cs="Arial"/>
              <w:noProof/>
              <w:kern w:val="2"/>
              <w:sz w:val="24"/>
              <w:szCs w:val="24"/>
              <w14:ligatures w14:val="standardContextual"/>
            </w:rPr>
          </w:pPr>
          <w:hyperlink w:anchor="_Toc240985356" w:history="1">
            <w:r w:rsidRPr="005C5FB6">
              <w:rPr>
                <w:rStyle w:val="Hyperlink"/>
                <w:rFonts w:ascii="Arial" w:hAnsi="Arial" w:cs="Arial"/>
                <w:noProof/>
                <w:sz w:val="24"/>
                <w:szCs w:val="24"/>
              </w:rPr>
              <w:t>5.6.5 Advancements of theoretical frameworks in academic researches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_Toc240985356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59</w:t>
            </w:r>
            <w:r w:rsidRPr="005C5FB6">
              <w:rPr>
                <w:rFonts w:ascii="Arial" w:hAnsi="Arial" w:cs="Arial"/>
                <w:noProof/>
                <w:webHidden/>
                <w:sz w:val="24"/>
                <w:szCs w:val="24"/>
              </w:rPr>
              <w:fldChar w:fldCharType="end"/>
            </w:r>
          </w:hyperlink>
        </w:p>
        <w:p w14:paraId="3468DAC3" w14:textId="28840972"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57" w:history="1">
            <w:r w:rsidRPr="005C5FB6">
              <w:rPr>
                <w:rStyle w:val="Hyperlink"/>
                <w:rFonts w:ascii="Arial" w:hAnsi="Arial" w:cs="Arial"/>
                <w:noProof/>
                <w:sz w:val="24"/>
                <w:szCs w:val="24"/>
              </w:rPr>
              <w:t>5.7 Opportunities for future research</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_Toc240985357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60</w:t>
            </w:r>
            <w:r w:rsidRPr="005C5FB6">
              <w:rPr>
                <w:rFonts w:ascii="Arial" w:hAnsi="Arial" w:cs="Arial"/>
                <w:noProof/>
                <w:webHidden/>
                <w:sz w:val="24"/>
                <w:szCs w:val="24"/>
              </w:rPr>
              <w:fldChar w:fldCharType="end"/>
            </w:r>
          </w:hyperlink>
        </w:p>
        <w:p w14:paraId="359D4AAD" w14:textId="6675E228"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58" w:history="1">
            <w:r w:rsidRPr="005C5FB6">
              <w:rPr>
                <w:rStyle w:val="Hyperlink"/>
                <w:rFonts w:ascii="Arial" w:hAnsi="Arial" w:cs="Arial"/>
                <w:noProof/>
                <w:sz w:val="24"/>
                <w:szCs w:val="24"/>
              </w:rPr>
              <w:t>5.8 Summary</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_Toc240985358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60</w:t>
            </w:r>
            <w:r w:rsidRPr="005C5FB6">
              <w:rPr>
                <w:rFonts w:ascii="Arial" w:hAnsi="Arial" w:cs="Arial"/>
                <w:noProof/>
                <w:webHidden/>
                <w:sz w:val="24"/>
                <w:szCs w:val="24"/>
              </w:rPr>
              <w:fldChar w:fldCharType="end"/>
            </w:r>
          </w:hyperlink>
        </w:p>
        <w:p w14:paraId="6E468E89" w14:textId="5765E16C"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59" w:history="1">
            <w:r w:rsidRPr="005C5FB6">
              <w:rPr>
                <w:rStyle w:val="Hyperlink"/>
                <w:rFonts w:ascii="Arial" w:hAnsi="Arial" w:cs="Arial"/>
                <w:noProof/>
                <w:sz w:val="24"/>
                <w:szCs w:val="24"/>
              </w:rPr>
              <w:t>References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_Toc240985359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61</w:t>
            </w:r>
            <w:r w:rsidRPr="005C5FB6">
              <w:rPr>
                <w:rFonts w:ascii="Arial" w:hAnsi="Arial" w:cs="Arial"/>
                <w:noProof/>
                <w:webHidden/>
                <w:sz w:val="24"/>
                <w:szCs w:val="24"/>
              </w:rPr>
              <w:fldChar w:fldCharType="end"/>
            </w:r>
          </w:hyperlink>
        </w:p>
        <w:p w14:paraId="23D706BF" w14:textId="79855324" w:rsidR="00F76A1F" w:rsidRPr="005C5FB6" w:rsidRDefault="00F76A1F" w:rsidP="005C5FB6">
          <w:pPr>
            <w:pStyle w:val="TOC1"/>
            <w:tabs>
              <w:tab w:val="right" w:pos="9016"/>
            </w:tabs>
            <w:spacing w:line="360" w:lineRule="auto"/>
            <w:jc w:val="both"/>
            <w:rPr>
              <w:rFonts w:ascii="Arial" w:eastAsiaTheme="minorEastAsia" w:hAnsi="Arial" w:cs="Arial"/>
              <w:noProof/>
              <w:kern w:val="2"/>
              <w:sz w:val="24"/>
              <w:szCs w:val="24"/>
              <w14:ligatures w14:val="standardContextual"/>
            </w:rPr>
          </w:pPr>
          <w:hyperlink w:anchor="_Toc240985360" w:history="1">
            <w:r w:rsidRPr="005C5FB6">
              <w:rPr>
                <w:rStyle w:val="Hyperlink"/>
                <w:rFonts w:ascii="Arial" w:hAnsi="Arial" w:cs="Arial"/>
                <w:noProof/>
                <w:sz w:val="24"/>
                <w:szCs w:val="24"/>
              </w:rPr>
              <w:t>Appendices</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_Toc240985360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72</w:t>
            </w:r>
            <w:r w:rsidRPr="005C5FB6">
              <w:rPr>
                <w:rFonts w:ascii="Arial" w:hAnsi="Arial" w:cs="Arial"/>
                <w:noProof/>
                <w:webHidden/>
                <w:sz w:val="24"/>
                <w:szCs w:val="24"/>
              </w:rPr>
              <w:fldChar w:fldCharType="end"/>
            </w:r>
          </w:hyperlink>
        </w:p>
        <w:p w14:paraId="0B2A934C" w14:textId="6DB71A8F"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61" w:history="1">
            <w:r w:rsidRPr="005C5FB6">
              <w:rPr>
                <w:rStyle w:val="Hyperlink"/>
                <w:rFonts w:ascii="Arial" w:hAnsi="Arial" w:cs="Arial"/>
                <w:noProof/>
                <w:sz w:val="24"/>
                <w:szCs w:val="24"/>
              </w:rPr>
              <w:t>Appendix 1: Ethics form</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_Toc240985361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72</w:t>
            </w:r>
            <w:r w:rsidRPr="005C5FB6">
              <w:rPr>
                <w:rFonts w:ascii="Arial" w:hAnsi="Arial" w:cs="Arial"/>
                <w:noProof/>
                <w:webHidden/>
                <w:sz w:val="24"/>
                <w:szCs w:val="24"/>
              </w:rPr>
              <w:fldChar w:fldCharType="end"/>
            </w:r>
          </w:hyperlink>
        </w:p>
        <w:p w14:paraId="7B619024" w14:textId="4BA1ACB5" w:rsidR="00F76A1F" w:rsidRPr="005C5FB6" w:rsidRDefault="00F76A1F" w:rsidP="005C5FB6">
          <w:pPr>
            <w:pStyle w:val="TOC2"/>
            <w:tabs>
              <w:tab w:val="right" w:pos="9016"/>
            </w:tabs>
            <w:spacing w:line="360" w:lineRule="auto"/>
            <w:jc w:val="both"/>
            <w:rPr>
              <w:rFonts w:ascii="Arial" w:eastAsiaTheme="minorEastAsia" w:hAnsi="Arial" w:cs="Arial"/>
              <w:noProof/>
              <w:kern w:val="2"/>
              <w:sz w:val="24"/>
              <w:szCs w:val="24"/>
              <w14:ligatures w14:val="standardContextual"/>
            </w:rPr>
          </w:pPr>
          <w:hyperlink w:anchor="_Toc240985362" w:history="1">
            <w:r w:rsidRPr="005C5FB6">
              <w:rPr>
                <w:rStyle w:val="Hyperlink"/>
                <w:rFonts w:ascii="Arial" w:hAnsi="Arial" w:cs="Arial"/>
                <w:noProof/>
                <w:sz w:val="24"/>
                <w:szCs w:val="24"/>
              </w:rPr>
              <w:t>Appendix 2: Thematic table (Self-created)</w:t>
            </w:r>
            <w:r w:rsidRPr="005C5FB6">
              <w:rPr>
                <w:rFonts w:ascii="Arial" w:hAnsi="Arial" w:cs="Arial"/>
                <w:noProof/>
                <w:webHidden/>
                <w:sz w:val="24"/>
                <w:szCs w:val="24"/>
              </w:rPr>
              <w:tab/>
            </w:r>
            <w:r w:rsidRPr="005C5FB6">
              <w:rPr>
                <w:rFonts w:ascii="Arial" w:hAnsi="Arial" w:cs="Arial"/>
                <w:noProof/>
                <w:webHidden/>
                <w:sz w:val="24"/>
                <w:szCs w:val="24"/>
              </w:rPr>
              <w:fldChar w:fldCharType="begin"/>
            </w:r>
            <w:r w:rsidRPr="005C5FB6">
              <w:rPr>
                <w:rFonts w:ascii="Arial" w:hAnsi="Arial" w:cs="Arial"/>
                <w:noProof/>
                <w:webHidden/>
                <w:sz w:val="24"/>
                <w:szCs w:val="24"/>
              </w:rPr>
              <w:instrText xml:space="preserve"> PAGEREF _Toc240985362 \h </w:instrText>
            </w:r>
            <w:r w:rsidRPr="005C5FB6">
              <w:rPr>
                <w:rFonts w:ascii="Arial" w:hAnsi="Arial" w:cs="Arial"/>
                <w:noProof/>
                <w:webHidden/>
                <w:sz w:val="24"/>
                <w:szCs w:val="24"/>
              </w:rPr>
            </w:r>
            <w:r w:rsidRPr="005C5FB6">
              <w:rPr>
                <w:rFonts w:ascii="Arial" w:hAnsi="Arial" w:cs="Arial"/>
                <w:noProof/>
                <w:webHidden/>
                <w:sz w:val="24"/>
                <w:szCs w:val="24"/>
              </w:rPr>
              <w:fldChar w:fldCharType="separate"/>
            </w:r>
            <w:r w:rsidRPr="005C5FB6">
              <w:rPr>
                <w:rFonts w:ascii="Arial" w:hAnsi="Arial" w:cs="Arial"/>
                <w:noProof/>
                <w:webHidden/>
                <w:sz w:val="24"/>
                <w:szCs w:val="24"/>
              </w:rPr>
              <w:t>87</w:t>
            </w:r>
            <w:r w:rsidRPr="005C5FB6">
              <w:rPr>
                <w:rFonts w:ascii="Arial" w:hAnsi="Arial" w:cs="Arial"/>
                <w:noProof/>
                <w:webHidden/>
                <w:sz w:val="24"/>
                <w:szCs w:val="24"/>
              </w:rPr>
              <w:fldChar w:fldCharType="end"/>
            </w:r>
          </w:hyperlink>
        </w:p>
        <w:p w14:paraId="3BE174AB" w14:textId="68E3A47F" w:rsidR="000D0697" w:rsidRPr="005C5FB6" w:rsidRDefault="000D0697" w:rsidP="005C5FB6">
          <w:pPr>
            <w:pStyle w:val="Normal1"/>
            <w:pBdr>
              <w:top w:val="nil"/>
              <w:left w:val="nil"/>
              <w:bottom w:val="nil"/>
              <w:right w:val="nil"/>
              <w:between w:val="nil"/>
            </w:pBdr>
            <w:spacing w:line="360" w:lineRule="auto"/>
            <w:jc w:val="both"/>
            <w:rPr>
              <w:rFonts w:ascii="Arial" w:eastAsia="Arial" w:hAnsi="Arial" w:cs="Arial"/>
              <w:sz w:val="24"/>
              <w:szCs w:val="24"/>
            </w:rPr>
          </w:pPr>
          <w:r w:rsidRPr="005C5FB6">
            <w:rPr>
              <w:rFonts w:ascii="Arial" w:hAnsi="Arial" w:cs="Arial"/>
              <w:sz w:val="24"/>
              <w:szCs w:val="24"/>
            </w:rPr>
            <w:fldChar w:fldCharType="end"/>
          </w:r>
        </w:p>
      </w:sdtContent>
    </w:sdt>
    <w:p w14:paraId="3BE174AC" w14:textId="77777777" w:rsidR="000D0697" w:rsidRDefault="00DB5716">
      <w:pPr>
        <w:pStyle w:val="Normal1"/>
        <w:pBdr>
          <w:top w:val="nil"/>
          <w:left w:val="nil"/>
          <w:bottom w:val="nil"/>
          <w:right w:val="nil"/>
          <w:between w:val="nil"/>
        </w:pBdr>
        <w:spacing w:line="360" w:lineRule="auto"/>
        <w:rPr>
          <w:rFonts w:ascii="Arial" w:eastAsia="Arial" w:hAnsi="Arial" w:cs="Arial"/>
          <w:b/>
          <w:bCs/>
          <w:color w:val="000000"/>
          <w:sz w:val="28"/>
          <w:szCs w:val="28"/>
        </w:rPr>
      </w:pPr>
      <w:r>
        <w:br w:type="page"/>
      </w:r>
    </w:p>
    <w:p w14:paraId="3BE174AD"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List of figures</w:t>
      </w:r>
    </w:p>
    <w:p w14:paraId="34D85B1E" w14:textId="77777777" w:rsidR="00F76A1F" w:rsidRDefault="00F76A1F">
      <w:pPr>
        <w:pStyle w:val="Normal1"/>
        <w:spacing w:line="360" w:lineRule="auto"/>
        <w:rPr>
          <w:rFonts w:ascii="Arial" w:eastAsia="Arial" w:hAnsi="Arial" w:cs="Arial"/>
          <w:b/>
          <w:bCs/>
          <w:color w:val="000000"/>
          <w:sz w:val="28"/>
          <w:szCs w:val="28"/>
        </w:rPr>
      </w:pPr>
    </w:p>
    <w:p w14:paraId="0B27B39E" w14:textId="0D2C9AA6"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r>
        <w:fldChar w:fldCharType="begin"/>
      </w:r>
      <w:r>
        <w:instrText xml:space="preserve"> TOC \h \z \t "Heading 5" \c </w:instrText>
      </w:r>
      <w:r>
        <w:fldChar w:fldCharType="separate"/>
      </w:r>
      <w:hyperlink w:anchor="_Toc240985283" w:history="1">
        <w:r w:rsidRPr="00F76A1F">
          <w:rPr>
            <w:rStyle w:val="Hyperlink"/>
            <w:rFonts w:ascii="Arial" w:eastAsia="Arial" w:hAnsi="Arial" w:cs="Arial"/>
            <w:noProof/>
            <w:sz w:val="24"/>
            <w:szCs w:val="24"/>
          </w:rPr>
          <w:t>Figure 2.1: Overview of False positives in traditional Rule-based transaction monitoring systems (2024)</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_Toc240985283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20</w:t>
        </w:r>
        <w:r w:rsidRPr="00F76A1F">
          <w:rPr>
            <w:rFonts w:ascii="Arial" w:hAnsi="Arial" w:cs="Arial"/>
            <w:noProof/>
            <w:webHidden/>
            <w:sz w:val="24"/>
            <w:szCs w:val="24"/>
          </w:rPr>
          <w:fldChar w:fldCharType="end"/>
        </w:r>
      </w:hyperlink>
    </w:p>
    <w:p w14:paraId="0D2271FE" w14:textId="35ADCE99"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hyperlink w:anchor="_Toc240985284" w:history="1">
        <w:r w:rsidRPr="00F76A1F">
          <w:rPr>
            <w:rStyle w:val="Hyperlink"/>
            <w:rFonts w:ascii="Arial" w:eastAsia="Arial" w:hAnsi="Arial" w:cs="Arial"/>
            <w:noProof/>
            <w:sz w:val="24"/>
            <w:szCs w:val="24"/>
          </w:rPr>
          <w:t>Figure 2.2: Omni-AI channel overview of JPMorgan Chase</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_Toc240985284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23</w:t>
        </w:r>
        <w:r w:rsidRPr="00F76A1F">
          <w:rPr>
            <w:rFonts w:ascii="Arial" w:hAnsi="Arial" w:cs="Arial"/>
            <w:noProof/>
            <w:webHidden/>
            <w:sz w:val="24"/>
            <w:szCs w:val="24"/>
          </w:rPr>
          <w:fldChar w:fldCharType="end"/>
        </w:r>
      </w:hyperlink>
    </w:p>
    <w:p w14:paraId="7D7BDC96" w14:textId="6F2A814B"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hyperlink w:anchor="_Toc240985285" w:history="1">
        <w:r w:rsidRPr="00F76A1F">
          <w:rPr>
            <w:rStyle w:val="Hyperlink"/>
            <w:rFonts w:ascii="Arial" w:eastAsia="Arial" w:hAnsi="Arial" w:cs="Arial"/>
            <w:noProof/>
            <w:sz w:val="24"/>
            <w:szCs w:val="24"/>
          </w:rPr>
          <w:t>Figure 2.3: Financial crime compliance market size</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_Toc240985285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25</w:t>
        </w:r>
        <w:r w:rsidRPr="00F76A1F">
          <w:rPr>
            <w:rFonts w:ascii="Arial" w:hAnsi="Arial" w:cs="Arial"/>
            <w:noProof/>
            <w:webHidden/>
            <w:sz w:val="24"/>
            <w:szCs w:val="24"/>
          </w:rPr>
          <w:fldChar w:fldCharType="end"/>
        </w:r>
      </w:hyperlink>
    </w:p>
    <w:p w14:paraId="13CA52FE" w14:textId="7503BA9B"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hyperlink w:anchor="_Toc240985286" w:history="1">
        <w:r w:rsidRPr="00F76A1F">
          <w:rPr>
            <w:rStyle w:val="Hyperlink"/>
            <w:rFonts w:ascii="Arial" w:eastAsia="Arial" w:hAnsi="Arial" w:cs="Arial"/>
            <w:noProof/>
            <w:sz w:val="24"/>
            <w:szCs w:val="24"/>
          </w:rPr>
          <w:t>Figure 2.4: Technology-Organisation-Environment framework</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_Toc240985286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30</w:t>
        </w:r>
        <w:r w:rsidRPr="00F76A1F">
          <w:rPr>
            <w:rFonts w:ascii="Arial" w:hAnsi="Arial" w:cs="Arial"/>
            <w:noProof/>
            <w:webHidden/>
            <w:sz w:val="24"/>
            <w:szCs w:val="24"/>
          </w:rPr>
          <w:fldChar w:fldCharType="end"/>
        </w:r>
      </w:hyperlink>
    </w:p>
    <w:p w14:paraId="53DE8E59" w14:textId="3EA5E971"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hyperlink w:anchor="_Toc240985287" w:history="1">
        <w:r w:rsidRPr="00F76A1F">
          <w:rPr>
            <w:rStyle w:val="Hyperlink"/>
            <w:rFonts w:ascii="Arial" w:eastAsia="Arial" w:hAnsi="Arial" w:cs="Arial"/>
            <w:noProof/>
            <w:sz w:val="24"/>
            <w:szCs w:val="24"/>
          </w:rPr>
          <w:t>Figure 3.1: Saunders’s research onion</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_Toc240985287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34</w:t>
        </w:r>
        <w:r w:rsidRPr="00F76A1F">
          <w:rPr>
            <w:rFonts w:ascii="Arial" w:hAnsi="Arial" w:cs="Arial"/>
            <w:noProof/>
            <w:webHidden/>
            <w:sz w:val="24"/>
            <w:szCs w:val="24"/>
          </w:rPr>
          <w:fldChar w:fldCharType="end"/>
        </w:r>
      </w:hyperlink>
    </w:p>
    <w:p w14:paraId="1C07CF64" w14:textId="65DCAB48" w:rsidR="00F76A1F" w:rsidRPr="00F76A1F" w:rsidRDefault="00F76A1F" w:rsidP="00F76A1F">
      <w:pPr>
        <w:pStyle w:val="TableofFigures"/>
        <w:tabs>
          <w:tab w:val="right" w:leader="dot" w:pos="9016"/>
        </w:tabs>
        <w:spacing w:line="360" w:lineRule="auto"/>
        <w:jc w:val="both"/>
        <w:rPr>
          <w:rFonts w:ascii="Arial" w:eastAsiaTheme="minorEastAsia" w:hAnsi="Arial" w:cs="Arial"/>
          <w:noProof/>
          <w:kern w:val="2"/>
          <w:sz w:val="24"/>
          <w:szCs w:val="24"/>
          <w14:ligatures w14:val="standardContextual"/>
        </w:rPr>
      </w:pPr>
      <w:hyperlink w:anchor="_Toc240985288" w:history="1">
        <w:r w:rsidRPr="00F76A1F">
          <w:rPr>
            <w:rStyle w:val="Hyperlink"/>
            <w:rFonts w:ascii="Arial" w:eastAsia="Arial" w:hAnsi="Arial" w:cs="Arial"/>
            <w:noProof/>
            <w:sz w:val="24"/>
            <w:szCs w:val="24"/>
          </w:rPr>
          <w:t>Figure 4.1: Security measures offered by HSBC</w:t>
        </w:r>
        <w:r w:rsidRPr="00F76A1F">
          <w:rPr>
            <w:rFonts w:ascii="Arial" w:hAnsi="Arial" w:cs="Arial"/>
            <w:noProof/>
            <w:webHidden/>
            <w:sz w:val="24"/>
            <w:szCs w:val="24"/>
          </w:rPr>
          <w:tab/>
        </w:r>
        <w:r w:rsidRPr="00F76A1F">
          <w:rPr>
            <w:rFonts w:ascii="Arial" w:hAnsi="Arial" w:cs="Arial"/>
            <w:noProof/>
            <w:webHidden/>
            <w:sz w:val="24"/>
            <w:szCs w:val="24"/>
          </w:rPr>
          <w:fldChar w:fldCharType="begin"/>
        </w:r>
        <w:r w:rsidRPr="00F76A1F">
          <w:rPr>
            <w:rFonts w:ascii="Arial" w:hAnsi="Arial" w:cs="Arial"/>
            <w:noProof/>
            <w:webHidden/>
            <w:sz w:val="24"/>
            <w:szCs w:val="24"/>
          </w:rPr>
          <w:instrText xml:space="preserve"> PAGEREF _Toc240985288 \h </w:instrText>
        </w:r>
        <w:r w:rsidRPr="00F76A1F">
          <w:rPr>
            <w:rFonts w:ascii="Arial" w:hAnsi="Arial" w:cs="Arial"/>
            <w:noProof/>
            <w:webHidden/>
            <w:sz w:val="24"/>
            <w:szCs w:val="24"/>
          </w:rPr>
        </w:r>
        <w:r w:rsidRPr="00F76A1F">
          <w:rPr>
            <w:rFonts w:ascii="Arial" w:hAnsi="Arial" w:cs="Arial"/>
            <w:noProof/>
            <w:webHidden/>
            <w:sz w:val="24"/>
            <w:szCs w:val="24"/>
          </w:rPr>
          <w:fldChar w:fldCharType="separate"/>
        </w:r>
        <w:r w:rsidRPr="00F76A1F">
          <w:rPr>
            <w:rFonts w:ascii="Arial" w:hAnsi="Arial" w:cs="Arial"/>
            <w:noProof/>
            <w:webHidden/>
            <w:sz w:val="24"/>
            <w:szCs w:val="24"/>
          </w:rPr>
          <w:t>42</w:t>
        </w:r>
        <w:r w:rsidRPr="00F76A1F">
          <w:rPr>
            <w:rFonts w:ascii="Arial" w:hAnsi="Arial" w:cs="Arial"/>
            <w:noProof/>
            <w:webHidden/>
            <w:sz w:val="24"/>
            <w:szCs w:val="24"/>
          </w:rPr>
          <w:fldChar w:fldCharType="end"/>
        </w:r>
      </w:hyperlink>
    </w:p>
    <w:p w14:paraId="3BE174B6" w14:textId="72ABE7BF" w:rsidR="000D0697" w:rsidRDefault="00F76A1F">
      <w:pPr>
        <w:pStyle w:val="Normal1"/>
        <w:spacing w:line="360" w:lineRule="auto"/>
        <w:rPr>
          <w:rFonts w:ascii="Arial" w:eastAsia="Arial" w:hAnsi="Arial" w:cs="Arial"/>
        </w:rPr>
      </w:pPr>
      <w:r>
        <w:fldChar w:fldCharType="end"/>
      </w:r>
      <w:r w:rsidR="00DB5716">
        <w:br w:type="page"/>
      </w:r>
    </w:p>
    <w:p w14:paraId="3BE174B7" w14:textId="77777777" w:rsidR="000D0697" w:rsidRDefault="00DB5716">
      <w:pPr>
        <w:pStyle w:val="Normal1"/>
        <w:pBdr>
          <w:top w:val="nil"/>
          <w:left w:val="nil"/>
          <w:bottom w:val="nil"/>
          <w:right w:val="nil"/>
          <w:between w:val="nil"/>
        </w:pBdr>
        <w:spacing w:line="360" w:lineRule="auto"/>
        <w:jc w:val="center"/>
        <w:rPr>
          <w:rFonts w:ascii="Arial" w:eastAsia="Arial" w:hAnsi="Arial" w:cs="Arial"/>
          <w:b/>
          <w:bCs/>
          <w:sz w:val="28"/>
          <w:szCs w:val="28"/>
        </w:rPr>
      </w:pPr>
      <w:r>
        <w:rPr>
          <w:rFonts w:ascii="Arial" w:eastAsia="Arial" w:hAnsi="Arial" w:cs="Arial"/>
          <w:b/>
          <w:bCs/>
          <w:sz w:val="28"/>
          <w:szCs w:val="28"/>
        </w:rPr>
        <w:lastRenderedPageBreak/>
        <w:t>List of abbreviations</w:t>
      </w:r>
    </w:p>
    <w:p w14:paraId="3BE174B8" w14:textId="77777777" w:rsidR="000D0697" w:rsidRDefault="000D0697">
      <w:pPr>
        <w:pStyle w:val="Normal1"/>
        <w:pBdr>
          <w:top w:val="nil"/>
          <w:left w:val="nil"/>
          <w:bottom w:val="nil"/>
          <w:right w:val="nil"/>
          <w:between w:val="nil"/>
        </w:pBdr>
        <w:spacing w:line="360" w:lineRule="auto"/>
        <w:jc w:val="both"/>
        <w:rPr>
          <w:rFonts w:ascii="Arial" w:eastAsia="Arial" w:hAnsi="Arial" w:cs="Arial"/>
          <w:sz w:val="24"/>
          <w:szCs w:val="24"/>
        </w:rPr>
      </w:pPr>
    </w:p>
    <w:p w14:paraId="17CA92E0"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AI – Artificial Intelligence</w:t>
      </w:r>
    </w:p>
    <w:p w14:paraId="5171675A"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 xml:space="preserve">AML - Anti-money Laundering </w:t>
      </w:r>
    </w:p>
    <w:p w14:paraId="0696C895" w14:textId="77777777" w:rsidR="002200E6" w:rsidRPr="002200E6" w:rsidRDefault="002200E6" w:rsidP="00775AD5">
      <w:pPr>
        <w:pStyle w:val="Normal1"/>
        <w:rPr>
          <w:rFonts w:ascii="Arial" w:eastAsia="Arial" w:hAnsi="Arial" w:cs="Arial"/>
          <w:sz w:val="24"/>
          <w:szCs w:val="24"/>
        </w:rPr>
      </w:pPr>
      <w:r w:rsidRPr="002200E6">
        <w:rPr>
          <w:rFonts w:ascii="Arial" w:eastAsia="Arial" w:hAnsi="Arial" w:cs="Arial"/>
          <w:sz w:val="24"/>
          <w:szCs w:val="24"/>
        </w:rPr>
        <w:t xml:space="preserve">CX - </w:t>
      </w:r>
      <w:r w:rsidRPr="002200E6">
        <w:rPr>
          <w:rFonts w:ascii="Arial" w:eastAsia="Arial" w:hAnsi="Arial" w:cs="Arial"/>
          <w:sz w:val="24"/>
          <w:szCs w:val="24"/>
        </w:rPr>
        <w:t>Customer experiences</w:t>
      </w:r>
    </w:p>
    <w:p w14:paraId="6199AA48" w14:textId="77777777" w:rsidR="002200E6" w:rsidRPr="002200E6" w:rsidRDefault="002200E6" w:rsidP="00775AD5">
      <w:pPr>
        <w:pStyle w:val="Normal1"/>
        <w:rPr>
          <w:rFonts w:ascii="Arial" w:eastAsia="Arial" w:hAnsi="Arial" w:cs="Arial"/>
          <w:sz w:val="24"/>
          <w:szCs w:val="24"/>
        </w:rPr>
      </w:pPr>
      <w:r w:rsidRPr="002200E6">
        <w:rPr>
          <w:rFonts w:ascii="Arial" w:eastAsia="Arial" w:hAnsi="Arial" w:cs="Arial"/>
          <w:sz w:val="24"/>
          <w:szCs w:val="24"/>
        </w:rPr>
        <w:t>DRA</w:t>
      </w:r>
      <w:r w:rsidRPr="002200E6">
        <w:rPr>
          <w:rFonts w:ascii="Arial" w:eastAsia="Arial" w:hAnsi="Arial" w:cs="Arial"/>
          <w:sz w:val="24"/>
          <w:szCs w:val="24"/>
        </w:rPr>
        <w:t xml:space="preserve"> - </w:t>
      </w:r>
      <w:r w:rsidRPr="002200E6">
        <w:rPr>
          <w:rFonts w:ascii="Arial" w:eastAsia="Arial" w:hAnsi="Arial" w:cs="Arial"/>
          <w:sz w:val="24"/>
          <w:szCs w:val="24"/>
        </w:rPr>
        <w:t>Dynamic Risk Assessment</w:t>
      </w:r>
    </w:p>
    <w:p w14:paraId="5F268829"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FATCA - Foreign Account Tax Compliance Act for tax reporting</w:t>
      </w:r>
    </w:p>
    <w:p w14:paraId="64427E56"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 xml:space="preserve">FCA - Financial Conduct Authority </w:t>
      </w:r>
    </w:p>
    <w:p w14:paraId="65F5833B"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 xml:space="preserve">FCRM - Financial Crime Risk Management </w:t>
      </w:r>
    </w:p>
    <w:p w14:paraId="16B84E0C"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GDP – Gross Domestic Product</w:t>
      </w:r>
    </w:p>
    <w:p w14:paraId="3796CD25"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KYC - Know Your Customer</w:t>
      </w:r>
    </w:p>
    <w:p w14:paraId="2F48D36B" w14:textId="77777777" w:rsidR="002200E6" w:rsidRPr="002200E6" w:rsidRDefault="002200E6" w:rsidP="002200E6">
      <w:pPr>
        <w:pStyle w:val="Normal1"/>
        <w:rPr>
          <w:rFonts w:ascii="Arial" w:eastAsia="Arial" w:hAnsi="Arial" w:cs="Arial"/>
          <w:sz w:val="24"/>
          <w:szCs w:val="24"/>
        </w:rPr>
      </w:pPr>
      <w:r w:rsidRPr="002200E6">
        <w:rPr>
          <w:rFonts w:ascii="Arial" w:eastAsia="Arial" w:hAnsi="Arial" w:cs="Arial"/>
          <w:sz w:val="24"/>
          <w:szCs w:val="24"/>
        </w:rPr>
        <w:t xml:space="preserve">ML - </w:t>
      </w:r>
      <w:r w:rsidRPr="002200E6">
        <w:rPr>
          <w:rFonts w:ascii="Arial" w:eastAsia="Arial" w:hAnsi="Arial" w:cs="Arial"/>
          <w:sz w:val="24"/>
          <w:szCs w:val="24"/>
        </w:rPr>
        <w:t xml:space="preserve">Machine Learning </w:t>
      </w:r>
    </w:p>
    <w:p w14:paraId="17E37495"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 xml:space="preserve">RBA - </w:t>
      </w:r>
      <w:r w:rsidRPr="002200E6">
        <w:rPr>
          <w:rFonts w:ascii="Arial" w:eastAsia="Arial" w:hAnsi="Arial" w:cs="Arial"/>
          <w:sz w:val="24"/>
          <w:szCs w:val="24"/>
        </w:rPr>
        <w:t>Risk-Based Approach</w:t>
      </w:r>
    </w:p>
    <w:p w14:paraId="0BFC4143" w14:textId="77777777" w:rsidR="002200E6" w:rsidRPr="002200E6" w:rsidRDefault="002200E6">
      <w:pPr>
        <w:pStyle w:val="Normal1"/>
        <w:pBdr>
          <w:top w:val="nil"/>
          <w:left w:val="nil"/>
          <w:bottom w:val="nil"/>
          <w:right w:val="nil"/>
          <w:between w:val="nil"/>
        </w:pBdr>
        <w:spacing w:line="360" w:lineRule="auto"/>
        <w:jc w:val="both"/>
        <w:rPr>
          <w:rFonts w:ascii="Arial" w:eastAsia="Arial" w:hAnsi="Arial" w:cs="Arial"/>
          <w:sz w:val="24"/>
          <w:szCs w:val="24"/>
        </w:rPr>
      </w:pPr>
      <w:r w:rsidRPr="002200E6">
        <w:rPr>
          <w:rFonts w:ascii="Arial" w:eastAsia="Arial" w:hAnsi="Arial" w:cs="Arial"/>
          <w:sz w:val="24"/>
          <w:szCs w:val="24"/>
        </w:rPr>
        <w:t>UK – United Kingdom</w:t>
      </w:r>
    </w:p>
    <w:p w14:paraId="7A563D2A" w14:textId="77777777" w:rsidR="00775AD5" w:rsidRDefault="00775AD5">
      <w:pPr>
        <w:pStyle w:val="Normal1"/>
        <w:pBdr>
          <w:top w:val="nil"/>
          <w:left w:val="nil"/>
          <w:bottom w:val="nil"/>
          <w:right w:val="nil"/>
          <w:between w:val="nil"/>
        </w:pBdr>
        <w:spacing w:line="360" w:lineRule="auto"/>
        <w:jc w:val="both"/>
        <w:rPr>
          <w:rFonts w:ascii="Arial" w:eastAsia="Arial" w:hAnsi="Arial" w:cs="Arial"/>
          <w:sz w:val="24"/>
          <w:szCs w:val="24"/>
        </w:rPr>
      </w:pPr>
    </w:p>
    <w:p w14:paraId="3BE174C2"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rPr>
      </w:pPr>
      <w:r>
        <w:br w:type="page"/>
      </w:r>
    </w:p>
    <w:p w14:paraId="3BE174C3" w14:textId="77777777" w:rsidR="000D0697" w:rsidRDefault="00DB5716">
      <w:pPr>
        <w:pStyle w:val="Heading1"/>
      </w:pPr>
      <w:bookmarkStart w:id="0" w:name="_Toc240985299"/>
      <w:r>
        <w:lastRenderedPageBreak/>
        <w:t>Chapter 1: Introduction</w:t>
      </w:r>
      <w:bookmarkEnd w:id="0"/>
    </w:p>
    <w:p w14:paraId="3BE174C4" w14:textId="77777777" w:rsidR="000D0697" w:rsidRDefault="00DB5716">
      <w:pPr>
        <w:pStyle w:val="Heading2"/>
        <w:spacing w:line="360" w:lineRule="auto"/>
      </w:pPr>
      <w:bookmarkStart w:id="1" w:name="_Toc240985300"/>
      <w:r>
        <w:t>1.1 Background to the study</w:t>
      </w:r>
      <w:bookmarkEnd w:id="1"/>
    </w:p>
    <w:p w14:paraId="3BE174C5"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 xml:space="preserve">The concept of financial crime is still one of the major threats that can hinder the integrity of various international banking systems. With the rise of digital banking, virtual assets, complicated financial networks and rapid cross-border payments, financial networks have increased the opportunities for legitimate commerce while making new channels for potential financial crime activities. The concept of Anti-money Laundering (AML) frameworks has, therefore, become a key concept of the banking sector and its governance. As per Abel </w:t>
      </w:r>
      <w:r>
        <w:rPr>
          <w:rFonts w:ascii="Arial" w:eastAsia="Arial" w:hAnsi="Arial" w:cs="Arial"/>
          <w:i/>
          <w:iCs/>
          <w:sz w:val="24"/>
          <w:szCs w:val="24"/>
        </w:rPr>
        <w:t>et al</w:t>
      </w:r>
      <w:r>
        <w:rPr>
          <w:rFonts w:ascii="Arial" w:eastAsia="Arial" w:hAnsi="Arial" w:cs="Arial"/>
          <w:sz w:val="24"/>
          <w:szCs w:val="24"/>
        </w:rPr>
        <w:t>. (2023), this is so because financial institutions are required to align with regulations and also develop systems that can efficiently identify, analyse, and manage financial crime-related risks in various operating areas. To develop a better understanding of the scale of this issue, according to the UN Office on Drugs &amp; Crime, the amount of money laundered across the globe is nearly 2% to 5% of global GDP annually, amounting to approximately $800 billion to $2 trillion (unodcorg, 2024). Regulatory expectations thus have also increased, creating the need for stronger consumer due diligence, sanctions screening, and risk management approaches, encouraging banks to invest in technologies like AI, advanced analytics and integrated monitoring platforms.</w:t>
      </w:r>
    </w:p>
    <w:p w14:paraId="3BE174C6"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bookmarkStart w:id="2" w:name="_heading=h.mftg5kwtxkjk" w:colFirst="0" w:colLast="0"/>
      <w:bookmarkEnd w:id="2"/>
      <w:r>
        <w:rPr>
          <w:rFonts w:ascii="Arial" w:eastAsia="Arial" w:hAnsi="Arial" w:cs="Arial"/>
          <w:sz w:val="24"/>
          <w:szCs w:val="24"/>
        </w:rPr>
        <w:t xml:space="preserve">For this context analysis, HSBC is providing a key case, especially to understand these developments. Being one of the largest financial organisations in the world, HSBC operates in various countries and regions while serving 41 million consumers through approaches including institutional banking, commercial and retail banking (HSBC, 2026). The massive scale and diversity of operations are increasing the risks for the company, facing wider financial crime risks. With time passing, the bank has made extensive reforms for betterment of the Financial Crime Risk Management (FCRM) framework, with a particular focus on customer due diligence, screening, case management, exit management, and monitoring areas (HSBC, 2026). The company's focus on digital transformation and compliance has been supporting them to increase detection of suspicious activities, with reports of filing approximately 137,000 suspicious activities in 2025 (HSBC, 2026). Hence, the organisation provides a crucial case to evaluate how a multinational bank focuses on enhancing </w:t>
      </w:r>
      <w:r>
        <w:rPr>
          <w:rFonts w:ascii="Arial" w:eastAsia="Arial" w:hAnsi="Arial" w:cs="Arial"/>
          <w:sz w:val="24"/>
          <w:szCs w:val="24"/>
        </w:rPr>
        <w:lastRenderedPageBreak/>
        <w:t>its AML capabilities and responds to rapidly changing criminal threats and regulatory needs.</w:t>
      </w:r>
    </w:p>
    <w:p w14:paraId="3BE174C7" w14:textId="77777777" w:rsidR="000D0697" w:rsidRDefault="00DB5716">
      <w:pPr>
        <w:pStyle w:val="Heading2"/>
        <w:spacing w:line="360" w:lineRule="auto"/>
      </w:pPr>
      <w:bookmarkStart w:id="3" w:name="_Toc240985301"/>
      <w:r>
        <w:t>1.2 Research rationale</w:t>
      </w:r>
      <w:bookmarkEnd w:id="3"/>
    </w:p>
    <w:p w14:paraId="3BE174C8"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The rising sophistication of financial crime has forced the concept of AML to become a strategic organisational priority (</w:t>
      </w:r>
      <w:r>
        <w:rPr>
          <w:rFonts w:ascii="Arial" w:eastAsia="Arial" w:hAnsi="Arial" w:cs="Arial"/>
          <w:sz w:val="24"/>
          <w:szCs w:val="24"/>
          <w:highlight w:val="white"/>
        </w:rPr>
        <w:t>Edgars and Benson, 2024). This is</w:t>
      </w:r>
      <w:r>
        <w:rPr>
          <w:rFonts w:ascii="Arial" w:eastAsia="Arial" w:hAnsi="Arial" w:cs="Arial"/>
          <w:sz w:val="24"/>
          <w:szCs w:val="24"/>
        </w:rPr>
        <w:t xml:space="preserve"> especially because criminal networks are continuously adapting their approaches using new and advanced technologies and international payment systems. Therefore, banks are required to develop scalable AML systems to process significant amounts of data and maintain accuracy and compliance. The key rationale for this research is based on the need to understand how major multinational banks like HSBC operate their AML strategies. Although they often showcase major investments in technologies and compliance programs, there is still a gap remaining to analyse if these initiatives are supporting FCRM at larger scales. HSBC has provided a solid base due to its international presence, ongoing technological investments, and previous regulatory scrutiny of a $1.9 billion fine settlement (Zutshi, 2023). This study is also timely, as regulators are increasing focus on risk-based approaches and technological innovation in AML programmes, with concerns remaining regarding governance, ethical data usage, consumer experience and operational efficiency. Thus, understanding how these aspects exist in major banking companies can contribute to a crucial knowledge-base for financial crime prevention and transformation.</w:t>
      </w:r>
    </w:p>
    <w:p w14:paraId="3BE174C9" w14:textId="77777777" w:rsidR="000D0697" w:rsidRDefault="00DB5716">
      <w:pPr>
        <w:pStyle w:val="Heading2"/>
        <w:spacing w:line="360" w:lineRule="auto"/>
      </w:pPr>
      <w:bookmarkStart w:id="4" w:name="_Toc240985302"/>
      <w:r>
        <w:t>1.3 Research Problem</w:t>
      </w:r>
      <w:bookmarkEnd w:id="4"/>
    </w:p>
    <w:p w14:paraId="3BE174CA"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 xml:space="preserve">Regardless of major investments in AML technologies and compliance infrastructures, there are still concerns remaining for the effectiveness, sustainability, and scalability of financial crime risk management approaches for major banking institutions. Some existing studies are focused on AML regulations, emerging technologies, and financial crime control measures (Tang and Wen, 2026). Hence, a potential gap is developed for lack of analysis of how these are integrated in a multinational banking system. The use of advanced technologies also increased uncertainty regarding the practical contribution to compliance and company efficiency development. There are still concerns remaining for managing a proper balance in consumer satisfaction through services and strict controls and regulatory alignment process that can result in higher cost and time consumptions. This is </w:t>
      </w:r>
      <w:r>
        <w:rPr>
          <w:rFonts w:ascii="Arial" w:eastAsia="Arial" w:hAnsi="Arial" w:cs="Arial"/>
          <w:sz w:val="24"/>
          <w:szCs w:val="24"/>
        </w:rPr>
        <w:lastRenderedPageBreak/>
        <w:t>especially critical as without adequate controls, companies can face financial and reputational loss in the long-term. Therefore, this study aims to address these issues through a keen focus on HSBC’s AML and FCRM strategies, with consideration of the evolution of risk-based compliance approaches, technological integration and governance approaches. This will allow the study to develop a clear understanding of the opportunities and challenges in relation to scalable AML systems in international banking.</w:t>
      </w:r>
    </w:p>
    <w:p w14:paraId="3BE174CB" w14:textId="77777777" w:rsidR="000D0697" w:rsidRDefault="00DB5716">
      <w:pPr>
        <w:pStyle w:val="Heading2"/>
        <w:spacing w:line="360" w:lineRule="auto"/>
      </w:pPr>
      <w:bookmarkStart w:id="5" w:name="_Toc240985303"/>
      <w:r>
        <w:t>1.4 Research Aim and Objectives</w:t>
      </w:r>
      <w:bookmarkEnd w:id="5"/>
    </w:p>
    <w:p w14:paraId="3BE174CC"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b/>
          <w:bCs/>
          <w:i/>
          <w:iCs/>
          <w:sz w:val="24"/>
          <w:szCs w:val="24"/>
        </w:rPr>
      </w:pPr>
      <w:r>
        <w:rPr>
          <w:rFonts w:ascii="Arial" w:eastAsia="Arial" w:hAnsi="Arial" w:cs="Arial"/>
          <w:b/>
          <w:bCs/>
          <w:i/>
          <w:iCs/>
          <w:sz w:val="24"/>
          <w:szCs w:val="24"/>
        </w:rPr>
        <w:t>Aim:</w:t>
      </w:r>
    </w:p>
    <w:p w14:paraId="3BE174CD"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This research aims at critically evaluating the effectiveness and scalability of HSBC’s Anti-Money Laundering (AML) and Financial Crime Risk Management (FCRM) framework. Specific emphasis will be given on analysing ways in which this bank leverages advanced technologies of AI and data analytics to mitigate global financial crime risks while balancing operational efficiency and customer experience.</w:t>
      </w:r>
    </w:p>
    <w:p w14:paraId="3BE174CE"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b/>
          <w:bCs/>
          <w:i/>
          <w:iCs/>
          <w:sz w:val="24"/>
          <w:szCs w:val="24"/>
        </w:rPr>
      </w:pPr>
      <w:r>
        <w:rPr>
          <w:rFonts w:ascii="Arial" w:eastAsia="Arial" w:hAnsi="Arial" w:cs="Arial"/>
          <w:b/>
          <w:bCs/>
          <w:i/>
          <w:iCs/>
          <w:sz w:val="24"/>
          <w:szCs w:val="24"/>
        </w:rPr>
        <w:t>Objectives:</w:t>
      </w:r>
    </w:p>
    <w:p w14:paraId="3BE174CF" w14:textId="77777777" w:rsidR="000D0697" w:rsidRDefault="00DB5716">
      <w:pPr>
        <w:pStyle w:val="Normal1"/>
        <w:numPr>
          <w:ilvl w:val="0"/>
          <w:numId w:val="2"/>
        </w:numPr>
        <w:pBdr>
          <w:top w:val="nil"/>
          <w:left w:val="nil"/>
          <w:bottom w:val="nil"/>
          <w:right w:val="nil"/>
          <w:between w:val="nil"/>
        </w:pBdr>
        <w:spacing w:before="360" w:after="0" w:line="360" w:lineRule="auto"/>
        <w:jc w:val="both"/>
        <w:rPr>
          <w:sz w:val="24"/>
          <w:szCs w:val="24"/>
        </w:rPr>
      </w:pPr>
      <w:bookmarkStart w:id="6" w:name="_heading=h.li66s83qhtd" w:colFirst="0" w:colLast="0"/>
      <w:bookmarkEnd w:id="6"/>
      <w:r>
        <w:rPr>
          <w:rFonts w:ascii="Arial" w:eastAsia="Arial" w:hAnsi="Arial" w:cs="Arial"/>
          <w:sz w:val="24"/>
          <w:szCs w:val="24"/>
        </w:rPr>
        <w:t>To assess the evolution of HSBC’s FCRM policies to a risk-based approach (RBA)</w:t>
      </w:r>
    </w:p>
    <w:p w14:paraId="3BE174D0" w14:textId="77777777" w:rsidR="000D0697" w:rsidRDefault="00DB5716">
      <w:pPr>
        <w:pStyle w:val="Normal1"/>
        <w:numPr>
          <w:ilvl w:val="0"/>
          <w:numId w:val="2"/>
        </w:numPr>
        <w:pBdr>
          <w:top w:val="nil"/>
          <w:left w:val="nil"/>
          <w:bottom w:val="nil"/>
          <w:right w:val="nil"/>
          <w:between w:val="nil"/>
        </w:pBdr>
        <w:spacing w:after="0" w:line="360" w:lineRule="auto"/>
        <w:jc w:val="both"/>
        <w:rPr>
          <w:sz w:val="24"/>
          <w:szCs w:val="24"/>
        </w:rPr>
      </w:pPr>
      <w:r>
        <w:rPr>
          <w:rFonts w:ascii="Arial" w:eastAsia="Arial" w:hAnsi="Arial" w:cs="Arial"/>
          <w:sz w:val="24"/>
          <w:szCs w:val="24"/>
        </w:rPr>
        <w:t>To examine the role of AI and ‘integrated systems’ in scaling the detection of suspicious activities across a global network.</w:t>
      </w:r>
    </w:p>
    <w:p w14:paraId="3BE174D1" w14:textId="77777777" w:rsidR="000D0697" w:rsidRDefault="00DB5716">
      <w:pPr>
        <w:pStyle w:val="Normal1"/>
        <w:numPr>
          <w:ilvl w:val="0"/>
          <w:numId w:val="2"/>
        </w:numPr>
        <w:pBdr>
          <w:top w:val="nil"/>
          <w:left w:val="nil"/>
          <w:bottom w:val="nil"/>
          <w:right w:val="nil"/>
          <w:between w:val="nil"/>
        </w:pBdr>
        <w:spacing w:after="0" w:line="360" w:lineRule="auto"/>
        <w:jc w:val="both"/>
        <w:rPr>
          <w:sz w:val="24"/>
          <w:szCs w:val="24"/>
        </w:rPr>
      </w:pPr>
      <w:r>
        <w:rPr>
          <w:rFonts w:ascii="Arial" w:eastAsia="Arial" w:hAnsi="Arial" w:cs="Arial"/>
          <w:sz w:val="24"/>
          <w:szCs w:val="24"/>
        </w:rPr>
        <w:t>To investigate the balance between stringent compliance and the impact on legitimate customer experience and operational friction</w:t>
      </w:r>
    </w:p>
    <w:p w14:paraId="3BE174D2" w14:textId="77777777" w:rsidR="000D0697" w:rsidRDefault="00DB5716">
      <w:pPr>
        <w:pStyle w:val="Normal1"/>
        <w:numPr>
          <w:ilvl w:val="0"/>
          <w:numId w:val="2"/>
        </w:numPr>
        <w:pBdr>
          <w:top w:val="nil"/>
          <w:left w:val="nil"/>
          <w:bottom w:val="nil"/>
          <w:right w:val="nil"/>
          <w:between w:val="nil"/>
        </w:pBdr>
        <w:spacing w:after="360" w:line="360" w:lineRule="auto"/>
        <w:jc w:val="both"/>
        <w:rPr>
          <w:sz w:val="24"/>
          <w:szCs w:val="24"/>
        </w:rPr>
      </w:pPr>
      <w:r>
        <w:rPr>
          <w:rFonts w:ascii="Arial" w:eastAsia="Arial" w:hAnsi="Arial" w:cs="Arial"/>
          <w:sz w:val="24"/>
          <w:szCs w:val="24"/>
        </w:rPr>
        <w:t>To offer strategic insights into how HSBC can better integrate emerging technologies to address evolving sophisticated financial crime patterns while maintaining ethical data usage</w:t>
      </w:r>
    </w:p>
    <w:p w14:paraId="3BE174D3" w14:textId="77777777" w:rsidR="000D0697" w:rsidRDefault="00DB5716">
      <w:pPr>
        <w:pStyle w:val="Heading2"/>
        <w:spacing w:line="360" w:lineRule="auto"/>
      </w:pPr>
      <w:bookmarkStart w:id="7" w:name="_Toc240985304"/>
      <w:r>
        <w:t>1.5 Research Questions</w:t>
      </w:r>
      <w:bookmarkEnd w:id="7"/>
    </w:p>
    <w:p w14:paraId="3BE174D4" w14:textId="77777777" w:rsidR="000D0697" w:rsidRDefault="00DB5716">
      <w:pPr>
        <w:pStyle w:val="Normal1"/>
        <w:numPr>
          <w:ilvl w:val="0"/>
          <w:numId w:val="1"/>
        </w:numPr>
        <w:pBdr>
          <w:top w:val="nil"/>
          <w:left w:val="nil"/>
          <w:bottom w:val="nil"/>
          <w:right w:val="nil"/>
          <w:between w:val="nil"/>
        </w:pBdr>
        <w:spacing w:before="360" w:after="0" w:line="360" w:lineRule="auto"/>
        <w:jc w:val="both"/>
        <w:rPr>
          <w:sz w:val="24"/>
          <w:szCs w:val="24"/>
        </w:rPr>
      </w:pPr>
      <w:r>
        <w:rPr>
          <w:rFonts w:ascii="Arial" w:eastAsia="Arial" w:hAnsi="Arial" w:cs="Arial"/>
          <w:sz w:val="24"/>
          <w:szCs w:val="24"/>
        </w:rPr>
        <w:t>How has HSBC’s AML strategy (FCRM) evolved towards a risk-based approach?</w:t>
      </w:r>
    </w:p>
    <w:p w14:paraId="3BE174D5" w14:textId="77777777" w:rsidR="000D0697" w:rsidRDefault="00DB5716">
      <w:pPr>
        <w:pStyle w:val="Normal1"/>
        <w:numPr>
          <w:ilvl w:val="0"/>
          <w:numId w:val="1"/>
        </w:numPr>
        <w:pBdr>
          <w:top w:val="nil"/>
          <w:left w:val="nil"/>
          <w:bottom w:val="nil"/>
          <w:right w:val="nil"/>
          <w:between w:val="nil"/>
        </w:pBdr>
        <w:spacing w:after="0" w:line="360" w:lineRule="auto"/>
        <w:jc w:val="both"/>
        <w:rPr>
          <w:sz w:val="24"/>
          <w:szCs w:val="24"/>
        </w:rPr>
      </w:pPr>
      <w:r>
        <w:rPr>
          <w:rFonts w:ascii="Arial" w:eastAsia="Arial" w:hAnsi="Arial" w:cs="Arial"/>
          <w:sz w:val="24"/>
          <w:szCs w:val="24"/>
        </w:rPr>
        <w:t>How is the integration of AI and integrated systems fostering HSBC’s financial crime detection?</w:t>
      </w:r>
    </w:p>
    <w:p w14:paraId="3BE174D6" w14:textId="77777777" w:rsidR="000D0697" w:rsidRDefault="00DB5716">
      <w:pPr>
        <w:pStyle w:val="Normal1"/>
        <w:numPr>
          <w:ilvl w:val="0"/>
          <w:numId w:val="1"/>
        </w:numPr>
        <w:pBdr>
          <w:top w:val="nil"/>
          <w:left w:val="nil"/>
          <w:bottom w:val="nil"/>
          <w:right w:val="nil"/>
          <w:between w:val="nil"/>
        </w:pBdr>
        <w:spacing w:after="0" w:line="360" w:lineRule="auto"/>
        <w:jc w:val="both"/>
        <w:rPr>
          <w:sz w:val="24"/>
          <w:szCs w:val="24"/>
        </w:rPr>
      </w:pPr>
      <w:r>
        <w:rPr>
          <w:rFonts w:ascii="Arial" w:eastAsia="Arial" w:hAnsi="Arial" w:cs="Arial"/>
          <w:sz w:val="24"/>
          <w:szCs w:val="24"/>
        </w:rPr>
        <w:lastRenderedPageBreak/>
        <w:t>How does HSBC balance compliance with operational efficiency and customer experience?</w:t>
      </w:r>
    </w:p>
    <w:p w14:paraId="3BE174D7" w14:textId="77777777" w:rsidR="000D0697" w:rsidRDefault="00DB5716">
      <w:pPr>
        <w:pStyle w:val="Normal1"/>
        <w:numPr>
          <w:ilvl w:val="0"/>
          <w:numId w:val="1"/>
        </w:numPr>
        <w:pBdr>
          <w:top w:val="nil"/>
          <w:left w:val="nil"/>
          <w:bottom w:val="nil"/>
          <w:right w:val="nil"/>
          <w:between w:val="nil"/>
        </w:pBdr>
        <w:spacing w:after="360" w:line="360" w:lineRule="auto"/>
        <w:jc w:val="both"/>
        <w:rPr>
          <w:sz w:val="24"/>
          <w:szCs w:val="24"/>
        </w:rPr>
      </w:pPr>
      <w:r>
        <w:rPr>
          <w:rFonts w:ascii="Arial" w:eastAsia="Arial" w:hAnsi="Arial" w:cs="Arial"/>
          <w:sz w:val="24"/>
          <w:szCs w:val="24"/>
        </w:rPr>
        <w:t>What strategic improvements could help HSBC to develop the scalable and ethical AML in improving financial crime risk management?</w:t>
      </w:r>
    </w:p>
    <w:p w14:paraId="3BE174D8" w14:textId="77777777" w:rsidR="000D0697" w:rsidRDefault="00DB5716">
      <w:pPr>
        <w:pStyle w:val="Heading2"/>
        <w:spacing w:line="360" w:lineRule="auto"/>
      </w:pPr>
      <w:bookmarkStart w:id="8" w:name="_Toc240985305"/>
      <w:r>
        <w:t>1.6 Significance of the research</w:t>
      </w:r>
      <w:bookmarkEnd w:id="8"/>
    </w:p>
    <w:p w14:paraId="3BE174D9"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 xml:space="preserve">The research is crucial in contexts of both academic and practical aspects. In the academic context, it contributes to existing literature by focusing on the relationships in financial crime risk management, regulatory alignments, and technological innovations. Through a keen consideration of detailed company analysis, this study aims to provide an in-depth understanding of how compliance strategies are practically utilised. Most studies are focused on AML regulations, artificial intelligence, and FCRM separately, and lack analysis of major international banks, such as the ones by </w:t>
      </w:r>
      <w:r>
        <w:rPr>
          <w:rFonts w:ascii="Arial" w:eastAsia="Arial" w:hAnsi="Arial" w:cs="Arial"/>
          <w:sz w:val="24"/>
          <w:szCs w:val="24"/>
          <w:highlight w:val="white"/>
        </w:rPr>
        <w:t xml:space="preserve">Edgars and Benson (2024) and </w:t>
      </w:r>
      <w:r>
        <w:rPr>
          <w:rFonts w:ascii="Arial" w:eastAsia="Arial" w:hAnsi="Arial" w:cs="Arial"/>
          <w:sz w:val="24"/>
          <w:szCs w:val="24"/>
        </w:rPr>
        <w:t>Gupta et al. (2023). Hence, this research is aimed to bridge gaps in existing literature work mainly due to the lack of studies available for critical analysis of AML regulations, AI, or financial crime risk management. From the practical perspective, the findings will potentially provide crucial insights for banking professionals, regulators, and even policymakers to take HSBC’s AML and FCRM concepts into account. Understanding the strengths and limitations of HSBC’s practices can thus support other similar multinational companies that aim to improve financial crime risk controls while managing operational effectiveness.</w:t>
      </w:r>
    </w:p>
    <w:p w14:paraId="3BE174DA" w14:textId="77777777" w:rsidR="000D0697" w:rsidRPr="00FF1977" w:rsidRDefault="00DB5716" w:rsidP="00FF1977">
      <w:pPr>
        <w:pStyle w:val="Heading2"/>
        <w:rPr>
          <w:color w:val="FF0000"/>
        </w:rPr>
      </w:pPr>
      <w:bookmarkStart w:id="9" w:name="_Toc240985306"/>
      <w:r w:rsidRPr="00FF1977">
        <w:rPr>
          <w:color w:val="FF0000"/>
        </w:rPr>
        <w:t>1.7 Theoretical foundation</w:t>
      </w:r>
      <w:bookmarkEnd w:id="9"/>
    </w:p>
    <w:p w14:paraId="6E166C02" w14:textId="77777777" w:rsidR="002640AD" w:rsidRDefault="00DB5716">
      <w:pPr>
        <w:pStyle w:val="Normal1"/>
        <w:pBdr>
          <w:top w:val="nil"/>
          <w:left w:val="nil"/>
          <w:bottom w:val="nil"/>
          <w:right w:val="nil"/>
          <w:between w:val="nil"/>
        </w:pBdr>
        <w:spacing w:before="120" w:after="120" w:line="360" w:lineRule="auto"/>
        <w:jc w:val="both"/>
        <w:rPr>
          <w:rFonts w:ascii="Arial" w:eastAsia="Arial" w:hAnsi="Arial" w:cs="Arial"/>
          <w:color w:val="FF0000"/>
          <w:sz w:val="24"/>
          <w:szCs w:val="24"/>
        </w:rPr>
      </w:pPr>
      <w:r>
        <w:rPr>
          <w:rFonts w:ascii="Arial" w:eastAsia="Arial" w:hAnsi="Arial" w:cs="Arial"/>
          <w:color w:val="FF0000"/>
          <w:sz w:val="24"/>
          <w:szCs w:val="24"/>
        </w:rPr>
        <w:t xml:space="preserve">The theoretical foundation for this research is focused on two key aspects that synthesize the literature review, including the Risk-Based Regulation theory and the Technology-Organisation-Environment framework. In relation to Risk-Based Regulation theory, it is highlighting that regulatory enforcement and internal alignment approaches should be prioritised and distributed efficiently to the analysed risk levels and consider how different regulatory environments, consumers and products have different types of vulnerabilities (Bredbenner, 2024). This theory shows the operational shift from a solid traditional rule-based approach to a wider intelligent risk-profiling framework (Mazumder, 2026). </w:t>
      </w:r>
    </w:p>
    <w:p w14:paraId="3BE174DB" w14:textId="68610C01" w:rsidR="000D0697" w:rsidRDefault="00DB5716">
      <w:pPr>
        <w:pStyle w:val="Normal1"/>
        <w:pBdr>
          <w:top w:val="nil"/>
          <w:left w:val="nil"/>
          <w:bottom w:val="nil"/>
          <w:right w:val="nil"/>
          <w:between w:val="nil"/>
        </w:pBdr>
        <w:spacing w:before="120" w:after="120" w:line="360" w:lineRule="auto"/>
        <w:jc w:val="both"/>
        <w:rPr>
          <w:rFonts w:ascii="Arial" w:eastAsia="Arial" w:hAnsi="Arial" w:cs="Arial"/>
          <w:color w:val="FF0000"/>
          <w:sz w:val="24"/>
          <w:szCs w:val="24"/>
        </w:rPr>
      </w:pPr>
      <w:r>
        <w:rPr>
          <w:rFonts w:ascii="Arial" w:eastAsia="Arial" w:hAnsi="Arial" w:cs="Arial"/>
          <w:color w:val="FF0000"/>
          <w:sz w:val="24"/>
          <w:szCs w:val="24"/>
        </w:rPr>
        <w:lastRenderedPageBreak/>
        <w:t>Although structural execution has a major basis on systemic infrastructure, the TOE framework supports this, especially through highlighting that technological adaptation is managed through three aspects including technological capabilities, internal organisational readiness and even external environmental approaches (Prakash, 2025). In an anti-money laundering context,</w:t>
      </w:r>
      <w:r w:rsidR="002640AD">
        <w:rPr>
          <w:rFonts w:ascii="Arial" w:eastAsia="Arial" w:hAnsi="Arial" w:cs="Arial"/>
          <w:color w:val="FF0000"/>
          <w:sz w:val="24"/>
          <w:szCs w:val="24"/>
        </w:rPr>
        <w:t xml:space="preserve"> </w:t>
      </w:r>
      <w:r>
        <w:rPr>
          <w:rFonts w:ascii="Arial" w:eastAsia="Arial" w:hAnsi="Arial" w:cs="Arial"/>
          <w:color w:val="FF0000"/>
          <w:sz w:val="24"/>
          <w:szCs w:val="24"/>
        </w:rPr>
        <w:t xml:space="preserve">technological innovations like AI or automated analytics are the technical layer, while corporate governance structures, human expertise and data quality shows the organisational layer and changing regulatory mandates with shifting criminal networks are the environmental layers (Mazumder, 2026). Hence, these theories collaboratively are closing the gap for compliance strategies and practical executions, showing that scalable financial crime risk management needs a proper balance in risk-based governance and technological advancements through readiness. </w:t>
      </w:r>
    </w:p>
    <w:p w14:paraId="3BE174DC" w14:textId="77777777" w:rsidR="000D0697" w:rsidRDefault="00DB5716">
      <w:pPr>
        <w:pStyle w:val="Heading2"/>
        <w:spacing w:line="360" w:lineRule="auto"/>
      </w:pPr>
      <w:bookmarkStart w:id="10" w:name="_Toc240985307"/>
      <w:r>
        <w:t>1.8 Methodology overview</w:t>
      </w:r>
      <w:bookmarkEnd w:id="10"/>
    </w:p>
    <w:p w14:paraId="3BE174DD"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 xml:space="preserve">For this study, a qualitative research methodology is selected, which is crucial as the researchers aim to understand the company strategies, compliance approaches, and technological development over time, and not to understand the relationships through measuring them or numerical data. Furthermore, an inductive approach will be utilised in the study to develop themes and patterns from the collected data (Naeem </w:t>
      </w:r>
      <w:r>
        <w:rPr>
          <w:rFonts w:ascii="Arial" w:eastAsia="Arial" w:hAnsi="Arial" w:cs="Arial"/>
          <w:i/>
          <w:iCs/>
          <w:sz w:val="24"/>
          <w:szCs w:val="24"/>
        </w:rPr>
        <w:t>et al</w:t>
      </w:r>
      <w:r>
        <w:rPr>
          <w:rFonts w:ascii="Arial" w:eastAsia="Arial" w:hAnsi="Arial" w:cs="Arial"/>
          <w:sz w:val="24"/>
          <w:szCs w:val="24"/>
        </w:rPr>
        <w:t>., 2023). Secondary data will be the key basis of the analysis, with information gained from academic and journal articles, while the literature will also consider credible documents, governance reports, and industry and annual reports also regarding HSBC, AML, and financial crime risk management. The study mainly focuses on using purposive sampling through identification of materials that are directly related to the research objectives. A thematic analysis of the collected data will be done to analyse various relevant and authentic literature to identify and evaluate recurring patterns related to risk-based compliance, governance structures, consumer experiences and operational efficiencies (Özden, 2024).</w:t>
      </w:r>
    </w:p>
    <w:p w14:paraId="3BE174DE" w14:textId="77777777" w:rsidR="000D0697" w:rsidRPr="00FF1977" w:rsidRDefault="00DB5716" w:rsidP="00FF1977">
      <w:pPr>
        <w:pStyle w:val="Heading2"/>
        <w:rPr>
          <w:color w:val="FF0000"/>
        </w:rPr>
      </w:pPr>
      <w:bookmarkStart w:id="11" w:name="_Toc240985308"/>
      <w:r w:rsidRPr="00FF1977">
        <w:rPr>
          <w:color w:val="FF0000"/>
        </w:rPr>
        <w:t>1.9 Main findings</w:t>
      </w:r>
      <w:bookmarkEnd w:id="11"/>
    </w:p>
    <w:p w14:paraId="3BE174DF" w14:textId="7A4A9CB4" w:rsidR="000D0697" w:rsidRDefault="00DB5716">
      <w:pPr>
        <w:pStyle w:val="Normal1"/>
        <w:pBdr>
          <w:top w:val="nil"/>
          <w:left w:val="nil"/>
          <w:bottom w:val="nil"/>
          <w:right w:val="nil"/>
          <w:between w:val="nil"/>
        </w:pBdr>
        <w:spacing w:before="120" w:after="120" w:line="360" w:lineRule="auto"/>
        <w:jc w:val="both"/>
        <w:rPr>
          <w:rFonts w:ascii="Arial" w:eastAsia="Arial" w:hAnsi="Arial" w:cs="Arial"/>
          <w:color w:val="FF0000"/>
          <w:sz w:val="24"/>
          <w:szCs w:val="24"/>
        </w:rPr>
      </w:pPr>
      <w:r>
        <w:rPr>
          <w:rFonts w:ascii="Arial" w:eastAsia="Arial" w:hAnsi="Arial" w:cs="Arial"/>
          <w:color w:val="FF0000"/>
          <w:sz w:val="24"/>
          <w:szCs w:val="24"/>
        </w:rPr>
        <w:t xml:space="preserve">The research showed that major multinational banking companies need to effectively shift from rule-based anti-money laundering framework to dynamic and intelligence-based financial crime risk management models. The integration of advanced AI, ML, and enterprise-wide analytics majorly increased the amount, speed and accuracy of </w:t>
      </w:r>
      <w:r>
        <w:rPr>
          <w:rFonts w:ascii="Arial" w:eastAsia="Arial" w:hAnsi="Arial" w:cs="Arial"/>
          <w:color w:val="FF0000"/>
          <w:sz w:val="24"/>
          <w:szCs w:val="24"/>
        </w:rPr>
        <w:lastRenderedPageBreak/>
        <w:t xml:space="preserve">suspicious activity identified and even reduced higher false-positive rates. However, technological integration was not effective on its own, as long-term success was majorly based on human interaction quality, effectiveness of data governance and algorithmic transparency. On the other hand, the findings also showcased that compliance effectiveness </w:t>
      </w:r>
      <w:r w:rsidR="002640AD">
        <w:rPr>
          <w:rFonts w:ascii="Arial" w:eastAsia="Arial" w:hAnsi="Arial" w:cs="Arial"/>
          <w:color w:val="FF0000"/>
          <w:sz w:val="24"/>
          <w:szCs w:val="24"/>
        </w:rPr>
        <w:t>cannot</w:t>
      </w:r>
      <w:r>
        <w:rPr>
          <w:rFonts w:ascii="Arial" w:eastAsia="Arial" w:hAnsi="Arial" w:cs="Arial"/>
          <w:color w:val="FF0000"/>
          <w:sz w:val="24"/>
          <w:szCs w:val="24"/>
        </w:rPr>
        <w:t xml:space="preserve"> hinder legitimate consumer experiences or operations. Through the use of proportional, risk-based consumer due diligence, banks can better overcome unnecessary operational frictions for low-risk consumers, and enhance scrutiny for high-risk profiles. Hence, sustainable anti-money laundering scalability needs an aligned approach through digital innovation, regulatory alignment and ethical accountabilities. </w:t>
      </w:r>
    </w:p>
    <w:p w14:paraId="3BE174E0" w14:textId="77777777" w:rsidR="000D0697" w:rsidRDefault="00DB5716">
      <w:pPr>
        <w:pStyle w:val="Heading2"/>
        <w:spacing w:line="360" w:lineRule="auto"/>
      </w:pPr>
      <w:bookmarkStart w:id="12" w:name="_Toc240985309"/>
      <w:r>
        <w:t>1.10 Research Structure</w:t>
      </w:r>
      <w:bookmarkEnd w:id="12"/>
    </w:p>
    <w:p w14:paraId="3BE174E1" w14:textId="77777777" w:rsidR="000D0697" w:rsidRDefault="00DB5716">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This research is developed through five key chapters, with chapter 1 introducing the research topic and developing the background and rationale understanding while showcasing the research problem. It also sheds light on aim, objectives, questions, and significance of the study. Chapter 2 aims to review relevant literature based on AML, financial crime risk management, compliance approaches, AI, governance, and others. In Chapter 3, a detailed overview and justification will be provided for the chosen methodologies of this research, focusing on aspects like approach, sampling, inclusion, collection and even analysis. The 4th chapter provides the findings from the thematic table while discussing them via theme generation and eventually providing a comparative analysis of the findings with existing literature. The final, 5th chapter concludes the study through summarising the key findings, addressing the research objectives, providing recommendations in relation to practical and academic contexts, and showing opportunities for future research.</w:t>
      </w:r>
    </w:p>
    <w:p w14:paraId="3BE174E2" w14:textId="77777777" w:rsidR="000D0697" w:rsidRDefault="00DB5716">
      <w:pPr>
        <w:pStyle w:val="Heading2"/>
        <w:spacing w:line="360" w:lineRule="auto"/>
      </w:pPr>
      <w:bookmarkStart w:id="13" w:name="_Toc240985310"/>
      <w:r>
        <w:t>1.11 Summary</w:t>
      </w:r>
      <w:bookmarkEnd w:id="13"/>
    </w:p>
    <w:p w14:paraId="3BE174E5" w14:textId="6678BAEC" w:rsidR="000D0697" w:rsidRPr="002640AD" w:rsidRDefault="00DB5716" w:rsidP="002640AD">
      <w:pPr>
        <w:pStyle w:val="Normal1"/>
        <w:pBdr>
          <w:top w:val="nil"/>
          <w:left w:val="nil"/>
          <w:bottom w:val="nil"/>
          <w:right w:val="nil"/>
          <w:between w:val="nil"/>
        </w:pBdr>
        <w:spacing w:before="120" w:after="120" w:line="360" w:lineRule="auto"/>
        <w:jc w:val="both"/>
        <w:rPr>
          <w:rFonts w:ascii="Arial" w:eastAsia="Arial" w:hAnsi="Arial" w:cs="Arial"/>
          <w:sz w:val="24"/>
          <w:szCs w:val="24"/>
        </w:rPr>
      </w:pPr>
      <w:r>
        <w:rPr>
          <w:rFonts w:ascii="Arial" w:eastAsia="Arial" w:hAnsi="Arial" w:cs="Arial"/>
          <w:sz w:val="24"/>
          <w:szCs w:val="24"/>
        </w:rPr>
        <w:t>This chapter has shed light on the background of the chosen topic, with a focus on FCRM and the rising cruciality of scalable AML strategies in relation to major international banking companies like HSBC. The chapter provides crucial justification for the choice of this research topic via shedding light on existing literature gaps. Analysis of research aim, objectives, questions and the significance of the analysis also support gaining a critical basis for conducting this research.</w:t>
      </w:r>
      <w:r>
        <w:br w:type="page"/>
      </w:r>
    </w:p>
    <w:p w14:paraId="3BE174E6" w14:textId="77777777" w:rsidR="000D0697" w:rsidRDefault="00DB5716">
      <w:pPr>
        <w:pStyle w:val="Heading1"/>
      </w:pPr>
      <w:bookmarkStart w:id="14" w:name="_Toc240985311"/>
      <w:r>
        <w:lastRenderedPageBreak/>
        <w:t>Chapter 2: Literature review</w:t>
      </w:r>
      <w:bookmarkEnd w:id="14"/>
    </w:p>
    <w:p w14:paraId="3BE174E7" w14:textId="77777777" w:rsidR="000D0697" w:rsidRDefault="00DB5716">
      <w:pPr>
        <w:pStyle w:val="Heading2"/>
        <w:spacing w:line="360" w:lineRule="auto"/>
      </w:pPr>
      <w:bookmarkStart w:id="15" w:name="_Toc240985312"/>
      <w:r>
        <w:t>2.1 Introduction</w:t>
      </w:r>
      <w:bookmarkEnd w:id="15"/>
    </w:p>
    <w:p w14:paraId="3BE174E8"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As time passes, the complexities regarding financial crimes have shown how banks are considering anti-money laundering and financial crime risk management. Cross-border transactions, fintech integration, and digital banking are raising the sophistication of criminal networks and exploring the limited capabilities in traditional compliance models. These eventually resulted in fintech institutions investing rapidly in advanced analytics, AI and integrated monitoring approaches. Therefore, to develop a better in-depth understanding of this context, this chapter reviews contemporary academic and industry literature in relation to technology-based AML approaches, compliance management issues, and various approaches for financial crime prevention. In this critical review of past literary work, the main focus is given on HSBC and its shift towards a risk-based FCRM. Existing literature gaps and theoretical framework will also provide a solid base of understanding in this topic area.</w:t>
      </w:r>
    </w:p>
    <w:p w14:paraId="3BE174E9" w14:textId="77777777" w:rsidR="000D0697" w:rsidRDefault="00DB5716">
      <w:pPr>
        <w:pStyle w:val="Heading2"/>
      </w:pPr>
      <w:bookmarkStart w:id="16" w:name="_Toc240985313"/>
      <w:r>
        <w:t>2.2 Risk-based transformation of financial crime risk management: An analysis of HSBC’s shift towards FCRM</w:t>
      </w:r>
      <w:bookmarkEnd w:id="16"/>
    </w:p>
    <w:p w14:paraId="3BE174EA" w14:textId="77777777" w:rsidR="000D0697" w:rsidRDefault="00DB5716">
      <w:pPr>
        <w:pStyle w:val="Normal1"/>
        <w:pBdr>
          <w:top w:val="nil"/>
          <w:left w:val="nil"/>
          <w:bottom w:val="nil"/>
          <w:right w:val="nil"/>
          <w:between w:val="nil"/>
        </w:pBdr>
        <w:spacing w:line="360" w:lineRule="auto"/>
        <w:jc w:val="both"/>
        <w:rPr>
          <w:rFonts w:ascii="Arial" w:eastAsia="Arial" w:hAnsi="Arial" w:cs="Arial"/>
          <w:b/>
          <w:bCs/>
          <w:sz w:val="24"/>
          <w:szCs w:val="24"/>
        </w:rPr>
      </w:pPr>
      <w:r>
        <w:rPr>
          <w:rFonts w:ascii="Arial" w:eastAsia="Arial" w:hAnsi="Arial" w:cs="Arial"/>
          <w:b/>
          <w:bCs/>
          <w:sz w:val="24"/>
          <w:szCs w:val="24"/>
        </w:rPr>
        <w:t xml:space="preserve">2.2.1 Transformational shift from Rule-Based AML to Risk-Based FCRM </w:t>
      </w:r>
    </w:p>
    <w:p w14:paraId="3BE174EB"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In the digitised age, financial crime is becoming more sophisticated, in which the traditional AML and compliance controls still relied on the static controls, one-size-fits-all monitoring alerts and manual investigations, resulting in bottlenecks and limiting the risk visibility approach within the financial institutions. As per the survey data of the United Nations Office on Drugs and Crime has been estimated that approximately $800 billion to $2 trillion is laundered each year, similar as the 5% of global GDP that emphasises the need for intelligence-led FCRM (WNS, 2026). In this regard, the paper of Parray </w:t>
      </w:r>
      <w:r>
        <w:rPr>
          <w:rFonts w:ascii="Arial" w:eastAsia="Arial" w:hAnsi="Arial" w:cs="Arial"/>
          <w:i/>
          <w:iCs/>
          <w:sz w:val="24"/>
          <w:szCs w:val="24"/>
        </w:rPr>
        <w:t xml:space="preserve">et al. </w:t>
      </w:r>
      <w:r>
        <w:rPr>
          <w:rFonts w:ascii="Arial" w:eastAsia="Arial" w:hAnsi="Arial" w:cs="Arial"/>
          <w:sz w:val="24"/>
          <w:szCs w:val="24"/>
        </w:rPr>
        <w:t xml:space="preserve">(2025) has found using the Financial Crime Risk Management (FCRM) approach based on risk levels that institutions can prioritize their controls, due diligence and monitoring efforts. This is, however, based on their customer, product and geographic risk profiles. Therefore, to cope with the changing financial crime threats, HSBC has evolved its Anti-Money Laundering </w:t>
      </w:r>
      <w:r>
        <w:rPr>
          <w:rFonts w:ascii="Arial" w:eastAsia="Arial" w:hAnsi="Arial" w:cs="Arial"/>
          <w:sz w:val="24"/>
          <w:szCs w:val="24"/>
        </w:rPr>
        <w:lastRenderedPageBreak/>
        <w:t xml:space="preserve">(AML) strategy from its traditional rule-based model to one that is designed as a FCRM framework (HSBC Holdings plc, 2024). </w:t>
      </w:r>
    </w:p>
    <w:p w14:paraId="3BE174EC"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However, through the integration of dynamic risk assessment and intelligence-led decisions for continuous oversight HSBC achieved a 60% reduction in financial crime incidents as well as 25% improvement in operational efficiency (Parray </w:t>
      </w:r>
      <w:r>
        <w:rPr>
          <w:rFonts w:ascii="Arial" w:eastAsia="Arial" w:hAnsi="Arial" w:cs="Arial"/>
          <w:i/>
          <w:iCs/>
          <w:sz w:val="24"/>
          <w:szCs w:val="24"/>
        </w:rPr>
        <w:t xml:space="preserve">et al., </w:t>
      </w:r>
      <w:r>
        <w:rPr>
          <w:rFonts w:ascii="Arial" w:eastAsia="Arial" w:hAnsi="Arial" w:cs="Arial"/>
          <w:sz w:val="24"/>
          <w:szCs w:val="24"/>
        </w:rPr>
        <w:t xml:space="preserve">2025). This aspect has been highlighting the strong alignment of the organisation with the Risk Based Approach (RBA), in which HSBC emphasises their compliance process to match the level of risk and likelihood of financial crime (HSBC Holdings plc, 2025c). In this context, HSBC’s partnership with Google needs to be considered which has created the Dynamic Risk Assessment (DRA) platform and analyses over 1 billion transactions monthly across millions of accounts (Daigle, 2025; HSBC Holdings plc, 2025b). Thus, HSBC adopted the Financial Action Task Force (FATF) Risk Based Approach to prioritizing customer, product and geographic risks over consistent compliance practices (Aidoo </w:t>
      </w:r>
      <w:r>
        <w:rPr>
          <w:rFonts w:ascii="Arial" w:eastAsia="Arial" w:hAnsi="Arial" w:cs="Arial"/>
          <w:i/>
          <w:iCs/>
          <w:sz w:val="24"/>
          <w:szCs w:val="24"/>
        </w:rPr>
        <w:t xml:space="preserve">et al., </w:t>
      </w:r>
      <w:r>
        <w:rPr>
          <w:rFonts w:ascii="Arial" w:eastAsia="Arial" w:hAnsi="Arial" w:cs="Arial"/>
          <w:sz w:val="24"/>
          <w:szCs w:val="24"/>
        </w:rPr>
        <w:t xml:space="preserve">2025). However, as argued by Ridzuan </w:t>
      </w:r>
      <w:r>
        <w:rPr>
          <w:rFonts w:ascii="Arial" w:eastAsia="Arial" w:hAnsi="Arial" w:cs="Arial"/>
          <w:i/>
          <w:iCs/>
          <w:sz w:val="24"/>
          <w:szCs w:val="24"/>
        </w:rPr>
        <w:t>et al.</w:t>
      </w:r>
      <w:r>
        <w:rPr>
          <w:rFonts w:ascii="Arial" w:eastAsia="Arial" w:hAnsi="Arial" w:cs="Arial"/>
          <w:sz w:val="24"/>
          <w:szCs w:val="24"/>
        </w:rPr>
        <w:t xml:space="preserve"> (2024), further success of intelligence-led approach requires effective data quality, governance and ongoing technological evolution in combating money laundering techniques which might create the cyber issues in HSBC.</w:t>
      </w:r>
    </w:p>
    <w:p w14:paraId="3BE174ED" w14:textId="77777777" w:rsidR="000D0697" w:rsidRDefault="00DB5716">
      <w:pPr>
        <w:pStyle w:val="Normal1"/>
        <w:pBdr>
          <w:top w:val="nil"/>
          <w:left w:val="nil"/>
          <w:bottom w:val="nil"/>
          <w:right w:val="nil"/>
          <w:between w:val="nil"/>
        </w:pBdr>
        <w:spacing w:line="360" w:lineRule="auto"/>
        <w:jc w:val="both"/>
        <w:rPr>
          <w:rFonts w:ascii="Arial" w:eastAsia="Arial" w:hAnsi="Arial" w:cs="Arial"/>
          <w:b/>
          <w:bCs/>
          <w:sz w:val="24"/>
          <w:szCs w:val="24"/>
        </w:rPr>
      </w:pPr>
      <w:r>
        <w:rPr>
          <w:rFonts w:ascii="Arial" w:eastAsia="Arial" w:hAnsi="Arial" w:cs="Arial"/>
          <w:b/>
          <w:bCs/>
          <w:sz w:val="24"/>
          <w:szCs w:val="24"/>
        </w:rPr>
        <w:t xml:space="preserve">2.2.2 Influential Factors behind HSBC's Financial Risk management Transformation </w:t>
      </w:r>
    </w:p>
    <w:p w14:paraId="3BE174EE" w14:textId="77777777" w:rsidR="000D0697" w:rsidRDefault="00DB5716">
      <w:pPr>
        <w:pStyle w:val="Normal1"/>
        <w:pBdr>
          <w:top w:val="nil"/>
          <w:left w:val="nil"/>
          <w:bottom w:val="nil"/>
          <w:right w:val="nil"/>
          <w:between w:val="nil"/>
        </w:pBdr>
        <w:spacing w:line="360" w:lineRule="auto"/>
        <w:jc w:val="both"/>
        <w:rPr>
          <w:rFonts w:ascii="Arial" w:eastAsia="Arial" w:hAnsi="Arial" w:cs="Arial"/>
          <w:b/>
          <w:bCs/>
          <w:sz w:val="24"/>
          <w:szCs w:val="24"/>
        </w:rPr>
      </w:pPr>
      <w:bookmarkStart w:id="17" w:name="_heading=h.qx92og21fptm" w:colFirst="0" w:colLast="0"/>
      <w:bookmarkEnd w:id="17"/>
      <w:r>
        <w:rPr>
          <w:rFonts w:ascii="Arial" w:eastAsia="Arial" w:hAnsi="Arial" w:cs="Arial"/>
          <w:sz w:val="24"/>
          <w:szCs w:val="24"/>
        </w:rPr>
        <w:t>As per the industry data of HSBC, the incident of the bank's US$1.9 billion settlement with the US Department of Justice in 2012 has played an important role in transforming its traditional risk management and mitigating the weaknesses in its global control environment. Regarding this aspect, a</w:t>
      </w:r>
      <w:r>
        <w:rPr>
          <w:rFonts w:ascii="Arial" w:eastAsia="Arial" w:hAnsi="Arial" w:cs="Arial"/>
          <w:sz w:val="24"/>
          <w:szCs w:val="24"/>
          <w:highlight w:val="white"/>
        </w:rPr>
        <w:t>ny financial institution that needs a USA Patriot Act Certification from an HSBC Group business can use the Global Certification that HSBC has developed that is able to legally verify the shell bank to strengthen AML (</w:t>
      </w:r>
      <w:r>
        <w:rPr>
          <w:rFonts w:ascii="Arial" w:eastAsia="Arial" w:hAnsi="Arial" w:cs="Arial"/>
          <w:sz w:val="24"/>
          <w:szCs w:val="24"/>
        </w:rPr>
        <w:t>HSBC Holdings plc, 2025a</w:t>
      </w:r>
      <w:r>
        <w:rPr>
          <w:rFonts w:ascii="Arial" w:eastAsia="Arial" w:hAnsi="Arial" w:cs="Arial"/>
          <w:sz w:val="24"/>
          <w:szCs w:val="24"/>
          <w:highlight w:val="white"/>
        </w:rPr>
        <w:t>).</w:t>
      </w:r>
      <w:r>
        <w:rPr>
          <w:rFonts w:ascii="Arial" w:eastAsia="Arial" w:hAnsi="Arial" w:cs="Arial"/>
          <w:sz w:val="24"/>
          <w:szCs w:val="24"/>
        </w:rPr>
        <w:t xml:space="preserve"> In addition to these, the evolving regulatory demands from the FATF, Financial Conduct Authority (FCA) and Basel Committee have been rising in the digitised age which demands more robust operational resilience and risk governance. However, the operational resilience is able to keep pace with the rapid growth of digital banking where the complex laundering techniques enhance the rate of cybercrime and cross-border transactions which conventional transaction-monitoring systems could not efficiently detect </w:t>
      </w:r>
      <w:r>
        <w:rPr>
          <w:rFonts w:ascii="Arial" w:eastAsia="Arial" w:hAnsi="Arial" w:cs="Arial"/>
          <w:sz w:val="24"/>
          <w:szCs w:val="24"/>
        </w:rPr>
        <w:lastRenderedPageBreak/>
        <w:t xml:space="preserve">(HSBC Holdings plc, 2026). On the contrary, </w:t>
      </w:r>
      <w:r>
        <w:rPr>
          <w:rFonts w:ascii="Arial" w:eastAsia="Arial" w:hAnsi="Arial" w:cs="Arial"/>
          <w:sz w:val="24"/>
          <w:szCs w:val="24"/>
          <w:highlight w:val="white"/>
        </w:rPr>
        <w:t xml:space="preserve">Felipe </w:t>
      </w:r>
      <w:r>
        <w:rPr>
          <w:rFonts w:ascii="Arial" w:eastAsia="Arial" w:hAnsi="Arial" w:cs="Arial"/>
          <w:i/>
          <w:iCs/>
          <w:sz w:val="24"/>
          <w:szCs w:val="24"/>
          <w:highlight w:val="white"/>
        </w:rPr>
        <w:t>et al.</w:t>
      </w:r>
      <w:r>
        <w:rPr>
          <w:rFonts w:ascii="Arial" w:eastAsia="Arial" w:hAnsi="Arial" w:cs="Arial"/>
          <w:sz w:val="24"/>
          <w:szCs w:val="24"/>
          <w:highlight w:val="white"/>
        </w:rPr>
        <w:t xml:space="preserve"> (2026) argued that</w:t>
      </w:r>
      <w:r>
        <w:rPr>
          <w:rFonts w:ascii="Arial" w:eastAsia="Arial" w:hAnsi="Arial" w:cs="Arial"/>
          <w:sz w:val="24"/>
          <w:szCs w:val="24"/>
        </w:rPr>
        <w:t xml:space="preserve"> this type of conversion has been recognised as the response to regulation rather than the product of vision. However, the ongoing investments in AI, advanced analytics and global compliance competencies illustrate the bank's evolution towards a more proactive and intelligence-driven FCRM approach. </w:t>
      </w:r>
    </w:p>
    <w:p w14:paraId="3BE174EF" w14:textId="77777777" w:rsidR="000D0697" w:rsidRDefault="00DB5716">
      <w:pPr>
        <w:pStyle w:val="Normal1"/>
        <w:pBdr>
          <w:top w:val="nil"/>
          <w:left w:val="nil"/>
          <w:bottom w:val="nil"/>
          <w:right w:val="nil"/>
          <w:between w:val="nil"/>
        </w:pBdr>
        <w:spacing w:line="360" w:lineRule="auto"/>
        <w:jc w:val="both"/>
        <w:rPr>
          <w:rFonts w:ascii="Arial" w:eastAsia="Arial" w:hAnsi="Arial" w:cs="Arial"/>
          <w:b/>
          <w:bCs/>
          <w:sz w:val="24"/>
          <w:szCs w:val="24"/>
        </w:rPr>
      </w:pPr>
      <w:r>
        <w:rPr>
          <w:rFonts w:ascii="Arial" w:eastAsia="Arial" w:hAnsi="Arial" w:cs="Arial"/>
          <w:b/>
          <w:bCs/>
          <w:sz w:val="24"/>
          <w:szCs w:val="24"/>
        </w:rPr>
        <w:t xml:space="preserve">2.2.3 HSBC's Risk-Based Financial Crime Risk Management Framework </w:t>
      </w:r>
    </w:p>
    <w:p w14:paraId="3BE174F0"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bookmarkStart w:id="18" w:name="_heading=h.m002zigtumfv" w:colFirst="0" w:colLast="0"/>
      <w:bookmarkEnd w:id="18"/>
      <w:r>
        <w:rPr>
          <w:rFonts w:ascii="Arial" w:eastAsia="Arial" w:hAnsi="Arial" w:cs="Arial"/>
          <w:sz w:val="24"/>
          <w:szCs w:val="24"/>
        </w:rPr>
        <w:t xml:space="preserve">The core concept of HSBC's FCRM framework is that financial crime risks need to be addressed based on the likelihood and potential impact of these risks, instead of the same controls to all customers or transactions. The framework completely relied on the </w:t>
      </w:r>
      <w:r>
        <w:rPr>
          <w:rFonts w:ascii="Arial" w:eastAsia="Arial" w:hAnsi="Arial" w:cs="Arial"/>
          <w:sz w:val="24"/>
          <w:szCs w:val="24"/>
          <w:highlight w:val="white"/>
        </w:rPr>
        <w:t>FATCA</w:t>
      </w:r>
      <w:r>
        <w:rPr>
          <w:rFonts w:ascii="Arial" w:eastAsia="Arial" w:hAnsi="Arial" w:cs="Arial"/>
          <w:sz w:val="24"/>
          <w:szCs w:val="24"/>
        </w:rPr>
        <w:t xml:space="preserve"> Risk Based Approach, which aims to minimize the potential for money laundering, terrorist financing, violation of sanctions, bribery and corruption through the distribution of compliance resources based on risk (HSBC Holdings plc, 2025a). However, the principles of FCRM underpin several initiatives include risk identification, assessment, mitigation through the accountability and regulatory compliance approach of robust governance (HSBC Holdings plc, 2025a). Regarding the operational aspect, the framework starts with an Enterprise-Wide Risk Assessment (EWRA) to assess customer profiles, the products and services they are using, the delivery channels and geographical exposure to establish the level of financial crime risk (</w:t>
      </w:r>
      <w:r>
        <w:rPr>
          <w:rFonts w:ascii="Arial" w:eastAsia="Arial" w:hAnsi="Arial" w:cs="Arial"/>
          <w:sz w:val="24"/>
          <w:szCs w:val="24"/>
          <w:highlight w:val="white"/>
        </w:rPr>
        <w:t xml:space="preserve">Parray </w:t>
      </w:r>
      <w:r>
        <w:rPr>
          <w:rFonts w:ascii="Arial" w:eastAsia="Arial" w:hAnsi="Arial" w:cs="Arial"/>
          <w:i/>
          <w:iCs/>
          <w:sz w:val="24"/>
          <w:szCs w:val="24"/>
          <w:highlight w:val="white"/>
        </w:rPr>
        <w:t xml:space="preserve">et al., </w:t>
      </w:r>
      <w:r>
        <w:rPr>
          <w:rFonts w:ascii="Arial" w:eastAsia="Arial" w:hAnsi="Arial" w:cs="Arial"/>
          <w:sz w:val="24"/>
          <w:szCs w:val="24"/>
          <w:highlight w:val="white"/>
        </w:rPr>
        <w:t>2025</w:t>
      </w:r>
      <w:r>
        <w:rPr>
          <w:rFonts w:ascii="Arial" w:eastAsia="Arial" w:hAnsi="Arial" w:cs="Arial"/>
          <w:sz w:val="24"/>
          <w:szCs w:val="24"/>
        </w:rPr>
        <w:t xml:space="preserve">). This aspect is in line with the Global Financial Crime Policy in which HSBC applies the </w:t>
      </w:r>
      <w:r>
        <w:rPr>
          <w:rFonts w:ascii="Arial" w:eastAsia="Arial" w:hAnsi="Arial" w:cs="Arial"/>
          <w:i/>
          <w:iCs/>
          <w:sz w:val="24"/>
          <w:szCs w:val="24"/>
        </w:rPr>
        <w:t xml:space="preserve">Know Your Customer (KYC) </w:t>
      </w:r>
      <w:r>
        <w:rPr>
          <w:rFonts w:ascii="Arial" w:eastAsia="Arial" w:hAnsi="Arial" w:cs="Arial"/>
          <w:sz w:val="24"/>
          <w:szCs w:val="24"/>
        </w:rPr>
        <w:t xml:space="preserve">rules </w:t>
      </w:r>
      <w:r>
        <w:rPr>
          <w:rFonts w:ascii="Arial" w:eastAsia="Arial" w:hAnsi="Arial" w:cs="Arial"/>
          <w:sz w:val="24"/>
          <w:szCs w:val="24"/>
          <w:highlight w:val="white"/>
        </w:rPr>
        <w:t>by using the data exchange platform of Swift KYC Registry (</w:t>
      </w:r>
      <w:r>
        <w:rPr>
          <w:rFonts w:ascii="Arial" w:eastAsia="Arial" w:hAnsi="Arial" w:cs="Arial"/>
          <w:sz w:val="24"/>
          <w:szCs w:val="24"/>
        </w:rPr>
        <w:t>HSBC Holdings plc, 2025a</w:t>
      </w:r>
      <w:r>
        <w:rPr>
          <w:rFonts w:ascii="Arial" w:eastAsia="Arial" w:hAnsi="Arial" w:cs="Arial"/>
          <w:sz w:val="24"/>
          <w:szCs w:val="24"/>
          <w:highlight w:val="white"/>
        </w:rPr>
        <w:t>).</w:t>
      </w:r>
    </w:p>
    <w:p w14:paraId="3BE174F1"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As understood from 2024 Annual Report of HSBC that strengthening its governance by integrating financial crime specialists across its international operations has helped with Customer Due Diligence (CDD), AI-powered transaction monitoring and sanctions screening in place while operating in 58 countries and territories, instead of a set of static rules (HBC Holdings plc, 2025c). Furthermore, on-going monitoring of transactions through AI-based analytics, sanctions screening and behavioural monitoring for real-time detection of unusual transactions also prioritized within the framework, in which the team reports them to regulators via Suspicious Activity Reports (SARs). HSBC reported around 137,000 suspicious activities to law enforcement and regulatory bodies in 2025 after discovering possible financial </w:t>
      </w:r>
      <w:r>
        <w:rPr>
          <w:rFonts w:ascii="Arial" w:eastAsia="Arial" w:hAnsi="Arial" w:cs="Arial"/>
          <w:sz w:val="24"/>
          <w:szCs w:val="24"/>
        </w:rPr>
        <w:lastRenderedPageBreak/>
        <w:t xml:space="preserve">crimes, highlighting intelligence-led financial crime detection approaches (HSBC Holdings plc, 2025b). However, </w:t>
      </w:r>
      <w:r>
        <w:rPr>
          <w:rFonts w:ascii="Arial" w:eastAsia="Arial" w:hAnsi="Arial" w:cs="Arial"/>
          <w:sz w:val="24"/>
          <w:szCs w:val="24"/>
          <w:highlight w:val="white"/>
        </w:rPr>
        <w:t xml:space="preserve">Olowu </w:t>
      </w:r>
      <w:r>
        <w:rPr>
          <w:rFonts w:ascii="Arial" w:eastAsia="Arial" w:hAnsi="Arial" w:cs="Arial"/>
          <w:i/>
          <w:iCs/>
          <w:sz w:val="24"/>
          <w:szCs w:val="24"/>
          <w:highlight w:val="white"/>
        </w:rPr>
        <w:t xml:space="preserve">et al. </w:t>
      </w:r>
      <w:r>
        <w:rPr>
          <w:rFonts w:ascii="Arial" w:eastAsia="Arial" w:hAnsi="Arial" w:cs="Arial"/>
          <w:sz w:val="24"/>
          <w:szCs w:val="24"/>
          <w:highlight w:val="white"/>
        </w:rPr>
        <w:t xml:space="preserve">(2024) argued that </w:t>
      </w:r>
      <w:r>
        <w:rPr>
          <w:rFonts w:ascii="Arial" w:eastAsia="Arial" w:hAnsi="Arial" w:cs="Arial"/>
          <w:sz w:val="24"/>
          <w:szCs w:val="24"/>
        </w:rPr>
        <w:t xml:space="preserve">while the risk-based approach deduces unnecessary investigations to foster effective decision-making patterns, it is vulnerable to false-positive alarms. This is due to algorithmic bias and model opacity, which could raise operating expenses and cause legitimate client transactions to be delayed. </w:t>
      </w:r>
    </w:p>
    <w:p w14:paraId="3BE174F2"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In addition, the Three Lines of Defence model is one of the core foundations of FCRM in HSBC which used to provide oversight, where business units manage risk, oversee compliance and strengthen the internal audit for further effectiveness of control (HSBC UK Bank plc, 2026). Thus, the framework brings together all these capabilities, helping HSBC to enhance its regulatory compliance, operational resilience, and ability to detect new financial crime risks in the international platform (HSBC Holdings plc, 2025c). On the contrary, the research data also criticised FCRM as a dynamic and continuously evolving strategic approach which requires constant investment and high adaption rate for strict adherence instead of a definitive solution to financial crime (Neotas, 2026). </w:t>
      </w:r>
    </w:p>
    <w:p w14:paraId="3BE174F3" w14:textId="77777777" w:rsidR="000D0697" w:rsidRDefault="00DB5716">
      <w:pPr>
        <w:pStyle w:val="Heading2"/>
        <w:spacing w:line="360" w:lineRule="auto"/>
      </w:pPr>
      <w:bookmarkStart w:id="19" w:name="_Toc240985314"/>
      <w:r>
        <w:t>2.3 Artificial Intelligence, advanced analytics and integrated monitoring systems: Evaluation in relation to financial crime detection</w:t>
      </w:r>
      <w:bookmarkEnd w:id="19"/>
    </w:p>
    <w:p w14:paraId="3BE174F4"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The rapid scale and speed of modern financial transactions have shifted the need for anti-money laundering systems, especially in relation to rational rule-based monitoring frameworks that focus on analysing any suspicious activities through static situations or pre-defined thresholds (Bagashvili, 2025). Regardless of these approaches being still crucial for compliance programmes, the advancements in adaptive criminal networks demand more sophisticated approaches from financial institutions. The rise of AI and Machine Learning (ML) and integrated data ecosystems have thus become a key focus in relation to financial crime detection. This is supported by the study of Kumar (2024) who not only identified how these technologies impact financial crime detection, but also provided an example for HSBC. In partnership with Google, this company has implemented AI, which, in turn, has increased financial crime detection by 2 to 4 times while reducing false-positive alerts to improve consumer experience. One of the major limitations of traditional monitoring systems is their basis on historical analysis and pre-defined indicators. Due to their capability in developing a large number of alerts that often are non-</w:t>
      </w:r>
      <w:r>
        <w:rPr>
          <w:rFonts w:ascii="Arial" w:eastAsia="Arial" w:hAnsi="Arial" w:cs="Arial"/>
          <w:sz w:val="24"/>
          <w:szCs w:val="24"/>
        </w:rPr>
        <w:lastRenderedPageBreak/>
        <w:t xml:space="preserve">suspicious. The false positive rates in major financial institutions often range between 90 and 95%, showing how this issue can become more prominent for major multinational banks like HSBC (Fluxforce, 2026). Furthermore, as per the study by Chai </w:t>
      </w:r>
      <w:r>
        <w:rPr>
          <w:rFonts w:ascii="Arial" w:eastAsia="Arial" w:hAnsi="Arial" w:cs="Arial"/>
          <w:i/>
          <w:iCs/>
          <w:sz w:val="24"/>
          <w:szCs w:val="24"/>
        </w:rPr>
        <w:t>et al.</w:t>
      </w:r>
      <w:r>
        <w:rPr>
          <w:rFonts w:ascii="Arial" w:eastAsia="Arial" w:hAnsi="Arial" w:cs="Arial"/>
          <w:sz w:val="24"/>
          <w:szCs w:val="24"/>
        </w:rPr>
        <w:t xml:space="preserve"> (2026), it can be identified how Illicit Financial Flows have been between the ranges of US $800 to $2 trillion as per UNODC estimation in global financial systems, representing 5% of the global GDP. These major volumes make manual and traditional rule-based monitoring more challenging and ineffective.</w:t>
      </w:r>
    </w:p>
    <w:p w14:paraId="3BE174F5"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3BE17938" wp14:editId="3BE17939">
            <wp:extent cx="5731510" cy="4450143"/>
            <wp:effectExtent l="0" t="0" r="0" b="0"/>
            <wp:docPr id="3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510" cy="4450143"/>
                    </a:xfrm>
                    <a:prstGeom prst="rect">
                      <a:avLst/>
                    </a:prstGeom>
                    <a:ln/>
                  </pic:spPr>
                </pic:pic>
              </a:graphicData>
            </a:graphic>
          </wp:inline>
        </w:drawing>
      </w:r>
    </w:p>
    <w:p w14:paraId="3BE174F6" w14:textId="77777777" w:rsidR="000D0697" w:rsidRDefault="00DB5716">
      <w:pPr>
        <w:pStyle w:val="Heading5"/>
        <w:rPr>
          <w:rFonts w:ascii="Arial" w:eastAsia="Arial" w:hAnsi="Arial" w:cs="Arial"/>
        </w:rPr>
      </w:pPr>
      <w:bookmarkStart w:id="20" w:name="_heading=h.504tn9u9hua9" w:colFirst="0" w:colLast="0"/>
      <w:bookmarkStart w:id="21" w:name="_Toc240985283"/>
      <w:bookmarkEnd w:id="20"/>
      <w:r>
        <w:rPr>
          <w:rFonts w:ascii="Arial" w:eastAsia="Arial" w:hAnsi="Arial" w:cs="Arial"/>
        </w:rPr>
        <w:t>Figure 2.1: Overview of False positives in traditional Rule-based transaction monitoring systems (2024)</w:t>
      </w:r>
      <w:bookmarkEnd w:id="21"/>
    </w:p>
    <w:p w14:paraId="3BE174F7"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sz w:val="24"/>
          <w:szCs w:val="24"/>
        </w:rPr>
        <w:t>(Source: Fluxforce, 2026)</w:t>
      </w:r>
    </w:p>
    <w:p w14:paraId="3BE174F8"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AI has offered an alternative approach to identify hidden relations and behavioural patterns in these situations that may have been not identified through static rules (Nie </w:t>
      </w:r>
      <w:r>
        <w:rPr>
          <w:rFonts w:ascii="Arial" w:eastAsia="Arial" w:hAnsi="Arial" w:cs="Arial"/>
          <w:i/>
          <w:iCs/>
          <w:sz w:val="24"/>
          <w:szCs w:val="24"/>
        </w:rPr>
        <w:t>et al</w:t>
      </w:r>
      <w:r>
        <w:rPr>
          <w:rFonts w:ascii="Arial" w:eastAsia="Arial" w:hAnsi="Arial" w:cs="Arial"/>
          <w:sz w:val="24"/>
          <w:szCs w:val="24"/>
        </w:rPr>
        <w:t xml:space="preserve">., 2025). ML algorithms can also analyse major datasets, conduct historical analysis, and adapt based on changing patterns for criminal approaches. This capability is crucial for identifying complicated laundering approaches that involve </w:t>
      </w:r>
      <w:r>
        <w:rPr>
          <w:rFonts w:ascii="Arial" w:eastAsia="Arial" w:hAnsi="Arial" w:cs="Arial"/>
          <w:sz w:val="24"/>
          <w:szCs w:val="24"/>
        </w:rPr>
        <w:lastRenderedPageBreak/>
        <w:t xml:space="preserve">diverse accounts, jurisdictions and entities. Studies have also identified how network analytics can enhance the capabilities of AML analysis (Deprez </w:t>
      </w:r>
      <w:r>
        <w:rPr>
          <w:rFonts w:ascii="Arial" w:eastAsia="Arial" w:hAnsi="Arial" w:cs="Arial"/>
          <w:i/>
          <w:iCs/>
          <w:sz w:val="24"/>
          <w:szCs w:val="24"/>
        </w:rPr>
        <w:t>et al.</w:t>
      </w:r>
      <w:r>
        <w:rPr>
          <w:rFonts w:ascii="Arial" w:eastAsia="Arial" w:hAnsi="Arial" w:cs="Arial"/>
          <w:sz w:val="24"/>
          <w:szCs w:val="24"/>
        </w:rPr>
        <w:t xml:space="preserve"> 2026). Criminal organisations mostly do not transact through isolated transactions, as they consider interconnected networks that manage funds through diverse channels. The cruciality of integrated systems is not just focused on AI models, as advanced AML systems are often based on consolidation of data from diverse sources in an integrated risk-management context (Aidoo </w:t>
      </w:r>
      <w:r>
        <w:rPr>
          <w:rFonts w:ascii="Arial" w:eastAsia="Arial" w:hAnsi="Arial" w:cs="Arial"/>
          <w:i/>
          <w:iCs/>
          <w:sz w:val="24"/>
          <w:szCs w:val="24"/>
        </w:rPr>
        <w:t>et al</w:t>
      </w:r>
      <w:r>
        <w:rPr>
          <w:rFonts w:ascii="Arial" w:eastAsia="Arial" w:hAnsi="Arial" w:cs="Arial"/>
          <w:sz w:val="24"/>
          <w:szCs w:val="24"/>
        </w:rPr>
        <w:t>., 2025). Consumer due diligence records, sanction analysis results, adverse media data, and others are also combined for developing more in-depth risk analysis systems. Based on the results of a survey conducted among 850 members of Association of Certified Anti-Money Laundering Specialists by SAS, it is identified that AI and ML adoption is still growing and at a moderate range (SAS, 2025). This is with only 18% reporting having AI/ML solutions in development, 25% still planning to implement AI/ML, and finally 40% showing no adaptation plan (Ross, 2025).</w:t>
      </w:r>
    </w:p>
    <w:p w14:paraId="3BE174F9"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Cooperation between financial institutions and the regulatory authorities is also changing through artificial intelligence and built-in surveillance systems. Historically, suspicious transaction reports were only created following long manual inquiries and this took time to respond to the arising financial crime threats. Nonetheless, Deprez </w:t>
      </w:r>
      <w:r>
        <w:rPr>
          <w:rFonts w:ascii="Arial" w:eastAsia="Arial" w:hAnsi="Arial" w:cs="Arial"/>
          <w:i/>
          <w:iCs/>
          <w:sz w:val="24"/>
          <w:szCs w:val="24"/>
        </w:rPr>
        <w:t>et al.</w:t>
      </w:r>
      <w:r>
        <w:rPr>
          <w:rFonts w:ascii="Arial" w:eastAsia="Arial" w:hAnsi="Arial" w:cs="Arial"/>
          <w:sz w:val="24"/>
          <w:szCs w:val="24"/>
        </w:rPr>
        <w:t xml:space="preserve"> (2026) added that AI-driven surveillance tools can now be used to monitor and report nearly real-time due to continuously analysing transaction behaviour on various channels. Predictive analytics also enhance the above abilities in that it can detect customers or entities that have behavioural resemblance to those customers or entities that have already been identified to have been engaging in money laundering, enabling financial institutions to intervene before such suspicious behaviours begin to take off (Deprez </w:t>
      </w:r>
      <w:r>
        <w:rPr>
          <w:rFonts w:ascii="Arial" w:eastAsia="Arial" w:hAnsi="Arial" w:cs="Arial"/>
          <w:i/>
          <w:iCs/>
          <w:sz w:val="24"/>
          <w:szCs w:val="24"/>
        </w:rPr>
        <w:t>et al.</w:t>
      </w:r>
      <w:r>
        <w:rPr>
          <w:rFonts w:ascii="Arial" w:eastAsia="Arial" w:hAnsi="Arial" w:cs="Arial"/>
          <w:sz w:val="24"/>
          <w:szCs w:val="24"/>
        </w:rPr>
        <w:t xml:space="preserve">, 2026). In the case of multinational organisations like HSBC, integrated monitoring platforms can also help consolidate the information on customers of various business units and jurisdictions to give a global picture of the financial crime risks that may affect the operations of such organisations. This is an enterprise-wide visibility that enhances decision-making and aids in making decisions that are more consistent with international regulations requirements. However, researchers believe that as AI-based monitoring gains popularity, it is necessary to regularly validate models since financial criminals are constantly revising their methods of laundering money to evade automatic detection </w:t>
      </w:r>
      <w:r>
        <w:rPr>
          <w:rFonts w:ascii="Arial" w:eastAsia="Arial" w:hAnsi="Arial" w:cs="Arial"/>
          <w:sz w:val="24"/>
          <w:szCs w:val="24"/>
        </w:rPr>
        <w:lastRenderedPageBreak/>
        <w:t xml:space="preserve">algorithms (Ridzuan </w:t>
      </w:r>
      <w:r>
        <w:rPr>
          <w:rFonts w:ascii="Arial" w:eastAsia="Arial" w:hAnsi="Arial" w:cs="Arial"/>
          <w:i/>
          <w:iCs/>
          <w:sz w:val="24"/>
          <w:szCs w:val="24"/>
        </w:rPr>
        <w:t xml:space="preserve">et al., </w:t>
      </w:r>
      <w:r>
        <w:rPr>
          <w:rFonts w:ascii="Arial" w:eastAsia="Arial" w:hAnsi="Arial" w:cs="Arial"/>
          <w:sz w:val="24"/>
          <w:szCs w:val="24"/>
        </w:rPr>
        <w:t xml:space="preserve">2024). This means that the financial institutions will have to periodically train ML models with new datasets and typologies of financial crime. Thus, AI-based AML systems can be effective in the long term not only due to the advanced level of technology usage, but also due to the constant regulation, supervision of the work of human analysts and risk management practices that change as new threats in financial crime arise (Deprez </w:t>
      </w:r>
      <w:r>
        <w:rPr>
          <w:rFonts w:ascii="Arial" w:eastAsia="Arial" w:hAnsi="Arial" w:cs="Arial"/>
          <w:i/>
          <w:iCs/>
          <w:sz w:val="24"/>
          <w:szCs w:val="24"/>
        </w:rPr>
        <w:t>et al.</w:t>
      </w:r>
      <w:r>
        <w:rPr>
          <w:rFonts w:ascii="Arial" w:eastAsia="Arial" w:hAnsi="Arial" w:cs="Arial"/>
          <w:sz w:val="24"/>
          <w:szCs w:val="24"/>
        </w:rPr>
        <w:t>, 2026).</w:t>
      </w:r>
    </w:p>
    <w:p w14:paraId="3BE174FA"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In this case, HSBC has provided a solid example for wider industry development. After its major regulatory scrutiny in relation to inadequacy in the money laundering case of 2022, it paid nearly $1.9 billion dollars as fine (Ross, 2025). After that, it shifted its focus on investments in data integration, advanced analytics and machine-learning capabilities which are a wider consideration of FCRM approach. These types of approaches are showing a major industrial trend to shift to intelligence-based compliance aspects. The focus has been to enhance the risk assessment analysis while allowing surveillance approaches to operate consistently in global banking environments. Other major companies in this sector have also showcased similar approach adaptations like JPMorgan Chase has focused on expanding its use of AI technologies in various compliance aspects (jpmorgan, 2023). Their approach in this case has also highlighted the use of their Omni-AI platform, which is based on ML and supports AI adaptations for increasing fraud detection (Moran, 2026). These developments are showing how technology adaptations are a major strategic requirement for managing financial crime risks.</w:t>
      </w:r>
    </w:p>
    <w:p w14:paraId="3BE174FB"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3BE1793A" wp14:editId="3BE1793B">
            <wp:extent cx="5992555" cy="3086785"/>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t="9298"/>
                    <a:stretch>
                      <a:fillRect/>
                    </a:stretch>
                  </pic:blipFill>
                  <pic:spPr>
                    <a:xfrm>
                      <a:off x="0" y="0"/>
                      <a:ext cx="5992555" cy="3086785"/>
                    </a:xfrm>
                    <a:prstGeom prst="rect">
                      <a:avLst/>
                    </a:prstGeom>
                    <a:ln/>
                  </pic:spPr>
                </pic:pic>
              </a:graphicData>
            </a:graphic>
          </wp:inline>
        </w:drawing>
      </w:r>
    </w:p>
    <w:p w14:paraId="3BE174FC" w14:textId="77777777" w:rsidR="000D0697" w:rsidRDefault="00DB5716">
      <w:pPr>
        <w:pStyle w:val="Heading5"/>
        <w:rPr>
          <w:rFonts w:ascii="Arial" w:eastAsia="Arial" w:hAnsi="Arial" w:cs="Arial"/>
        </w:rPr>
      </w:pPr>
      <w:bookmarkStart w:id="22" w:name="_heading=h.homfslow342l" w:colFirst="0" w:colLast="0"/>
      <w:bookmarkStart w:id="23" w:name="_Toc240985284"/>
      <w:bookmarkEnd w:id="22"/>
      <w:r>
        <w:rPr>
          <w:rFonts w:ascii="Arial" w:eastAsia="Arial" w:hAnsi="Arial" w:cs="Arial"/>
        </w:rPr>
        <w:lastRenderedPageBreak/>
        <w:t>Figure 2.2: Omni-AI channel overview of JPMorgan Chase</w:t>
      </w:r>
      <w:bookmarkEnd w:id="23"/>
    </w:p>
    <w:p w14:paraId="3BE174FD"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sz w:val="24"/>
          <w:szCs w:val="24"/>
        </w:rPr>
        <w:t>(Source: Moran, 2026)</w:t>
      </w:r>
    </w:p>
    <w:p w14:paraId="3BE174F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Regardless of these advancements, the existing studies are also showing various limitations in relation to AI-based AML systems. Like data quality is a major concern with ML models, as they are majorly dependent on data accuracy and consistency. Inadequate quality of consumer records, inconsistency in coding, or hindered information can impact the model outcomes, and the results can become unreliable (Reinhard </w:t>
      </w:r>
      <w:r>
        <w:rPr>
          <w:rFonts w:ascii="Arial" w:eastAsia="Arial" w:hAnsi="Arial" w:cs="Arial"/>
          <w:i/>
          <w:iCs/>
          <w:sz w:val="24"/>
          <w:szCs w:val="24"/>
        </w:rPr>
        <w:t>et al.</w:t>
      </w:r>
      <w:r>
        <w:rPr>
          <w:rFonts w:ascii="Arial" w:eastAsia="Arial" w:hAnsi="Arial" w:cs="Arial"/>
          <w:sz w:val="24"/>
          <w:szCs w:val="24"/>
        </w:rPr>
        <w:t xml:space="preserve">, 2023). Financial companies are operating in a highly regulated situation where accountability and capabilities are crucial. Regulators are thus increasing the expectations for companies to justify the concerns regarding flagged high-risk entities or any suspicious activities. Thus, explainable AI has become a key area of interest in AML context. Bias is another major aspect of analysis in this topic area. Oyeniran </w:t>
      </w:r>
      <w:r>
        <w:rPr>
          <w:rFonts w:ascii="Arial" w:eastAsia="Arial" w:hAnsi="Arial" w:cs="Arial"/>
          <w:i/>
          <w:iCs/>
          <w:sz w:val="24"/>
          <w:szCs w:val="24"/>
        </w:rPr>
        <w:t>et al</w:t>
      </w:r>
      <w:r>
        <w:rPr>
          <w:rFonts w:ascii="Arial" w:eastAsia="Arial" w:hAnsi="Arial" w:cs="Arial"/>
          <w:sz w:val="24"/>
          <w:szCs w:val="24"/>
        </w:rPr>
        <w:t xml:space="preserve">. (2022) added that machine learning systems are mainly based on historical data that can potentially have bias in previous analysis or decisions for organisational approaches. As a result, if these biases are again repeated in the automated systems, particular consumer groups can again face disproportionate scrutiny while proper risks are not detected. Oko-Odion (2025) had also identified this issue and thus considered human-intervention-related approaches to be a best practice to maintain accountability in fraud detection approaches. In this complete scenario, the adaptability of financial criminals has also developed a major issue. Technology innovation is not only focused on financial institutions, as criminal networks often utilize sophisticated digital tools, emerging financial products, and others to avoid being detected. With time, advancements in detection capabilities in money laundering have also attracted new and advanced techniques of these crimes (Fan </w:t>
      </w:r>
      <w:r>
        <w:rPr>
          <w:rFonts w:ascii="Arial" w:eastAsia="Arial" w:hAnsi="Arial" w:cs="Arial"/>
          <w:i/>
          <w:iCs/>
          <w:sz w:val="24"/>
          <w:szCs w:val="24"/>
        </w:rPr>
        <w:t>et al.</w:t>
      </w:r>
      <w:r>
        <w:rPr>
          <w:rFonts w:ascii="Arial" w:eastAsia="Arial" w:hAnsi="Arial" w:cs="Arial"/>
          <w:sz w:val="24"/>
          <w:szCs w:val="24"/>
        </w:rPr>
        <w:t>, 2026). Therefore, the analysis of existing literature is showing that AI should not be considered as a replacing factor of human expertise and only considered as an enhancement approach, highlighting that a hybrid approach will be more effective in this type of situation.</w:t>
      </w:r>
    </w:p>
    <w:p w14:paraId="3BE174FF" w14:textId="77777777" w:rsidR="000D0697" w:rsidRDefault="00DB5716">
      <w:pPr>
        <w:pStyle w:val="Heading2"/>
        <w:spacing w:line="360" w:lineRule="auto"/>
      </w:pPr>
      <w:bookmarkStart w:id="24" w:name="_Toc240985315"/>
      <w:r>
        <w:t>2.4 Compliance effectiveness, customer experiences and operational efficiency</w:t>
      </w:r>
      <w:bookmarkEnd w:id="24"/>
    </w:p>
    <w:p w14:paraId="3BE17500"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The compliance-related effectiveness for anti-money laundering programmes is often analysed through the capability to detect any suspicious approaches while meeting regulatory demands (Aidoo </w:t>
      </w:r>
      <w:r>
        <w:rPr>
          <w:rFonts w:ascii="Arial" w:eastAsia="Arial" w:hAnsi="Arial" w:cs="Arial"/>
          <w:i/>
          <w:iCs/>
          <w:sz w:val="24"/>
          <w:szCs w:val="24"/>
        </w:rPr>
        <w:t>et al.</w:t>
      </w:r>
      <w:r>
        <w:rPr>
          <w:rFonts w:ascii="Arial" w:eastAsia="Arial" w:hAnsi="Arial" w:cs="Arial"/>
          <w:sz w:val="24"/>
          <w:szCs w:val="24"/>
        </w:rPr>
        <w:t xml:space="preserve">, 2025). However, the operational outcomes through </w:t>
      </w:r>
      <w:r>
        <w:rPr>
          <w:rFonts w:ascii="Arial" w:eastAsia="Arial" w:hAnsi="Arial" w:cs="Arial"/>
          <w:sz w:val="24"/>
          <w:szCs w:val="24"/>
        </w:rPr>
        <w:lastRenderedPageBreak/>
        <w:t xml:space="preserve">compliance measures are also crucial to be analysed.  As time passed, financial companies are facing more issues and concerns regarding increased strictness of AML controls while also ensuring to provide a proper consumer experience and better efficiency. These issues have developed major concerning areas for discussion in professional literature and academic aspects. Regulatory expectations have significantly increased over time, especially after major high-risk financial concerns. For example, financial institutions like HSBC have integrated new and advanced Financial Crime Policies to ensure effective and efficient fraud detections (HSBC, 2026). While new requirements are contributing to strong financial crime control, they are also creating potential for complexities in operational approaches. </w:t>
      </w:r>
    </w:p>
    <w:p w14:paraId="3BE17501"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The Global financial crime compliance mark</w:t>
      </w:r>
      <w:r>
        <w:rPr>
          <w:rFonts w:ascii="Arial" w:eastAsia="Arial" w:hAnsi="Arial" w:cs="Arial"/>
          <w:i/>
          <w:iCs/>
          <w:sz w:val="24"/>
          <w:szCs w:val="24"/>
        </w:rPr>
        <w:t>et al</w:t>
      </w:r>
      <w:r>
        <w:rPr>
          <w:rFonts w:ascii="Arial" w:eastAsia="Arial" w:hAnsi="Arial" w:cs="Arial"/>
          <w:sz w:val="24"/>
          <w:szCs w:val="24"/>
        </w:rPr>
        <w:t xml:space="preserve">so remains high, with a valuation of approximately $28.6 billion in 2025 (Sharma </w:t>
      </w:r>
      <w:r>
        <w:rPr>
          <w:rFonts w:ascii="Arial" w:eastAsia="Arial" w:hAnsi="Arial" w:cs="Arial"/>
          <w:i/>
          <w:iCs/>
          <w:sz w:val="24"/>
          <w:szCs w:val="24"/>
        </w:rPr>
        <w:t>et al.</w:t>
      </w:r>
      <w:r>
        <w:rPr>
          <w:rFonts w:ascii="Arial" w:eastAsia="Arial" w:hAnsi="Arial" w:cs="Arial"/>
          <w:sz w:val="24"/>
          <w:szCs w:val="24"/>
        </w:rPr>
        <w:t>, 2026). This also potentially refers to how major international banks are investing a major amount of compliance spending to reduce financial crime-related risks. Yet, these major investments do not always refer to increased protection and ensure guaranteed protection. One of the most prominent approaches undertaken in stricter AML requirements is the consumer onboarding related barriers. Approaches like the KYC (Know Your Customer) process can often require a major amount of documentation, identity verification, and source-of-fund analysis before account opening (Kawamura, 2022). These, regardless of being crucial for ensuring security, can increase the delayed process that develops inconveniences even for legitimate consumers. This type of long onboarding process can develop consumer dissatisfaction, especially when consumers want rapid digital services.  </w:t>
      </w:r>
    </w:p>
    <w:p w14:paraId="3BE17502" w14:textId="77777777" w:rsidR="000D0697" w:rsidRDefault="00DB5716">
      <w:pPr>
        <w:pStyle w:val="Normal1"/>
        <w:spacing w:line="360" w:lineRule="auto"/>
        <w:rPr>
          <w:rFonts w:ascii="Arial" w:eastAsia="Arial" w:hAnsi="Arial" w:cs="Arial"/>
          <w:sz w:val="24"/>
          <w:szCs w:val="24"/>
        </w:rPr>
      </w:pPr>
      <w:r>
        <w:rPr>
          <w:rFonts w:ascii="Arial" w:eastAsia="Arial" w:hAnsi="Arial" w:cs="Arial"/>
          <w:noProof/>
          <w:sz w:val="24"/>
          <w:szCs w:val="24"/>
        </w:rPr>
        <w:lastRenderedPageBreak/>
        <w:drawing>
          <wp:inline distT="0" distB="0" distL="0" distR="0" wp14:anchorId="3BE1793C" wp14:editId="3BE1793D">
            <wp:extent cx="6010275" cy="3075756"/>
            <wp:effectExtent l="0" t="0" r="0" b="0"/>
            <wp:docPr id="3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010275" cy="3075756"/>
                    </a:xfrm>
                    <a:prstGeom prst="rect">
                      <a:avLst/>
                    </a:prstGeom>
                    <a:ln/>
                  </pic:spPr>
                </pic:pic>
              </a:graphicData>
            </a:graphic>
          </wp:inline>
        </w:drawing>
      </w:r>
    </w:p>
    <w:p w14:paraId="3BE17503" w14:textId="77777777" w:rsidR="000D0697" w:rsidRDefault="00DB5716">
      <w:pPr>
        <w:pStyle w:val="Heading5"/>
        <w:rPr>
          <w:rFonts w:ascii="Arial" w:eastAsia="Arial" w:hAnsi="Arial" w:cs="Arial"/>
        </w:rPr>
      </w:pPr>
      <w:bookmarkStart w:id="25" w:name="_heading=h.wsbikwqsht7b" w:colFirst="0" w:colLast="0"/>
      <w:bookmarkStart w:id="26" w:name="_Toc240985285"/>
      <w:bookmarkEnd w:id="25"/>
      <w:r>
        <w:rPr>
          <w:rFonts w:ascii="Arial" w:eastAsia="Arial" w:hAnsi="Arial" w:cs="Arial"/>
        </w:rPr>
        <w:t>Figure 2.3: Financial crime compliance market size</w:t>
      </w:r>
      <w:bookmarkEnd w:id="26"/>
    </w:p>
    <w:p w14:paraId="3BE17504"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sz w:val="24"/>
          <w:szCs w:val="24"/>
        </w:rPr>
        <w:t xml:space="preserve">(Source: Sharma </w:t>
      </w:r>
      <w:r>
        <w:rPr>
          <w:rFonts w:ascii="Arial" w:eastAsia="Arial" w:hAnsi="Arial" w:cs="Arial"/>
          <w:i/>
          <w:iCs/>
          <w:sz w:val="24"/>
          <w:szCs w:val="24"/>
        </w:rPr>
        <w:t>et al.</w:t>
      </w:r>
      <w:r>
        <w:rPr>
          <w:rFonts w:ascii="Arial" w:eastAsia="Arial" w:hAnsi="Arial" w:cs="Arial"/>
          <w:sz w:val="24"/>
          <w:szCs w:val="24"/>
        </w:rPr>
        <w:t>, 2026)</w:t>
      </w:r>
    </w:p>
    <w:p w14:paraId="3BE17505"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In the case of international banking groups, which provide crucial services to a diverse population, the differences in regulatory needs can often require these companies to utilize various verification standards. Consumers who are focused on doing cross-border business approaches can thus face repeated requests for periodic reviews, documentation, and more information-needing activities (Kitov and Kartsev, 2025). Regardless of these measures supporting compliance approaches, they can also develop negative perceptions among consumers for the service qualities. Studies have identified how false positives have developed another major operational issue in this case, especially for traditional monitoring systems who often alert users that flag genuine transactions as being suspicious (Oyedokun </w:t>
      </w:r>
      <w:r>
        <w:rPr>
          <w:rFonts w:ascii="Arial" w:eastAsia="Arial" w:hAnsi="Arial" w:cs="Arial"/>
          <w:i/>
          <w:iCs/>
          <w:sz w:val="24"/>
          <w:szCs w:val="24"/>
        </w:rPr>
        <w:t>et al.</w:t>
      </w:r>
      <w:r>
        <w:rPr>
          <w:rFonts w:ascii="Arial" w:eastAsia="Arial" w:hAnsi="Arial" w:cs="Arial"/>
          <w:sz w:val="24"/>
          <w:szCs w:val="24"/>
        </w:rPr>
        <w:t xml:space="preserve">, 2024). This develops the need for compliance teams to allocate major resources for analysing these alerts, developing inefficiencies that can increase a company’s operational costs. These false alerts, if increased, can develop compliance pressure on companies and even negatively impact the consumer relations segment. Studies like the one done by Hanif </w:t>
      </w:r>
      <w:r>
        <w:rPr>
          <w:rFonts w:ascii="Arial" w:eastAsia="Arial" w:hAnsi="Arial" w:cs="Arial"/>
          <w:i/>
          <w:iCs/>
          <w:sz w:val="24"/>
          <w:szCs w:val="24"/>
        </w:rPr>
        <w:t>et al.</w:t>
      </w:r>
      <w:r>
        <w:rPr>
          <w:rFonts w:ascii="Arial" w:eastAsia="Arial" w:hAnsi="Arial" w:cs="Arial"/>
          <w:sz w:val="24"/>
          <w:szCs w:val="24"/>
        </w:rPr>
        <w:t xml:space="preserve"> (2025) have shed light on the concept of proportionality in AML frameworks. In contrast to the utilisation of identical controls for every consumer, risk-based approaches can be beneficial for aligning compliance needs with the analysed risk levels. Low-risk consumers can benefit from simplification of processes, while entities with comparatively higher risks may need </w:t>
      </w:r>
      <w:r>
        <w:rPr>
          <w:rFonts w:ascii="Arial" w:eastAsia="Arial" w:hAnsi="Arial" w:cs="Arial"/>
          <w:sz w:val="24"/>
          <w:szCs w:val="24"/>
        </w:rPr>
        <w:lastRenderedPageBreak/>
        <w:t>major compliance scrutiny. This and the previously identified investments for KYC and other relevant approaches are showing how companies need to have wide operational resources to ensure alignment with compliance contexts.</w:t>
      </w:r>
    </w:p>
    <w:p w14:paraId="3BE17506"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bookmarkStart w:id="27" w:name="_heading=h.pqkd2zhodd2s" w:colFirst="0" w:colLast="0"/>
      <w:bookmarkEnd w:id="27"/>
      <w:r>
        <w:rPr>
          <w:rFonts w:ascii="Arial" w:eastAsia="Arial" w:hAnsi="Arial" w:cs="Arial"/>
          <w:sz w:val="24"/>
          <w:szCs w:val="24"/>
        </w:rPr>
        <w:t xml:space="preserve">Technologies are another major influential factor that encourages companies to maintain a balance with their efficiency and compliance alignments.  Automation in verifications, AI-supported consumer verifications, digital onboarding and others have become key for reducing processing times of these companies (Ibiyeye </w:t>
      </w:r>
      <w:r>
        <w:rPr>
          <w:rFonts w:ascii="Arial" w:eastAsia="Arial" w:hAnsi="Arial" w:cs="Arial"/>
          <w:i/>
          <w:iCs/>
          <w:sz w:val="24"/>
          <w:szCs w:val="24"/>
        </w:rPr>
        <w:t>et al.</w:t>
      </w:r>
      <w:r>
        <w:rPr>
          <w:rFonts w:ascii="Arial" w:eastAsia="Arial" w:hAnsi="Arial" w:cs="Arial"/>
          <w:sz w:val="24"/>
          <w:szCs w:val="24"/>
        </w:rPr>
        <w:t>, 2025). These also support the company to maintain their alignment with advanced strict regulatory needs and consumer expectations. HSBC’s focus on technological innovations is also shedding light on the industry-based challenges. It is also identified that HSBC has invested in AI utilisation with over 600 use cases as of 2025 (HSBC, 2025). This is in aspects of cyber security, fraud detection and consumer services. These are mainly developed to increase efficiency and reduce unnecessary consumer hindrances in services. Operational efficiency is also influenced through workforce commitments, as major investigating teams for reviewing are crucial for AML systems. These high workplace requirements also create cost pressure and can potentially result in inconsistent decision-making. The wider banking sector is also focused on developing compliance with these approaches that can be effective for the brand itself and even for the consumers. The relation among consumer experience and compliance is not only focused on onboarding approaches, as transaction monitoring approaches, reviewing accounts and additional information requests can also be factors that influence consumer perceptions of the company. Edgars and Benson (2024) identified how managing transparency in AI-based compliance approaches is crucial to showcase accountability. As a result, workflow automations, case-management technologies, and decision-support systems are found to be crucial to ensure transparency and consistency of services. This has, therefore, shown how advancements in technologies can offer crucial opportunities for reduction of barriers, yet regulatory, organisational and behavioural complexities are still not enough to be solutions. Thus, an effective AML framework will need continuous adaptation to meet shifting regulatory needs and not developing pressure on legitimate consumers or the company’s performance.</w:t>
      </w:r>
    </w:p>
    <w:p w14:paraId="3BE17507" w14:textId="77777777" w:rsidR="000D0697" w:rsidRDefault="00DB5716">
      <w:pPr>
        <w:pStyle w:val="Heading2"/>
        <w:spacing w:line="360" w:lineRule="auto"/>
      </w:pPr>
      <w:bookmarkStart w:id="28" w:name="_Toc240985316"/>
      <w:r>
        <w:lastRenderedPageBreak/>
        <w:t>2.5 Advanced technologies, ethical data governance and the future direction of AML systems</w:t>
      </w:r>
      <w:bookmarkEnd w:id="28"/>
    </w:p>
    <w:p w14:paraId="3BE17508"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The context of financial crime has been going through significant evolution in recent years that is creating barriers to traditional compliance models. Based on the above analysis, it can be identified how various criminal approaches have become more sophisticated, and often difficult to identify, especially through traditional available monitoring models. Recent studies have shifted focus to advanced AML technologies. Yet, there is still a requirement for understanding the best approaches that can balance technological innovation, regulatory need and consumer concerns for accountability, fairness and privacy. In this case, explainable AI use has gained major focus, as while ML can identify patterns that humans may miss, there are still available concerns for transparency in automated decisions (Fernández, 2025). Financial companies need to showcase why a consumer has been identified as high risk or why transactions are triggering alerts. In this case, Black box models can develop issues as the internal logical systems of them are complicated for being interpreted. Based on the evaluation done by Mathew </w:t>
      </w:r>
      <w:r>
        <w:rPr>
          <w:rFonts w:ascii="Arial" w:eastAsia="Arial" w:hAnsi="Arial" w:cs="Arial"/>
          <w:i/>
          <w:iCs/>
          <w:sz w:val="24"/>
          <w:szCs w:val="24"/>
        </w:rPr>
        <w:t>et al.</w:t>
      </w:r>
      <w:r>
        <w:rPr>
          <w:rFonts w:ascii="Arial" w:eastAsia="Arial" w:hAnsi="Arial" w:cs="Arial"/>
          <w:sz w:val="24"/>
          <w:szCs w:val="24"/>
        </w:rPr>
        <w:t xml:space="preserve"> (2025), ways in which explainable AI approaches can improve regulatory confidence by potentially providing understandable reasons behind risk scores have been identified. Therefore, for a global company like HSBC, considering explainable AI aspects can ensure enhancements of existing systems for managing proper balance in consumer trust and regulatory alignment. Furthermore, increasing international collaboration among regulators, financial institutions and technology providers will be essential to strengthen future AML frameworks. Cross-border information sharing, standardised regulatory requirements and secure data exchange mechanisms can improve the identification of complex laundering networks while maintaining compliance with privacy regulations (Fernández, 2025). Such collaborative ecosystems will enhance global resilience against increasingly sophisticated financial crime. </w:t>
      </w:r>
    </w:p>
    <w:p w14:paraId="3BE17509"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In addition, the emerging developments of using graph analytics and network intelligence can also be considered. In contrast to traditional transaction monitoring approaches, graph technologies can be utilised to analyse the relations among entities, transactions, and accounts (Ibitola, 2023). This capability is crucial for modern laundering approaches, as they often include complicated networks and no single entities. The network-based approaches are especially beneficial in terms of </w:t>
      </w:r>
      <w:r>
        <w:rPr>
          <w:rFonts w:ascii="Arial" w:eastAsia="Arial" w:hAnsi="Arial" w:cs="Arial"/>
          <w:sz w:val="24"/>
          <w:szCs w:val="24"/>
        </w:rPr>
        <w:lastRenderedPageBreak/>
        <w:t xml:space="preserve">shedding light on organised criminal groups, trade-based laundering and various beneficial ownership structures. So, graph integration analytics with existing monitoring approaches can allow companies like HSBC to detect risks that can be unseen by human interventions (Karim </w:t>
      </w:r>
      <w:r>
        <w:rPr>
          <w:rFonts w:ascii="Arial" w:eastAsia="Arial" w:hAnsi="Arial" w:cs="Arial"/>
          <w:i/>
          <w:iCs/>
          <w:sz w:val="24"/>
          <w:szCs w:val="24"/>
        </w:rPr>
        <w:t>et al</w:t>
      </w:r>
      <w:r>
        <w:rPr>
          <w:rFonts w:ascii="Arial" w:eastAsia="Arial" w:hAnsi="Arial" w:cs="Arial"/>
          <w:sz w:val="24"/>
          <w:szCs w:val="24"/>
        </w:rPr>
        <w:t>., 2024). Furthermore, digital identity technologies are also becoming crucial in AML contexts. This is mainly as inadequate verification processes can develop potential for fraud and money laundering. Approaches like Customer due Diligence and risk profiling can be especially beneficial and crucial for Risk-based AML approaches (Maheshwari, 2024). Approaches like biometric verification, reusable identity solutions, and others can majorly reduce pressure on companies and increase consumer authentication confidence.  Based on studies, it can be also identified how Digital identity framework approaches can be crucial for better financial integrity in AML contexts (Balani, 2024). Therefore, for HSBC and other similar large banks, better adaptation of trusted digital identity context can improve compliance approaches and consumer trust base.</w:t>
      </w:r>
    </w:p>
    <w:p w14:paraId="3BE1750A"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The rising demand for digital assets has also created more demand for technological innovations. The study of Padalkar (2023) has supported this claim through showing how the development of cryptocurrencies has created new ways for illicit fund transfer, especially across borders. Regardless of blockchain transactions being publicly recorded, the identification of an individual for a particular wallet address is still challenging. This has developed the need for blockchain analytical tools for transaction flow tracing and identifying potential suspicious activities (Oye </w:t>
      </w:r>
      <w:r>
        <w:rPr>
          <w:rFonts w:ascii="Arial" w:eastAsia="Arial" w:hAnsi="Arial" w:cs="Arial"/>
          <w:i/>
          <w:iCs/>
          <w:sz w:val="24"/>
          <w:szCs w:val="24"/>
        </w:rPr>
        <w:t>et al.</w:t>
      </w:r>
      <w:r>
        <w:rPr>
          <w:rFonts w:ascii="Arial" w:eastAsia="Arial" w:hAnsi="Arial" w:cs="Arial"/>
          <w:sz w:val="24"/>
          <w:szCs w:val="24"/>
        </w:rPr>
        <w:t xml:space="preserve">, 2025). Regardless of technological advancements, ethical governance and compliance have become crucial in recent times. This is mainly due to how AML systems are majorly based on data collection at a significant rate. As per Fan </w:t>
      </w:r>
      <w:r>
        <w:rPr>
          <w:rFonts w:ascii="Arial" w:eastAsia="Arial" w:hAnsi="Arial" w:cs="Arial"/>
          <w:i/>
          <w:iCs/>
          <w:sz w:val="24"/>
          <w:szCs w:val="24"/>
        </w:rPr>
        <w:t>et al.</w:t>
      </w:r>
      <w:r>
        <w:rPr>
          <w:rFonts w:ascii="Arial" w:eastAsia="Arial" w:hAnsi="Arial" w:cs="Arial"/>
          <w:sz w:val="24"/>
          <w:szCs w:val="24"/>
        </w:rPr>
        <w:t xml:space="preserve"> (2026), while data access at a major scale can allow to improve detection, it can also majorly increase risks related to data privacy and ethical usage. Therefore, financial companies like HSBC should ensure that data collection approaches are ethical and are aligned with regulatory needs. Privacy-considering technologies can also provide support in this case and allow companies to gain benefits through collective intelligence and not be required to transfer sensitive consumer data directly.  Furthermore, biases in AI-based compliance systems can also become challenging, especially if algorithms are trained through historical datasets that include already </w:t>
      </w:r>
      <w:r>
        <w:rPr>
          <w:rFonts w:ascii="Arial" w:eastAsia="Arial" w:hAnsi="Arial" w:cs="Arial"/>
          <w:sz w:val="24"/>
          <w:szCs w:val="24"/>
        </w:rPr>
        <w:lastRenderedPageBreak/>
        <w:t>biased decisions or segmented information that could have been unintentionally developed (Odilla, 2024).</w:t>
      </w:r>
    </w:p>
    <w:p w14:paraId="3BE1750B"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Due to these, some consumer groups can face unnecessary scrutiny while the main risks remain undetected. Studies have thus also analysed the need for independent model validation and continuous fairness testing (Mazumder, 2026). These approaches can be beneficial to reduce these risks and allow companies to avoid hindering their trust level among consumers. As analysed previously, this situation also highlights the crucial need for ensuring human interventions in decision-making to cross-check AI or automated decisions in AML and improve the efficiency of risk identification. Therefore, the research is showing how successful AML strategies will be mainly based on technological innovation and integrated ecosystems that focus on collaboration, governance and analytics. For HSBC, its future development may thus need wider transformation that is aligned with emerging technologies and even ethical structures, regulatory needs, and organisational capabilities. So, it can be said that the most effective way will need a collaboration of explainable AI, advanced network analytics, and privacy-focused data sharing while allowing human supervision were crucial.</w:t>
      </w:r>
    </w:p>
    <w:p w14:paraId="3BE1750C" w14:textId="77777777" w:rsidR="000D0697" w:rsidRDefault="00DB5716">
      <w:pPr>
        <w:pStyle w:val="Heading2"/>
        <w:spacing w:line="360" w:lineRule="auto"/>
      </w:pPr>
      <w:bookmarkStart w:id="29" w:name="_Toc240985317"/>
      <w:r>
        <w:t>2.6 Theoretical framework</w:t>
      </w:r>
      <w:bookmarkEnd w:id="29"/>
    </w:p>
    <w:p w14:paraId="3BE1750D"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For this study, two key theories have been considered that provided beneficial support for the analysis of the development of modern AML and FCRM systems in relation to HSBC.</w:t>
      </w:r>
    </w:p>
    <w:p w14:paraId="3BE1750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The </w:t>
      </w:r>
      <w:r>
        <w:rPr>
          <w:rFonts w:ascii="Arial" w:eastAsia="Arial" w:hAnsi="Arial" w:cs="Arial"/>
          <w:i/>
          <w:iCs/>
          <w:sz w:val="24"/>
          <w:szCs w:val="24"/>
        </w:rPr>
        <w:t>Risk-Based Regulation Theory</w:t>
      </w:r>
      <w:r>
        <w:rPr>
          <w:rFonts w:ascii="Arial" w:eastAsia="Arial" w:hAnsi="Arial" w:cs="Arial"/>
          <w:sz w:val="24"/>
          <w:szCs w:val="24"/>
        </w:rPr>
        <w:t xml:space="preserve"> is developed in relation to regulatory governance literature. The concept of this theory is mainly based on targeting the regulations and regulatory efforts on things that can have major risk levels (Bredbenner, 2024). Resources need to be allocated properly based on potential risk needs. It also potentially considers how not every entity, transaction, and products can develop the same risk level for financial crime. In this AML approach, the Risk-based regulation concept supports risk profiling, betterment of due diligence, and proportionate monitoring initiatives. For this research, the Risk-based regulation concept provides a supportive perspective through which HSBC and its changing financial crime framework can be analysed. It supports analysing the shift from traditional rule-</w:t>
      </w:r>
      <w:r>
        <w:rPr>
          <w:rFonts w:ascii="Arial" w:eastAsia="Arial" w:hAnsi="Arial" w:cs="Arial"/>
          <w:sz w:val="24"/>
          <w:szCs w:val="24"/>
        </w:rPr>
        <w:lastRenderedPageBreak/>
        <w:t>based compliance to more intelligence-based approaches, for efficient resource allocation based on risk levels (Mazumder, 2026).</w:t>
      </w:r>
    </w:p>
    <w:p w14:paraId="3BE1750F" w14:textId="77777777" w:rsidR="000D0697" w:rsidRDefault="00DB5716">
      <w:pPr>
        <w:pStyle w:val="Normal1"/>
        <w:spacing w:line="360" w:lineRule="auto"/>
        <w:jc w:val="center"/>
        <w:rPr>
          <w:rFonts w:ascii="Arial" w:eastAsia="Arial" w:hAnsi="Arial" w:cs="Arial"/>
          <w:sz w:val="24"/>
          <w:szCs w:val="24"/>
        </w:rPr>
      </w:pPr>
      <w:bookmarkStart w:id="30" w:name="_heading=h.qoso4c2fnhdt" w:colFirst="0" w:colLast="0"/>
      <w:bookmarkEnd w:id="30"/>
      <w:r>
        <w:rPr>
          <w:rFonts w:ascii="Arial" w:eastAsia="Arial" w:hAnsi="Arial" w:cs="Arial"/>
          <w:noProof/>
          <w:sz w:val="24"/>
          <w:szCs w:val="24"/>
        </w:rPr>
        <w:drawing>
          <wp:inline distT="114300" distB="114300" distL="114300" distR="114300" wp14:anchorId="3BE1793E" wp14:editId="3BE1793F">
            <wp:extent cx="4722782" cy="3234698"/>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722782" cy="3234698"/>
                    </a:xfrm>
                    <a:prstGeom prst="rect">
                      <a:avLst/>
                    </a:prstGeom>
                    <a:ln/>
                  </pic:spPr>
                </pic:pic>
              </a:graphicData>
            </a:graphic>
          </wp:inline>
        </w:drawing>
      </w:r>
    </w:p>
    <w:p w14:paraId="3BE17510" w14:textId="77777777" w:rsidR="000D0697" w:rsidRDefault="00DB5716">
      <w:pPr>
        <w:pStyle w:val="Heading5"/>
        <w:rPr>
          <w:rFonts w:ascii="Arial" w:eastAsia="Arial" w:hAnsi="Arial" w:cs="Arial"/>
        </w:rPr>
      </w:pPr>
      <w:bookmarkStart w:id="31" w:name="_heading=h.6sxzap64lu4q" w:colFirst="0" w:colLast="0"/>
      <w:bookmarkStart w:id="32" w:name="_Toc240985286"/>
      <w:bookmarkEnd w:id="31"/>
      <w:r>
        <w:rPr>
          <w:rFonts w:ascii="Arial" w:eastAsia="Arial" w:hAnsi="Arial" w:cs="Arial"/>
        </w:rPr>
        <w:t>Figure 2.4: Technology-Organisation-Environment framework</w:t>
      </w:r>
      <w:bookmarkEnd w:id="32"/>
    </w:p>
    <w:p w14:paraId="3BE17511"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sz w:val="24"/>
          <w:szCs w:val="24"/>
        </w:rPr>
        <w:t xml:space="preserve">(Source: Mtebe and Nakaka, 2018, p.3) </w:t>
      </w:r>
    </w:p>
    <w:p w14:paraId="3BE17512"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On the other hand, the perspective of the </w:t>
      </w:r>
      <w:r>
        <w:rPr>
          <w:rFonts w:ascii="Arial" w:eastAsia="Arial" w:hAnsi="Arial" w:cs="Arial"/>
          <w:i/>
          <w:iCs/>
          <w:sz w:val="24"/>
          <w:szCs w:val="24"/>
        </w:rPr>
        <w:t xml:space="preserve">Technology-Organisation-Environment framework </w:t>
      </w:r>
      <w:r>
        <w:rPr>
          <w:rFonts w:ascii="Arial" w:eastAsia="Arial" w:hAnsi="Arial" w:cs="Arial"/>
          <w:sz w:val="24"/>
          <w:szCs w:val="24"/>
        </w:rPr>
        <w:t xml:space="preserve">is also a crucial theoretical supporting base. Based on the framework, it can be said that technological adaptation is mainly influenced through 3 key factors including technological capabilities, organisational readiness and external environmental pressures (Prakash, 2025). The context of AML, technologies like AI, analytics, and even integrated monitoring play a major role in managing the ecosystems. Organisational factors like governance structures, data quality, expertise and financial resources can also influence the extent of capability adaptations. Finally, external environmental factors like regulatory expectations, competitiveness and emerging crime complexities, as discussed earlier, can impact how AML approaches are adapted in companies (Mazumder, 2026). Therefore, the TOE framework is especially crucial for this study, as it can shed light on how successful technological implementation is not just focused on technical functionalities only. Adapting this concept will allow for understanding how HSBC integrates new technologies in AML, while managing operational and ethical issues in the current regulatory context. These theories are thus providing complementary </w:t>
      </w:r>
      <w:r>
        <w:rPr>
          <w:rFonts w:ascii="Arial" w:eastAsia="Arial" w:hAnsi="Arial" w:cs="Arial"/>
          <w:sz w:val="24"/>
          <w:szCs w:val="24"/>
        </w:rPr>
        <w:lastRenderedPageBreak/>
        <w:t>support for understanding the risk management transformation and technological compliance innovation in relation to HSBC.</w:t>
      </w:r>
    </w:p>
    <w:p w14:paraId="3BE17513" w14:textId="77777777" w:rsidR="000D0697" w:rsidRDefault="00DB5716">
      <w:pPr>
        <w:pStyle w:val="Heading2"/>
        <w:spacing w:line="360" w:lineRule="auto"/>
      </w:pPr>
      <w:bookmarkStart w:id="33" w:name="_Toc240985318"/>
      <w:r>
        <w:t>2.7 Literature gap</w:t>
      </w:r>
      <w:bookmarkEnd w:id="33"/>
    </w:p>
    <w:p w14:paraId="3BE17514"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Based on the critical literature analysis, it has been analysed that existing literature works have indeed provided wider discussions for AML regulation, AI use, and financial crime-related compliance. Despite these, there are still gaps remaining. For example, existing literature has analysed technology adaptation alone and did not consider how advanced analytical systems are related to wider organisational risk-management approaches. This has created a lack of understanding of how major multinational banks operate technology-driven AML approaches, especially in the global context. Furthermore, most of the existing studies are based on detection performance and not the challenges for implementation (Wronka, 2023). Issues like ethical and governance oversight, operational integrations, and consumer analysis are often overlooked in these studies, regardless of their crucial contribution to the topic context. Furthermore, there is analysis done regarding relation among emerging technologies and responsible data usage, yet it is very diverse and limited. While concerns for algorithm-based bias and privacy are considered in these studies, a gap is identified in analysing how financial institutions can balance innovation with ethical accountability. Taking these into account, this research focuses on HSBC’s contemporary financial crime strategy is still limited. Existing studies are mainly focused on historical compliance issues or wider industry-wide development and not the focused analysis of HSBC. So, this study aims to address these gaps through analysis of technological integration, operational implications and ethical governance in the single case of HSBC.</w:t>
      </w:r>
    </w:p>
    <w:p w14:paraId="3BE17515"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b/>
          <w:bCs/>
          <w:sz w:val="24"/>
          <w:szCs w:val="24"/>
        </w:rPr>
      </w:pPr>
      <w:r>
        <w:rPr>
          <w:rFonts w:ascii="Arial" w:eastAsia="Arial" w:hAnsi="Arial" w:cs="Arial"/>
          <w:b/>
          <w:bCs/>
          <w:sz w:val="24"/>
          <w:szCs w:val="24"/>
        </w:rPr>
        <w:t>2.8 Research Questions</w:t>
      </w:r>
    </w:p>
    <w:p w14:paraId="3BE17516"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How has HSBC’s AML strategy (FCRM) evolved towards a risk-based approach?</w:t>
      </w:r>
    </w:p>
    <w:p w14:paraId="3BE17517"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How is the integration of AI and integrated systems fostering HSBC’s financial crime detection?</w:t>
      </w:r>
    </w:p>
    <w:p w14:paraId="3BE17518"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How does HSBC balance compliance with operational efficiency and customer experience?</w:t>
      </w:r>
    </w:p>
    <w:p w14:paraId="3BE17519"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What strategic improvements could help HSBC to develop the scalable and ethical AML in improving financial crime risk management?</w:t>
      </w:r>
    </w:p>
    <w:p w14:paraId="3BE1751A" w14:textId="77777777" w:rsidR="000D0697" w:rsidRDefault="00DB5716">
      <w:pPr>
        <w:pStyle w:val="Heading2"/>
        <w:spacing w:line="360" w:lineRule="auto"/>
      </w:pPr>
      <w:bookmarkStart w:id="34" w:name="_Toc240985319"/>
      <w:r>
        <w:lastRenderedPageBreak/>
        <w:t>2.9 Summary</w:t>
      </w:r>
      <w:bookmarkEnd w:id="34"/>
    </w:p>
    <w:p w14:paraId="3BE1751B"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This chapter has analysed various existing and crucial literature in relation to contemporary AML and financial crime risk management, with a particular focus on HSBC. The analysis sheds light on the rising crucial need for advanced analytics, integrated monitoring, emerging technologies and others that support financial crime detection. Issues related to compliance effectiveness, consumer experience, and ethical data management have also been highlighted during the analysis. Through the use of relevant theoretical analysis, this chapter has been able to support the findings and showcase how these theories support this research. The gap analysis among existing literature also supported understanding the actual contribution of this research in terms of both practical and academic contexts, while allowing major banks like HSBC to improve their FCRM strategies.</w:t>
      </w:r>
    </w:p>
    <w:p w14:paraId="3BE1751C" w14:textId="77777777" w:rsidR="000D0697" w:rsidRDefault="00DB5716">
      <w:pPr>
        <w:pStyle w:val="Normal1"/>
        <w:pBdr>
          <w:top w:val="nil"/>
          <w:left w:val="nil"/>
          <w:bottom w:val="nil"/>
          <w:right w:val="nil"/>
          <w:between w:val="nil"/>
        </w:pBdr>
        <w:spacing w:line="360" w:lineRule="auto"/>
        <w:rPr>
          <w:rFonts w:ascii="Arial" w:eastAsia="Arial" w:hAnsi="Arial" w:cs="Arial"/>
          <w:sz w:val="24"/>
          <w:szCs w:val="24"/>
        </w:rPr>
      </w:pPr>
      <w:r>
        <w:br w:type="page"/>
      </w:r>
    </w:p>
    <w:p w14:paraId="3BE1751D" w14:textId="77777777" w:rsidR="000D0697" w:rsidRDefault="00DB5716">
      <w:pPr>
        <w:pStyle w:val="Heading1"/>
      </w:pPr>
      <w:bookmarkStart w:id="35" w:name="_Toc240985320"/>
      <w:r>
        <w:lastRenderedPageBreak/>
        <w:t>Chapter 3: Methodology</w:t>
      </w:r>
      <w:bookmarkEnd w:id="35"/>
    </w:p>
    <w:p w14:paraId="3BE1751E" w14:textId="77777777" w:rsidR="000D0697" w:rsidRDefault="00DB5716">
      <w:pPr>
        <w:pStyle w:val="Heading2"/>
        <w:spacing w:line="360" w:lineRule="auto"/>
      </w:pPr>
      <w:bookmarkStart w:id="36" w:name="_Toc240985321"/>
      <w:r>
        <w:t>3.1 Introduction</w:t>
      </w:r>
      <w:bookmarkEnd w:id="36"/>
    </w:p>
    <w:p w14:paraId="3BE1751F"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This chapter has shed light on the chosen methodologies for this study to analyse HSBC's strategy for scaling Anti-Money Laundering and FCRM approaches. The keen focus has been on choosing the most suitable ones through providing justification for all information gathering, selection analysis, and presentation. All methodological decisions have been aligned with the research aim, which is focused on analysing the effectiveness and scalability of AML frameworks, especially in relation to risk-based alignments, technological integration and operational performance. The chapter discussed methods like philosophy, approach, strategy, collection and analysis techniques, while providing an understanding on how validity and reliability were covered while considering the limitations and ethical approaches.</w:t>
      </w:r>
    </w:p>
    <w:p w14:paraId="3BE17520" w14:textId="77777777" w:rsidR="000D0697" w:rsidRDefault="00DB5716">
      <w:pPr>
        <w:pStyle w:val="Heading2"/>
        <w:spacing w:line="360" w:lineRule="auto"/>
      </w:pPr>
      <w:bookmarkStart w:id="37" w:name="_Toc240985322"/>
      <w:r>
        <w:t>3.2 Research onion</w:t>
      </w:r>
      <w:bookmarkEnd w:id="37"/>
    </w:p>
    <w:p w14:paraId="3BE17521"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The study utilised Saunders’s research onion as a key framework for organisation of the methodology-related choices, especially as the model provided a guided pathway that connected wider philosophical assumptions to the research techniques (Wimalaratne and Kulatunga, 2022).</w:t>
      </w:r>
    </w:p>
    <w:p w14:paraId="3BE17522"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3BE17940" wp14:editId="3BE17941">
            <wp:extent cx="5734050" cy="3782126"/>
            <wp:effectExtent l="0" t="0" r="0" b="0"/>
            <wp:docPr id="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4050" cy="3782126"/>
                    </a:xfrm>
                    <a:prstGeom prst="rect">
                      <a:avLst/>
                    </a:prstGeom>
                    <a:ln/>
                  </pic:spPr>
                </pic:pic>
              </a:graphicData>
            </a:graphic>
          </wp:inline>
        </w:drawing>
      </w:r>
    </w:p>
    <w:p w14:paraId="3BE17523" w14:textId="77777777" w:rsidR="000D0697" w:rsidRDefault="00DB5716">
      <w:pPr>
        <w:pStyle w:val="Heading5"/>
        <w:rPr>
          <w:rFonts w:ascii="Arial" w:eastAsia="Arial" w:hAnsi="Arial" w:cs="Arial"/>
        </w:rPr>
      </w:pPr>
      <w:bookmarkStart w:id="38" w:name="_heading=h.fpwobn3x70gg" w:colFirst="0" w:colLast="0"/>
      <w:bookmarkStart w:id="39" w:name="_Toc240985287"/>
      <w:bookmarkEnd w:id="38"/>
      <w:r>
        <w:rPr>
          <w:rFonts w:ascii="Arial" w:eastAsia="Arial" w:hAnsi="Arial" w:cs="Arial"/>
        </w:rPr>
        <w:lastRenderedPageBreak/>
        <w:t>Figure 3.1: Saunders’s research onion</w:t>
      </w:r>
      <w:bookmarkEnd w:id="39"/>
    </w:p>
    <w:p w14:paraId="3BE17524" w14:textId="77777777" w:rsidR="000D0697" w:rsidRDefault="00DB5716">
      <w:pPr>
        <w:pStyle w:val="Normal1"/>
        <w:pBdr>
          <w:top w:val="nil"/>
          <w:left w:val="nil"/>
          <w:bottom w:val="nil"/>
          <w:right w:val="nil"/>
          <w:between w:val="nil"/>
        </w:pBdr>
        <w:spacing w:after="120" w:line="360" w:lineRule="auto"/>
        <w:jc w:val="center"/>
        <w:rPr>
          <w:rFonts w:ascii="Arial" w:eastAsia="Arial" w:hAnsi="Arial" w:cs="Arial"/>
          <w:sz w:val="24"/>
          <w:szCs w:val="24"/>
        </w:rPr>
      </w:pPr>
      <w:r>
        <w:rPr>
          <w:rFonts w:ascii="Arial" w:eastAsia="Arial" w:hAnsi="Arial" w:cs="Arial"/>
          <w:sz w:val="24"/>
          <w:szCs w:val="24"/>
        </w:rPr>
        <w:t xml:space="preserve">(Source: Seuring </w:t>
      </w:r>
      <w:r>
        <w:rPr>
          <w:rFonts w:ascii="Arial" w:eastAsia="Arial" w:hAnsi="Arial" w:cs="Arial"/>
          <w:i/>
          <w:iCs/>
          <w:sz w:val="24"/>
          <w:szCs w:val="24"/>
        </w:rPr>
        <w:t>et al</w:t>
      </w:r>
      <w:r>
        <w:rPr>
          <w:rFonts w:ascii="Arial" w:eastAsia="Arial" w:hAnsi="Arial" w:cs="Arial"/>
          <w:sz w:val="24"/>
          <w:szCs w:val="24"/>
        </w:rPr>
        <w:t>., 2021)</w:t>
      </w:r>
    </w:p>
    <w:p w14:paraId="3BE17525"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As the outer layer suggests, this study has chosen interpretivism philosophy through a support of organisational approaches and strategic decision-making. As inspired by Seuring </w:t>
      </w:r>
      <w:r>
        <w:rPr>
          <w:rFonts w:ascii="Arial" w:eastAsia="Arial" w:hAnsi="Arial" w:cs="Arial"/>
          <w:i/>
          <w:iCs/>
          <w:sz w:val="24"/>
          <w:szCs w:val="24"/>
        </w:rPr>
        <w:t>et al</w:t>
      </w:r>
      <w:r>
        <w:rPr>
          <w:rFonts w:ascii="Arial" w:eastAsia="Arial" w:hAnsi="Arial" w:cs="Arial"/>
          <w:sz w:val="24"/>
          <w:szCs w:val="24"/>
        </w:rPr>
        <w:t>. (2021), the next layer focused on an inductive approach, ensuring better analysis of patterns and data which are developed from evidence. A qualitative methodological choice was supported through the detailed analysis of AML transformation by aligning the focus towards the HSBC context. The research strategy is based on systematic thematic analysis, with a focus on qualitative data. Also, it is based on a longitudinal perspective, as the used secondary sources were already analysed over an extended period to track changes and developmental trends. As the main basis of the research, secondary data sources were given the main emphasis, with the use of thematic analysis method being responsible for ensuring proper analytical approach.</w:t>
      </w:r>
    </w:p>
    <w:p w14:paraId="3BE17526" w14:textId="77777777" w:rsidR="000D0697" w:rsidRDefault="00DB5716">
      <w:pPr>
        <w:pStyle w:val="Heading2"/>
        <w:spacing w:line="360" w:lineRule="auto"/>
      </w:pPr>
      <w:bookmarkStart w:id="40" w:name="_Toc240985323"/>
      <w:r>
        <w:t>3.3 Research philosophy</w:t>
      </w:r>
      <w:bookmarkEnd w:id="40"/>
    </w:p>
    <w:p w14:paraId="3BE17527"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Research philosophy is focused on how assumptions are shaped, and knowledge is considered in a study. This research has utilized an interpretivism philosophy to understand how organisations respond to financial crime risks and just not focus on numerical data only. As the adoption of AML strategy is a complicated organizational approach with the influence of regulations, technology changing crime patterns and management decisions, it influences the need for interpretation in the institutional contexts. The interpretivist focus supported the analysis of meanings in reports, regulatory documents and academic discussions. The interpretivism philosophy considered that various stakeholders have different perspectives (Pervin and Mokhtar, 2022). Therefore, understanding the AML development in the banking sector needed major consideration of the context and not just focuses on objective measurements.</w:t>
      </w:r>
    </w:p>
    <w:p w14:paraId="3BE17528" w14:textId="77777777" w:rsidR="000D0697" w:rsidRDefault="00DB5716">
      <w:pPr>
        <w:pStyle w:val="Heading2"/>
        <w:spacing w:line="360" w:lineRule="auto"/>
      </w:pPr>
      <w:bookmarkStart w:id="41" w:name="_Toc240985324"/>
      <w:r>
        <w:t>3.4 Research methodology and approach</w:t>
      </w:r>
      <w:bookmarkEnd w:id="41"/>
    </w:p>
    <w:p w14:paraId="3BE17529"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Methodological choice determines the complete type of evidence collected to address the research problem, so a qualitative method was adapted for this study as it shed light on organisational approaches, compliance decisions and strategic responses in a bank's financial crime context. This method is chosen mainly for its </w:t>
      </w:r>
      <w:r>
        <w:rPr>
          <w:rFonts w:ascii="Arial" w:eastAsia="Arial" w:hAnsi="Arial" w:cs="Arial"/>
          <w:sz w:val="24"/>
          <w:szCs w:val="24"/>
        </w:rPr>
        <w:lastRenderedPageBreak/>
        <w:t xml:space="preserve">capability to provide better insights into human behaviour and real-world situations (Usman </w:t>
      </w:r>
      <w:r>
        <w:rPr>
          <w:rFonts w:ascii="Arial" w:eastAsia="Arial" w:hAnsi="Arial" w:cs="Arial"/>
          <w:i/>
          <w:iCs/>
          <w:sz w:val="24"/>
          <w:szCs w:val="24"/>
        </w:rPr>
        <w:t>et al</w:t>
      </w:r>
      <w:r>
        <w:rPr>
          <w:rFonts w:ascii="Arial" w:eastAsia="Arial" w:hAnsi="Arial" w:cs="Arial"/>
          <w:sz w:val="24"/>
          <w:szCs w:val="24"/>
        </w:rPr>
        <w:t>., 2025). Quantitative measurement could not consider the contextual dimensions' association with AML transformation in international operations.</w:t>
      </w:r>
    </w:p>
    <w:p w14:paraId="3BE1752A"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Furthermore, in terms of approach, an inductive research approach guided the analysis with a focus on moving from specific observations to a wider conceptual understanding of the topic (Yuwono and Rachmawati, 2023). An inductive approach had been beneficial as the research focused mainly on analysing AML strategy and identifying patterns and themes in the gathered data. The inductive approach also complemented the interpretivist philosophy through allowing findings to develop from the data.</w:t>
      </w:r>
    </w:p>
    <w:p w14:paraId="3BE1752B" w14:textId="77777777" w:rsidR="000D0697" w:rsidRDefault="00DB5716">
      <w:pPr>
        <w:pStyle w:val="Heading2"/>
        <w:spacing w:line="360" w:lineRule="auto"/>
      </w:pPr>
      <w:bookmarkStart w:id="42" w:name="_Toc240985325"/>
      <w:r>
        <w:t>3.5 Research strategy</w:t>
      </w:r>
      <w:bookmarkEnd w:id="42"/>
    </w:p>
    <w:p w14:paraId="3BE1752C"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The research utilised a secondary qualitative strategy, mainly as it allowed for detailed analysis of a contemporary phenomenon in the real-world context (Annamalah, 2024). In this regard, the banking aspect provides a solid base of analysis for its international presence, major investment in compliance systems and availability of highly documented approaches. This aspect provides major data sources on the challenges related to scaling financial crime controls in various regulations. This strategy has, therefore, allowed analysing organisational processes that could not be understood properly through wider industry analysis only. Therefore, a keen focus on a single sector allowed this study to consider contextual factors that influence AML decisions.</w:t>
      </w:r>
    </w:p>
    <w:p w14:paraId="3BE1752D" w14:textId="77777777" w:rsidR="000D0697" w:rsidRDefault="00DB5716">
      <w:pPr>
        <w:pStyle w:val="Heading2"/>
        <w:spacing w:line="360" w:lineRule="auto"/>
      </w:pPr>
      <w:bookmarkStart w:id="43" w:name="_Toc240985326"/>
      <w:r>
        <w:t>3.6 Data collection and sampling method</w:t>
      </w:r>
      <w:bookmarkEnd w:id="43"/>
    </w:p>
    <w:p w14:paraId="3BE1752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b/>
          <w:bCs/>
          <w:i/>
          <w:iCs/>
          <w:sz w:val="24"/>
          <w:szCs w:val="24"/>
        </w:rPr>
        <w:t>Sources</w:t>
      </w:r>
    </w:p>
    <w:p w14:paraId="3BE1752F"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As identified previously, the study was majorly based on secondary data sets only, so the key data sources were selected from credible academic, professional, and institutional platforms (Chatfield, 2020). The key academic literatures were gained through Google Scholar, which provided access to peer-reviewed journal articles based on AML regulations, financial crime risk management, AI and banking compliance. However, through the use of peer-reviewed academic literature and empirical studies identified through Google Scholar, it has been possible to compare and contrast the existing data regarding the topic. Moreover, the key data sources mainly included annual reports, sustainability reports, investor disclosures, </w:t>
      </w:r>
      <w:r>
        <w:rPr>
          <w:rFonts w:ascii="Arial" w:eastAsia="Arial" w:hAnsi="Arial" w:cs="Arial"/>
          <w:sz w:val="24"/>
          <w:szCs w:val="24"/>
        </w:rPr>
        <w:lastRenderedPageBreak/>
        <w:t xml:space="preserve">governance statements, and financial crime updates published by the banking sector. </w:t>
      </w:r>
    </w:p>
    <w:p w14:paraId="3BE17530"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b/>
          <w:bCs/>
          <w:i/>
          <w:iCs/>
          <w:sz w:val="24"/>
          <w:szCs w:val="24"/>
        </w:rPr>
        <w:t>Sampling</w:t>
      </w:r>
    </w:p>
    <w:p w14:paraId="3BE17531"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As a means of selecting most suitable data sources, this study has used a purposive sampling approach. This type of sampling allows identification of information that is only relevant to the research objectives (Nyimbili and Nyimbili, 2024). This approach included the selection of sources that had relevance for the topic of this research. As the study needed more focus on gaining data in relation to AML transformation and not wider general banking literature only, this approach supported selection of quality relevant evidence. It ensured only sources capable of addressing the research questions were selected.</w:t>
      </w:r>
    </w:p>
    <w:p w14:paraId="3BE17532"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b/>
          <w:bCs/>
          <w:i/>
          <w:iCs/>
          <w:sz w:val="24"/>
          <w:szCs w:val="24"/>
        </w:rPr>
        <w:t>Inclusion and Exclusion</w:t>
      </w:r>
    </w:p>
    <w:p w14:paraId="3BE17533"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The study also set proper inclusion and exclusion criteria to support source selection. The inclusion criteria ensured that chosen documents are directly relevant to AML, FCRM AI in AML, transaction monitoring, risk-based compliance, and/or regulatory governance in AML. The primary inclusion criteria were to choose sources that are focused on AML in the financial sector and provide crucial relevant data for multinational banking compliance. To ensure contemporary relevance, the study selected only materials published from 2022 and onwards, as it allowed considering recent technology adaptations, regulatory expectations and financial crime management approaches. The main prioritization was given to academic publications, official reports and recognised professional sources for their credibility and authority.</w:t>
      </w:r>
    </w:p>
    <w:p w14:paraId="3BE17534"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In terms of exclusion criteria, sources published before 2022 were excluded unless they provided crucial contextual data for the research. Documents with no relevance to AML factors and publications with no clear authors or reliability evidence were excluded. All publications from blog posts and opinion posts were also excluded, while researchers also ensured to exclude resources with a lack of evidence. Through maintaining these criteria, the study ensured proper reproducibility and was within the research scope (Gusenbauer and Gauster, 2025).</w:t>
      </w:r>
    </w:p>
    <w:p w14:paraId="3BE17535"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b/>
          <w:bCs/>
          <w:i/>
          <w:iCs/>
          <w:sz w:val="24"/>
          <w:szCs w:val="24"/>
        </w:rPr>
        <w:t>Collection</w:t>
      </w:r>
    </w:p>
    <w:p w14:paraId="3BE17536"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lastRenderedPageBreak/>
        <w:t>The collection process included systematic searches through the use of keywords related to HSBC, AML, financial crime risk management, AI, compliance technologies, transaction monitoring, and risk-based practices. All gathered documents were reviewed properly as per the inclusion and exclusion criteria before arranging them for analysis. This structured approach allowed to maintain consistency in the study and ensured alignment with study objectives.</w:t>
      </w:r>
    </w:p>
    <w:p w14:paraId="3BE17537" w14:textId="77777777" w:rsidR="000D0697" w:rsidRDefault="00DB5716">
      <w:pPr>
        <w:pStyle w:val="Heading2"/>
        <w:spacing w:line="360" w:lineRule="auto"/>
      </w:pPr>
      <w:bookmarkStart w:id="44" w:name="_Toc240985327"/>
      <w:r>
        <w:t>3.7 Data analysis methods</w:t>
      </w:r>
      <w:bookmarkEnd w:id="44"/>
    </w:p>
    <w:p w14:paraId="3BE17538"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All collected data were analysed through a thematic analysis, which focuses on identification, organisation and interpretation of patterns in available qualitative datasets (Kiger and Varpio, 2020). The method was beneficial, as the research focused on understanding the recurring issues and strategic developments in AML frameworks in the banking aspect. It allowed for gaining major datasets and evidence related to meaningful themes linked to research questions. The analytical approach included various stages, with the first stage including repeated analysis of the data to familiarise with them. Crucial statements, recurring patterns, and others were identified and coded. The similar codes were then grouped that formed wider categories. These allowed the development of key themes as per the objectives, like one theme analysed the development of risk-based approaches in HSBC’s compliance frameworks, the other included the AI integration and interconnected monitoring systems. The themes also focused on regulatory compliance and governance approaches while focusing on operational efficiency and consumer experiences. The complete thematic analysis approaches provided the study with the capability to analyse documents in a detailed manner (Kiger and Varpio, 2020). It supported proper analytical structures while ensuring comparative insights were gained among various sources. This allowed us to compare evidence from academic literature, regulatory publications, and corporate reports. Furthermore, thematic analysis was well-aligned with interpretivism as it focused on understanding meaning and patterns that also contradicted analysing through quantification of observations. Use of this method has, therefore, provided a solid base for analysing HSBC’s strategy for scaling AML and financial crime-based risk management.</w:t>
      </w:r>
    </w:p>
    <w:p w14:paraId="3BE17539" w14:textId="77777777" w:rsidR="000D0697" w:rsidRDefault="00DB5716">
      <w:pPr>
        <w:pStyle w:val="Heading2"/>
        <w:spacing w:line="360" w:lineRule="auto"/>
      </w:pPr>
      <w:bookmarkStart w:id="45" w:name="_Toc240985328"/>
      <w:r>
        <w:t>3.8 Validity and reliability</w:t>
      </w:r>
      <w:bookmarkEnd w:id="45"/>
    </w:p>
    <w:p w14:paraId="3BE1753A"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Validity and reliability are crucial, regardless of the qualitative nature of this study. In terms of validity, the findings need to properly showcase the concept that is being </w:t>
      </w:r>
      <w:r>
        <w:rPr>
          <w:rFonts w:ascii="Arial" w:eastAsia="Arial" w:hAnsi="Arial" w:cs="Arial"/>
          <w:sz w:val="24"/>
          <w:szCs w:val="24"/>
        </w:rPr>
        <w:lastRenderedPageBreak/>
        <w:t>analysed (William, 2024). Therefore, to enhance validity, this study has ensured gathering evidence from various credible sources. It also conducted triangulation among various academic literature, regulatory documents, and corporate reports to ensure proper interpretations. While for reliability, Ahmed and Ishtiaq (2021) referred to it to be mainly focused on the consistency of the research process. For this study, it is ensured to use a transparent selection process, clear inclusion criteria and proper systematic analytical approaches to support reliability, as shown in previous sections.</w:t>
      </w:r>
    </w:p>
    <w:p w14:paraId="3BE1753B" w14:textId="77777777" w:rsidR="000D0697" w:rsidRDefault="00DB5716">
      <w:pPr>
        <w:pStyle w:val="Heading2"/>
        <w:spacing w:line="360" w:lineRule="auto"/>
      </w:pPr>
      <w:bookmarkStart w:id="46" w:name="_Toc240985329"/>
      <w:r>
        <w:t>3.9 Limitations of the research</w:t>
      </w:r>
      <w:bookmarkEnd w:id="46"/>
    </w:p>
    <w:p w14:paraId="3BE1753C"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Regardless of the potential in these approaches, there are some limitations in the study. For example, the excess focus on secondary data hindered accessing various internal company data that may have provided better insights into AML operations; furthermore, the publicly available data often are reflected in official perspective and thus might not showcase the complete aspects, including challenges faced in implementations. The single focus towards the banking organisation which can also hinder wider generalisation in the banking sector. Furthermore, rapid changes in financial crime approaches, regulations and technology also show that the majority of the findings are based on a specific period due to the lack of longitudinal focus of the research.</w:t>
      </w:r>
    </w:p>
    <w:p w14:paraId="3BE1753D" w14:textId="77777777" w:rsidR="000D0697" w:rsidRDefault="00DB5716">
      <w:pPr>
        <w:pStyle w:val="Heading2"/>
        <w:spacing w:line="360" w:lineRule="auto"/>
      </w:pPr>
      <w:bookmarkStart w:id="47" w:name="_Toc240985330"/>
      <w:r>
        <w:t>3.10 Ethical alignments</w:t>
      </w:r>
      <w:bookmarkEnd w:id="47"/>
    </w:p>
    <w:p w14:paraId="3BE1753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This research has ensured proper ethical approaches were aligned in the complete research process. As the study was mainly based on secondary publicly available data, there were no risks for human participants thus, the study avoided gathering personal data. The researchers ensured to properly reference and thus acknowledge all gained information to avoid plagiarism and ensure an ethical approach in conducting the research (</w:t>
      </w:r>
      <w:r>
        <w:rPr>
          <w:rFonts w:ascii="Arial" w:eastAsia="Arial" w:hAnsi="Arial" w:cs="Arial"/>
          <w:sz w:val="24"/>
          <w:szCs w:val="24"/>
          <w:highlight w:val="white"/>
        </w:rPr>
        <w:t>Ramesh, 2024</w:t>
      </w:r>
      <w:r>
        <w:rPr>
          <w:rFonts w:ascii="Arial" w:eastAsia="Arial" w:hAnsi="Arial" w:cs="Arial"/>
          <w:sz w:val="24"/>
          <w:szCs w:val="24"/>
        </w:rPr>
        <w:t>). All data gained from secondary sources were properly analysed with a focus on avoiding potential misinterpretations. The research also ensured all data were stored in the approved digital systems by the university and used for academic purposes only.</w:t>
      </w:r>
    </w:p>
    <w:p w14:paraId="3BE1753F" w14:textId="77777777" w:rsidR="000D0697" w:rsidRDefault="00DB5716">
      <w:pPr>
        <w:pStyle w:val="Heading2"/>
        <w:spacing w:line="360" w:lineRule="auto"/>
      </w:pPr>
      <w:bookmarkStart w:id="48" w:name="_Toc240985331"/>
      <w:r>
        <w:t>3.11 Chapter summary</w:t>
      </w:r>
      <w:bookmarkEnd w:id="48"/>
    </w:p>
    <w:p w14:paraId="3BE17540"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This chapter has focused on the methodological frameworks adapted for analysing the methodological choices made for analysing the AML and FCRM strategies </w:t>
      </w:r>
      <w:r>
        <w:rPr>
          <w:rFonts w:ascii="Arial" w:eastAsia="Arial" w:hAnsi="Arial" w:cs="Arial"/>
          <w:sz w:val="24"/>
          <w:szCs w:val="24"/>
        </w:rPr>
        <w:lastRenderedPageBreak/>
        <w:t>adopted by HSBC. The chapter identified choices like how interpretivist philosophy, inductive approach and qualitative secondary data collection support systematic thematic analysis. Secondary data were also collected through purposive sampling and analysed via a thematic analysis approach. Measures to support reliability and validity were also identified, yet the limitations related to secondary data were crucial barriers for proper analysis of the topic.</w:t>
      </w:r>
    </w:p>
    <w:p w14:paraId="3BE17541" w14:textId="77777777" w:rsidR="000D0697" w:rsidRDefault="000D0697">
      <w:pPr>
        <w:pStyle w:val="Normal1"/>
        <w:pBdr>
          <w:top w:val="nil"/>
          <w:left w:val="nil"/>
          <w:bottom w:val="nil"/>
          <w:right w:val="nil"/>
          <w:between w:val="nil"/>
        </w:pBdr>
        <w:spacing w:after="120" w:line="360" w:lineRule="auto"/>
        <w:jc w:val="both"/>
        <w:rPr>
          <w:rFonts w:ascii="Arial" w:eastAsia="Arial" w:hAnsi="Arial" w:cs="Arial"/>
          <w:sz w:val="24"/>
          <w:szCs w:val="24"/>
        </w:rPr>
      </w:pPr>
    </w:p>
    <w:p w14:paraId="3BE17542" w14:textId="77777777" w:rsidR="000D0697" w:rsidRDefault="00DB5716">
      <w:pPr>
        <w:pStyle w:val="Normal1"/>
        <w:pBdr>
          <w:top w:val="nil"/>
          <w:left w:val="nil"/>
          <w:bottom w:val="nil"/>
          <w:right w:val="nil"/>
          <w:between w:val="nil"/>
        </w:pBdr>
        <w:spacing w:line="360" w:lineRule="auto"/>
        <w:rPr>
          <w:rFonts w:ascii="Arial" w:eastAsia="Arial" w:hAnsi="Arial" w:cs="Arial"/>
          <w:sz w:val="24"/>
          <w:szCs w:val="24"/>
        </w:rPr>
      </w:pPr>
      <w:r>
        <w:br w:type="page"/>
      </w:r>
    </w:p>
    <w:p w14:paraId="3BE17543" w14:textId="77777777" w:rsidR="000D0697" w:rsidRDefault="00DB5716">
      <w:pPr>
        <w:pStyle w:val="Heading1"/>
      </w:pPr>
      <w:bookmarkStart w:id="49" w:name="_Toc240985332"/>
      <w:r>
        <w:lastRenderedPageBreak/>
        <w:t>Chapter 4: Results and discussion</w:t>
      </w:r>
      <w:bookmarkEnd w:id="49"/>
    </w:p>
    <w:p w14:paraId="3BE17544" w14:textId="77777777" w:rsidR="000D0697" w:rsidRDefault="00DB5716">
      <w:pPr>
        <w:pStyle w:val="Heading2"/>
        <w:spacing w:line="360" w:lineRule="auto"/>
      </w:pPr>
      <w:bookmarkStart w:id="50" w:name="_Toc240985333"/>
      <w:r>
        <w:t>4.1 Introduction</w:t>
      </w:r>
      <w:bookmarkEnd w:id="50"/>
    </w:p>
    <w:p w14:paraId="3BE17545"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This chapter is focused on analysing the chosen articles in relation to the research aim and questions, which will support in identifying relevant trends and themes. The chapter developed a detailed thematic table to analyse and understand the chosen articles and how they are related to this research. Based on the summaries of the article contents, themes were developed that are integrated as per the research questions developed earlier in the study. The chapter conducted a detailed thematic analysis of the chosen articles to shed light on complete Anti- Money Laundering (AML) and Financial Crime Risk Management (FCRM) aspects that supported a better understanding of how multinational banks like HSBC can manage the risks in the chosen financial crime context. The analysis is then supported through various existing literature to critically understand the approaches in AML and FCRM while aligning with existing theories to solidify the validity of the findings.</w:t>
      </w:r>
    </w:p>
    <w:p w14:paraId="3BE17546" w14:textId="77777777" w:rsidR="000D0697" w:rsidRDefault="00DB5716">
      <w:pPr>
        <w:pStyle w:val="Heading2"/>
        <w:spacing w:line="360" w:lineRule="auto"/>
      </w:pPr>
      <w:bookmarkStart w:id="51" w:name="_Toc240985334"/>
      <w:r>
        <w:t>4.2 Thematic table</w:t>
      </w:r>
      <w:bookmarkEnd w:id="51"/>
    </w:p>
    <w:p w14:paraId="3BE17547" w14:textId="53DCC51D" w:rsidR="000D0697" w:rsidRDefault="00DB5716">
      <w:pPr>
        <w:pStyle w:val="Normal1"/>
        <w:pBdr>
          <w:top w:val="nil"/>
          <w:left w:val="nil"/>
          <w:bottom w:val="nil"/>
          <w:right w:val="nil"/>
          <w:between w:val="nil"/>
        </w:pBdr>
        <w:spacing w:line="360" w:lineRule="auto"/>
        <w:rPr>
          <w:rFonts w:ascii="Arial" w:eastAsia="Arial" w:hAnsi="Arial" w:cs="Arial"/>
          <w:sz w:val="24"/>
          <w:szCs w:val="24"/>
        </w:rPr>
      </w:pPr>
      <w:r>
        <w:rPr>
          <w:rFonts w:ascii="Arial" w:eastAsia="Arial" w:hAnsi="Arial" w:cs="Arial"/>
          <w:b/>
          <w:bCs/>
          <w:sz w:val="24"/>
          <w:szCs w:val="24"/>
        </w:rPr>
        <w:t>[</w:t>
      </w:r>
      <w:r w:rsidRPr="003B7A74">
        <w:rPr>
          <w:rFonts w:ascii="Arial" w:eastAsia="Arial" w:hAnsi="Arial" w:cs="Arial"/>
          <w:b/>
          <w:bCs/>
          <w:i/>
          <w:iCs/>
          <w:sz w:val="24"/>
          <w:szCs w:val="24"/>
        </w:rPr>
        <w:t xml:space="preserve">Refer to Appendix </w:t>
      </w:r>
      <w:r w:rsidR="003B7A74" w:rsidRPr="003B7A74">
        <w:rPr>
          <w:rFonts w:ascii="Arial" w:eastAsia="Arial" w:hAnsi="Arial" w:cs="Arial"/>
          <w:b/>
          <w:bCs/>
          <w:i/>
          <w:iCs/>
          <w:sz w:val="24"/>
          <w:szCs w:val="24"/>
        </w:rPr>
        <w:t>2</w:t>
      </w:r>
      <w:r>
        <w:rPr>
          <w:rFonts w:ascii="Arial" w:eastAsia="Arial" w:hAnsi="Arial" w:cs="Arial"/>
          <w:b/>
          <w:bCs/>
          <w:sz w:val="24"/>
          <w:szCs w:val="24"/>
        </w:rPr>
        <w:t>]</w:t>
      </w:r>
    </w:p>
    <w:p w14:paraId="3BE17548" w14:textId="77777777" w:rsidR="000D0697" w:rsidRDefault="00DB5716">
      <w:pPr>
        <w:pStyle w:val="Heading2"/>
        <w:spacing w:line="360" w:lineRule="auto"/>
      </w:pPr>
      <w:bookmarkStart w:id="52" w:name="_Toc240985335"/>
      <w:r>
        <w:t>4.3 Results through thematic analysis</w:t>
      </w:r>
      <w:bookmarkEnd w:id="52"/>
    </w:p>
    <w:p w14:paraId="3BE17549" w14:textId="0C5DB251" w:rsidR="000D0697" w:rsidRDefault="00DB5716">
      <w:pPr>
        <w:pStyle w:val="Normal1"/>
        <w:spacing w:line="360" w:lineRule="auto"/>
        <w:jc w:val="both"/>
        <w:rPr>
          <w:rFonts w:ascii="Arial" w:eastAsia="Arial" w:hAnsi="Arial" w:cs="Arial"/>
          <w:sz w:val="24"/>
          <w:szCs w:val="24"/>
        </w:rPr>
      </w:pPr>
      <w:r>
        <w:rPr>
          <w:rFonts w:ascii="Arial" w:eastAsia="Arial" w:hAnsi="Arial" w:cs="Arial"/>
          <w:sz w:val="24"/>
          <w:szCs w:val="24"/>
        </w:rPr>
        <w:t xml:space="preserve">Based on the analysis in </w:t>
      </w:r>
      <w:r>
        <w:rPr>
          <w:rFonts w:ascii="Arial" w:eastAsia="Arial" w:hAnsi="Arial" w:cs="Arial"/>
          <w:b/>
          <w:bCs/>
          <w:sz w:val="24"/>
          <w:szCs w:val="24"/>
        </w:rPr>
        <w:t xml:space="preserve">Appendix </w:t>
      </w:r>
      <w:r w:rsidR="003B7A74">
        <w:rPr>
          <w:rFonts w:ascii="Arial" w:eastAsia="Arial" w:hAnsi="Arial" w:cs="Arial"/>
          <w:b/>
          <w:bCs/>
          <w:sz w:val="24"/>
          <w:szCs w:val="24"/>
        </w:rPr>
        <w:t>2</w:t>
      </w:r>
      <w:r>
        <w:rPr>
          <w:rFonts w:ascii="Arial" w:eastAsia="Arial" w:hAnsi="Arial" w:cs="Arial"/>
          <w:sz w:val="24"/>
          <w:szCs w:val="24"/>
        </w:rPr>
        <w:t xml:space="preserve">, a detailed thematic analysis of the results is conducted below. </w:t>
      </w:r>
    </w:p>
    <w:p w14:paraId="3BE1754A" w14:textId="5B1B13CA" w:rsidR="000D0697" w:rsidRDefault="00DB5716">
      <w:pPr>
        <w:pStyle w:val="Heading3"/>
      </w:pPr>
      <w:bookmarkStart w:id="53" w:name="_Toc240985336"/>
      <w:r>
        <w:t>Theme 1: Transformation from rules to risk intelligence</w:t>
      </w:r>
      <w:r w:rsidR="001F27A4">
        <w:t>, which lead to</w:t>
      </w:r>
      <w:r>
        <w:t xml:space="preserve"> strategic evolution of HSBC’s AML/FCRM</w:t>
      </w:r>
      <w:bookmarkEnd w:id="53"/>
    </w:p>
    <w:p w14:paraId="3BE1754B"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There has been a time when traditional transaction monitoring systems were focused on fixed thresholds. This, however, led to several cases of false alarms wherein complex criminal networks remained undetected (Singh, 2025). In recent times, modern intelligence-driven frameworks have been designed in a way that addresses these vulnerabilities by increasing the ability to detect true suspicious activities. AML transformation in the banking sector is recognised as the significant example of strategic shifting from a rule-based approach to automated, and AI-driven systems that helps to prevent modern financial crimes. The AML integration aspect in HSBC has shown its move towards FCRM based on risk management principles. This renowned financial institute is observed to be committed to “</w:t>
      </w:r>
      <w:r>
        <w:rPr>
          <w:rFonts w:ascii="Arial" w:eastAsia="Arial" w:hAnsi="Arial" w:cs="Arial"/>
          <w:i/>
          <w:iCs/>
          <w:sz w:val="24"/>
          <w:szCs w:val="24"/>
        </w:rPr>
        <w:t xml:space="preserve">doing business with </w:t>
      </w:r>
      <w:r>
        <w:rPr>
          <w:rFonts w:ascii="Arial" w:eastAsia="Arial" w:hAnsi="Arial" w:cs="Arial"/>
          <w:i/>
          <w:iCs/>
          <w:sz w:val="24"/>
          <w:szCs w:val="24"/>
        </w:rPr>
        <w:lastRenderedPageBreak/>
        <w:t>customers who meet our strict standards</w:t>
      </w:r>
      <w:r>
        <w:rPr>
          <w:rFonts w:ascii="Arial" w:eastAsia="Arial" w:hAnsi="Arial" w:cs="Arial"/>
          <w:sz w:val="24"/>
          <w:szCs w:val="24"/>
        </w:rPr>
        <w:t xml:space="preserve">” (HSBC Holdings plc, 2026b). Figure 4.1 revealed that HSBC has taken sharing of data via digital platforms very seriously. It suggests reducing digital footprint and turn on the features of multi-factor authentication (MFA) such that an extra level of security can be added. </w:t>
      </w:r>
    </w:p>
    <w:p w14:paraId="3BE1754C" w14:textId="77777777" w:rsidR="000D0697" w:rsidRDefault="00DB5716">
      <w:pPr>
        <w:pStyle w:val="Normal1"/>
        <w:spacing w:before="120" w:after="12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3BE17942" wp14:editId="3BE17943">
            <wp:extent cx="5731510" cy="7517130"/>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731510" cy="7517130"/>
                    </a:xfrm>
                    <a:prstGeom prst="rect">
                      <a:avLst/>
                    </a:prstGeom>
                    <a:ln/>
                  </pic:spPr>
                </pic:pic>
              </a:graphicData>
            </a:graphic>
          </wp:inline>
        </w:drawing>
      </w:r>
    </w:p>
    <w:p w14:paraId="3BE1754D" w14:textId="77777777" w:rsidR="000D0697" w:rsidRDefault="00DB5716">
      <w:pPr>
        <w:pStyle w:val="Heading5"/>
        <w:rPr>
          <w:rFonts w:ascii="Arial" w:eastAsia="Arial" w:hAnsi="Arial" w:cs="Arial"/>
        </w:rPr>
      </w:pPr>
      <w:bookmarkStart w:id="54" w:name="_heading=h.ba3rozizqle3" w:colFirst="0" w:colLast="0"/>
      <w:bookmarkStart w:id="55" w:name="_Toc240985288"/>
      <w:bookmarkEnd w:id="54"/>
      <w:r>
        <w:rPr>
          <w:rFonts w:ascii="Arial" w:eastAsia="Arial" w:hAnsi="Arial" w:cs="Arial"/>
        </w:rPr>
        <w:lastRenderedPageBreak/>
        <w:t>Figure 4.1: Security measures offered by HSBC</w:t>
      </w:r>
      <w:bookmarkEnd w:id="55"/>
    </w:p>
    <w:p w14:paraId="3BE1754E" w14:textId="77777777" w:rsidR="000D0697" w:rsidRDefault="00DB5716">
      <w:pPr>
        <w:pStyle w:val="Normal1"/>
        <w:spacing w:before="120" w:after="120" w:line="360" w:lineRule="auto"/>
        <w:jc w:val="center"/>
        <w:rPr>
          <w:rFonts w:ascii="Arial" w:eastAsia="Arial" w:hAnsi="Arial" w:cs="Arial"/>
          <w:sz w:val="24"/>
          <w:szCs w:val="24"/>
        </w:rPr>
      </w:pPr>
      <w:r>
        <w:rPr>
          <w:rFonts w:ascii="Arial" w:eastAsia="Arial" w:hAnsi="Arial" w:cs="Arial"/>
          <w:sz w:val="24"/>
          <w:szCs w:val="24"/>
        </w:rPr>
        <w:t>(Source: HSBC Holdings plc, 2026b)</w:t>
      </w:r>
    </w:p>
    <w:p w14:paraId="3BE1754F"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However, HSBC's next-generation FCRM model focuses on the risks as per the customers, product and geographical aspects, while empowered by a dynamic assessment, AI-enabled transaction monitoring through the improved governance structure. That's highlighting a substantive step away from traditional AML controls towards intelligence-led compliance. In this regard, the study of Dalla Pellegrina </w:t>
      </w:r>
      <w:r>
        <w:rPr>
          <w:rFonts w:ascii="Arial" w:eastAsia="Arial" w:hAnsi="Arial" w:cs="Arial"/>
          <w:i/>
          <w:iCs/>
          <w:sz w:val="24"/>
          <w:szCs w:val="24"/>
        </w:rPr>
        <w:t xml:space="preserve">et al. </w:t>
      </w:r>
      <w:r>
        <w:rPr>
          <w:rFonts w:ascii="Arial" w:eastAsia="Arial" w:hAnsi="Arial" w:cs="Arial"/>
          <w:sz w:val="24"/>
          <w:szCs w:val="24"/>
        </w:rPr>
        <w:t xml:space="preserve">(2023) indicates that risks don't always equal improved accuracy. In this regard, using an empirical study of the Italian AML aspect the study reported after the implementation of the risk-based approach that there is a trade-off between deterrence and reporting accuracy. Furthermore, the results suggest that higher deterrence was associated with more type-I errors (false-positive reporting) and type-II errors were assumed to be less. This means that a risk-based system could help to increase the chances that suspicious activity will be reported but could also result in false positive alerts. This aspect critically concerns positive interpretation of HSBC's transformation, in which Dalla Pellegrina </w:t>
      </w:r>
      <w:r>
        <w:rPr>
          <w:rFonts w:ascii="Arial" w:eastAsia="Arial" w:hAnsi="Arial" w:cs="Arial"/>
          <w:i/>
          <w:iCs/>
          <w:sz w:val="24"/>
          <w:szCs w:val="24"/>
        </w:rPr>
        <w:t xml:space="preserve">et al. </w:t>
      </w:r>
      <w:r>
        <w:rPr>
          <w:rFonts w:ascii="Arial" w:eastAsia="Arial" w:hAnsi="Arial" w:cs="Arial"/>
          <w:sz w:val="24"/>
          <w:szCs w:val="24"/>
        </w:rPr>
        <w:t xml:space="preserve">(2023) argued that more risk sensitivity does not necessarily lead to fewer wrong decisions. </w:t>
      </w:r>
    </w:p>
    <w:p w14:paraId="3BE17550"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On the other hand, Ogbeide et</w:t>
      </w:r>
      <w:r>
        <w:rPr>
          <w:rFonts w:ascii="Arial" w:eastAsia="Arial" w:hAnsi="Arial" w:cs="Arial"/>
          <w:i/>
          <w:iCs/>
          <w:sz w:val="24"/>
          <w:szCs w:val="24"/>
        </w:rPr>
        <w:t xml:space="preserve"> al.</w:t>
      </w:r>
      <w:r>
        <w:rPr>
          <w:rFonts w:ascii="Arial" w:eastAsia="Arial" w:hAnsi="Arial" w:cs="Arial"/>
          <w:sz w:val="24"/>
          <w:szCs w:val="24"/>
        </w:rPr>
        <w:t xml:space="preserve"> (2025) provided a strong theoretical provocation to understanding HSBC's transition from traditional FCRM to risk-based FCRM merely as a technological or procedural shift. Through evaluating the perspectives of 1,497 risk-assessment experts and interviews with nine practitioners the study has suggested that money-laundering risk-assessment is a judgment-based activity, where organisational set-up, practitioners' perception, uncertainty and biases guides decisions. Regarding the HSBC aspect, although it supports the effective governance culture of the organisation but also increasing concern towards its high dependence on human interpretation which indicates that greater sophistication does not necessarily mean that risk-related decisions will be made. In addition, the influences on expert judgement have also been identified by Ogbeide </w:t>
      </w:r>
      <w:r>
        <w:rPr>
          <w:rFonts w:ascii="Arial" w:eastAsia="Arial" w:hAnsi="Arial" w:cs="Arial"/>
          <w:i/>
          <w:iCs/>
          <w:sz w:val="24"/>
          <w:szCs w:val="24"/>
        </w:rPr>
        <w:t xml:space="preserve">et al. </w:t>
      </w:r>
      <w:r>
        <w:rPr>
          <w:rFonts w:ascii="Arial" w:eastAsia="Arial" w:hAnsi="Arial" w:cs="Arial"/>
          <w:sz w:val="24"/>
          <w:szCs w:val="24"/>
        </w:rPr>
        <w:t xml:space="preserve">(2025), which suggests that organisational incentives can affect the understanding of risk intelligence. However, this thought is complementing the perspectives of Dalla Pellegrina </w:t>
      </w:r>
      <w:r>
        <w:rPr>
          <w:rFonts w:ascii="Arial" w:eastAsia="Arial" w:hAnsi="Arial" w:cs="Arial"/>
          <w:i/>
          <w:iCs/>
          <w:sz w:val="24"/>
          <w:szCs w:val="24"/>
        </w:rPr>
        <w:t>et al.</w:t>
      </w:r>
      <w:r>
        <w:rPr>
          <w:rFonts w:ascii="Arial" w:eastAsia="Arial" w:hAnsi="Arial" w:cs="Arial"/>
          <w:sz w:val="24"/>
          <w:szCs w:val="24"/>
        </w:rPr>
        <w:t xml:space="preserve"> (2023) who showed the need to consider the balance between Type-I and Type-II errors in a risk-based AML assessment, further evidence that risk-based AML cannot be assessed only based on its ability to detection or deterrence. </w:t>
      </w:r>
      <w:r>
        <w:rPr>
          <w:rFonts w:ascii="Arial" w:eastAsia="Arial" w:hAnsi="Arial" w:cs="Arial"/>
          <w:sz w:val="24"/>
          <w:szCs w:val="24"/>
        </w:rPr>
        <w:lastRenderedPageBreak/>
        <w:t>Thus, the critical argument highlights the effectiveness of HSBC's FCRM which relies on the quality, independence and governance of human judgement as well as advanced risk analytics. Therefore, the shift towards risk intelligence is showing a wider industry-wide trend in which financial institutions like HSBC are focusing on collaborating on regulatory alignment with proactive risk management. This approach can support better decision-making according to data available while ensuring efficient compliance resource allocation for enhanced financial crime risk detection.</w:t>
      </w:r>
    </w:p>
    <w:p w14:paraId="3BE17551" w14:textId="77777777" w:rsidR="000D0697" w:rsidRDefault="00DB5716">
      <w:pPr>
        <w:pStyle w:val="Heading3"/>
      </w:pPr>
      <w:bookmarkStart w:id="56" w:name="_Toc240985337"/>
      <w:r>
        <w:t>Theme 2: Strategic integration of AI-based Intelligence and Enterprise-Wide systems for enhanced level of financial crime detection</w:t>
      </w:r>
      <w:bookmarkEnd w:id="56"/>
    </w:p>
    <w:p w14:paraId="3BE17552"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findings from the articles by Sabareesh </w:t>
      </w:r>
      <w:r>
        <w:rPr>
          <w:rFonts w:ascii="Arial" w:eastAsia="Arial" w:hAnsi="Arial" w:cs="Arial"/>
          <w:i/>
          <w:iCs/>
          <w:sz w:val="24"/>
          <w:szCs w:val="24"/>
        </w:rPr>
        <w:t>et al</w:t>
      </w:r>
      <w:r>
        <w:rPr>
          <w:rFonts w:ascii="Arial" w:eastAsia="Arial" w:hAnsi="Arial" w:cs="Arial"/>
          <w:sz w:val="24"/>
          <w:szCs w:val="24"/>
        </w:rPr>
        <w:t xml:space="preserve">. (2024) and Ghimire (2025) that provided crucial insights on the effectiveness of financial crime detection in relation to AI technologies and various Enterprise-Wide systems that can support financial crime detection in international banks like HSBC. The findings highlighted how the effectiveness of financial crime detection is rising with the dependence on AI integration and wider organisational monitoring systems. The learning gained from both articles has shown how traditional rule-based approaches are becoming inadequate for the advancing level of scale and complicatedness of current financial crimes (Ghimire, 2025). Hence, AI-based systems are offering financial organisations to efficiently adapt and identify potentially suspicious activities in large datasets. Sabareesh </w:t>
      </w:r>
      <w:r>
        <w:rPr>
          <w:rFonts w:ascii="Arial" w:eastAsia="Arial" w:hAnsi="Arial" w:cs="Arial"/>
          <w:i/>
          <w:iCs/>
          <w:sz w:val="24"/>
          <w:szCs w:val="24"/>
        </w:rPr>
        <w:t>et al</w:t>
      </w:r>
      <w:r>
        <w:rPr>
          <w:rFonts w:ascii="Arial" w:eastAsia="Arial" w:hAnsi="Arial" w:cs="Arial"/>
          <w:sz w:val="24"/>
          <w:szCs w:val="24"/>
        </w:rPr>
        <w:t xml:space="preserve">. (2024) showed that there is a significant need for managing transaction-related frauds through real-time monitoring via extensive datasets and behavioural patterns that traditional models often fail to consider. The study argued that real-time monitoring allows companies to identify potentially suspicious activities rapidly, ensuring a faster risk mitigation approach. The authors also discussed that AI contributes to compliance practices as it can reduce human error risks and enhance responsiveness as per shifting regulatory needs, which can be beneficial for Multinational banks like HSBC and their operations. Thus, AI is identified to be effective enough to improve fraud detection and support a more integrated approach to risk management in banking operations (Sabareesh </w:t>
      </w:r>
      <w:r>
        <w:rPr>
          <w:rFonts w:ascii="Arial" w:eastAsia="Arial" w:hAnsi="Arial" w:cs="Arial"/>
          <w:i/>
          <w:iCs/>
          <w:sz w:val="24"/>
          <w:szCs w:val="24"/>
        </w:rPr>
        <w:t>et al</w:t>
      </w:r>
      <w:r>
        <w:rPr>
          <w:rFonts w:ascii="Arial" w:eastAsia="Arial" w:hAnsi="Arial" w:cs="Arial"/>
          <w:sz w:val="24"/>
          <w:szCs w:val="24"/>
        </w:rPr>
        <w:t xml:space="preserve">., 2024). On the other hand, Ghimire (2025) focused on the limitations of rule-based AML systems, with a particular consideration of the higher chances of false positives through them. </w:t>
      </w:r>
    </w:p>
    <w:p w14:paraId="3BE17553"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lastRenderedPageBreak/>
        <w:t xml:space="preserve">The findings showcase deep learning models and ML being effective alternatives, as they can identify potential hidden patterns in transaction information. This is a greater benefit for banks as they will be able to effectively separate suspicious activities from normal customer regular behaviours. In contrast to regular systems, these advanced systems have the capability to learn from historical and new data sets, thus ensuring better adaptability to evolving criminal activities (Sabareesh </w:t>
      </w:r>
      <w:r>
        <w:rPr>
          <w:rFonts w:ascii="Arial" w:eastAsia="Arial" w:hAnsi="Arial" w:cs="Arial"/>
          <w:i/>
          <w:iCs/>
          <w:sz w:val="24"/>
          <w:szCs w:val="24"/>
        </w:rPr>
        <w:t>et al</w:t>
      </w:r>
      <w:r>
        <w:rPr>
          <w:rFonts w:ascii="Arial" w:eastAsia="Arial" w:hAnsi="Arial" w:cs="Arial"/>
          <w:sz w:val="24"/>
          <w:szCs w:val="24"/>
        </w:rPr>
        <w:t xml:space="preserve">., 2024). Therefore, AI-based anomaly detection can enhance detection accuracy and operational efficiencies for multinational financial institutions.  A detailed analysis of both studies has shown how they have similarly identified the cruciality of behavioural analysis, with Sabareesh </w:t>
      </w:r>
      <w:r>
        <w:rPr>
          <w:rFonts w:ascii="Arial" w:eastAsia="Arial" w:hAnsi="Arial" w:cs="Arial"/>
          <w:i/>
          <w:iCs/>
          <w:sz w:val="24"/>
          <w:szCs w:val="24"/>
        </w:rPr>
        <w:t>et al</w:t>
      </w:r>
      <w:r>
        <w:rPr>
          <w:rFonts w:ascii="Arial" w:eastAsia="Arial" w:hAnsi="Arial" w:cs="Arial"/>
          <w:sz w:val="24"/>
          <w:szCs w:val="24"/>
        </w:rPr>
        <w:t>. (2024) showing AI can analyse consumer data and behaviours to shed light on suspicious aspects, while discussing behavioural analytics, risk scoring and network analysis supporting in-depth consumer activity analysis (Ghimire, 2025). Hence, the findings of both researches are showing that effective financial crime detection needs to consider various intelligence sources, as enterprise-wide visibility can enhance the risk identification capability of these financial institutions. Thus, the critical argument highlights the effectiveness of HSBC’s systems which relies on the quality, independence and governance of human judgement as well as advanced risk analytics. Therefore, the shift towards risk intelligence is showing a wider industry-wide trend in which financial institutions like HSBC are focusing on collaborating on regulatory alignment with proactive risk management. Such practice can facilitate superior decision-making based on available data and efficient resource utilization of compliance to detect more financial crimes (Shirvanporzour, 2025). The findings are consistent and have highlighted that scalability is linked to the concept of system integration, as real-time monitoring, adaptive learning capabilities and automated analytical processes allow banks to process large transaction data sets. This is particularly relevant for major international banks like HSBC due to the high amount of data available, risks of greater financial issues, and operations in diverse regulatory contexts. Therefore, the evidence has showed that strategic integration of AI and enterprise-wide systems can majorly enhance a large financial institution’s capability to identify, analyse and respond to financial crimes.</w:t>
      </w:r>
    </w:p>
    <w:p w14:paraId="3BE17554" w14:textId="77777777" w:rsidR="000D0697" w:rsidRDefault="00DB5716">
      <w:pPr>
        <w:pStyle w:val="Heading3"/>
      </w:pPr>
      <w:bookmarkStart w:id="57" w:name="_Toc240985338"/>
      <w:r>
        <w:lastRenderedPageBreak/>
        <w:t>Theme 3: Balancing the Effectiveness of AML by Adhering the Regulation Without Customer Friction</w:t>
      </w:r>
      <w:bookmarkEnd w:id="57"/>
    </w:p>
    <w:p w14:paraId="3BE17555"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The gathered data regarding the topic have been highlighted that effective AML cannot be measured just by the detection of suspicious transactions. In this regard, it must be judged by the effectiveness of the regulatory controls in place to ensure they would not be disproportionate or prevent disruption to legitimate customers. By evaluating the study of Chitimira and Munedzi (2023), it has been demonstrated that the UK has been moving towards a forward-looking AML regulatory and enforcement approach, with the element of Customer Due Diligence (CDD) playing a major role to fight against money laundering. In addition, the critical standpoint of the paper also reveals vulnerabilities in the excessive dependency on CDD-based controls and highlights the need for continuous improvement of regulatory compliance, rather than just putting more on the verification aspects. This aspect is complementing HSBC's strategic aspect in AML as overly stringent KYC/CDD processes (</w:t>
      </w:r>
      <w:r>
        <w:rPr>
          <w:rFonts w:ascii="Arial" w:eastAsia="Arial" w:hAnsi="Arial" w:cs="Arial"/>
          <w:sz w:val="24"/>
          <w:szCs w:val="24"/>
          <w:highlight w:val="white"/>
        </w:rPr>
        <w:t>Kawamura, 2022).</w:t>
      </w:r>
      <w:r>
        <w:rPr>
          <w:rFonts w:ascii="Arial" w:eastAsia="Arial" w:hAnsi="Arial" w:cs="Arial"/>
          <w:sz w:val="24"/>
          <w:szCs w:val="24"/>
        </w:rPr>
        <w:t xml:space="preserve"> Multiple requests for information and strict transactions, however, can cause conflict for legitimate customers especially in international banking which involves diverse jurisdictions. However, regarding HSBC's risk-based principal aspects, which proposes that controls should be proportionate to the customer's risk, meaning that lower-risk customers should have faster, less intrusive processes, while higher-risk customers should be subject to greater levels of due diligence. This strategy offers improved effective regulation and effective equity of service to the customer. </w:t>
      </w:r>
    </w:p>
    <w:p w14:paraId="3BE17556"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Furthermore, the rising complexity of global financial services has increased the cruciality for a balance in regulatory obligations and consumer expectations. Financial institutions like HSBC are thus expected to utilize effective AML services while ensuring that consumers can have efficient services and not delays. In relation to this concept, effectiveness is rising the relevancy with providing consumer convenience and ensuring proper compliance, hence, it forces companies to develop monitoring and various due diligence processes that can be aligned with consumer groups and risk profiling. In its turn, the study by Oztas </w:t>
      </w:r>
      <w:r>
        <w:rPr>
          <w:rFonts w:ascii="Arial" w:eastAsia="Arial" w:hAnsi="Arial" w:cs="Arial"/>
          <w:i/>
          <w:iCs/>
          <w:sz w:val="24"/>
          <w:szCs w:val="24"/>
        </w:rPr>
        <w:t xml:space="preserve">et al. </w:t>
      </w:r>
      <w:r>
        <w:rPr>
          <w:rFonts w:ascii="Arial" w:eastAsia="Arial" w:hAnsi="Arial" w:cs="Arial"/>
          <w:sz w:val="24"/>
          <w:szCs w:val="24"/>
        </w:rPr>
        <w:t xml:space="preserve">(2024) presents a rather sceptical view on the subject, emphasizing the importance of balancing between regulatory detection and operational proportionality in efficient transaction monitoring. Additional research has found that the large false positive rate of conventional rule-based monitoring is a significant cost/inefficiency driver. This is </w:t>
      </w:r>
      <w:r>
        <w:rPr>
          <w:rFonts w:ascii="Arial" w:eastAsia="Arial" w:hAnsi="Arial" w:cs="Arial"/>
          <w:sz w:val="24"/>
          <w:szCs w:val="24"/>
        </w:rPr>
        <w:lastRenderedPageBreak/>
        <w:t>relevant to HSBC since too many alerts generated will result in compliance resources being used to investigate the legitimate transactions which may cause an unwarranted customer friction. Therefore, measuring the effectiveness of AML should not only be based on the quantity of alerts generated, but on their accuracy, scalability and regulatory appropriateness of the monitoring decisions. The ability to explain and flexibility are two most crucial requirements of future monitoring systems in which the incorporation of AI and ML supplements responsible adherence and decision-making (Oztas</w:t>
      </w:r>
      <w:r>
        <w:rPr>
          <w:rFonts w:ascii="Arial" w:eastAsia="Arial" w:hAnsi="Arial" w:cs="Arial"/>
          <w:i/>
          <w:iCs/>
          <w:sz w:val="24"/>
          <w:szCs w:val="24"/>
        </w:rPr>
        <w:t xml:space="preserve"> et al., </w:t>
      </w:r>
      <w:r>
        <w:rPr>
          <w:rFonts w:ascii="Arial" w:eastAsia="Arial" w:hAnsi="Arial" w:cs="Arial"/>
          <w:sz w:val="24"/>
          <w:szCs w:val="24"/>
        </w:rPr>
        <w:t xml:space="preserve">2024). This helps in the capability of HSBC to employ the risk-based approach where the advanced analytics offers more emphasis in the intensive screening on the transactions that are riskier. </w:t>
      </w:r>
    </w:p>
    <w:p w14:paraId="3BE17557" w14:textId="77777777" w:rsidR="000D0697" w:rsidRDefault="00DB5716">
      <w:pPr>
        <w:pStyle w:val="Heading3"/>
      </w:pPr>
      <w:bookmarkStart w:id="58" w:name="_Toc240985339"/>
      <w:r>
        <w:t>Theme 4: Strategies for scalable and ethical AML frameworks through risk-based governance and innovation</w:t>
      </w:r>
      <w:bookmarkEnd w:id="58"/>
    </w:p>
    <w:p w14:paraId="3BE17558"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In this developed theme, the articles by Shirvanporzour (2025) and Majomi (2022) are corresponding with each other in their arguments and findings indicating that the future of Anti-money laundering systems lies in the technological advancements and governing structures as well. Both articles revealed the application of AI to improve detecting and controlling financial crimes as well as illuminating the scaling effects and the long-term performance through risk-based decision making, ethical alignment, and dynamic governance. These results could be more reconciled with the examples of large international banking organizations such as HSBC in different regulatory frameworks and balancing innovation and responsibility. There is a direct impact on the HSBC technological integration. This is analysed by highlighting how HSBC systems previously identified undiscovered money laundering networks using graph analytics and improving efficiency in KYC compliance (Shirvanporzour, 2025). The author also argued that traditional AML frameworks are not effective in contemporary times, as they are based on static rules and data, hindering better adaptability with time to criminal activities. It can be identified that excess false positives, lack of adaptability, and resource-based investigations are major weaknesses of traditional compliance systems. Thus, Shirvanporzour (2025) showed AI-based risk management as a focus context to enhance detection accuracy, reducing unnecessary alerts and supporting the automation process of compliance. To support this, the author highlighted how HSBC has implemented AI-based AML detection models that allow for reducing 20% of false-positive AML alerts (</w:t>
      </w:r>
      <w:proofErr w:type="gramStart"/>
      <w:r>
        <w:rPr>
          <w:rFonts w:ascii="Arial" w:eastAsia="Arial" w:hAnsi="Arial" w:cs="Arial"/>
          <w:sz w:val="24"/>
          <w:szCs w:val="24"/>
        </w:rPr>
        <w:t>Majomi ,</w:t>
      </w:r>
      <w:proofErr w:type="gramEnd"/>
      <w:r>
        <w:rPr>
          <w:rFonts w:ascii="Arial" w:eastAsia="Arial" w:hAnsi="Arial" w:cs="Arial"/>
          <w:sz w:val="24"/>
          <w:szCs w:val="24"/>
        </w:rPr>
        <w:t xml:space="preserve"> </w:t>
      </w:r>
      <w:r>
        <w:rPr>
          <w:rFonts w:ascii="Arial" w:eastAsia="Arial" w:hAnsi="Arial" w:cs="Arial"/>
          <w:sz w:val="24"/>
          <w:szCs w:val="24"/>
        </w:rPr>
        <w:lastRenderedPageBreak/>
        <w:t>2022). Yet, the article does not showcase innovation as a key solution, as consideration of data governance, algorithmic transparency, and ethical implications of decision-making automation has also been shown to be critical. This shows how scalable AML frameworks need to be supported via proper governance mechanisms to ensure technological efficiency cannot hinder accountability.</w:t>
      </w:r>
    </w:p>
    <w:p w14:paraId="3BE17559"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Majomi (2022) also contributed to the analysis through providing a better focus on the governance context. The authors showed that digital financial ecosystems have developed complicated money laundering types that are often challenging to address through single compliance approaches. This develops the need for financial institutions like HSBC to shift the focus from just detection technologies. The proposed analysis by Majomi (2022) has identified collaboration in AI, risk-based governance, regulatory technologies, behavioural monitoring, cyber threat intelligence, blockchain forensic approaches, and company oversight. This wider perspective is showing the cruciality of governance as a key factor in AML effectiveness. Hence, both studies complement the findings, as Shirvanporzour (2025) showed capability of technologies like AI-based systems for major financial institutions and related ethical concerns for their implementation. These capabilities can be included in a company-wide governance framework for better FCRM (Majomi, 2022). These findings have, therefore, been beneficial to support that scalable AML programmes are gained through utilising advanced technologies, like shown for HSBC’s case, and by integrating the technologies into structured processes like regulatory alignment and risk analysis. The findings of Shirvanporzour (2025) provided better focus on transparency, interpretability and regulatory adaptation in technological advancements, while Majomi (2022) highlighted risk-based governance, effective decision-making and company accountability. Thus, for major financial institutions with a keen focus on scalable AML approaches, these findings are supporting their approach through showing that innovation can be supportive for value creation, although support of accountability and adaptive governance is still critical to consider. </w:t>
      </w:r>
    </w:p>
    <w:p w14:paraId="3BE1755A" w14:textId="77777777" w:rsidR="000D0697" w:rsidRDefault="00DB5716">
      <w:pPr>
        <w:pStyle w:val="Heading2"/>
        <w:spacing w:before="120" w:after="120" w:line="360" w:lineRule="auto"/>
      </w:pPr>
      <w:bookmarkStart w:id="59" w:name="_Toc240985340"/>
      <w:r>
        <w:t>4.4 Discussion</w:t>
      </w:r>
      <w:bookmarkEnd w:id="59"/>
    </w:p>
    <w:p w14:paraId="3BE1755B"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findings related to the first research question of HSBC’s AML strategy have shown that HSBC has enhanced and evolved its strategy from a rule-based compliance model to a risk-based FCRM approach. The literature review identified </w:t>
      </w:r>
      <w:r>
        <w:rPr>
          <w:rFonts w:ascii="Arial" w:eastAsia="Arial" w:hAnsi="Arial" w:cs="Arial"/>
          <w:sz w:val="24"/>
          <w:szCs w:val="24"/>
        </w:rPr>
        <w:lastRenderedPageBreak/>
        <w:t xml:space="preserve">that traditional controls and one-size fit all monitoring can develop limitations and reduce transparency, in contrast, risk-based FCRM can allow resources to be focused on as per products, consumers, and geographical risks (Parray </w:t>
      </w:r>
      <w:r>
        <w:rPr>
          <w:rFonts w:ascii="Arial" w:eastAsia="Arial" w:hAnsi="Arial" w:cs="Arial"/>
          <w:i/>
          <w:iCs/>
          <w:sz w:val="24"/>
          <w:szCs w:val="24"/>
        </w:rPr>
        <w:t>et al</w:t>
      </w:r>
      <w:r>
        <w:rPr>
          <w:rFonts w:ascii="Arial" w:eastAsia="Arial" w:hAnsi="Arial" w:cs="Arial"/>
          <w:sz w:val="24"/>
          <w:szCs w:val="24"/>
        </w:rPr>
        <w:t xml:space="preserve">., 2025). In relation to the thematic findings, it can be identified that Dalla Pellegrina </w:t>
      </w:r>
      <w:r>
        <w:rPr>
          <w:rFonts w:ascii="Arial" w:eastAsia="Arial" w:hAnsi="Arial" w:cs="Arial"/>
          <w:i/>
          <w:iCs/>
          <w:sz w:val="24"/>
          <w:szCs w:val="24"/>
        </w:rPr>
        <w:t xml:space="preserve">et al. </w:t>
      </w:r>
      <w:r>
        <w:rPr>
          <w:rFonts w:ascii="Arial" w:eastAsia="Arial" w:hAnsi="Arial" w:cs="Arial"/>
          <w:sz w:val="24"/>
          <w:szCs w:val="24"/>
        </w:rPr>
        <w:t xml:space="preserve">(2023) have shown that risk-based approaches can include a risk of not managing a proper balance in deterrence and reporting accuracy, with a focus mainly on Type-I errors and potential false-positive rate increasing. Hence, HSBC’s shift for better risk sensitivity should not be just an enhanced accuracy. This also potentially contrasts with the positive focus in the literature review, in which HSBC's Dynamic Risk Assessment and intelligence-focused decision-making were mainly considered as key evidence for strong risk visibility (Daigle, 2025; HSBC Holdings plc, 2025b). Furthermore, Ogbeide </w:t>
      </w:r>
      <w:r>
        <w:rPr>
          <w:rFonts w:ascii="Arial" w:eastAsia="Arial" w:hAnsi="Arial" w:cs="Arial"/>
          <w:i/>
          <w:iCs/>
          <w:sz w:val="24"/>
          <w:szCs w:val="24"/>
        </w:rPr>
        <w:t xml:space="preserve">et al. </w:t>
      </w:r>
      <w:r>
        <w:rPr>
          <w:rFonts w:ascii="Arial" w:eastAsia="Arial" w:hAnsi="Arial" w:cs="Arial"/>
          <w:sz w:val="24"/>
          <w:szCs w:val="24"/>
        </w:rPr>
        <w:t xml:space="preserve">(2025) showed that risk assessment is mainly based on practitioner analysis, uncertainty bias, and organisational arrangements, also supporting the literature’s arguments of how just technology cannot ensure proper FCRM, requiring support for technology development, governance, and even data quality (Ridzuan </w:t>
      </w:r>
      <w:r>
        <w:rPr>
          <w:rFonts w:ascii="Arial" w:eastAsia="Arial" w:hAnsi="Arial" w:cs="Arial"/>
          <w:i/>
          <w:iCs/>
          <w:sz w:val="24"/>
          <w:szCs w:val="24"/>
        </w:rPr>
        <w:t>et al</w:t>
      </w:r>
      <w:r>
        <w:rPr>
          <w:rFonts w:ascii="Arial" w:eastAsia="Arial" w:hAnsi="Arial" w:cs="Arial"/>
          <w:sz w:val="24"/>
          <w:szCs w:val="24"/>
        </w:rPr>
        <w:t>., 2024). The findings can thus be aligned with the Risk-Based Regulation Theory, as HSBC is allocating controls as per various levels of risk and not using them generally (Bredbenner, 2024). The theory is also shedding light on a limitation of proportional risk allocation that can only be effective if the risk judgments are accurate, properly governed, and independent. Therefore, the transformation of HSBC is a strategic progress, and not a complete shift from the challenges of traditional AML. This highlights that HSBC’s shift needs to be analysed based on results and the quality of decisions made.</w:t>
      </w:r>
    </w:p>
    <w:p w14:paraId="3BE1755C"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In relation to the second research question regarding how AI and integrated systems are fostering HSBC’s financial crime detection, the findings often showed alignment with the literature review’s consideration that technological integration is crucial for FCRM scalability. For example, Sabareesh </w:t>
      </w:r>
      <w:r>
        <w:rPr>
          <w:rFonts w:ascii="Arial" w:eastAsia="Arial" w:hAnsi="Arial" w:cs="Arial"/>
          <w:i/>
          <w:iCs/>
          <w:sz w:val="24"/>
          <w:szCs w:val="24"/>
        </w:rPr>
        <w:t>et al</w:t>
      </w:r>
      <w:r>
        <w:rPr>
          <w:rFonts w:ascii="Arial" w:eastAsia="Arial" w:hAnsi="Arial" w:cs="Arial"/>
          <w:sz w:val="24"/>
          <w:szCs w:val="24"/>
        </w:rPr>
        <w:t xml:space="preserve">. (2024) stated that real-time monitoring, behavioural patterns, and major datasets can enhance the rapidness of suspicious activity identification and reduce the chances of human errors. While Ghimire (2025) showed that there are weaknesses in traditional rule-based AML, especially regarding a high number of false positives, while identifying ML, behavioural analytics, risk scoring, network analysis, and others as alternative models to identify patterns hidden in datasets. These findings are aligned closely </w:t>
      </w:r>
      <w:r>
        <w:rPr>
          <w:rFonts w:ascii="Arial" w:eastAsia="Arial" w:hAnsi="Arial" w:cs="Arial"/>
          <w:sz w:val="24"/>
          <w:szCs w:val="24"/>
        </w:rPr>
        <w:lastRenderedPageBreak/>
        <w:t xml:space="preserve">with the literature review that sheds light on AI and ML as approaches for major dataset analysis frameworks and shed light on complicated financial laundering patterns (Deprez </w:t>
      </w:r>
      <w:r>
        <w:rPr>
          <w:rFonts w:ascii="Arial" w:eastAsia="Arial" w:hAnsi="Arial" w:cs="Arial"/>
          <w:i/>
          <w:iCs/>
          <w:sz w:val="24"/>
          <w:szCs w:val="24"/>
        </w:rPr>
        <w:t>et al</w:t>
      </w:r>
      <w:r>
        <w:rPr>
          <w:rFonts w:ascii="Arial" w:eastAsia="Arial" w:hAnsi="Arial" w:cs="Arial"/>
          <w:sz w:val="24"/>
          <w:szCs w:val="24"/>
        </w:rPr>
        <w:t xml:space="preserve">., 2026). The relevance of this context to HSBC is especially strong as the literature identified its partnership with Google and Dynamic Risk Assessment Platforms, which analyses over 1 billion monthly transactions for a significant number of accounts (Daigle, 2025; HSBC Holdings plc, 2025b). Although, the thematic analysis shows that the value of AI is mainly based on integration in the organisational context. On the other hand, Enterprise-wide monitoring allows data from various activities and behaviours to contribute to a wider financial crime risk analysis. Literature findings are also aligned with it, as it showed that advanced AML systems need collaboration of diverse data sources (Aidoo </w:t>
      </w:r>
      <w:r>
        <w:rPr>
          <w:rFonts w:ascii="Arial" w:eastAsia="Arial" w:hAnsi="Arial" w:cs="Arial"/>
          <w:i/>
          <w:iCs/>
          <w:sz w:val="24"/>
          <w:szCs w:val="24"/>
        </w:rPr>
        <w:t>et al</w:t>
      </w:r>
      <w:r>
        <w:rPr>
          <w:rFonts w:ascii="Arial" w:eastAsia="Arial" w:hAnsi="Arial" w:cs="Arial"/>
          <w:sz w:val="24"/>
          <w:szCs w:val="24"/>
        </w:rPr>
        <w:t>., 2025). These findings are aligned with the Technology-Organisation-Environment framework, in which the technology factor is shown through AI, real-time analytics, and machine learning, while organisational factors are shown through integrated monitoring and risk management approaches. The wider regulatory factor also aligns with banks being encouraged to respond rapidly to financial crimes that are rising in terms of complexities. Yet there are also limitations highlighted like data quality, interpretability, changing crime patterns, and model biases, showing that AI can be a major supporting pillar for HSBC’s scaling approach, yet cannot completely replace human considerations.</w:t>
      </w:r>
    </w:p>
    <w:p w14:paraId="3BE1755D"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third research question focused on how HSBC can balance AML alignments with operational efficiencies and consumer experiences. The critical findings show that effectiveness should not be analysed through suspicious activity detection rates as major controls, and inaccuracy in alerts can hinder consumer services and may develop financial pressures. For example, the cruciality of CDD in the UK’s forward-looking AML regulatory strategy and even showcased potential hindrances that can be developed through major CDD-based control dependency (Chitimira and Munedzi, 2023). This supports existing literature that referred KYC to have considered a wide range of documentation, identity verification and source-of-funds checks, which eventually delay onboarding and create barriers for genuine consumers. Findings of Oztas </w:t>
      </w:r>
      <w:r>
        <w:rPr>
          <w:rFonts w:ascii="Arial" w:eastAsia="Arial" w:hAnsi="Arial" w:cs="Arial"/>
          <w:i/>
          <w:iCs/>
          <w:sz w:val="24"/>
          <w:szCs w:val="24"/>
        </w:rPr>
        <w:t>et al</w:t>
      </w:r>
      <w:r>
        <w:rPr>
          <w:rFonts w:ascii="Arial" w:eastAsia="Arial" w:hAnsi="Arial" w:cs="Arial"/>
          <w:sz w:val="24"/>
          <w:szCs w:val="24"/>
        </w:rPr>
        <w:t xml:space="preserve">. (2024) is also considered as support, as false positives in transaction monitoring are shown to be a key source of excess cost and inefficiencies. This supports existing literature on false positives being a key issue in </w:t>
      </w:r>
      <w:r>
        <w:rPr>
          <w:rFonts w:ascii="Arial" w:eastAsia="Arial" w:hAnsi="Arial" w:cs="Arial"/>
          <w:sz w:val="24"/>
          <w:szCs w:val="24"/>
        </w:rPr>
        <w:lastRenderedPageBreak/>
        <w:t xml:space="preserve">compliance resources and a challenge in considering relationship management (Oyedokun </w:t>
      </w:r>
      <w:r>
        <w:rPr>
          <w:rFonts w:ascii="Arial" w:eastAsia="Arial" w:hAnsi="Arial" w:cs="Arial"/>
          <w:i/>
          <w:iCs/>
          <w:sz w:val="24"/>
          <w:szCs w:val="24"/>
        </w:rPr>
        <w:t>et al</w:t>
      </w:r>
      <w:r>
        <w:rPr>
          <w:rFonts w:ascii="Arial" w:eastAsia="Arial" w:hAnsi="Arial" w:cs="Arial"/>
          <w:sz w:val="24"/>
          <w:szCs w:val="24"/>
        </w:rPr>
        <w:t xml:space="preserve">., 2024). It can also be identified that in both; analysis and literature analysis have supported proportionality as a key approach to address this issue. HSBC’s risk-based approach can allow low-risk consumers to face less detailed processes, while high-risk consumers can face stronger scrutiny. For example, Hanif </w:t>
      </w:r>
      <w:r>
        <w:rPr>
          <w:rFonts w:ascii="Arial" w:eastAsia="Arial" w:hAnsi="Arial" w:cs="Arial"/>
          <w:i/>
          <w:iCs/>
          <w:sz w:val="24"/>
          <w:szCs w:val="24"/>
        </w:rPr>
        <w:t>et al</w:t>
      </w:r>
      <w:r>
        <w:rPr>
          <w:rFonts w:ascii="Arial" w:eastAsia="Arial" w:hAnsi="Arial" w:cs="Arial"/>
          <w:sz w:val="24"/>
          <w:szCs w:val="24"/>
        </w:rPr>
        <w:t xml:space="preserve">. (2025) have also shown that proportionality allows compliance requirements to be aligned with analysed risks and thus avoid utilising the same control for everyone, and considering previous analysis, AI and automation can also support this balance through reducing unnecessary alerts. Findings from Oztas </w:t>
      </w:r>
      <w:r>
        <w:rPr>
          <w:rFonts w:ascii="Arial" w:eastAsia="Arial" w:hAnsi="Arial" w:cs="Arial"/>
          <w:i/>
          <w:iCs/>
          <w:sz w:val="24"/>
          <w:szCs w:val="24"/>
        </w:rPr>
        <w:t>et al</w:t>
      </w:r>
      <w:r>
        <w:rPr>
          <w:rFonts w:ascii="Arial" w:eastAsia="Arial" w:hAnsi="Arial" w:cs="Arial"/>
          <w:sz w:val="24"/>
          <w:szCs w:val="24"/>
        </w:rPr>
        <w:t xml:space="preserve">. (2024) have further revealed the need for interpretability (ability to explain) and flexibility, properly aligning with Edgars and Benson (2024) who highlighted the need for transparency in AI-based compliance for better accountability. Hence, according to these findings, it can be said that operational efficiency is aligned with compliance effectiveness, as a scalable focus on AML strategy should enhance decision-making quality and maintain regulatory focus, reducing chances of unnecessary burden on authentic consumers.  </w:t>
      </w:r>
    </w:p>
    <w:p w14:paraId="3BE1755E"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fourth question considered a keen focus on strategic improvements to support HSBC for a scalable and ethical AML approach for financial risk management. The findings of Shirvanporzour (2025) and Majomi (2022) altogether showed that technological innovation, regardless of being crucial and efficient, needs to align with governance and accountability. Shirvanporzour (2025) specifically showed HSBC's use of AI-based AML and graph analytics that supported a 20% reduction in false-positive alerts, while showing data governance, transparency in algorithms, and ethical-decision-making. With consideration of findings from the study of Majomi (2022), risk-based governance, organisational analysis, collaborative approaches, and blockchain-forensic focuses can be highly beneficial. The findings are also focused on literature discussions on explainable AI, graph or blockchain analytics, privacy, bias, and even digital identity. Based on the literature, explainable AI has the capability to enhance confidence through providing understandable reasons for decisions (Fernández, 2025). On the other hand, it has also been shown that graph-based analysis can provide benefits to identify relationships among accounts, individuals, and transactions (Ibitola, 2023). Based on literature analysis, it can also be said that, regardless of the benefits, AML systems can also develop risks for </w:t>
      </w:r>
      <w:r>
        <w:rPr>
          <w:rFonts w:ascii="Arial" w:eastAsia="Arial" w:hAnsi="Arial" w:cs="Arial"/>
          <w:sz w:val="24"/>
          <w:szCs w:val="24"/>
        </w:rPr>
        <w:lastRenderedPageBreak/>
        <w:t xml:space="preserve">ethical and or privacy concerns due to major data collection or automation (Fan </w:t>
      </w:r>
      <w:r>
        <w:rPr>
          <w:rFonts w:ascii="Arial" w:eastAsia="Arial" w:hAnsi="Arial" w:cs="Arial"/>
          <w:i/>
          <w:iCs/>
          <w:sz w:val="24"/>
          <w:szCs w:val="24"/>
        </w:rPr>
        <w:t>et al</w:t>
      </w:r>
      <w:r>
        <w:rPr>
          <w:rFonts w:ascii="Arial" w:eastAsia="Arial" w:hAnsi="Arial" w:cs="Arial"/>
          <w:sz w:val="24"/>
          <w:szCs w:val="24"/>
        </w:rPr>
        <w:t>., 2026). Hence, according to the findings, HSBC’s future scaling needs to be focused on collaborating advanced analytics and proper human interactions, aligning with the technology-organisation-Environment framework, as technology capability needs to be aligned with organisational readiness, resources, expertise and governance while adapting to changing regulatory approaches and criminal threats. Therefore, according to the findings, HSBC has made major progress for intelligence-focused FCRM, although to ensure proper scalable AML, it should strictly consider transparency, accountability, accuracy, proportionality, and human interaction in technological approaches.</w:t>
      </w:r>
    </w:p>
    <w:p w14:paraId="3BE1755F" w14:textId="77777777" w:rsidR="000D0697" w:rsidRDefault="00DB5716">
      <w:pPr>
        <w:pStyle w:val="Heading2"/>
        <w:spacing w:before="120" w:after="120" w:line="360" w:lineRule="auto"/>
      </w:pPr>
      <w:bookmarkStart w:id="60" w:name="_Toc240985341"/>
      <w:r>
        <w:t>4.5 Chapter Summary</w:t>
      </w:r>
      <w:bookmarkEnd w:id="60"/>
    </w:p>
    <w:p w14:paraId="3BE17560"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This chapter has shed light on HSBC’s strategy to scale its AML and FCRM through key themes developed from chosen relevant secondary articles. The findings from the thematic analysis and discussion were also compared and analysed to answer the research questions, which shows that HSBC has shifted from a traditional rule-based AML strategy to a risk-focused FCRM approach with a focus on advanced governance and risk assessments. Factors like AI, ML and enterprise-wide monitoring were identified as being crucial for enhancing financial crime detection and scalability. The findings showed the cruciality to balance regulatory compliance and consumer experience, and operational efficiency through proportional risk-based controls. Thus, a focus on collaborating technologies with transparency, accountability, human interaction, and others is crucial for HSBC for its scalable AML focus.</w:t>
      </w:r>
    </w:p>
    <w:p w14:paraId="3BE17561" w14:textId="77777777" w:rsidR="000D0697" w:rsidRDefault="00DB5716">
      <w:pPr>
        <w:pStyle w:val="Normal1"/>
        <w:spacing w:line="360" w:lineRule="auto"/>
        <w:rPr>
          <w:rFonts w:ascii="Arial" w:eastAsia="Arial" w:hAnsi="Arial" w:cs="Arial"/>
          <w:sz w:val="24"/>
          <w:szCs w:val="24"/>
        </w:rPr>
      </w:pPr>
      <w:r>
        <w:br w:type="page"/>
      </w:r>
    </w:p>
    <w:p w14:paraId="3BE17562" w14:textId="77777777" w:rsidR="000D0697" w:rsidRDefault="00DB5716">
      <w:pPr>
        <w:pStyle w:val="Heading1"/>
      </w:pPr>
      <w:bookmarkStart w:id="61" w:name="_Toc240985342"/>
      <w:r>
        <w:lastRenderedPageBreak/>
        <w:t>Chapter 5: Conclusion and recommendations</w:t>
      </w:r>
      <w:bookmarkEnd w:id="61"/>
    </w:p>
    <w:p w14:paraId="3BE17563" w14:textId="77777777" w:rsidR="000D0697" w:rsidRDefault="00DB5716">
      <w:pPr>
        <w:pStyle w:val="Heading2"/>
        <w:spacing w:line="360" w:lineRule="auto"/>
      </w:pPr>
      <w:bookmarkStart w:id="62" w:name="_Toc240985343"/>
      <w:r>
        <w:t>5.1 Introduction</w:t>
      </w:r>
      <w:bookmarkEnd w:id="62"/>
    </w:p>
    <w:p w14:paraId="3BE17564"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This chapter sheds light on the key findings gained from the study and its analysis of secondary literature and existing data. Based on the analysis and discussion done, this chapter identifies and discusses the findings in alignment with the research objectives. This supports meeting them through concluding analysis and focuses on the key research aim of the study. The chapter also sheds light on the contribution and limitations of the study while providing recommendations in practical and academic contexts. Based on the analysis, a focus has been given to the opportunities for future research to overcome the limitations of this study and contribute more effectively.</w:t>
      </w:r>
    </w:p>
    <w:p w14:paraId="3BE17565" w14:textId="77777777" w:rsidR="000D0697" w:rsidRDefault="00DB5716">
      <w:pPr>
        <w:pStyle w:val="Heading2"/>
        <w:spacing w:line="360" w:lineRule="auto"/>
      </w:pPr>
      <w:bookmarkStart w:id="63" w:name="_Toc240985344"/>
      <w:r>
        <w:t>5.2 Summarising the key findings</w:t>
      </w:r>
      <w:bookmarkEnd w:id="63"/>
    </w:p>
    <w:p w14:paraId="3BE17566"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study has focused on critically analysing HSBC’s strategy in relation to its scaling of Anti-money Laundering and Financial Crime Risk Management, with a keen focus on the advancements it made for the risk-based compliance framework. It also focused on the role of advanced technologies, the balance between compliance and consumer experiences, and future strategic directions. </w:t>
      </w:r>
    </w:p>
    <w:p w14:paraId="3BE17567" w14:textId="77777777" w:rsidR="000D0697" w:rsidRDefault="00DB5716">
      <w:pPr>
        <w:pStyle w:val="Heading3"/>
      </w:pPr>
      <w:bookmarkStart w:id="64" w:name="_Toc240985345"/>
      <w:r>
        <w:t>5.2.1 Shift towards a Risk-based Financial Crime Risk Management framework</w:t>
      </w:r>
      <w:bookmarkEnd w:id="64"/>
    </w:p>
    <w:p w14:paraId="3BE17568"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findings, aligned with the first research objectives, showed that HSBC has gone through a major transformation from traditional rule-based compliance approaches to a more intelligence-focused and risk-based approach for financial crime management (HSBC Holdings plc, 2024). This complete shift is showing wider industry movement in which financial companies are focusing on risk sensitivity, targeted allocation of compliance resources, and dynamic monitoring approaches. The findings have specifically led to the conclusion that HSBC’s FCRM framework is based on consumers, geographical risk factors and products, supported through dynamic evaluation models and enhanced governance with AI-based monitoring systems (Parray </w:t>
      </w:r>
      <w:r>
        <w:rPr>
          <w:rFonts w:ascii="Arial" w:eastAsia="Arial" w:hAnsi="Arial" w:cs="Arial"/>
          <w:i/>
          <w:iCs/>
          <w:sz w:val="24"/>
          <w:szCs w:val="24"/>
        </w:rPr>
        <w:t xml:space="preserve">et al., </w:t>
      </w:r>
      <w:r>
        <w:rPr>
          <w:rFonts w:ascii="Arial" w:eastAsia="Arial" w:hAnsi="Arial" w:cs="Arial"/>
          <w:sz w:val="24"/>
          <w:szCs w:val="24"/>
        </w:rPr>
        <w:t xml:space="preserve">2025). Although, the findings highlighted that risk-based approaches should not be considered as effective, as the evidence showed that rising risk sensitivity can develop issues in relation to false positives and even reporting accuracy. Furthermore, risk assessment is mainly based on human </w:t>
      </w:r>
      <w:r>
        <w:rPr>
          <w:rFonts w:ascii="Arial" w:eastAsia="Arial" w:hAnsi="Arial" w:cs="Arial"/>
          <w:sz w:val="24"/>
          <w:szCs w:val="24"/>
        </w:rPr>
        <w:lastRenderedPageBreak/>
        <w:t>interactions and organisational structures. Therefore, HSBC’s evolution for a risk-based model is showing strategic advancements, yet the effectiveness of the transformation is mainly based on the governance, decision-making, and oversight quality. The findings effectively align with the Risk-Based Regulation Theory that focuses on proportional allocation of regulatory efforts in relation to the risk levels (Bredbenner, 2024).</w:t>
      </w:r>
    </w:p>
    <w:p w14:paraId="3BE17569" w14:textId="77777777" w:rsidR="000D0697" w:rsidRDefault="00DB5716">
      <w:pPr>
        <w:pStyle w:val="Heading3"/>
      </w:pPr>
      <w:bookmarkStart w:id="65" w:name="_Toc240985346"/>
      <w:r>
        <w:t>5.2.2 Technological stability, Ethical governance and operational balance</w:t>
      </w:r>
      <w:bookmarkEnd w:id="65"/>
    </w:p>
    <w:p w14:paraId="3BE1756A"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Based on the second research objective, the analysis developed a deeper understanding regarding the role of AI and integrated systems for scaling the detection of suspicious activities in HSBC’s global networks. The findings have identified that technological integration has become a key focus for HSBC and its financial crime strategy (Ross, 2025). The traditional rule-based systems were mainly identified in specifics related to the major volume, complexities and sophistication management in contemporary crimes. On the contrary, AI-based monitoring, behavioural analytics, ML, and enterprise-wide monitoring systems provide crucial capabilities that can shed light on hidden patterns, monitoring transactions in real time while analysing vast amounts of data (Deprez </w:t>
      </w:r>
      <w:r>
        <w:rPr>
          <w:rFonts w:ascii="Arial" w:eastAsia="Arial" w:hAnsi="Arial" w:cs="Arial"/>
          <w:i/>
          <w:iCs/>
          <w:sz w:val="24"/>
          <w:szCs w:val="24"/>
        </w:rPr>
        <w:t>et al</w:t>
      </w:r>
      <w:r>
        <w:rPr>
          <w:rFonts w:ascii="Arial" w:eastAsia="Arial" w:hAnsi="Arial" w:cs="Arial"/>
          <w:sz w:val="24"/>
          <w:szCs w:val="24"/>
        </w:rPr>
        <w:t xml:space="preserve">., 2026). Based on the findings, it is also prominent that AI can contribute positively to adaptability, enhanced responsiveness to emerging risks and increased operational efficiencies. It was also evident that the role of integrated systems was also crucial in allowing information from various organisational functions and activities to contribute to wider financial crime risk assessments. In contrast to technology operating independently, the findings showed that effective detection is based on integration among technological capabilities with organisational approaches (Prakash, 2025). This can be aligned with the application of the Technology-Organisation-Environment framework, as it showcases that effective technological adaptations can be based on technological capabilities and even organisational readiness and environmental factors. HSBC's usage of advanced monitoring systems proves how technology can enhance scalability, yet the findings also showed continuous limitations related to data quality, algorithmic bias, interpretability and shifting crimes over time (Reinhard </w:t>
      </w:r>
      <w:r>
        <w:rPr>
          <w:rFonts w:ascii="Arial" w:eastAsia="Arial" w:hAnsi="Arial" w:cs="Arial"/>
          <w:i/>
          <w:iCs/>
          <w:sz w:val="24"/>
          <w:szCs w:val="24"/>
        </w:rPr>
        <w:t>et al.</w:t>
      </w:r>
      <w:r>
        <w:rPr>
          <w:rFonts w:ascii="Arial" w:eastAsia="Arial" w:hAnsi="Arial" w:cs="Arial"/>
          <w:sz w:val="24"/>
          <w:szCs w:val="24"/>
        </w:rPr>
        <w:t xml:space="preserve">, 2023). Hence, while AI and integrated systems have majorly enhanced HSBC’s capability to identify and respond to suspicious activities, </w:t>
      </w:r>
      <w:r>
        <w:rPr>
          <w:rFonts w:ascii="Arial" w:eastAsia="Arial" w:hAnsi="Arial" w:cs="Arial"/>
          <w:sz w:val="24"/>
          <w:szCs w:val="24"/>
        </w:rPr>
        <w:lastRenderedPageBreak/>
        <w:t>technology is a key support pillar that needs human contributions, governance, and continuous adaptations for being relevant.</w:t>
      </w:r>
    </w:p>
    <w:p w14:paraId="3BE1756B" w14:textId="77777777" w:rsidR="000D0697" w:rsidRDefault="00DB5716">
      <w:pPr>
        <w:pStyle w:val="Heading3"/>
      </w:pPr>
      <w:bookmarkStart w:id="66" w:name="_Toc240985347"/>
      <w:r>
        <w:t>5.2.3 Compliance and consumer alignment and future strategic aspects</w:t>
      </w:r>
      <w:bookmarkEnd w:id="66"/>
      <w:r>
        <w:t xml:space="preserve"> </w:t>
      </w:r>
    </w:p>
    <w:p w14:paraId="3BE1756C"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third objective aimed at analysing how HSBC balances the strict compliance needs with consumers' experience and operational efficiency. The findings show that AML effectiveness should not be measured just through the amount of suspicious activity reports or alerts generated for transactions, as effective compliance needs proper balance in regulatory obligations and avoidance of excess disruptions for legitimate consumers (Chitimira and Munedzi, 2023). Based on the analysis, it is shown that excess reliance on Customer Due Diligence, know your customer (KYC) requirements, and intensive verification processes can hinder operational effectiveness through increased onboarding times and negatively impact consumer experiences (Kitov and Kartsev, 2025). Furthermore, traditional monitoring systems often develop major false-positive alerts that also result in increased compliance costs and non-required investigations for legitimate transactions. These can eventually hinder the analysis of actual cases while developing hindrances for consumers. These findings also support that HSBC’s risk-based approach offers potential outcomes using controls as per consumer risk profiles (Hanif </w:t>
      </w:r>
      <w:r>
        <w:rPr>
          <w:rFonts w:ascii="Arial" w:eastAsia="Arial" w:hAnsi="Arial" w:cs="Arial"/>
          <w:i/>
          <w:iCs/>
          <w:sz w:val="24"/>
          <w:szCs w:val="24"/>
        </w:rPr>
        <w:t>et al</w:t>
      </w:r>
      <w:r>
        <w:rPr>
          <w:rFonts w:ascii="Arial" w:eastAsia="Arial" w:hAnsi="Arial" w:cs="Arial"/>
          <w:sz w:val="24"/>
          <w:szCs w:val="24"/>
        </w:rPr>
        <w:t>., 2025). With lower-risk consumers, less intrusive monitoring and faster processes can be used, while for high-risk consumers, increased security can be used. The analysis, hence, is showing that advanced analytics and AI-based monitoring can contribute to the reduction of unnecessary alerts and enhanced decision-making quality in companies like HSBC (Edgars and Benson, 2024). Furthermore, in relation to a theoretical perspective, the findings show alignment to the Risk-Based Regulation Theory through showing how proportionality can support compliance effectiveness and consumer fairness.</w:t>
      </w:r>
    </w:p>
    <w:p w14:paraId="3BE1756D" w14:textId="77777777" w:rsidR="000D0697" w:rsidRDefault="00DB5716">
      <w:pPr>
        <w:pStyle w:val="Heading3"/>
      </w:pPr>
      <w:bookmarkStart w:id="67" w:name="_Toc240985348"/>
      <w:r>
        <w:t>5.2.4 Strategic integration of the emerging technologies and ethical governance</w:t>
      </w:r>
      <w:bookmarkEnd w:id="67"/>
      <w:r>
        <w:t xml:space="preserve"> </w:t>
      </w:r>
    </w:p>
    <w:p w14:paraId="3BE1756E"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In relation to the final objective, the study focused on showcasing strategic insights that can support HSBC in the integration of emerging technologies to address the rising sophistication of financial crime risks and maintain ethical data accountability and usage. With the support of the analysis, future AML effectiveness should be </w:t>
      </w:r>
      <w:r>
        <w:rPr>
          <w:rFonts w:ascii="Arial" w:eastAsia="Arial" w:hAnsi="Arial" w:cs="Arial"/>
          <w:sz w:val="24"/>
          <w:szCs w:val="24"/>
        </w:rPr>
        <w:lastRenderedPageBreak/>
        <w:t xml:space="preserve">based on technological advancements and the development of strong governance structures (Majomi, 2022). Advanced technologies including AI-based analysis, automated monitoring and graph analytics were also identified to be important in proper detection, reduction of false-positives and enhancing compliance focus. However, the evidence from the findings also shows that technological innovations are not effective alone as factors like ethical considerations, algorithmic transparency, data governance and organisational accountability are also crucial, especially in relation to scalable AML frameworks (Shirvanporzour, 2025). It was identified that excess dependence on automated decision-making can raise concerns related to privacy, fairness and transparency, especially when there is a large amount of personal and transactional data. </w:t>
      </w:r>
    </w:p>
    <w:p w14:paraId="3BE1756F"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Thus, effective technological integration needs governance mechanisms that are effective for accountability and can maintain an innovation focus. These findings also address one of the key gaps identified in the literature regarding the limited understanding of how financial institutions can balance technological innovation and ethical responsibilities through managing challenges in them (Wronka, 2023). The discussion also addresses the issue of a lack of research focusing on technological implementation issues through showing the cruciality of governance, regulatory alignment, and organisational readiness. The findings also support the TOE frameworks, as successful technological implementations need alignment among technological capabilities, governance, and regulatory needs. Therefore, HSBC’s future strategy should be based on enhancing explainable AI, transparency in analytical models, and enhancing data governance approaches to maintain meaningful human contributions (Mathew </w:t>
      </w:r>
      <w:r>
        <w:rPr>
          <w:rFonts w:ascii="Arial" w:eastAsia="Arial" w:hAnsi="Arial" w:cs="Arial"/>
          <w:i/>
          <w:iCs/>
          <w:sz w:val="24"/>
          <w:szCs w:val="24"/>
        </w:rPr>
        <w:t>et al.</w:t>
      </w:r>
      <w:r>
        <w:rPr>
          <w:rFonts w:ascii="Arial" w:eastAsia="Arial" w:hAnsi="Arial" w:cs="Arial"/>
          <w:sz w:val="24"/>
          <w:szCs w:val="24"/>
        </w:rPr>
        <w:t>, 2025). Based on the analysis, these measures are potentially capable enough to allow the company to scale AML capabilities and ensure ethical accountability with regulatory compliance in a contemporary complicated environment of financial crimes.</w:t>
      </w:r>
    </w:p>
    <w:p w14:paraId="3BE17570" w14:textId="77777777" w:rsidR="000D0697" w:rsidRDefault="00DB5716">
      <w:pPr>
        <w:pStyle w:val="Heading2"/>
        <w:spacing w:line="360" w:lineRule="auto"/>
      </w:pPr>
      <w:bookmarkStart w:id="68" w:name="_Toc240985349"/>
      <w:r>
        <w:t>5.3 Conclusion of the study</w:t>
      </w:r>
      <w:bookmarkEnd w:id="68"/>
    </w:p>
    <w:p w14:paraId="3BE17571"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study has critically analysed HSBC’s strategy to scale its Anti-Money Laundering and Financial Crime Risk Management in an increased level of complicated financial global context. In relation to the findings, it is evident that HSBC has shifted from traditional rule-based compliance approaches to a more </w:t>
      </w:r>
      <w:r>
        <w:rPr>
          <w:rFonts w:ascii="Arial" w:eastAsia="Arial" w:hAnsi="Arial" w:cs="Arial"/>
          <w:sz w:val="24"/>
          <w:szCs w:val="24"/>
        </w:rPr>
        <w:lastRenderedPageBreak/>
        <w:t>sophisticated risk-based framework that mainly focuses on intelligence-based decision-making, targeted monitoring and proportional allocation of compliance resources. This shift shows the rising need for financial companies like HSBC to respond properly to the rapidly rising financial crime threats and ensure proper regulatory alignment in various regional regulatory environments. The study also sheds light on the fact that AI, machine learning, and enterprise-based monitoring systems have become crucial for HSBC's financial crime strategies. This is mainly due to the technology’s capability to enhance scalability through real-time monitoring, behavioural analysis and effective identification of suspicious patterns in various transactional data sets. However, the findings also show that just focusing on technology cannot ensure proper effectiveness, as data quality, model interpretability, governance approaches, and human contributions are still crucial.</w:t>
      </w:r>
    </w:p>
    <w:p w14:paraId="3BE17572"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Furthermore, the findings concluded that there are concerns regarding the relationship among compliance effectiveness and consumers' experiences. The study found that excessive compliance control and even high false positives can develop operational inefficiencies and barriers for consumers who are identified as low risk. This allows stronger regulatory alignment and reduces unnecessary pressure on lower-risk consumers to enhance operational efficiency. Finally, this study found that future effectiveness of HSBC’s AML strategy is mainly based on its capability to consider technological innovations with better ethical and governance alignments, AI, automated monitoring and advanced analytics provide crucial benefits, however they still need support of explainable responsible data management, transparency and effective organisational oversights.  Hence, the AML scalability context needs a proper balance in technological capability, human contribution, and governance quality are properly considered. Thus, HSBC has shown a strong basis for intelligence-based financial crime management, yet the success is based on managing this balance while adapting to various new financial crime risks and regulatory demands.</w:t>
      </w:r>
    </w:p>
    <w:p w14:paraId="3BE17573" w14:textId="77777777" w:rsidR="000D0697" w:rsidRDefault="00DB5716">
      <w:pPr>
        <w:pStyle w:val="Heading2"/>
        <w:spacing w:line="360" w:lineRule="auto"/>
      </w:pPr>
      <w:bookmarkStart w:id="69" w:name="_Toc240985350"/>
      <w:r>
        <w:t>5.4 Contribution of the study</w:t>
      </w:r>
      <w:bookmarkEnd w:id="69"/>
    </w:p>
    <w:p w14:paraId="3BE17574"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In terms of contribution, this research makes various crucial academic and even practical contributions regarding the context of Anti-Money Laundering and Financial Crime Risk Management. For example, in relation to the academic perspective, the </w:t>
      </w:r>
      <w:r>
        <w:rPr>
          <w:rFonts w:ascii="Arial" w:eastAsia="Arial" w:hAnsi="Arial" w:cs="Arial"/>
          <w:sz w:val="24"/>
          <w:szCs w:val="24"/>
        </w:rPr>
        <w:lastRenderedPageBreak/>
        <w:t>research contributes to expanding the knowledge base through providing a stronger basis and analysis of HSBC’s current FCRM and AML strategies. As most of the existing literature is based on historical compliance failures, wider industry arguments, or technological development only, this study addressed those gaps through considering the relationship among technological innovation, operational implications, governance structures and ethical analysis in a multinational banking sector. Using Risk-Based Regulation Theory and the Technology-Organisation-Environment framework, this study has developed a major understanding of how risk allocation is done, technological capability is aligned, and organisational readiness can collaboratively impact AML effectiveness. Through a detailed analysis of existing research, the study effectively supported current discussions and shed light on the crucial need for governance quality, accountability, and implementation challenges.</w:t>
      </w:r>
    </w:p>
    <w:p w14:paraId="3BE17575"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On the other hand, in relation to the practical perspective, the findings provided keen and important analysis for various financial companies that aim to enhance and scale AML programmes in the current complicated regulatory context. The focus of the researchers has been on the cruciality of a collaborative approach for advanced technologies with governance focuses. The research shed light on how risk-based compliance can contribute positively to supporting operational efficiency, resource allocation, and reducing consumer barriers. The findings further highlighted the importance of explainable AI, proper human contribution, and ethical data management that supports accountability in the current automated compliance systems. For banking companies, regulators and compliance entities, this study is providing vast practical insights to balance regulatory needs, innovation and consumer experiences while enhancing financial crime detection capabilities. Therefore, the research is providing a solid framework for financial companies who aim to develop a scalable, ethical and efficient AML strategy for contemporary, complicated crime threats.</w:t>
      </w:r>
    </w:p>
    <w:p w14:paraId="3BE17576" w14:textId="77777777" w:rsidR="000D0697" w:rsidRDefault="00DB5716">
      <w:pPr>
        <w:pStyle w:val="Heading2"/>
        <w:spacing w:line="360" w:lineRule="auto"/>
      </w:pPr>
      <w:bookmarkStart w:id="70" w:name="_Toc240985351"/>
      <w:r>
        <w:t>5.5 Limitations of the study</w:t>
      </w:r>
      <w:bookmarkEnd w:id="70"/>
    </w:p>
    <w:p w14:paraId="3BE17577"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Regardless of the beneficial sides of the study, there are some limitations that need to be taken into account in future. For example, this study has adopted a qualitative methodology with a basis on secondary available sources, which resulted in the findings to be only supported through previously published academic studies, </w:t>
      </w:r>
      <w:r>
        <w:rPr>
          <w:rFonts w:ascii="Arial" w:eastAsia="Arial" w:hAnsi="Arial" w:cs="Arial"/>
          <w:sz w:val="24"/>
          <w:szCs w:val="24"/>
        </w:rPr>
        <w:lastRenderedPageBreak/>
        <w:t>industry reports, and documents. This resulted in a lack of primary data collecting from HSBC employees, or consumers, or compliance professionals, hindering the capability to gain first-hand data on the company’s practices and decision-making. Furthermore, this research has focused on HSBC as a single case. Yet this approach allowed a better analysis of one major global bank, it also limited generalisability of the findings for other financial companies in other geographic or regulatory contexts. Furthermore, the keen basis on existing literature and publicly available data could not analyse in-depth internal operational issues or confidential strategic practices. Hence. Some aspects of HSBC’s AML framework may remain not covered through this study’s scope. Finally, the rapidly changing context of financial crime, regulatory needs, and technological advancements shows that AML approaches are continuously evolving over time. Thus, some findings of this research can be less applicable as new technologies, crime approaches and regulatory expectations are changing continuously. Regardless of these limitations, this study was able to provide a crucial understanding of current HSBC’s AML and Financial crime risk management approaches while providing potential bases for future similar research in this topic area.</w:t>
      </w:r>
    </w:p>
    <w:p w14:paraId="3BE17578" w14:textId="77777777" w:rsidR="000D0697" w:rsidRDefault="00DB5716">
      <w:pPr>
        <w:pStyle w:val="Heading2"/>
        <w:spacing w:line="360" w:lineRule="auto"/>
      </w:pPr>
      <w:bookmarkStart w:id="71" w:name="_Toc240985352"/>
      <w:r>
        <w:t>5.6 Recommendations for practical and academic context</w:t>
      </w:r>
      <w:bookmarkEnd w:id="71"/>
    </w:p>
    <w:p w14:paraId="3BE17579" w14:textId="77777777" w:rsidR="000D0697" w:rsidRDefault="00DB5716">
      <w:pPr>
        <w:pStyle w:val="Normal1"/>
        <w:spacing w:before="120" w:after="120" w:line="360" w:lineRule="auto"/>
        <w:jc w:val="both"/>
        <w:rPr>
          <w:rFonts w:ascii="Arial" w:eastAsia="Arial" w:hAnsi="Arial" w:cs="Arial"/>
          <w:b/>
          <w:bCs/>
          <w:i/>
          <w:iCs/>
          <w:sz w:val="24"/>
          <w:szCs w:val="24"/>
        </w:rPr>
      </w:pPr>
      <w:r>
        <w:rPr>
          <w:rFonts w:ascii="Arial" w:eastAsia="Arial" w:hAnsi="Arial" w:cs="Arial"/>
          <w:b/>
          <w:bCs/>
          <w:i/>
          <w:iCs/>
          <w:sz w:val="24"/>
          <w:szCs w:val="24"/>
        </w:rPr>
        <w:t>5.6.1 Enhancing risk analysis and governance accuracy</w:t>
      </w:r>
    </w:p>
    <w:p w14:paraId="3BE1757A"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The findings show that while the shift of HSBC from rule-based compliance to risk intelligence has improved its capability for resource allocation as per consumer, geographic and product risks, the analysis also highlighted that risk-based systems are mainly based on practitioner analysis and can develop issues like false-positives or reporting accuracy issues. Thus, HSBC should enhance its governance analytical review process and staff training to ensure risk analyses are accurate and aligned with company objectives. These improvements can support in increasing the effectiveness of the Risk-Based Regulation approach as it can ensure proportional risk allocation is based on effective decision-making (Dalla Pellegrina </w:t>
      </w:r>
      <w:r>
        <w:rPr>
          <w:rFonts w:ascii="Arial" w:eastAsia="Arial" w:hAnsi="Arial" w:cs="Arial"/>
          <w:i/>
          <w:iCs/>
          <w:sz w:val="24"/>
          <w:szCs w:val="24"/>
        </w:rPr>
        <w:t>et al.,</w:t>
      </w:r>
      <w:r>
        <w:rPr>
          <w:rFonts w:ascii="Arial" w:eastAsia="Arial" w:hAnsi="Arial" w:cs="Arial"/>
          <w:sz w:val="24"/>
          <w:szCs w:val="24"/>
        </w:rPr>
        <w:t xml:space="preserve"> 2023; Ogbeide </w:t>
      </w:r>
      <w:r>
        <w:rPr>
          <w:rFonts w:ascii="Arial" w:eastAsia="Arial" w:hAnsi="Arial" w:cs="Arial"/>
          <w:i/>
          <w:iCs/>
          <w:sz w:val="24"/>
          <w:szCs w:val="24"/>
        </w:rPr>
        <w:t>et al.,</w:t>
      </w:r>
      <w:r>
        <w:rPr>
          <w:rFonts w:ascii="Arial" w:eastAsia="Arial" w:hAnsi="Arial" w:cs="Arial"/>
          <w:sz w:val="24"/>
          <w:szCs w:val="24"/>
        </w:rPr>
        <w:t xml:space="preserve"> 2025).</w:t>
      </w:r>
    </w:p>
    <w:p w14:paraId="3BE1757B" w14:textId="77777777" w:rsidR="000D0697" w:rsidRDefault="00DB5716">
      <w:pPr>
        <w:pStyle w:val="Heading3"/>
      </w:pPr>
      <w:bookmarkStart w:id="72" w:name="_Toc240985353"/>
      <w:r>
        <w:t>5.6.2 Technological integration and data quality optimisation</w:t>
      </w:r>
      <w:bookmarkEnd w:id="72"/>
    </w:p>
    <w:p w14:paraId="3BE1757C"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As inspired by the findings of Ghimire (2025), it is recommended that HSBC continue its integration of ML, AI and enterprise-based monitoring systems while ensuring that </w:t>
      </w:r>
      <w:r>
        <w:rPr>
          <w:rFonts w:ascii="Arial" w:eastAsia="Arial" w:hAnsi="Arial" w:cs="Arial"/>
          <w:sz w:val="24"/>
          <w:szCs w:val="24"/>
        </w:rPr>
        <w:lastRenderedPageBreak/>
        <w:t xml:space="preserve">these technologies are based on organisational practices. The findings showed that AI-based monitoring can contribute to better scalability, suspicious activity detection and behavioural analysis in major transaction datasets. Yet, limitations for data quality, model bias and interpretability are still key concerns. Under such circumstances, HSBC is required to enhance data governance and develop mentoring frameworks that can combine automated analytics with human contributions (Sabareesh </w:t>
      </w:r>
      <w:r>
        <w:rPr>
          <w:rFonts w:ascii="Arial" w:eastAsia="Arial" w:hAnsi="Arial" w:cs="Arial"/>
          <w:i/>
          <w:iCs/>
          <w:sz w:val="24"/>
          <w:szCs w:val="24"/>
        </w:rPr>
        <w:t>et al.,</w:t>
      </w:r>
      <w:r>
        <w:rPr>
          <w:rFonts w:ascii="Arial" w:eastAsia="Arial" w:hAnsi="Arial" w:cs="Arial"/>
          <w:sz w:val="24"/>
          <w:szCs w:val="24"/>
        </w:rPr>
        <w:t xml:space="preserve"> 2024).</w:t>
      </w:r>
    </w:p>
    <w:p w14:paraId="3BE1757D" w14:textId="77777777" w:rsidR="000D0697" w:rsidRDefault="00DB5716">
      <w:pPr>
        <w:pStyle w:val="Heading3"/>
      </w:pPr>
      <w:bookmarkStart w:id="73" w:name="_Toc240985354"/>
      <w:r>
        <w:t>5.6.3 Ethical accountability and tarnsperency management</w:t>
      </w:r>
      <w:bookmarkEnd w:id="73"/>
    </w:p>
    <w:p w14:paraId="3BE1757E"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HSBC should mainly focus on ethical governance and transparency, as the findings showed in context to the views of Shirvanporzour (2025) and Majomi (2022) that scalable AML systems need accountability, and even responsible data management. Therefore, enhancing governance for AI usage, human involvement and transparency should support innovation and regulation alignments.</w:t>
      </w:r>
    </w:p>
    <w:p w14:paraId="3BE1757F" w14:textId="77777777" w:rsidR="000D0697" w:rsidRDefault="00DB5716">
      <w:pPr>
        <w:pStyle w:val="Heading3"/>
      </w:pPr>
      <w:bookmarkStart w:id="74" w:name="_Toc240985355"/>
      <w:r>
        <w:t>5.6.4 Mitigation of consumer frictions and streamline due diligence</w:t>
      </w:r>
      <w:bookmarkEnd w:id="74"/>
    </w:p>
    <w:p w14:paraId="3BE17580"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Finally, based on the findings, it is suggested for HSBC to focus on reducing unnecessary customer barriers in its AML processes, as it was shown that excess due diligence, high false positives, and repeated data requests can have negative impact on consumers and even impact operational efficiency (Kitov and Kartsev, 2025). Thus, the company should continue enhancing its proportional risk-based model and use explainable AI for betterment of monitoring and reduce unnecessary alerts. This can contribute to better compliance management and consumer statistics, positively supporting the company’s growth and financial crime management.</w:t>
      </w:r>
    </w:p>
    <w:p w14:paraId="3BE17581" w14:textId="77777777" w:rsidR="000D0697" w:rsidRDefault="00DB5716">
      <w:pPr>
        <w:pStyle w:val="Heading3"/>
      </w:pPr>
      <w:bookmarkStart w:id="75" w:name="_Toc240985356"/>
      <w:r>
        <w:t>5.6.5 Advancements of theoretical frameworks in academic researches</w:t>
      </w:r>
      <w:bookmarkEnd w:id="75"/>
    </w:p>
    <w:p w14:paraId="3BE17582"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 xml:space="preserve">From academic perspectives, the findings showed that there is a need for greater theoretical analysis and consideration of technology adaptation, risk-based regulations and governance structures. Future academic works should thus focus on shifting from detection performance analysis and focus on implementation challenges, ethical accountability, organisational readiness and decision-making qualities. The collaborative use of Risk-Based Regulation Theory and the Technology-Organisation-Environment theories was highly crucial to showcase </w:t>
      </w:r>
      <w:r>
        <w:rPr>
          <w:rFonts w:ascii="Arial" w:eastAsia="Arial" w:hAnsi="Arial" w:cs="Arial"/>
          <w:sz w:val="24"/>
          <w:szCs w:val="24"/>
        </w:rPr>
        <w:lastRenderedPageBreak/>
        <w:t>HSBC’s transformations and hence should be explored in more detail in future similar research.</w:t>
      </w:r>
    </w:p>
    <w:p w14:paraId="3BE17583" w14:textId="77777777" w:rsidR="000D0697" w:rsidRDefault="00DB5716">
      <w:pPr>
        <w:pStyle w:val="Heading2"/>
        <w:spacing w:line="360" w:lineRule="auto"/>
      </w:pPr>
      <w:bookmarkStart w:id="76" w:name="_Toc240985357"/>
      <w:r>
        <w:t>5.7 Opportunities for future research</w:t>
      </w:r>
      <w:bookmarkEnd w:id="76"/>
    </w:p>
    <w:p w14:paraId="3BE17584"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Considering the limitations of this research, any future research should address these through considering primary data collection methods like interviews or others with relevant entities like compliance professionals, banking practitioners, and even regulators. These approaches would be crucial to gaining better insight gaining for organisational decision-making and practical implementation issues. Comparative studies that include various international banks can also enhance the generalisability of their findings. Future research can focus on analysing the long-term effectiveness of emerging technologies like graph analytics, blockchain-based monitoring and even explainable AI in AML framework contexts. Furthermore, studies focusing on ethical governance, consumer perceptions of technology-focused compliance and algorithmic bias can also contribute towards a better understanding of ethical and scalable AML systems.</w:t>
      </w:r>
    </w:p>
    <w:p w14:paraId="3BE17585" w14:textId="77777777" w:rsidR="000D0697" w:rsidRDefault="00DB5716">
      <w:pPr>
        <w:pStyle w:val="Heading2"/>
        <w:spacing w:line="360" w:lineRule="auto"/>
      </w:pPr>
      <w:bookmarkStart w:id="77" w:name="_Toc240985358"/>
      <w:r>
        <w:t>5.8 Summary</w:t>
      </w:r>
      <w:bookmarkEnd w:id="77"/>
    </w:p>
    <w:p w14:paraId="3BE17586" w14:textId="77777777" w:rsidR="000D0697" w:rsidRDefault="00DB5716">
      <w:pPr>
        <w:pStyle w:val="Normal1"/>
        <w:spacing w:before="120" w:after="120" w:line="360" w:lineRule="auto"/>
        <w:jc w:val="both"/>
        <w:rPr>
          <w:rFonts w:ascii="Arial" w:eastAsia="Arial" w:hAnsi="Arial" w:cs="Arial"/>
          <w:sz w:val="24"/>
          <w:szCs w:val="24"/>
        </w:rPr>
      </w:pPr>
      <w:r>
        <w:rPr>
          <w:rFonts w:ascii="Arial" w:eastAsia="Arial" w:hAnsi="Arial" w:cs="Arial"/>
          <w:sz w:val="24"/>
          <w:szCs w:val="24"/>
        </w:rPr>
        <w:t>This chapter has provided the concluding analysis of the key findings from the study while providing recommendations for future research. The findings highlighted that HSBC has majorly evolved with time to adopt a risk-based and intelligence-based AML framework that is supported through advanced technologies and integrated monitoring. The chapter shed light on the fact that technology, human considerations, and governance should be collaborated for gaining an efficient level of financial crime risk management. The recommendation highlighted enhancement of governance, strengthening AI integrations, reducing consumer barriers and improving ethical alignments in HSBC. The opportunities for future research in relation to this study’s limitations included overcoming the limitations of the current study and supporting continuous development of knowledge. This is especially focusing on primary datasets in relation to responsible and scalable AML approaches in international financial institution context.</w:t>
      </w:r>
    </w:p>
    <w:p w14:paraId="3BE17587" w14:textId="77777777" w:rsidR="000D0697" w:rsidRDefault="000D0697">
      <w:pPr>
        <w:pStyle w:val="Normal1"/>
        <w:spacing w:before="120" w:after="120" w:line="360" w:lineRule="auto"/>
        <w:jc w:val="both"/>
        <w:rPr>
          <w:rFonts w:ascii="Arial" w:eastAsia="Arial" w:hAnsi="Arial" w:cs="Arial"/>
          <w:sz w:val="24"/>
          <w:szCs w:val="24"/>
        </w:rPr>
      </w:pPr>
    </w:p>
    <w:p w14:paraId="3BE17588" w14:textId="77777777" w:rsidR="000D0697" w:rsidRDefault="00DB5716">
      <w:pPr>
        <w:pStyle w:val="Heading1"/>
      </w:pPr>
      <w:r>
        <w:br w:type="column"/>
      </w:r>
      <w:bookmarkStart w:id="78" w:name="_Toc240985359"/>
      <w:r>
        <w:lastRenderedPageBreak/>
        <w:t>References</w:t>
      </w:r>
      <w:bookmarkEnd w:id="78"/>
    </w:p>
    <w:p w14:paraId="3BE17589"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Abel, S., Makoni, T.H.M., Mukarati, J., Manenge, R., Mokumako, T. and Le Roux, P., (2023). Corporate governance and anti-money laundering in the banking sector. </w:t>
      </w:r>
      <w:r>
        <w:rPr>
          <w:rFonts w:ascii="Arial" w:eastAsia="Arial" w:hAnsi="Arial" w:cs="Arial"/>
          <w:i/>
          <w:iCs/>
          <w:color w:val="222222"/>
          <w:sz w:val="24"/>
          <w:szCs w:val="24"/>
          <w:highlight w:val="white"/>
        </w:rPr>
        <w:t>International Journal of Economics and Finance Studies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15</w:t>
      </w:r>
      <w:r>
        <w:rPr>
          <w:rFonts w:ascii="Arial" w:eastAsia="Arial" w:hAnsi="Arial" w:cs="Arial"/>
          <w:color w:val="222222"/>
          <w:sz w:val="24"/>
          <w:szCs w:val="24"/>
          <w:highlight w:val="white"/>
        </w:rPr>
        <w:t xml:space="preserve">(4), pp.373-390. </w:t>
      </w:r>
      <w:hyperlink r:id="rId16">
        <w:r>
          <w:rPr>
            <w:rFonts w:ascii="Arial" w:eastAsia="Arial" w:hAnsi="Arial" w:cs="Arial"/>
            <w:color w:val="1155CC"/>
            <w:sz w:val="24"/>
            <w:szCs w:val="24"/>
            <w:u w:val="single"/>
          </w:rPr>
          <w:t>https://www.agbioforum.org/sobiad.org/menuscript/index.php/ijefs/article/download/1838/564</w:t>
        </w:r>
      </w:hyperlink>
    </w:p>
    <w:p w14:paraId="3BE1758A"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Ahmed, I. and Ishtiaq, S., (2021). Reliability and validity: importance in medical research. </w:t>
      </w:r>
      <w:r>
        <w:rPr>
          <w:rFonts w:ascii="Arial" w:eastAsia="Arial" w:hAnsi="Arial" w:cs="Arial"/>
          <w:i/>
          <w:iCs/>
          <w:color w:val="222222"/>
          <w:sz w:val="24"/>
          <w:szCs w:val="24"/>
          <w:highlight w:val="white"/>
        </w:rPr>
        <w:t>methods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12</w:t>
      </w:r>
      <w:r>
        <w:rPr>
          <w:rFonts w:ascii="Arial" w:eastAsia="Arial" w:hAnsi="Arial" w:cs="Arial"/>
          <w:color w:val="222222"/>
          <w:sz w:val="24"/>
          <w:szCs w:val="24"/>
          <w:highlight w:val="white"/>
        </w:rPr>
        <w:t xml:space="preserve">(1), pp.2401-2406. </w:t>
      </w:r>
      <w:hyperlink r:id="rId17">
        <w:r>
          <w:rPr>
            <w:rFonts w:ascii="Arial" w:eastAsia="Arial" w:hAnsi="Arial" w:cs="Arial"/>
            <w:color w:val="0000FF"/>
            <w:sz w:val="24"/>
            <w:szCs w:val="24"/>
            <w:u w:val="single"/>
          </w:rPr>
          <w:t>https://www.researchgate.net/profile/Ishtiaq-Ahmed-15/publication/355145425_Reliability_and_Validity_Importance_in_medical_research/links/61600df90bf51d48175251ee/Reliability-and-Validity-Importance-in-medical-research.pdf</w:t>
        </w:r>
      </w:hyperlink>
    </w:p>
    <w:p w14:paraId="3BE1758B"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Aidoo, S., AML, I.D., AML, M. and Expert, F.C.C., (2025). Evaluating the Effectiveness of AML Regulations: A Critical. </w:t>
      </w:r>
      <w:hyperlink r:id="rId18">
        <w:r>
          <w:rPr>
            <w:rFonts w:ascii="Arial" w:eastAsia="Arial" w:hAnsi="Arial" w:cs="Arial"/>
            <w:color w:val="0000FF"/>
            <w:sz w:val="24"/>
            <w:szCs w:val="24"/>
            <w:u w:val="single"/>
          </w:rPr>
          <w:t>https://www.researchgate.net/profile/Samuel-Aidoo-2/publication/393782166_Evaluating_the_Effectiveness_of_AML_Regulations_A_Critical_Review/links/68798de4f312d71d78c81874/Evaluating-the-Effectiveness-of-AML-Regulations-A-Critical-Review.pdf</w:t>
        </w:r>
      </w:hyperlink>
    </w:p>
    <w:p w14:paraId="3BE1758C"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Aidoo, S., AML, I.D., AML, M. and Expert, F.C.C., (2025). </w:t>
      </w:r>
      <w:r>
        <w:rPr>
          <w:rFonts w:ascii="Arial" w:eastAsia="Arial" w:hAnsi="Arial" w:cs="Arial"/>
          <w:i/>
          <w:iCs/>
          <w:sz w:val="24"/>
          <w:szCs w:val="24"/>
        </w:rPr>
        <w:t>The Use of Behavioral Analytics in AML</w:t>
      </w:r>
      <w:r>
        <w:rPr>
          <w:rFonts w:ascii="Arial" w:eastAsia="Arial" w:hAnsi="Arial" w:cs="Arial"/>
          <w:sz w:val="24"/>
          <w:szCs w:val="24"/>
        </w:rPr>
        <w:t xml:space="preserve">. </w:t>
      </w:r>
      <w:hyperlink r:id="rId19">
        <w:r>
          <w:rPr>
            <w:rFonts w:ascii="Arial" w:eastAsia="Arial" w:hAnsi="Arial" w:cs="Arial"/>
            <w:color w:val="0000FF"/>
            <w:sz w:val="24"/>
            <w:szCs w:val="24"/>
            <w:u w:val="single"/>
          </w:rPr>
          <w:t>https://www.researchgate.net/profile/Samuel-Aidoo-2/publication/394046696_The_Use_of_Behavioral_Analytics_in_AML/links/6886a8c000a2407910a4b403/The-Use-of-Behavioral-Analytics-in-AML.pdf</w:t>
        </w:r>
      </w:hyperlink>
    </w:p>
    <w:p w14:paraId="3BE1758D"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Annamalah, S., (2024). The value of case study research in practice: A methodological review with practical insights from organisational studies. </w:t>
      </w:r>
      <w:r>
        <w:rPr>
          <w:rFonts w:ascii="Arial" w:eastAsia="Arial" w:hAnsi="Arial" w:cs="Arial"/>
          <w:i/>
          <w:iCs/>
          <w:color w:val="222222"/>
          <w:sz w:val="24"/>
          <w:szCs w:val="24"/>
          <w:highlight w:val="white"/>
        </w:rPr>
        <w:t>Journal of Applied Economic Sciences (JAES)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19</w:t>
      </w:r>
      <w:r>
        <w:rPr>
          <w:rFonts w:ascii="Arial" w:eastAsia="Arial" w:hAnsi="Arial" w:cs="Arial"/>
          <w:color w:val="222222"/>
          <w:sz w:val="24"/>
          <w:szCs w:val="24"/>
          <w:highlight w:val="white"/>
        </w:rPr>
        <w:t xml:space="preserve">(4 (86)), pp.485-498. </w:t>
      </w:r>
      <w:hyperlink r:id="rId20">
        <w:r>
          <w:rPr>
            <w:rFonts w:ascii="Arial" w:eastAsia="Arial" w:hAnsi="Arial" w:cs="Arial"/>
            <w:color w:val="0000FF"/>
            <w:sz w:val="24"/>
            <w:szCs w:val="24"/>
            <w:u w:val="single"/>
          </w:rPr>
          <w:t>https://ritha.eu/storage/1296/11_jaes_AnnamalahS.pdf</w:t>
        </w:r>
      </w:hyperlink>
    </w:p>
    <w:p w14:paraId="3BE1758E"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Bagashvili, E., (2025). Ai for anti-money laundering: the rise of llms and agentic AI. </w:t>
      </w:r>
      <w:hyperlink r:id="rId21">
        <w:r>
          <w:rPr>
            <w:rFonts w:ascii="Arial" w:eastAsia="Arial" w:hAnsi="Arial" w:cs="Arial"/>
            <w:color w:val="0000FF"/>
            <w:sz w:val="24"/>
            <w:szCs w:val="24"/>
            <w:u w:val="single"/>
          </w:rPr>
          <w:t>https://ritha.eu/storage/1296/11_jaes_AnnamalahS.pdf</w:t>
        </w:r>
      </w:hyperlink>
    </w:p>
    <w:p w14:paraId="3BE1758F"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Balani, H., (2024). Corporate Digital Identity: Revolutionizing Financial Crime Prevention in Banking. </w:t>
      </w:r>
      <w:r>
        <w:rPr>
          <w:rFonts w:ascii="Arial" w:eastAsia="Arial" w:hAnsi="Arial" w:cs="Arial"/>
          <w:i/>
          <w:iCs/>
          <w:color w:val="222222"/>
          <w:sz w:val="24"/>
          <w:szCs w:val="24"/>
          <w:highlight w:val="white"/>
        </w:rPr>
        <w:t>Available at SSRN 4789413</w:t>
      </w:r>
      <w:r>
        <w:rPr>
          <w:rFonts w:ascii="Arial" w:eastAsia="Arial" w:hAnsi="Arial" w:cs="Arial"/>
          <w:color w:val="222222"/>
          <w:sz w:val="24"/>
          <w:szCs w:val="24"/>
          <w:highlight w:val="white"/>
        </w:rPr>
        <w:t xml:space="preserve">. </w:t>
      </w:r>
      <w:hyperlink r:id="rId22">
        <w:r>
          <w:rPr>
            <w:rFonts w:ascii="Arial" w:eastAsia="Arial" w:hAnsi="Arial" w:cs="Arial"/>
            <w:color w:val="0000FF"/>
            <w:sz w:val="24"/>
            <w:szCs w:val="24"/>
            <w:u w:val="single"/>
          </w:rPr>
          <w:t>https://papers.ssrn.com/sol3/Delivery.cfm?abstractid=4789413</w:t>
        </w:r>
      </w:hyperlink>
    </w:p>
    <w:p w14:paraId="3BE17590"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Bredbenner, M., (2024). </w:t>
      </w:r>
      <w:r>
        <w:rPr>
          <w:rFonts w:ascii="Arial" w:eastAsia="Arial" w:hAnsi="Arial" w:cs="Arial"/>
          <w:i/>
          <w:iCs/>
          <w:color w:val="000000"/>
          <w:sz w:val="24"/>
          <w:szCs w:val="24"/>
        </w:rPr>
        <w:t>Risk-Based Regulatory Regimes</w:t>
      </w:r>
      <w:r>
        <w:rPr>
          <w:rFonts w:ascii="Arial" w:eastAsia="Arial" w:hAnsi="Arial" w:cs="Arial"/>
          <w:color w:val="000000"/>
          <w:sz w:val="24"/>
          <w:szCs w:val="24"/>
        </w:rPr>
        <w:t xml:space="preserve">. Available at: </w:t>
      </w:r>
      <w:hyperlink r:id="rId23">
        <w:r>
          <w:rPr>
            <w:rFonts w:ascii="Arial" w:eastAsia="Arial" w:hAnsi="Arial" w:cs="Arial"/>
            <w:color w:val="0000FF"/>
            <w:sz w:val="24"/>
            <w:szCs w:val="24"/>
            <w:u w:val="single"/>
          </w:rPr>
          <w:t>https://www.theregreview.org/2024/06/02/risk-based-regulatory-regimes/</w:t>
        </w:r>
      </w:hyperlink>
    </w:p>
    <w:p w14:paraId="3BE17591"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highlight w:val="white"/>
        </w:rPr>
        <w:t>Chai, A., Manning, M. and Stepanova, E., (2026). The Global Dirty Laundry: A Heckman-Adjusted Gravity Model of Illicit Financial Flows. </w:t>
      </w:r>
      <w:r>
        <w:rPr>
          <w:rFonts w:ascii="Arial" w:eastAsia="Arial" w:hAnsi="Arial" w:cs="Arial"/>
          <w:i/>
          <w:iCs/>
          <w:sz w:val="24"/>
          <w:szCs w:val="24"/>
          <w:highlight w:val="white"/>
        </w:rPr>
        <w:t>Journal of Quantitative Criminology</w:t>
      </w:r>
      <w:r>
        <w:rPr>
          <w:rFonts w:ascii="Arial" w:eastAsia="Arial" w:hAnsi="Arial" w:cs="Arial"/>
          <w:sz w:val="24"/>
          <w:szCs w:val="24"/>
          <w:highlight w:val="white"/>
        </w:rPr>
        <w:t>, pp.1-26.</w:t>
      </w:r>
      <w:hyperlink r:id="rId24">
        <w:r>
          <w:rPr>
            <w:rFonts w:ascii="Arial" w:eastAsia="Arial" w:hAnsi="Arial" w:cs="Arial"/>
            <w:color w:val="0000FF"/>
            <w:sz w:val="24"/>
            <w:szCs w:val="24"/>
            <w:u w:val="single"/>
          </w:rPr>
          <w:t>https://link.springer.com/content/pdf/10.1007/s10940-026-09659-5.pdf</w:t>
        </w:r>
      </w:hyperlink>
    </w:p>
    <w:p w14:paraId="3BE17592"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highlight w:val="white"/>
        </w:rPr>
      </w:pPr>
      <w:r>
        <w:rPr>
          <w:rFonts w:ascii="Arial" w:eastAsia="Arial" w:hAnsi="Arial" w:cs="Arial"/>
          <w:sz w:val="24"/>
          <w:szCs w:val="24"/>
          <w:highlight w:val="white"/>
        </w:rPr>
        <w:t>Chatfield, S.L., (2020). Recommendations for secondary analysis of qualitative data. </w:t>
      </w:r>
      <w:r>
        <w:rPr>
          <w:rFonts w:ascii="Arial" w:eastAsia="Arial" w:hAnsi="Arial" w:cs="Arial"/>
          <w:i/>
          <w:iCs/>
          <w:sz w:val="24"/>
          <w:szCs w:val="24"/>
          <w:highlight w:val="white"/>
        </w:rPr>
        <w:t>The Qualitative Report</w:t>
      </w:r>
      <w:r>
        <w:rPr>
          <w:rFonts w:ascii="Arial" w:eastAsia="Arial" w:hAnsi="Arial" w:cs="Arial"/>
          <w:sz w:val="24"/>
          <w:szCs w:val="24"/>
          <w:highlight w:val="white"/>
        </w:rPr>
        <w:t>, </w:t>
      </w:r>
      <w:r>
        <w:rPr>
          <w:rFonts w:ascii="Arial" w:eastAsia="Arial" w:hAnsi="Arial" w:cs="Arial"/>
          <w:i/>
          <w:iCs/>
          <w:sz w:val="24"/>
          <w:szCs w:val="24"/>
          <w:highlight w:val="white"/>
        </w:rPr>
        <w:t>25</w:t>
      </w:r>
      <w:r>
        <w:rPr>
          <w:rFonts w:ascii="Arial" w:eastAsia="Arial" w:hAnsi="Arial" w:cs="Arial"/>
          <w:sz w:val="24"/>
          <w:szCs w:val="24"/>
          <w:highlight w:val="white"/>
        </w:rPr>
        <w:t xml:space="preserve">(3), pp.833-842. </w:t>
      </w:r>
      <w:hyperlink r:id="rId25">
        <w:r>
          <w:rPr>
            <w:rFonts w:ascii="Arial" w:eastAsia="Arial" w:hAnsi="Arial" w:cs="Arial"/>
            <w:color w:val="0000FF"/>
            <w:sz w:val="24"/>
            <w:szCs w:val="24"/>
            <w:u w:val="single"/>
          </w:rPr>
          <w:t>https://pdfs.semanticscholar.org/dfb2/df8355b76a02f27aceb1af781bdc10a4e38c.pdf</w:t>
        </w:r>
      </w:hyperlink>
    </w:p>
    <w:p w14:paraId="3BE17593" w14:textId="77777777" w:rsidR="000D0697" w:rsidRDefault="00DB5716">
      <w:pPr>
        <w:pStyle w:val="Normal1"/>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Chitimira, H. and Munedzi, S., (2023). An evaluation of customer due diligence and related anti-money laundering measures in the United Kingdom. </w:t>
      </w:r>
      <w:r>
        <w:rPr>
          <w:rFonts w:ascii="Arial" w:eastAsia="Arial" w:hAnsi="Arial" w:cs="Arial"/>
          <w:i/>
          <w:iCs/>
          <w:sz w:val="24"/>
          <w:szCs w:val="24"/>
        </w:rPr>
        <w:t>Journal of Money Laundering Control</w:t>
      </w:r>
      <w:r>
        <w:rPr>
          <w:rFonts w:ascii="Arial" w:eastAsia="Arial" w:hAnsi="Arial" w:cs="Arial"/>
          <w:sz w:val="24"/>
          <w:szCs w:val="24"/>
        </w:rPr>
        <w:t xml:space="preserve">, </w:t>
      </w:r>
      <w:r>
        <w:rPr>
          <w:rFonts w:ascii="Arial" w:eastAsia="Arial" w:hAnsi="Arial" w:cs="Arial"/>
          <w:i/>
          <w:iCs/>
          <w:sz w:val="24"/>
          <w:szCs w:val="24"/>
        </w:rPr>
        <w:t>26</w:t>
      </w:r>
      <w:r>
        <w:rPr>
          <w:rFonts w:ascii="Arial" w:eastAsia="Arial" w:hAnsi="Arial" w:cs="Arial"/>
          <w:sz w:val="24"/>
          <w:szCs w:val="24"/>
        </w:rPr>
        <w:t xml:space="preserve">(7), pp.127-137. </w:t>
      </w:r>
      <w:hyperlink r:id="rId26">
        <w:r>
          <w:rPr>
            <w:rFonts w:ascii="Arial" w:eastAsia="Arial" w:hAnsi="Arial" w:cs="Arial"/>
            <w:color w:val="0000FF"/>
            <w:sz w:val="24"/>
            <w:szCs w:val="24"/>
            <w:u w:val="single"/>
          </w:rPr>
          <w:t>https://www.emerald.com/jmlc/article-pdf/26/7/127/1592236/jmlc-01-2023-0004.pdf</w:t>
        </w:r>
      </w:hyperlink>
    </w:p>
    <w:p w14:paraId="3BE17594"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sz w:val="24"/>
          <w:szCs w:val="24"/>
        </w:rPr>
        <w:t xml:space="preserve">Daigle, C., (2025). </w:t>
      </w:r>
      <w:r>
        <w:rPr>
          <w:rFonts w:ascii="Arial" w:eastAsia="Arial" w:hAnsi="Arial" w:cs="Arial"/>
          <w:i/>
          <w:iCs/>
          <w:sz w:val="24"/>
          <w:szCs w:val="24"/>
        </w:rPr>
        <w:t>How HSBC’s AI catches 4x more financial criminals while cutting false alarms by 60%</w:t>
      </w:r>
      <w:r>
        <w:rPr>
          <w:rFonts w:ascii="Arial" w:eastAsia="Arial" w:hAnsi="Arial" w:cs="Arial"/>
          <w:sz w:val="24"/>
          <w:szCs w:val="24"/>
        </w:rPr>
        <w:t xml:space="preserve">. </w:t>
      </w:r>
      <w:r>
        <w:rPr>
          <w:rFonts w:ascii="Arial" w:eastAsia="Arial" w:hAnsi="Arial" w:cs="Arial"/>
          <w:i/>
          <w:iCs/>
          <w:sz w:val="24"/>
          <w:szCs w:val="24"/>
        </w:rPr>
        <w:t>Chief AI Officer</w:t>
      </w:r>
      <w:r>
        <w:rPr>
          <w:rFonts w:ascii="Arial" w:eastAsia="Arial" w:hAnsi="Arial" w:cs="Arial"/>
          <w:sz w:val="24"/>
          <w:szCs w:val="24"/>
        </w:rPr>
        <w:t xml:space="preserve">. 21 September. Available </w:t>
      </w:r>
      <w:r>
        <w:rPr>
          <w:rFonts w:ascii="Arial" w:eastAsia="Arial" w:hAnsi="Arial" w:cs="Arial"/>
          <w:color w:val="000000"/>
          <w:sz w:val="24"/>
          <w:szCs w:val="24"/>
        </w:rPr>
        <w:t>at:</w:t>
      </w:r>
      <w:hyperlink r:id="rId27">
        <w:r>
          <w:rPr>
            <w:rFonts w:ascii="Arial" w:eastAsia="Arial" w:hAnsi="Arial" w:cs="Arial"/>
            <w:color w:val="1155CC"/>
            <w:sz w:val="24"/>
            <w:szCs w:val="24"/>
            <w:u w:val="single"/>
          </w:rPr>
          <w:t>https://chiefaiofficer.com/how-hsbcs-ai-catches-4x-more-financial-criminals-while-cutting-false-alarms-by-60/</w:t>
        </w:r>
      </w:hyperlink>
    </w:p>
    <w:p w14:paraId="3BE17595"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Dalla Pellegrina, L., Di Maio, G., Masciandaro, D. and Saraceno, M., (2023). Are bankers “crying wolf”? type i, type ii errors and deterrence in anti-money laundering: The italian case. </w:t>
      </w:r>
      <w:r>
        <w:rPr>
          <w:rFonts w:ascii="Arial" w:eastAsia="Arial" w:hAnsi="Arial" w:cs="Arial"/>
          <w:i/>
          <w:iCs/>
          <w:color w:val="000000"/>
          <w:sz w:val="24"/>
          <w:szCs w:val="24"/>
        </w:rPr>
        <w:t>Italian Economic Journal</w:t>
      </w:r>
      <w:r>
        <w:rPr>
          <w:rFonts w:ascii="Arial" w:eastAsia="Arial" w:hAnsi="Arial" w:cs="Arial"/>
          <w:color w:val="000000"/>
          <w:sz w:val="24"/>
          <w:szCs w:val="24"/>
        </w:rPr>
        <w:t xml:space="preserve">, </w:t>
      </w:r>
      <w:r>
        <w:rPr>
          <w:rFonts w:ascii="Arial" w:eastAsia="Arial" w:hAnsi="Arial" w:cs="Arial"/>
          <w:i/>
          <w:iCs/>
          <w:color w:val="000000"/>
          <w:sz w:val="24"/>
          <w:szCs w:val="24"/>
        </w:rPr>
        <w:t>9</w:t>
      </w:r>
      <w:r>
        <w:rPr>
          <w:rFonts w:ascii="Arial" w:eastAsia="Arial" w:hAnsi="Arial" w:cs="Arial"/>
          <w:color w:val="000000"/>
          <w:sz w:val="24"/>
          <w:szCs w:val="24"/>
        </w:rPr>
        <w:t xml:space="preserve">(2), pp.587-615. </w:t>
      </w:r>
      <w:hyperlink r:id="rId28">
        <w:r>
          <w:rPr>
            <w:rFonts w:ascii="Arial" w:eastAsia="Arial" w:hAnsi="Arial" w:cs="Arial"/>
            <w:color w:val="0000FF"/>
            <w:sz w:val="24"/>
            <w:szCs w:val="24"/>
            <w:u w:val="single"/>
          </w:rPr>
          <w:t>https://link.springer.com/content/pdf/10.1007/s40797-022-00195-2.pdf</w:t>
        </w:r>
      </w:hyperlink>
    </w:p>
    <w:p w14:paraId="3BE17596"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Deprez, B., Vanderschueren, T., Baesens, B., Verdonck, T. and Verbeke, W., (2026). Network analytics for anti-money laundering—a systematic literature review and experimental evaluation. </w:t>
      </w:r>
      <w:r>
        <w:rPr>
          <w:rFonts w:ascii="Arial" w:eastAsia="Arial" w:hAnsi="Arial" w:cs="Arial"/>
          <w:i/>
          <w:iCs/>
          <w:color w:val="222222"/>
          <w:sz w:val="24"/>
          <w:szCs w:val="24"/>
          <w:highlight w:val="white"/>
        </w:rPr>
        <w:t>INFORMS Journal on Data Science</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5</w:t>
      </w:r>
      <w:r>
        <w:rPr>
          <w:rFonts w:ascii="Arial" w:eastAsia="Arial" w:hAnsi="Arial" w:cs="Arial"/>
          <w:color w:val="222222"/>
          <w:sz w:val="24"/>
          <w:szCs w:val="24"/>
          <w:highlight w:val="white"/>
        </w:rPr>
        <w:t xml:space="preserve">(2), pp.119-154. </w:t>
      </w:r>
      <w:hyperlink r:id="rId29">
        <w:r>
          <w:rPr>
            <w:rFonts w:ascii="Arial" w:eastAsia="Arial" w:hAnsi="Arial" w:cs="Arial"/>
            <w:color w:val="0000FF"/>
            <w:sz w:val="24"/>
            <w:szCs w:val="24"/>
            <w:u w:val="single"/>
          </w:rPr>
          <w:t>https://arxiv.org/pdf/2405.19383</w:t>
        </w:r>
      </w:hyperlink>
      <w:r>
        <w:rPr>
          <w:rFonts w:ascii="Arial" w:eastAsia="Arial" w:hAnsi="Arial" w:cs="Arial"/>
          <w:color w:val="222222"/>
          <w:sz w:val="24"/>
          <w:szCs w:val="24"/>
        </w:rPr>
        <w:t xml:space="preserve">? </w:t>
      </w:r>
    </w:p>
    <w:p w14:paraId="3BE17597"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Edgars, M. and Benson, D., (2024). AI in Regulatory Compliance: Automating KYC, AML, and Transaction Monitoring. </w:t>
      </w:r>
      <w:r>
        <w:rPr>
          <w:rFonts w:ascii="Arial" w:eastAsia="Arial" w:hAnsi="Arial" w:cs="Arial"/>
          <w:i/>
          <w:iCs/>
          <w:color w:val="222222"/>
          <w:sz w:val="24"/>
          <w:szCs w:val="24"/>
          <w:highlight w:val="white"/>
        </w:rPr>
        <w:t>AML, and Transaction Monitoring (February 14, 2024)</w:t>
      </w:r>
      <w:r>
        <w:rPr>
          <w:rFonts w:ascii="Arial" w:eastAsia="Arial" w:hAnsi="Arial" w:cs="Arial"/>
          <w:color w:val="222222"/>
          <w:sz w:val="24"/>
          <w:szCs w:val="24"/>
          <w:highlight w:val="white"/>
        </w:rPr>
        <w:t xml:space="preserve">. </w:t>
      </w:r>
      <w:hyperlink r:id="rId30">
        <w:r>
          <w:rPr>
            <w:rFonts w:ascii="Arial" w:eastAsia="Arial" w:hAnsi="Arial" w:cs="Arial"/>
            <w:color w:val="0000FF"/>
            <w:sz w:val="24"/>
            <w:szCs w:val="24"/>
            <w:u w:val="single"/>
          </w:rPr>
          <w:t>https://papers.ssrn.com/sol3/Delivery.cfm?abstractid=5392389</w:t>
        </w:r>
      </w:hyperlink>
    </w:p>
    <w:p w14:paraId="3BE17598"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Fan, J., Shar, L.K., Zhang, R., Liu, Z., Yang, W., Niyato, D. and Lam, K.Y., (2026). Deep learning approaches for anti-money laundering on mobile transactions: Review, framework, and directions. </w:t>
      </w:r>
      <w:r>
        <w:rPr>
          <w:rFonts w:ascii="Arial" w:eastAsia="Arial" w:hAnsi="Arial" w:cs="Arial"/>
          <w:i/>
          <w:iCs/>
          <w:color w:val="222222"/>
          <w:sz w:val="24"/>
          <w:szCs w:val="24"/>
          <w:highlight w:val="white"/>
        </w:rPr>
        <w:t>IEEE Internet of Things Journal</w:t>
      </w:r>
      <w:r>
        <w:rPr>
          <w:rFonts w:ascii="Arial" w:eastAsia="Arial" w:hAnsi="Arial" w:cs="Arial"/>
          <w:color w:val="222222"/>
          <w:sz w:val="24"/>
          <w:szCs w:val="24"/>
          <w:highlight w:val="white"/>
        </w:rPr>
        <w:t xml:space="preserve">. </w:t>
      </w:r>
      <w:hyperlink r:id="rId31">
        <w:r>
          <w:rPr>
            <w:rFonts w:ascii="Arial" w:eastAsia="Arial" w:hAnsi="Arial" w:cs="Arial"/>
            <w:color w:val="0000FF"/>
            <w:sz w:val="24"/>
            <w:szCs w:val="24"/>
            <w:u w:val="single"/>
          </w:rPr>
          <w:t>https://arxiv.org/pdf/2503.10058</w:t>
        </w:r>
      </w:hyperlink>
      <w:r>
        <w:rPr>
          <w:rFonts w:ascii="Arial" w:eastAsia="Arial" w:hAnsi="Arial" w:cs="Arial"/>
          <w:color w:val="222222"/>
          <w:sz w:val="24"/>
          <w:szCs w:val="24"/>
        </w:rPr>
        <w:t xml:space="preserve">? </w:t>
      </w:r>
    </w:p>
    <w:p w14:paraId="3BE17599"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Felipe, T., Kaya, M., Mathews, S. and de Oliveira, R.T., (2026). Rethinking digital transformation in commercial banking: A longitudinal analysis of business model innovation. </w:t>
      </w:r>
      <w:r>
        <w:rPr>
          <w:rFonts w:ascii="Arial" w:eastAsia="Arial" w:hAnsi="Arial" w:cs="Arial"/>
          <w:i/>
          <w:iCs/>
          <w:color w:val="222222"/>
          <w:sz w:val="24"/>
          <w:szCs w:val="24"/>
          <w:highlight w:val="white"/>
        </w:rPr>
        <w:t>Digital Business</w:t>
      </w:r>
      <w:r>
        <w:rPr>
          <w:rFonts w:ascii="Arial" w:eastAsia="Arial" w:hAnsi="Arial" w:cs="Arial"/>
          <w:color w:val="222222"/>
          <w:sz w:val="24"/>
          <w:szCs w:val="24"/>
          <w:highlight w:val="white"/>
        </w:rPr>
        <w:t>, p.100177.</w:t>
      </w:r>
      <w:hyperlink r:id="rId32">
        <w:r>
          <w:rPr>
            <w:rFonts w:ascii="Arial" w:eastAsia="Arial" w:hAnsi="Arial" w:cs="Arial"/>
            <w:color w:val="0000FF"/>
            <w:sz w:val="24"/>
            <w:szCs w:val="24"/>
            <w:u w:val="single"/>
          </w:rPr>
          <w:t>https://www.sciencedirect.com/science/article/pii/S2666954426000153</w:t>
        </w:r>
      </w:hyperlink>
    </w:p>
    <w:p w14:paraId="3BE1759A"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Fernández, L., (2025). Artificial Intelligence for Compliance and Regulatory Reporting-Automating Anti-Money Laundering (AML) Detection in Financial Services. </w:t>
      </w:r>
      <w:r>
        <w:rPr>
          <w:rFonts w:ascii="Arial" w:eastAsia="Arial" w:hAnsi="Arial" w:cs="Arial"/>
          <w:i/>
          <w:iCs/>
          <w:color w:val="222222"/>
          <w:sz w:val="24"/>
          <w:szCs w:val="24"/>
          <w:highlight w:val="white"/>
        </w:rPr>
        <w:t>Robotics, Autonomous, Machine Learning, and Artificial intelligence Journal (RAMLAIJ)</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4</w:t>
      </w:r>
      <w:r>
        <w:rPr>
          <w:rFonts w:ascii="Arial" w:eastAsia="Arial" w:hAnsi="Arial" w:cs="Arial"/>
          <w:color w:val="222222"/>
          <w:sz w:val="24"/>
          <w:szCs w:val="24"/>
          <w:highlight w:val="white"/>
        </w:rPr>
        <w:t xml:space="preserve">(3), pp.1-12. </w:t>
      </w:r>
      <w:hyperlink r:id="rId33">
        <w:r>
          <w:rPr>
            <w:rFonts w:ascii="Arial" w:eastAsia="Arial" w:hAnsi="Arial" w:cs="Arial"/>
            <w:color w:val="0000FF"/>
            <w:sz w:val="24"/>
            <w:szCs w:val="24"/>
            <w:u w:val="single"/>
          </w:rPr>
          <w:t>https://ramlai.com/index.php/ramlai/article/download/5/5</w:t>
        </w:r>
      </w:hyperlink>
    </w:p>
    <w:p w14:paraId="3BE1759B"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Fluxforce, (2026). </w:t>
      </w:r>
      <w:r>
        <w:rPr>
          <w:rFonts w:ascii="Arial" w:eastAsia="Arial" w:hAnsi="Arial" w:cs="Arial"/>
          <w:i/>
          <w:iCs/>
          <w:color w:val="000000"/>
          <w:sz w:val="24"/>
          <w:szCs w:val="24"/>
        </w:rPr>
        <w:t xml:space="preserve">False Positive Rates in Transaction Monitoring: 2024 Statistics, Trends, and Analysis. </w:t>
      </w:r>
      <w:r>
        <w:rPr>
          <w:rFonts w:ascii="Arial" w:eastAsia="Arial" w:hAnsi="Arial" w:cs="Arial"/>
          <w:color w:val="000000"/>
          <w:sz w:val="24"/>
          <w:szCs w:val="24"/>
        </w:rPr>
        <w:t xml:space="preserve">Available at: </w:t>
      </w:r>
      <w:hyperlink r:id="rId34">
        <w:r>
          <w:rPr>
            <w:rFonts w:ascii="Arial" w:eastAsia="Arial" w:hAnsi="Arial" w:cs="Arial"/>
            <w:color w:val="0000FF"/>
            <w:sz w:val="24"/>
            <w:szCs w:val="24"/>
            <w:u w:val="single"/>
          </w:rPr>
          <w:t>https://www.fluxforce.ai/statistics/false-positive-rates-transaction-monitoring</w:t>
        </w:r>
      </w:hyperlink>
    </w:p>
    <w:p w14:paraId="3BE1759C"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Gandhi, H., Tandon, K., Gite, S., Pradhan, B. and Alamri, A., (2024). Navigating the complexity of money laundering: anti–money laundering advancements with AI/ML insights. </w:t>
      </w:r>
      <w:r>
        <w:rPr>
          <w:rFonts w:ascii="Arial" w:eastAsia="Arial" w:hAnsi="Arial" w:cs="Arial"/>
          <w:i/>
          <w:iCs/>
          <w:color w:val="222222"/>
          <w:sz w:val="24"/>
          <w:szCs w:val="24"/>
          <w:highlight w:val="white"/>
        </w:rPr>
        <w:t>International Journal on Smart Sensing and Intelligent Systems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17</w:t>
      </w:r>
      <w:r>
        <w:rPr>
          <w:rFonts w:ascii="Arial" w:eastAsia="Arial" w:hAnsi="Arial" w:cs="Arial"/>
          <w:color w:val="222222"/>
          <w:sz w:val="24"/>
          <w:szCs w:val="24"/>
          <w:highlight w:val="white"/>
        </w:rPr>
        <w:t xml:space="preserve">(1). </w:t>
      </w:r>
      <w:hyperlink r:id="rId35">
        <w:r>
          <w:rPr>
            <w:rFonts w:ascii="Arial" w:eastAsia="Arial" w:hAnsi="Arial" w:cs="Arial"/>
            <w:color w:val="0000FF"/>
            <w:sz w:val="24"/>
            <w:szCs w:val="24"/>
            <w:u w:val="single"/>
          </w:rPr>
          <w:t>https://reference-global.com/download/article/10.2478/ijssis-2024-0024.pdf</w:t>
        </w:r>
      </w:hyperlink>
    </w:p>
    <w:p w14:paraId="3BE1759D" w14:textId="77777777" w:rsidR="000D0697" w:rsidRDefault="00DB5716">
      <w:pPr>
        <w:pStyle w:val="Normal1"/>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Ghimire, A., (2025). AI-powered anomaly detection for AML compliance in US banking: Enhancing accuracy and reducing false positives. </w:t>
      </w:r>
      <w:r>
        <w:rPr>
          <w:rFonts w:ascii="Arial" w:eastAsia="Arial" w:hAnsi="Arial" w:cs="Arial"/>
          <w:i/>
          <w:iCs/>
          <w:color w:val="000000"/>
          <w:sz w:val="24"/>
          <w:szCs w:val="24"/>
          <w:highlight w:val="white"/>
        </w:rPr>
        <w:t>Global Trends in Science and Technology</w:t>
      </w:r>
      <w:r>
        <w:rPr>
          <w:rFonts w:ascii="Arial" w:eastAsia="Arial" w:hAnsi="Arial" w:cs="Arial"/>
          <w:color w:val="000000"/>
          <w:sz w:val="24"/>
          <w:szCs w:val="24"/>
          <w:highlight w:val="white"/>
        </w:rPr>
        <w:t>, </w:t>
      </w:r>
      <w:r>
        <w:rPr>
          <w:rFonts w:ascii="Arial" w:eastAsia="Arial" w:hAnsi="Arial" w:cs="Arial"/>
          <w:i/>
          <w:iCs/>
          <w:color w:val="000000"/>
          <w:sz w:val="24"/>
          <w:szCs w:val="24"/>
          <w:highlight w:val="white"/>
        </w:rPr>
        <w:t>1</w:t>
      </w:r>
      <w:r>
        <w:rPr>
          <w:rFonts w:ascii="Arial" w:eastAsia="Arial" w:hAnsi="Arial" w:cs="Arial"/>
          <w:color w:val="000000"/>
          <w:sz w:val="24"/>
          <w:szCs w:val="24"/>
          <w:highlight w:val="white"/>
        </w:rPr>
        <w:t>(1), pp.95-120.</w:t>
      </w:r>
    </w:p>
    <w:p w14:paraId="3BE1759E" w14:textId="77777777" w:rsidR="000D0697" w:rsidRDefault="00DB5716">
      <w:pPr>
        <w:pStyle w:val="Normal1"/>
        <w:spacing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Gupta, A., Dwivedi, D.N. and Shah, J., (2023). Financial crimes management and control in financial institutions. In </w:t>
      </w:r>
      <w:r>
        <w:rPr>
          <w:rFonts w:ascii="Arial" w:eastAsia="Arial" w:hAnsi="Arial" w:cs="Arial"/>
          <w:i/>
          <w:iCs/>
          <w:color w:val="222222"/>
          <w:sz w:val="24"/>
          <w:szCs w:val="24"/>
        </w:rPr>
        <w:t>Artificial Intelligence Applications in Banking and Financial Services: Anti Money Laundering and Compliance</w:t>
      </w:r>
      <w:r>
        <w:rPr>
          <w:rFonts w:ascii="Arial" w:eastAsia="Arial" w:hAnsi="Arial" w:cs="Arial"/>
          <w:color w:val="222222"/>
          <w:sz w:val="24"/>
          <w:szCs w:val="24"/>
        </w:rPr>
        <w:t xml:space="preserve"> (pp. 13-24). Singapore: Springer Nature Singapore. </w:t>
      </w:r>
      <w:hyperlink r:id="rId36">
        <w:r>
          <w:rPr>
            <w:rFonts w:ascii="Arial" w:eastAsia="Arial" w:hAnsi="Arial" w:cs="Arial"/>
            <w:color w:val="1155CC"/>
            <w:sz w:val="24"/>
            <w:szCs w:val="24"/>
            <w:u w:val="single"/>
          </w:rPr>
          <w:t>https://link.springer.com/chapter/10.1007/978-981-99-2571-1_2</w:t>
        </w:r>
      </w:hyperlink>
    </w:p>
    <w:p w14:paraId="3BE1759F"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 xml:space="preserve">Gusenbauer, M. and Gauster, S.P., (2025). </w:t>
      </w:r>
      <w:r>
        <w:rPr>
          <w:rFonts w:ascii="Arial" w:eastAsia="Arial" w:hAnsi="Arial" w:cs="Arial"/>
          <w:i/>
          <w:iCs/>
          <w:color w:val="222222"/>
          <w:sz w:val="24"/>
          <w:szCs w:val="24"/>
          <w:highlight w:val="white"/>
        </w:rPr>
        <w:t>How to search for literature in systematic reviews and meta-analyses: A comprehensive step-by-step guide.</w:t>
      </w:r>
      <w:r>
        <w:rPr>
          <w:rFonts w:ascii="Arial" w:eastAsia="Arial" w:hAnsi="Arial" w:cs="Arial"/>
          <w:color w:val="222222"/>
          <w:sz w:val="24"/>
          <w:szCs w:val="24"/>
          <w:highlight w:val="white"/>
        </w:rPr>
        <w:t xml:space="preserve"> Available at: </w:t>
      </w:r>
      <w:hyperlink r:id="rId37">
        <w:r>
          <w:rPr>
            <w:rFonts w:ascii="Arial" w:eastAsia="Arial" w:hAnsi="Arial" w:cs="Arial"/>
            <w:color w:val="0000FF"/>
            <w:sz w:val="24"/>
            <w:szCs w:val="24"/>
            <w:highlight w:val="white"/>
            <w:u w:val="single"/>
          </w:rPr>
          <w:t>https://www.sciencedirect.com/science/article/pii/S0040162524006310</w:t>
        </w:r>
      </w:hyperlink>
    </w:p>
    <w:p w14:paraId="3BE175A0"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Hanif, R., Ahmad, H.S. and Ali, A., (2025). Developing an Integrated AML Risk Management Framework for Commercial Banks Based on Customer Risk Profiling and Enhanced Due Diligence. </w:t>
      </w:r>
      <w:r>
        <w:rPr>
          <w:rFonts w:ascii="Arial" w:eastAsia="Arial" w:hAnsi="Arial" w:cs="Arial"/>
          <w:i/>
          <w:iCs/>
          <w:color w:val="222222"/>
          <w:sz w:val="24"/>
          <w:szCs w:val="24"/>
          <w:highlight w:val="white"/>
        </w:rPr>
        <w:t>Advance Journal of Econometrics and Finance</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3</w:t>
      </w:r>
      <w:r>
        <w:rPr>
          <w:rFonts w:ascii="Arial" w:eastAsia="Arial" w:hAnsi="Arial" w:cs="Arial"/>
          <w:color w:val="222222"/>
          <w:sz w:val="24"/>
          <w:szCs w:val="24"/>
          <w:highlight w:val="white"/>
        </w:rPr>
        <w:t>(3), pp.206-215.</w:t>
      </w:r>
      <w:hyperlink r:id="rId38">
        <w:r>
          <w:rPr>
            <w:rFonts w:ascii="Arial" w:eastAsia="Arial" w:hAnsi="Arial" w:cs="Arial"/>
            <w:color w:val="0000FF"/>
            <w:sz w:val="24"/>
            <w:szCs w:val="24"/>
            <w:u w:val="single"/>
          </w:rPr>
          <w:t>http://ajeaf.com/index.php/Journal/article/download/114/123</w:t>
        </w:r>
      </w:hyperlink>
    </w:p>
    <w:p w14:paraId="3BE175A1"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i/>
          <w:iCs/>
          <w:color w:val="000000"/>
          <w:sz w:val="24"/>
          <w:szCs w:val="24"/>
        </w:rPr>
      </w:pPr>
      <w:r>
        <w:rPr>
          <w:rFonts w:ascii="Arial" w:eastAsia="Arial" w:hAnsi="Arial" w:cs="Arial"/>
          <w:color w:val="000000"/>
          <w:sz w:val="24"/>
          <w:szCs w:val="24"/>
        </w:rPr>
        <w:t xml:space="preserve">HSBC Holdings plc, (2024). </w:t>
      </w:r>
      <w:r>
        <w:rPr>
          <w:rFonts w:ascii="Arial" w:eastAsia="Arial" w:hAnsi="Arial" w:cs="Arial"/>
          <w:i/>
          <w:iCs/>
          <w:color w:val="000000"/>
          <w:sz w:val="24"/>
          <w:szCs w:val="24"/>
        </w:rPr>
        <w:t>Harnessing the power of AI to fight financial crime. 10 June.</w:t>
      </w:r>
      <w:r>
        <w:rPr>
          <w:rFonts w:ascii="Arial" w:eastAsia="Arial" w:hAnsi="Arial" w:cs="Arial"/>
          <w:color w:val="000000"/>
          <w:sz w:val="24"/>
          <w:szCs w:val="24"/>
        </w:rPr>
        <w:t xml:space="preserve">Available at: </w:t>
      </w:r>
      <w:hyperlink r:id="rId39">
        <w:r>
          <w:rPr>
            <w:rFonts w:ascii="Arial" w:eastAsia="Arial" w:hAnsi="Arial" w:cs="Arial"/>
            <w:color w:val="0000FF"/>
            <w:sz w:val="24"/>
            <w:szCs w:val="24"/>
            <w:u w:val="single"/>
          </w:rPr>
          <w:t>https://www.hsbc.com/news-and-views/views/hsbc-views/harnessing-the-power-of-ai-to-fight-financial-crime</w:t>
        </w:r>
      </w:hyperlink>
    </w:p>
    <w:p w14:paraId="3BE175A2"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i/>
          <w:iCs/>
          <w:color w:val="000000"/>
          <w:sz w:val="24"/>
          <w:szCs w:val="24"/>
        </w:rPr>
        <w:t>HSBC Holdings plc,</w:t>
      </w:r>
      <w:r>
        <w:rPr>
          <w:rFonts w:ascii="Arial" w:eastAsia="Arial" w:hAnsi="Arial" w:cs="Arial"/>
          <w:color w:val="000000"/>
          <w:sz w:val="24"/>
          <w:szCs w:val="24"/>
        </w:rPr>
        <w:t xml:space="preserve"> (2025a). </w:t>
      </w:r>
      <w:r>
        <w:rPr>
          <w:rFonts w:ascii="Arial" w:eastAsia="Arial" w:hAnsi="Arial" w:cs="Arial"/>
          <w:i/>
          <w:iCs/>
          <w:color w:val="000000"/>
          <w:sz w:val="24"/>
          <w:szCs w:val="24"/>
        </w:rPr>
        <w:t>Financial crime policy</w:t>
      </w:r>
      <w:r>
        <w:rPr>
          <w:rFonts w:ascii="Arial" w:eastAsia="Arial" w:hAnsi="Arial" w:cs="Arial"/>
          <w:color w:val="000000"/>
          <w:sz w:val="24"/>
          <w:szCs w:val="24"/>
        </w:rPr>
        <w:t xml:space="preserve">. Available at: </w:t>
      </w:r>
      <w:hyperlink r:id="rId40">
        <w:r>
          <w:rPr>
            <w:rFonts w:ascii="Arial" w:eastAsia="Arial" w:hAnsi="Arial" w:cs="Arial"/>
            <w:color w:val="0000FF"/>
            <w:sz w:val="24"/>
            <w:szCs w:val="24"/>
            <w:u w:val="single"/>
          </w:rPr>
          <w:t>https://www.hsbc.com/who-we-are/esg-and-responsible-business/fighting-financial-crime/financial-crime-policy</w:t>
        </w:r>
      </w:hyperlink>
    </w:p>
    <w:p w14:paraId="3BE175A3"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1155CC"/>
          <w:sz w:val="24"/>
          <w:szCs w:val="24"/>
          <w:u w:val="single"/>
        </w:rPr>
      </w:pPr>
      <w:r>
        <w:rPr>
          <w:rFonts w:ascii="Arial" w:eastAsia="Arial" w:hAnsi="Arial" w:cs="Arial"/>
          <w:color w:val="000000"/>
          <w:sz w:val="24"/>
          <w:szCs w:val="24"/>
        </w:rPr>
        <w:t xml:space="preserve">HSBC Holdings plc, (2025b). </w:t>
      </w:r>
      <w:r>
        <w:rPr>
          <w:rFonts w:ascii="Arial" w:eastAsia="Arial" w:hAnsi="Arial" w:cs="Arial"/>
          <w:i/>
          <w:iCs/>
          <w:color w:val="000000"/>
          <w:sz w:val="24"/>
          <w:szCs w:val="24"/>
        </w:rPr>
        <w:t xml:space="preserve">Technology | Fighting financial crime. </w:t>
      </w:r>
      <w:r>
        <w:rPr>
          <w:rFonts w:ascii="Arial" w:eastAsia="Arial" w:hAnsi="Arial" w:cs="Arial"/>
          <w:color w:val="000000"/>
          <w:sz w:val="24"/>
          <w:szCs w:val="24"/>
        </w:rPr>
        <w:t xml:space="preserve">Available at: </w:t>
      </w:r>
      <w:hyperlink r:id="rId41">
        <w:r>
          <w:rPr>
            <w:rFonts w:ascii="Arial" w:eastAsia="Arial" w:hAnsi="Arial" w:cs="Arial"/>
            <w:color w:val="1155CC"/>
            <w:sz w:val="24"/>
            <w:szCs w:val="24"/>
            <w:u w:val="single"/>
          </w:rPr>
          <w:t>https://www.hsbc.com/who-we-are/esg-and-responsible-business/fighting-financial-crime/technology</w:t>
        </w:r>
      </w:hyperlink>
    </w:p>
    <w:p w14:paraId="3BE175A4"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HSBC Holdings plc, (2025c). </w:t>
      </w:r>
      <w:r>
        <w:rPr>
          <w:rFonts w:ascii="Arial" w:eastAsia="Arial" w:hAnsi="Arial" w:cs="Arial"/>
          <w:i/>
          <w:iCs/>
          <w:color w:val="000000"/>
          <w:sz w:val="24"/>
          <w:szCs w:val="24"/>
        </w:rPr>
        <w:t>Annual Report and Accounts 2024</w:t>
      </w:r>
      <w:r>
        <w:rPr>
          <w:rFonts w:ascii="Arial" w:eastAsia="Arial" w:hAnsi="Arial" w:cs="Arial"/>
          <w:color w:val="000000"/>
          <w:sz w:val="24"/>
          <w:szCs w:val="24"/>
        </w:rPr>
        <w:t>. Available at:</w:t>
      </w:r>
      <w:hyperlink r:id="rId42">
        <w:r>
          <w:rPr>
            <w:rFonts w:ascii="Arial" w:eastAsia="Arial" w:hAnsi="Arial" w:cs="Arial"/>
            <w:color w:val="1155CC"/>
            <w:sz w:val="24"/>
            <w:szCs w:val="24"/>
            <w:u w:val="single"/>
          </w:rPr>
          <w:t>https://www.hsbc.com/-/files/hsbc/investors/hsbc-results/2024/annual/pdfs/hsbc-holdings-plc/250219-annual-report-and-accounts-2024.ashx</w:t>
        </w:r>
      </w:hyperlink>
    </w:p>
    <w:p w14:paraId="3BE175A5"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HSBC Holdings plc, (2026). </w:t>
      </w:r>
      <w:r>
        <w:rPr>
          <w:rFonts w:ascii="Arial" w:eastAsia="Arial" w:hAnsi="Arial" w:cs="Arial"/>
          <w:i/>
          <w:iCs/>
          <w:color w:val="000000"/>
          <w:sz w:val="24"/>
          <w:szCs w:val="24"/>
        </w:rPr>
        <w:t>Operational risk</w:t>
      </w:r>
      <w:r>
        <w:rPr>
          <w:rFonts w:ascii="Arial" w:eastAsia="Arial" w:hAnsi="Arial" w:cs="Arial"/>
          <w:color w:val="000000"/>
          <w:sz w:val="24"/>
          <w:szCs w:val="24"/>
        </w:rPr>
        <w:t>. Available at:</w:t>
      </w:r>
      <w:hyperlink r:id="rId43">
        <w:r>
          <w:rPr>
            <w:rFonts w:ascii="Arial" w:eastAsia="Arial" w:hAnsi="Arial" w:cs="Arial"/>
            <w:color w:val="1155CC"/>
            <w:sz w:val="24"/>
            <w:szCs w:val="24"/>
            <w:u w:val="single"/>
          </w:rPr>
          <w:t>https://www.hsbc.com/who-we-are/esg-and-responsible-business/managing-risk/operational-risk</w:t>
        </w:r>
      </w:hyperlink>
    </w:p>
    <w:p w14:paraId="3BE175A6"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HSBC Holdings plc, (2026b). </w:t>
      </w:r>
      <w:r>
        <w:rPr>
          <w:rFonts w:ascii="Arial" w:eastAsia="Arial" w:hAnsi="Arial" w:cs="Arial"/>
          <w:i/>
          <w:iCs/>
          <w:color w:val="000000"/>
          <w:sz w:val="24"/>
          <w:szCs w:val="24"/>
        </w:rPr>
        <w:t xml:space="preserve">Technology | Fighting financial crime. </w:t>
      </w:r>
      <w:r>
        <w:rPr>
          <w:rFonts w:ascii="Arial" w:eastAsia="Arial" w:hAnsi="Arial" w:cs="Arial"/>
          <w:color w:val="000000"/>
          <w:sz w:val="24"/>
          <w:szCs w:val="24"/>
        </w:rPr>
        <w:t xml:space="preserve">Available at: </w:t>
      </w:r>
      <w:hyperlink r:id="rId44">
        <w:r>
          <w:rPr>
            <w:rFonts w:ascii="Arial" w:eastAsia="Arial" w:hAnsi="Arial" w:cs="Arial"/>
            <w:color w:val="0000FF"/>
            <w:sz w:val="24"/>
            <w:szCs w:val="24"/>
            <w:u w:val="single"/>
          </w:rPr>
          <w:t>https://www.hsbc.com/who-we-are/esg-and-responsible-business/fighting-financial-crime</w:t>
        </w:r>
      </w:hyperlink>
    </w:p>
    <w:p w14:paraId="3BE175A7"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HSBC UK Bank plc, (2026). </w:t>
      </w:r>
      <w:r>
        <w:rPr>
          <w:rFonts w:ascii="Arial" w:eastAsia="Arial" w:hAnsi="Arial" w:cs="Arial"/>
          <w:i/>
          <w:iCs/>
          <w:color w:val="000000"/>
          <w:sz w:val="24"/>
          <w:szCs w:val="24"/>
        </w:rPr>
        <w:t>Pillar 3 disclosures at 31 December 2025</w:t>
      </w:r>
      <w:r>
        <w:rPr>
          <w:rFonts w:ascii="Arial" w:eastAsia="Arial" w:hAnsi="Arial" w:cs="Arial"/>
          <w:color w:val="000000"/>
          <w:sz w:val="24"/>
          <w:szCs w:val="24"/>
        </w:rPr>
        <w:t xml:space="preserve">. Available at: </w:t>
      </w:r>
      <w:hyperlink r:id="rId45">
        <w:r>
          <w:rPr>
            <w:rFonts w:ascii="Arial" w:eastAsia="Arial" w:hAnsi="Arial" w:cs="Arial"/>
            <w:color w:val="0000FF"/>
            <w:sz w:val="24"/>
            <w:szCs w:val="24"/>
            <w:u w:val="single"/>
          </w:rPr>
          <w:t>https://www.hsbc.com/-/files/hsbc/investors/hsbc-results/2025/annual/pdfs/hsbc-uk-bank-plc/260225-pillar-3-disclosures-at-31-december-2025.pdf</w:t>
        </w:r>
      </w:hyperlink>
    </w:p>
    <w:p w14:paraId="3BE175A8"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sz w:val="24"/>
          <w:szCs w:val="24"/>
        </w:rPr>
        <w:t>HSBC</w:t>
      </w:r>
      <w:r>
        <w:rPr>
          <w:rFonts w:ascii="Arial" w:eastAsia="Arial" w:hAnsi="Arial" w:cs="Arial"/>
          <w:color w:val="000000"/>
          <w:sz w:val="24"/>
          <w:szCs w:val="24"/>
        </w:rPr>
        <w:t xml:space="preserve">, (2025). </w:t>
      </w:r>
      <w:r>
        <w:rPr>
          <w:rFonts w:ascii="Arial" w:eastAsia="Arial" w:hAnsi="Arial" w:cs="Arial"/>
          <w:i/>
          <w:iCs/>
          <w:color w:val="000000"/>
          <w:sz w:val="24"/>
          <w:szCs w:val="24"/>
        </w:rPr>
        <w:t>Transforming HSBC with AI</w:t>
      </w:r>
      <w:r>
        <w:rPr>
          <w:rFonts w:ascii="Arial" w:eastAsia="Arial" w:hAnsi="Arial" w:cs="Arial"/>
          <w:color w:val="000000"/>
          <w:sz w:val="24"/>
          <w:szCs w:val="24"/>
        </w:rPr>
        <w:t xml:space="preserve">. Available at: </w:t>
      </w:r>
      <w:hyperlink r:id="rId46">
        <w:r>
          <w:rPr>
            <w:rFonts w:ascii="Arial" w:eastAsia="Arial" w:hAnsi="Arial" w:cs="Arial"/>
            <w:color w:val="0000FF"/>
            <w:sz w:val="24"/>
            <w:szCs w:val="24"/>
            <w:u w:val="single"/>
          </w:rPr>
          <w:t>https://www.hsbc.com/who-we-are/hsbc-and-digital/hsbc-and-ai/transforming-hsbc-with-ai</w:t>
        </w:r>
      </w:hyperlink>
    </w:p>
    <w:p w14:paraId="3BE175A9" w14:textId="77777777" w:rsidR="000D0697" w:rsidRDefault="00DB5716">
      <w:pPr>
        <w:pStyle w:val="Normal1"/>
        <w:spacing w:line="360" w:lineRule="auto"/>
        <w:jc w:val="both"/>
        <w:rPr>
          <w:rFonts w:ascii="Arial" w:eastAsia="Arial" w:hAnsi="Arial" w:cs="Arial"/>
          <w:sz w:val="24"/>
          <w:szCs w:val="24"/>
        </w:rPr>
      </w:pPr>
      <w:r>
        <w:rPr>
          <w:rFonts w:ascii="Arial" w:eastAsia="Arial" w:hAnsi="Arial" w:cs="Arial"/>
          <w:sz w:val="24"/>
          <w:szCs w:val="24"/>
        </w:rPr>
        <w:t xml:space="preserve">HSBC, (2026). </w:t>
      </w:r>
      <w:r>
        <w:rPr>
          <w:rFonts w:ascii="Arial" w:eastAsia="Arial" w:hAnsi="Arial" w:cs="Arial"/>
          <w:i/>
          <w:iCs/>
          <w:sz w:val="24"/>
          <w:szCs w:val="24"/>
        </w:rPr>
        <w:t>Connecting customers to opportunities worldwide</w:t>
      </w:r>
      <w:r>
        <w:rPr>
          <w:rFonts w:ascii="Arial" w:eastAsia="Arial" w:hAnsi="Arial" w:cs="Arial"/>
          <w:sz w:val="24"/>
          <w:szCs w:val="24"/>
        </w:rPr>
        <w:t xml:space="preserve">. Available at: </w:t>
      </w:r>
      <w:hyperlink r:id="rId47">
        <w:r>
          <w:rPr>
            <w:rFonts w:ascii="Arial" w:eastAsia="Arial" w:hAnsi="Arial" w:cs="Arial"/>
            <w:color w:val="0000FF"/>
            <w:sz w:val="24"/>
            <w:szCs w:val="24"/>
            <w:u w:val="single"/>
          </w:rPr>
          <w:t>https://www.hsbc.com/who-we-are/our-markets</w:t>
        </w:r>
      </w:hyperlink>
    </w:p>
    <w:p w14:paraId="3BE175AA"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sz w:val="24"/>
          <w:szCs w:val="24"/>
        </w:rPr>
        <w:lastRenderedPageBreak/>
        <w:t>HSBC</w:t>
      </w:r>
      <w:r>
        <w:rPr>
          <w:rFonts w:ascii="Arial" w:eastAsia="Arial" w:hAnsi="Arial" w:cs="Arial"/>
          <w:color w:val="000000"/>
          <w:sz w:val="24"/>
          <w:szCs w:val="24"/>
        </w:rPr>
        <w:t xml:space="preserve">, (2026). </w:t>
      </w:r>
      <w:r>
        <w:rPr>
          <w:rFonts w:ascii="Arial" w:eastAsia="Arial" w:hAnsi="Arial" w:cs="Arial"/>
          <w:i/>
          <w:iCs/>
          <w:color w:val="000000"/>
          <w:sz w:val="24"/>
          <w:szCs w:val="24"/>
        </w:rPr>
        <w:t>Financial Crime Policy</w:t>
      </w:r>
      <w:r>
        <w:rPr>
          <w:rFonts w:ascii="Arial" w:eastAsia="Arial" w:hAnsi="Arial" w:cs="Arial"/>
          <w:color w:val="000000"/>
          <w:sz w:val="24"/>
          <w:szCs w:val="24"/>
        </w:rPr>
        <w:t xml:space="preserve">. Available at: </w:t>
      </w:r>
      <w:hyperlink r:id="rId48">
        <w:r>
          <w:rPr>
            <w:rFonts w:ascii="Arial" w:eastAsia="Arial" w:hAnsi="Arial" w:cs="Arial"/>
            <w:color w:val="0000FF"/>
            <w:sz w:val="24"/>
            <w:szCs w:val="24"/>
            <w:u w:val="single"/>
          </w:rPr>
          <w:t>https://www.hsbc.com/who-we-are/esg-and-responsible-business/fighting-financial-crime/financial-crime-policy</w:t>
        </w:r>
      </w:hyperlink>
    </w:p>
    <w:p w14:paraId="3BE175AB" w14:textId="77777777" w:rsidR="000D0697" w:rsidRDefault="00DB5716">
      <w:pPr>
        <w:pStyle w:val="Normal1"/>
        <w:spacing w:line="360" w:lineRule="auto"/>
        <w:jc w:val="both"/>
        <w:rPr>
          <w:rFonts w:ascii="Arial" w:eastAsia="Arial" w:hAnsi="Arial" w:cs="Arial"/>
          <w:sz w:val="24"/>
          <w:szCs w:val="24"/>
        </w:rPr>
      </w:pPr>
      <w:r>
        <w:rPr>
          <w:rFonts w:ascii="Arial" w:eastAsia="Arial" w:hAnsi="Arial" w:cs="Arial"/>
          <w:sz w:val="24"/>
          <w:szCs w:val="24"/>
        </w:rPr>
        <w:t xml:space="preserve">HSBC, (2026). </w:t>
      </w:r>
      <w:r>
        <w:rPr>
          <w:rFonts w:ascii="Arial" w:eastAsia="Arial" w:hAnsi="Arial" w:cs="Arial"/>
          <w:i/>
          <w:iCs/>
          <w:sz w:val="24"/>
          <w:szCs w:val="24"/>
        </w:rPr>
        <w:t>Technology</w:t>
      </w:r>
      <w:r>
        <w:rPr>
          <w:rFonts w:ascii="Arial" w:eastAsia="Arial" w:hAnsi="Arial" w:cs="Arial"/>
          <w:sz w:val="24"/>
          <w:szCs w:val="24"/>
        </w:rPr>
        <w:t xml:space="preserve">. Available at: </w:t>
      </w:r>
      <w:hyperlink r:id="rId49">
        <w:r>
          <w:rPr>
            <w:rFonts w:ascii="Arial" w:eastAsia="Arial" w:hAnsi="Arial" w:cs="Arial"/>
            <w:color w:val="0000FF"/>
            <w:sz w:val="24"/>
            <w:szCs w:val="24"/>
            <w:u w:val="single"/>
          </w:rPr>
          <w:t>https://www.hsbc.com/who-we-are/esg-and-responsible-business/fighting-financial-crime/technology</w:t>
        </w:r>
      </w:hyperlink>
    </w:p>
    <w:p w14:paraId="3BE175AC"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Ibitola, J., (2023). </w:t>
      </w:r>
      <w:r>
        <w:rPr>
          <w:rFonts w:ascii="Arial" w:eastAsia="Arial" w:hAnsi="Arial" w:cs="Arial"/>
          <w:i/>
          <w:iCs/>
          <w:color w:val="000000"/>
          <w:sz w:val="24"/>
          <w:szCs w:val="24"/>
        </w:rPr>
        <w:t xml:space="preserve">How Network Analysis Detects Money Laundering: A Complete Guide for AML Investigators. </w:t>
      </w:r>
      <w:r>
        <w:rPr>
          <w:rFonts w:ascii="Arial" w:eastAsia="Arial" w:hAnsi="Arial" w:cs="Arial"/>
          <w:color w:val="000000"/>
          <w:sz w:val="24"/>
          <w:szCs w:val="24"/>
        </w:rPr>
        <w:t xml:space="preserve">Available at: </w:t>
      </w:r>
      <w:hyperlink r:id="rId50">
        <w:r>
          <w:rPr>
            <w:rFonts w:ascii="Arial" w:eastAsia="Arial" w:hAnsi="Arial" w:cs="Arial"/>
            <w:color w:val="0000FF"/>
            <w:sz w:val="24"/>
            <w:szCs w:val="24"/>
            <w:u w:val="single"/>
          </w:rPr>
          <w:t>https://www.flagright.com/post/network-analysis-in-aml-investigations</w:t>
        </w:r>
      </w:hyperlink>
    </w:p>
    <w:p w14:paraId="3BE175AD"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Ibiyeye, A., Ibiyeye, T.O. and Oke, F., (2025). RegTech Readiness for Financial Institutions in the AI Governance era: Emerging technology risk, internal control, and inclusive compliance modernization. </w:t>
      </w:r>
      <w:r>
        <w:rPr>
          <w:rFonts w:ascii="Arial" w:eastAsia="Arial" w:hAnsi="Arial" w:cs="Arial"/>
          <w:i/>
          <w:iCs/>
          <w:color w:val="222222"/>
          <w:sz w:val="24"/>
          <w:szCs w:val="24"/>
          <w:highlight w:val="white"/>
        </w:rPr>
        <w:t>World Journal of Advanced Research and Reviews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27</w:t>
      </w:r>
      <w:r>
        <w:rPr>
          <w:rFonts w:ascii="Arial" w:eastAsia="Arial" w:hAnsi="Arial" w:cs="Arial"/>
          <w:color w:val="222222"/>
          <w:sz w:val="24"/>
          <w:szCs w:val="24"/>
          <w:highlight w:val="white"/>
        </w:rPr>
        <w:t>(2), pp.2249-2264.</w:t>
      </w:r>
      <w:hyperlink r:id="rId51">
        <w:r>
          <w:rPr>
            <w:rFonts w:ascii="Arial" w:eastAsia="Arial" w:hAnsi="Arial" w:cs="Arial"/>
            <w:color w:val="0000FF"/>
            <w:sz w:val="24"/>
            <w:szCs w:val="24"/>
            <w:u w:val="single"/>
          </w:rPr>
          <w:t>https://www.researchgate.net/publication/405235253_RegTech_Readiness_for_Financial_Institutions_in_the_AI_Governance_era_Emerging_technology_risk_internal_control_and_inclusive_compliance_modernization</w:t>
        </w:r>
      </w:hyperlink>
    </w:p>
    <w:p w14:paraId="3BE175A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color w:val="000000"/>
          <w:sz w:val="24"/>
          <w:szCs w:val="24"/>
        </w:rPr>
      </w:pPr>
      <w:r>
        <w:rPr>
          <w:rFonts w:ascii="Arial" w:eastAsia="Arial" w:hAnsi="Arial" w:cs="Arial"/>
          <w:sz w:val="24"/>
          <w:szCs w:val="24"/>
        </w:rPr>
        <w:t xml:space="preserve">jpmorgan, (2023). </w:t>
      </w:r>
      <w:r>
        <w:rPr>
          <w:rFonts w:ascii="Arial" w:eastAsia="Arial" w:hAnsi="Arial" w:cs="Arial"/>
          <w:i/>
          <w:iCs/>
          <w:sz w:val="24"/>
          <w:szCs w:val="24"/>
        </w:rPr>
        <w:t xml:space="preserve">How AI will make payments more efficient and reduce fraud. </w:t>
      </w:r>
      <w:r>
        <w:rPr>
          <w:rFonts w:ascii="Arial" w:eastAsia="Arial" w:hAnsi="Arial" w:cs="Arial"/>
          <w:sz w:val="24"/>
          <w:szCs w:val="24"/>
        </w:rPr>
        <w:t xml:space="preserve">Available at: </w:t>
      </w:r>
      <w:hyperlink r:id="rId52">
        <w:r>
          <w:rPr>
            <w:rFonts w:ascii="Arial" w:eastAsia="Arial" w:hAnsi="Arial" w:cs="Arial"/>
            <w:color w:val="1155CC"/>
            <w:sz w:val="24"/>
            <w:szCs w:val="24"/>
            <w:u w:val="single"/>
          </w:rPr>
          <w:t>https://www.jpmorgan.com/insights/payments/security-trust/ai-payments-efficiency-fraud-reduction</w:t>
        </w:r>
      </w:hyperlink>
    </w:p>
    <w:p w14:paraId="3BE175AF"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Karim, M.R., Hermsen, F., Chala, S.A., De Perthuis, P. and Mandal, A., (2024). Scalable semi-supervised graph learning techniques for anti money laundering. </w:t>
      </w:r>
      <w:r>
        <w:rPr>
          <w:rFonts w:ascii="Arial" w:eastAsia="Arial" w:hAnsi="Arial" w:cs="Arial"/>
          <w:i/>
          <w:iCs/>
          <w:sz w:val="24"/>
          <w:szCs w:val="24"/>
        </w:rPr>
        <w:t>IEEE access</w:t>
      </w:r>
      <w:r>
        <w:rPr>
          <w:rFonts w:ascii="Arial" w:eastAsia="Arial" w:hAnsi="Arial" w:cs="Arial"/>
          <w:sz w:val="24"/>
          <w:szCs w:val="24"/>
        </w:rPr>
        <w:t xml:space="preserve">, </w:t>
      </w:r>
      <w:r>
        <w:rPr>
          <w:rFonts w:ascii="Arial" w:eastAsia="Arial" w:hAnsi="Arial" w:cs="Arial"/>
          <w:i/>
          <w:iCs/>
          <w:sz w:val="24"/>
          <w:szCs w:val="24"/>
        </w:rPr>
        <w:t>12</w:t>
      </w:r>
      <w:r>
        <w:rPr>
          <w:rFonts w:ascii="Arial" w:eastAsia="Arial" w:hAnsi="Arial" w:cs="Arial"/>
          <w:sz w:val="24"/>
          <w:szCs w:val="24"/>
        </w:rPr>
        <w:t xml:space="preserve">, pp.50012-50029. </w:t>
      </w:r>
      <w:hyperlink r:id="rId53">
        <w:r>
          <w:rPr>
            <w:rFonts w:ascii="Arial" w:eastAsia="Arial" w:hAnsi="Arial" w:cs="Arial"/>
            <w:color w:val="0000FF"/>
            <w:sz w:val="24"/>
            <w:szCs w:val="24"/>
            <w:u w:val="single"/>
          </w:rPr>
          <w:t>https://ieeexplore.ieee.org/iel7/6287639/6514899/10486886.pdf</w:t>
        </w:r>
      </w:hyperlink>
    </w:p>
    <w:p w14:paraId="3BE175B0"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Kawamura, L., (2022). How can Financial Service Providers improve the KYC onboarding </w:t>
      </w:r>
      <w:proofErr w:type="gramStart"/>
      <w:r>
        <w:rPr>
          <w:rFonts w:ascii="Arial" w:eastAsia="Arial" w:hAnsi="Arial" w:cs="Arial"/>
          <w:color w:val="222222"/>
          <w:sz w:val="24"/>
          <w:szCs w:val="24"/>
          <w:highlight w:val="white"/>
        </w:rPr>
        <w:t>experience?:</w:t>
      </w:r>
      <w:proofErr w:type="gramEnd"/>
      <w:r>
        <w:rPr>
          <w:rFonts w:ascii="Arial" w:eastAsia="Arial" w:hAnsi="Arial" w:cs="Arial"/>
          <w:color w:val="222222"/>
          <w:sz w:val="24"/>
          <w:szCs w:val="24"/>
          <w:highlight w:val="white"/>
        </w:rPr>
        <w:t xml:space="preserve"> challenges and technological solutions.</w:t>
      </w:r>
    </w:p>
    <w:p w14:paraId="3BE175B1"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Kiger, M.E. and Varpio, L., (2020). Thematic analysis of qualitative data: AMEE Guide No. 131. </w:t>
      </w:r>
      <w:r>
        <w:rPr>
          <w:rFonts w:ascii="Arial" w:eastAsia="Arial" w:hAnsi="Arial" w:cs="Arial"/>
          <w:i/>
          <w:iCs/>
          <w:color w:val="222222"/>
          <w:sz w:val="24"/>
          <w:szCs w:val="24"/>
          <w:highlight w:val="white"/>
        </w:rPr>
        <w:t>Medical teacher</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42</w:t>
      </w:r>
      <w:r>
        <w:rPr>
          <w:rFonts w:ascii="Arial" w:eastAsia="Arial" w:hAnsi="Arial" w:cs="Arial"/>
          <w:color w:val="222222"/>
          <w:sz w:val="24"/>
          <w:szCs w:val="24"/>
          <w:highlight w:val="white"/>
        </w:rPr>
        <w:t xml:space="preserve">(8), pp.846-854. </w:t>
      </w:r>
      <w:hyperlink r:id="rId54">
        <w:r>
          <w:rPr>
            <w:rFonts w:ascii="Arial" w:eastAsia="Arial" w:hAnsi="Arial" w:cs="Arial"/>
            <w:color w:val="0000FF"/>
            <w:sz w:val="24"/>
            <w:szCs w:val="24"/>
            <w:u w:val="single"/>
          </w:rPr>
          <w:t>https://pgwritinghub.net/wp-content/uploads/2024/09/Thematic-analysis-of-qualitative-data-AMEE-Guide-No.-131.pdf</w:t>
        </w:r>
      </w:hyperlink>
    </w:p>
    <w:p w14:paraId="3BE175B2"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Kitov, A. and Kartsev, M., (2025). Legal Considerations for Cross-Border Digital Transactions. </w:t>
      </w:r>
      <w:r>
        <w:rPr>
          <w:rFonts w:ascii="Arial" w:eastAsia="Arial" w:hAnsi="Arial" w:cs="Arial"/>
          <w:i/>
          <w:iCs/>
          <w:sz w:val="24"/>
          <w:szCs w:val="24"/>
        </w:rPr>
        <w:t>International Journal of Commerce, Finance and Digital Economy</w:t>
      </w:r>
      <w:r>
        <w:rPr>
          <w:rFonts w:ascii="Arial" w:eastAsia="Arial" w:hAnsi="Arial" w:cs="Arial"/>
          <w:sz w:val="24"/>
          <w:szCs w:val="24"/>
        </w:rPr>
        <w:t xml:space="preserve">, </w:t>
      </w:r>
      <w:r>
        <w:rPr>
          <w:rFonts w:ascii="Arial" w:eastAsia="Arial" w:hAnsi="Arial" w:cs="Arial"/>
          <w:i/>
          <w:iCs/>
          <w:sz w:val="24"/>
          <w:szCs w:val="24"/>
        </w:rPr>
        <w:lastRenderedPageBreak/>
        <w:t>8</w:t>
      </w:r>
      <w:r>
        <w:rPr>
          <w:rFonts w:ascii="Arial" w:eastAsia="Arial" w:hAnsi="Arial" w:cs="Arial"/>
          <w:sz w:val="24"/>
          <w:szCs w:val="24"/>
        </w:rPr>
        <w:t xml:space="preserve">(1), pp.01-15. </w:t>
      </w:r>
      <w:hyperlink r:id="rId55">
        <w:r>
          <w:rPr>
            <w:rFonts w:ascii="Arial" w:eastAsia="Arial" w:hAnsi="Arial" w:cs="Arial"/>
            <w:color w:val="0000FF"/>
            <w:sz w:val="24"/>
            <w:szCs w:val="24"/>
            <w:u w:val="single"/>
          </w:rPr>
          <w:t>https://worldcometresearchgroup.com/index.php/ijcfde/article/download/822/793</w:t>
        </w:r>
      </w:hyperlink>
    </w:p>
    <w:p w14:paraId="3BE175B3"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Kumar, P., (2024). AI-Powered Fraud Prevention in Digital Payment Ecosystems: Leveraging Machine Learning for Real-Time Anomaly Detection and Risk Mitigation. </w:t>
      </w:r>
      <w:r>
        <w:rPr>
          <w:rFonts w:ascii="Arial" w:eastAsia="Arial" w:hAnsi="Arial" w:cs="Arial"/>
          <w:i/>
          <w:iCs/>
          <w:color w:val="222222"/>
          <w:sz w:val="24"/>
          <w:szCs w:val="24"/>
          <w:highlight w:val="white"/>
        </w:rPr>
        <w:t>Journal of Information Systems Engineering and Management</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9</w:t>
      </w:r>
      <w:r>
        <w:rPr>
          <w:rFonts w:ascii="Arial" w:eastAsia="Arial" w:hAnsi="Arial" w:cs="Arial"/>
          <w:color w:val="222222"/>
          <w:sz w:val="24"/>
          <w:szCs w:val="24"/>
          <w:highlight w:val="white"/>
        </w:rPr>
        <w:t>(4).</w:t>
      </w:r>
      <w:hyperlink r:id="rId56">
        <w:r>
          <w:rPr>
            <w:rFonts w:ascii="Arial" w:eastAsia="Arial" w:hAnsi="Arial" w:cs="Arial"/>
            <w:color w:val="0000FF"/>
            <w:sz w:val="24"/>
            <w:szCs w:val="24"/>
            <w:u w:val="single"/>
          </w:rPr>
          <w:t>https://www.researchgate.net/publication/396885617_AI-Powered_Fraud_Prevention_in_Digital_Payment_Ecosystems_Leveraging_Machine_Learning_for_Real-Time_Anomaly_Detection_and_Risk_Mitigation</w:t>
        </w:r>
      </w:hyperlink>
    </w:p>
    <w:p w14:paraId="3BE175B4"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Maheshwari, J., (2024). </w:t>
      </w:r>
      <w:r>
        <w:rPr>
          <w:rFonts w:ascii="Arial" w:eastAsia="Arial" w:hAnsi="Arial" w:cs="Arial"/>
          <w:i/>
          <w:iCs/>
          <w:color w:val="000000"/>
          <w:sz w:val="24"/>
          <w:szCs w:val="24"/>
        </w:rPr>
        <w:t>What is a Risk-Based Approach to AML</w:t>
      </w:r>
      <w:r>
        <w:rPr>
          <w:rFonts w:ascii="Arial" w:eastAsia="Arial" w:hAnsi="Arial" w:cs="Arial"/>
          <w:color w:val="000000"/>
          <w:sz w:val="24"/>
          <w:szCs w:val="24"/>
        </w:rPr>
        <w:t xml:space="preserve">. Available at: </w:t>
      </w:r>
      <w:hyperlink r:id="rId57">
        <w:r>
          <w:rPr>
            <w:rFonts w:ascii="Arial" w:eastAsia="Arial" w:hAnsi="Arial" w:cs="Arial"/>
            <w:color w:val="0000FF"/>
            <w:sz w:val="24"/>
            <w:szCs w:val="24"/>
            <w:u w:val="single"/>
          </w:rPr>
          <w:t>https://rapidaml.com/articles/what-is-a-risk-based-approach-to-aml/</w:t>
        </w:r>
      </w:hyperlink>
    </w:p>
    <w:p w14:paraId="3BE175B5" w14:textId="77777777" w:rsidR="000D0697" w:rsidRDefault="00DB5716">
      <w:pPr>
        <w:pStyle w:val="Normal1"/>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Majomi, E., (2022). AML compliance frameworks in the age of cyber-enabled laundering: A governance model for detecting digitally disguised financial crime.</w:t>
      </w:r>
      <w:hyperlink r:id="rId58">
        <w:r>
          <w:rPr>
            <w:rFonts w:ascii="Arial" w:eastAsia="Arial" w:hAnsi="Arial" w:cs="Arial"/>
            <w:color w:val="0000FF"/>
            <w:sz w:val="24"/>
            <w:szCs w:val="24"/>
            <w:u w:val="single"/>
          </w:rPr>
          <w:t>https://www.researchgate.net/publication/412092596_AML_compliance_frameworks_in_the_age_of_cyber-enabled_laundering_A_governance_model_for_detecting_digitally_disguised_financial_crime</w:t>
        </w:r>
      </w:hyperlink>
    </w:p>
    <w:p w14:paraId="3BE175B6"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Mathew, D.E., Ebem, D.U., Ikegwu, A.C., Ukeoma, P.E. and Dibiaezue, N.F., (2025). Recent Emerging Techniques in Explainable Artificial Intelligence to Enhance the Interpretable and Understanding of AI Models for Human: DE </w:t>
      </w:r>
      <w:proofErr w:type="gramStart"/>
      <w:r>
        <w:rPr>
          <w:rFonts w:ascii="Arial" w:eastAsia="Arial" w:hAnsi="Arial" w:cs="Arial"/>
          <w:color w:val="222222"/>
          <w:sz w:val="24"/>
          <w:szCs w:val="24"/>
          <w:highlight w:val="white"/>
        </w:rPr>
        <w:t xml:space="preserve">Mathew </w:t>
      </w:r>
      <w:r>
        <w:rPr>
          <w:rFonts w:ascii="Arial" w:eastAsia="Arial" w:hAnsi="Arial" w:cs="Arial"/>
          <w:i/>
          <w:iCs/>
          <w:color w:val="222222"/>
          <w:sz w:val="24"/>
          <w:szCs w:val="24"/>
          <w:highlight w:val="white"/>
        </w:rPr>
        <w:t xml:space="preserve"> et al</w:t>
      </w:r>
      <w:r>
        <w:rPr>
          <w:rFonts w:ascii="Arial" w:eastAsia="Arial" w:hAnsi="Arial" w:cs="Arial"/>
          <w:color w:val="222222"/>
          <w:sz w:val="24"/>
          <w:szCs w:val="24"/>
          <w:highlight w:val="white"/>
        </w:rPr>
        <w:t>.</w:t>
      </w:r>
      <w:proofErr w:type="gramEnd"/>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Neural processing letters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57</w:t>
      </w:r>
      <w:r>
        <w:rPr>
          <w:rFonts w:ascii="Arial" w:eastAsia="Arial" w:hAnsi="Arial" w:cs="Arial"/>
          <w:color w:val="222222"/>
          <w:sz w:val="24"/>
          <w:szCs w:val="24"/>
          <w:highlight w:val="white"/>
        </w:rPr>
        <w:t>(1), p.16.</w:t>
      </w:r>
      <w:hyperlink r:id="rId59">
        <w:r>
          <w:rPr>
            <w:rFonts w:ascii="Arial" w:eastAsia="Arial" w:hAnsi="Arial" w:cs="Arial"/>
            <w:color w:val="0000FF"/>
            <w:sz w:val="24"/>
            <w:szCs w:val="24"/>
            <w:u w:val="single"/>
          </w:rPr>
          <w:t>https://link.springer.com/content/pdf/10.1007/s11063-025-11732-2.pdf</w:t>
        </w:r>
      </w:hyperlink>
    </w:p>
    <w:p w14:paraId="3BE175B7"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Mazumder, P.T., (2026). Explainable and fair anti-money laundering models using a reproducible SHAP framework for financial institutions. </w:t>
      </w:r>
      <w:r>
        <w:rPr>
          <w:rFonts w:ascii="Arial" w:eastAsia="Arial" w:hAnsi="Arial" w:cs="Arial"/>
          <w:i/>
          <w:iCs/>
          <w:color w:val="222222"/>
          <w:sz w:val="24"/>
          <w:szCs w:val="24"/>
          <w:highlight w:val="white"/>
        </w:rPr>
        <w:t>Discover Artificial Intelligence</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6</w:t>
      </w:r>
      <w:r>
        <w:rPr>
          <w:rFonts w:ascii="Arial" w:eastAsia="Arial" w:hAnsi="Arial" w:cs="Arial"/>
          <w:color w:val="222222"/>
          <w:sz w:val="24"/>
          <w:szCs w:val="24"/>
          <w:highlight w:val="white"/>
        </w:rPr>
        <w:t>(1), p.262.</w:t>
      </w:r>
      <w:hyperlink r:id="rId60">
        <w:r>
          <w:rPr>
            <w:rFonts w:ascii="Arial" w:eastAsia="Arial" w:hAnsi="Arial" w:cs="Arial"/>
            <w:color w:val="0000FF"/>
            <w:sz w:val="24"/>
            <w:szCs w:val="24"/>
            <w:u w:val="single"/>
          </w:rPr>
          <w:t>https://link.springer.com/content/pdf/10.1007/s44163-026-00944-7.pdf</w:t>
        </w:r>
      </w:hyperlink>
    </w:p>
    <w:p w14:paraId="3BE175B8"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Moran, S., (2026). </w:t>
      </w:r>
      <w:r>
        <w:rPr>
          <w:rFonts w:ascii="Arial" w:eastAsia="Arial" w:hAnsi="Arial" w:cs="Arial"/>
          <w:i/>
          <w:iCs/>
          <w:color w:val="000000"/>
          <w:sz w:val="24"/>
          <w:szCs w:val="24"/>
        </w:rPr>
        <w:t>Artificial Intelligence at JPMorgan Chase</w:t>
      </w:r>
      <w:r>
        <w:rPr>
          <w:rFonts w:ascii="Arial" w:eastAsia="Arial" w:hAnsi="Arial" w:cs="Arial"/>
          <w:color w:val="000000"/>
          <w:sz w:val="24"/>
          <w:szCs w:val="24"/>
        </w:rPr>
        <w:t xml:space="preserve">. Available at: </w:t>
      </w:r>
      <w:hyperlink r:id="rId61">
        <w:r>
          <w:rPr>
            <w:rFonts w:ascii="Arial" w:eastAsia="Arial" w:hAnsi="Arial" w:cs="Arial"/>
            <w:color w:val="0000FF"/>
            <w:sz w:val="24"/>
            <w:szCs w:val="24"/>
            <w:u w:val="single"/>
          </w:rPr>
          <w:t>https://emerj.com/artificial-intelligence-at-jpmorgan-chase/</w:t>
        </w:r>
      </w:hyperlink>
    </w:p>
    <w:p w14:paraId="3BE175B9" w14:textId="77777777" w:rsidR="000D0697" w:rsidRDefault="00DB5716">
      <w:pPr>
        <w:pStyle w:val="Normal1"/>
        <w:spacing w:line="360" w:lineRule="auto"/>
        <w:jc w:val="both"/>
        <w:rPr>
          <w:rFonts w:ascii="Arial" w:eastAsia="Arial" w:hAnsi="Arial" w:cs="Arial"/>
          <w:sz w:val="24"/>
          <w:szCs w:val="24"/>
        </w:rPr>
      </w:pPr>
      <w:r>
        <w:rPr>
          <w:rFonts w:ascii="Arial" w:eastAsia="Arial" w:hAnsi="Arial" w:cs="Arial"/>
          <w:color w:val="222222"/>
          <w:sz w:val="24"/>
          <w:szCs w:val="24"/>
        </w:rPr>
        <w:t xml:space="preserve">Mtebe, J.S. and Nakaka, R., (2018). Assessing electronic medical record system implementation at Kilimanjaro Christian Medical Center, Tanzania. </w:t>
      </w:r>
      <w:r>
        <w:rPr>
          <w:rFonts w:ascii="Arial" w:eastAsia="Arial" w:hAnsi="Arial" w:cs="Arial"/>
          <w:i/>
          <w:iCs/>
          <w:color w:val="222222"/>
          <w:sz w:val="24"/>
          <w:szCs w:val="24"/>
        </w:rPr>
        <w:t xml:space="preserve">Journal of Health Informatics in Developing Countries </w:t>
      </w:r>
      <w:r>
        <w:rPr>
          <w:rFonts w:ascii="Arial" w:eastAsia="Arial" w:hAnsi="Arial" w:cs="Arial"/>
          <w:i/>
          <w:iCs/>
          <w:color w:val="222222"/>
          <w:sz w:val="24"/>
          <w:szCs w:val="24"/>
        </w:rPr>
        <w:lastRenderedPageBreak/>
        <w:t>[JHIDC]</w:t>
      </w:r>
      <w:r>
        <w:rPr>
          <w:rFonts w:ascii="Arial" w:eastAsia="Arial" w:hAnsi="Arial" w:cs="Arial"/>
          <w:color w:val="222222"/>
          <w:sz w:val="24"/>
          <w:szCs w:val="24"/>
        </w:rPr>
        <w:t>.</w:t>
      </w:r>
      <w:hyperlink r:id="rId62">
        <w:r>
          <w:rPr>
            <w:rFonts w:ascii="Arial" w:eastAsia="Arial" w:hAnsi="Arial" w:cs="Arial"/>
            <w:color w:val="1155CC"/>
            <w:sz w:val="24"/>
            <w:szCs w:val="24"/>
            <w:u w:val="single"/>
          </w:rPr>
          <w:t>https://www.academia.edu/download/57302424/Article_13_08_2018_final.pdf</w:t>
        </w:r>
      </w:hyperlink>
    </w:p>
    <w:p w14:paraId="3BE175BA"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Naeem, M., Ozuem, W., Howell, K. and Ranfagni, S., (2023). A step-by-step process of thematic analysis to develop a conceptual model in qualitative research. </w:t>
      </w:r>
      <w:r>
        <w:rPr>
          <w:rFonts w:ascii="Arial" w:eastAsia="Arial" w:hAnsi="Arial" w:cs="Arial"/>
          <w:i/>
          <w:iCs/>
          <w:color w:val="222222"/>
          <w:sz w:val="24"/>
          <w:szCs w:val="24"/>
          <w:highlight w:val="white"/>
        </w:rPr>
        <w:t>International journal of qualitative methods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22</w:t>
      </w:r>
      <w:r>
        <w:rPr>
          <w:rFonts w:ascii="Arial" w:eastAsia="Arial" w:hAnsi="Arial" w:cs="Arial"/>
          <w:color w:val="222222"/>
          <w:sz w:val="24"/>
          <w:szCs w:val="24"/>
          <w:highlight w:val="white"/>
        </w:rPr>
        <w:t>, p.16094069231205789.</w:t>
      </w:r>
      <w:hyperlink r:id="rId63">
        <w:r>
          <w:rPr>
            <w:rFonts w:ascii="Arial" w:eastAsia="Arial" w:hAnsi="Arial" w:cs="Arial"/>
            <w:color w:val="0000FF"/>
            <w:sz w:val="24"/>
            <w:szCs w:val="24"/>
            <w:u w:val="single"/>
          </w:rPr>
          <w:t>https://journals.sagepub.com/doi/pdf/10.1177/16094069231205789</w:t>
        </w:r>
      </w:hyperlink>
    </w:p>
    <w:p w14:paraId="3BE175BB"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Neotas, (2026). </w:t>
      </w:r>
      <w:r>
        <w:rPr>
          <w:rFonts w:ascii="Arial" w:eastAsia="Arial" w:hAnsi="Arial" w:cs="Arial"/>
          <w:i/>
          <w:iCs/>
          <w:color w:val="000000"/>
          <w:sz w:val="24"/>
          <w:szCs w:val="24"/>
        </w:rPr>
        <w:t>Financial crime compliance</w:t>
      </w:r>
      <w:r>
        <w:rPr>
          <w:rFonts w:ascii="Arial" w:eastAsia="Arial" w:hAnsi="Arial" w:cs="Arial"/>
          <w:color w:val="000000"/>
          <w:sz w:val="24"/>
          <w:szCs w:val="24"/>
        </w:rPr>
        <w:t>. Available at:</w:t>
      </w:r>
      <w:hyperlink r:id="rId64">
        <w:r>
          <w:rPr>
            <w:rFonts w:ascii="Arial" w:eastAsia="Arial" w:hAnsi="Arial" w:cs="Arial"/>
            <w:color w:val="1155CC"/>
            <w:sz w:val="24"/>
            <w:szCs w:val="24"/>
            <w:u w:val="single"/>
          </w:rPr>
          <w:t>https://www.neotas.com/financial-crime-compliance/</w:t>
        </w:r>
      </w:hyperlink>
    </w:p>
    <w:p w14:paraId="3BE175BC"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Nie, C., Liu, Y. and Wang, C., (2025, November). AI application in anti-money laundering for sustainable and transparent financial systems. In </w:t>
      </w:r>
      <w:r>
        <w:rPr>
          <w:rFonts w:ascii="Arial" w:eastAsia="Arial" w:hAnsi="Arial" w:cs="Arial"/>
          <w:i/>
          <w:iCs/>
          <w:sz w:val="24"/>
          <w:szCs w:val="24"/>
        </w:rPr>
        <w:t>Proceedings of the 2025 International Conference on Artificial Intelligence and Sustainable Development</w:t>
      </w:r>
      <w:r>
        <w:rPr>
          <w:rFonts w:ascii="Arial" w:eastAsia="Arial" w:hAnsi="Arial" w:cs="Arial"/>
          <w:sz w:val="24"/>
          <w:szCs w:val="24"/>
        </w:rPr>
        <w:t xml:space="preserve"> (pp. 239-251). </w:t>
      </w:r>
      <w:hyperlink r:id="rId65">
        <w:r>
          <w:rPr>
            <w:rFonts w:ascii="Arial" w:eastAsia="Arial" w:hAnsi="Arial" w:cs="Arial"/>
            <w:color w:val="0000FF"/>
            <w:sz w:val="24"/>
            <w:szCs w:val="24"/>
            <w:u w:val="single"/>
          </w:rPr>
          <w:t>https://dl.acm.org/doi/pdf/10.1145/3786484.3786522</w:t>
        </w:r>
      </w:hyperlink>
    </w:p>
    <w:p w14:paraId="3BE175BD"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Nyimbili, F. and Nyimbili, L., (2024). Types of purposive sampling techniques with their examples and application in qualitative research studies.</w:t>
      </w:r>
      <w:hyperlink r:id="rId66">
        <w:r>
          <w:rPr>
            <w:rFonts w:ascii="Arial" w:eastAsia="Arial" w:hAnsi="Arial" w:cs="Arial"/>
            <w:color w:val="0000FF"/>
            <w:sz w:val="24"/>
            <w:szCs w:val="24"/>
            <w:u w:val="single"/>
          </w:rPr>
          <w:t>http://dspace.chau.ac.zm:8080/xmlui/bitstream/handle/123456789/235/Types%2Bof%2BPurposive%2BSampling.pdf?sequence=1&amp;isAllowed=y</w:t>
        </w:r>
      </w:hyperlink>
    </w:p>
    <w:p w14:paraId="3BE175BE"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Odilla, F., (2024). Unfairness in AI Anti-Corruption Tools: Main Drivers and Consequences: Unfairness in AI Anti-Corruption Tools. </w:t>
      </w:r>
      <w:r>
        <w:rPr>
          <w:rFonts w:ascii="Arial" w:eastAsia="Arial" w:hAnsi="Arial" w:cs="Arial"/>
          <w:i/>
          <w:iCs/>
          <w:sz w:val="24"/>
          <w:szCs w:val="24"/>
        </w:rPr>
        <w:t>Minds and Machines</w:t>
      </w:r>
      <w:r>
        <w:rPr>
          <w:rFonts w:ascii="Arial" w:eastAsia="Arial" w:hAnsi="Arial" w:cs="Arial"/>
          <w:sz w:val="24"/>
          <w:szCs w:val="24"/>
        </w:rPr>
        <w:t xml:space="preserve">, </w:t>
      </w:r>
      <w:r>
        <w:rPr>
          <w:rFonts w:ascii="Arial" w:eastAsia="Arial" w:hAnsi="Arial" w:cs="Arial"/>
          <w:i/>
          <w:iCs/>
          <w:sz w:val="24"/>
          <w:szCs w:val="24"/>
        </w:rPr>
        <w:t>34</w:t>
      </w:r>
      <w:r>
        <w:rPr>
          <w:rFonts w:ascii="Arial" w:eastAsia="Arial" w:hAnsi="Arial" w:cs="Arial"/>
          <w:sz w:val="24"/>
          <w:szCs w:val="24"/>
        </w:rPr>
        <w:t xml:space="preserve">(3), p.28. </w:t>
      </w:r>
      <w:hyperlink r:id="rId67">
        <w:r>
          <w:rPr>
            <w:rFonts w:ascii="Arial" w:eastAsia="Arial" w:hAnsi="Arial" w:cs="Arial"/>
            <w:color w:val="0000FF"/>
            <w:sz w:val="24"/>
            <w:szCs w:val="24"/>
            <w:u w:val="single"/>
          </w:rPr>
          <w:t>https://link.springer.com/content/pdf/10.1007/s11023-024-09688-8.pdf</w:t>
        </w:r>
      </w:hyperlink>
    </w:p>
    <w:p w14:paraId="3BE175BF"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Ogbeide, H., Thomson, M.E., Gonul, M.S., Onkal, D., Bhowmick, S. and Bello, A.U., (2025). Rethinking Experts’ Perceptions in Money Laundering Risk Assessment: H. Ogbeide et al. </w:t>
      </w:r>
      <w:r>
        <w:rPr>
          <w:rFonts w:ascii="Arial" w:eastAsia="Arial" w:hAnsi="Arial" w:cs="Arial"/>
          <w:i/>
          <w:iCs/>
          <w:color w:val="000000"/>
          <w:sz w:val="24"/>
          <w:szCs w:val="24"/>
        </w:rPr>
        <w:t>European journal on criminal policy and research</w:t>
      </w:r>
      <w:r>
        <w:rPr>
          <w:rFonts w:ascii="Arial" w:eastAsia="Arial" w:hAnsi="Arial" w:cs="Arial"/>
          <w:color w:val="000000"/>
          <w:sz w:val="24"/>
          <w:szCs w:val="24"/>
        </w:rPr>
        <w:t xml:space="preserve">, </w:t>
      </w:r>
      <w:r>
        <w:rPr>
          <w:rFonts w:ascii="Arial" w:eastAsia="Arial" w:hAnsi="Arial" w:cs="Arial"/>
          <w:i/>
          <w:iCs/>
          <w:color w:val="000000"/>
          <w:sz w:val="24"/>
          <w:szCs w:val="24"/>
        </w:rPr>
        <w:t>31</w:t>
      </w:r>
      <w:r>
        <w:rPr>
          <w:rFonts w:ascii="Arial" w:eastAsia="Arial" w:hAnsi="Arial" w:cs="Arial"/>
          <w:color w:val="000000"/>
          <w:sz w:val="24"/>
          <w:szCs w:val="24"/>
        </w:rPr>
        <w:t>(4), pp.753-777.</w:t>
      </w:r>
      <w:hyperlink r:id="rId68">
        <w:r>
          <w:rPr>
            <w:rFonts w:ascii="Arial" w:eastAsia="Arial" w:hAnsi="Arial" w:cs="Arial"/>
            <w:color w:val="0000FF"/>
            <w:sz w:val="24"/>
            <w:szCs w:val="24"/>
            <w:u w:val="single"/>
          </w:rPr>
          <w:t>https://link.springer.com/content/pdf/10.1007/s10610-024-09586-w.pdf</w:t>
        </w:r>
      </w:hyperlink>
    </w:p>
    <w:p w14:paraId="3BE175C0"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Oko-Odion, C., (2025). Ai-driven risk assessment models for financial markets: Enhancing predictive accuracy and fraud detection. </w:t>
      </w:r>
      <w:r>
        <w:rPr>
          <w:rFonts w:ascii="Arial" w:eastAsia="Arial" w:hAnsi="Arial" w:cs="Arial"/>
          <w:i/>
          <w:iCs/>
          <w:color w:val="222222"/>
          <w:sz w:val="24"/>
          <w:szCs w:val="24"/>
          <w:highlight w:val="white"/>
        </w:rPr>
        <w:t>International Journal of Computer Applications Technology and Research</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14</w:t>
      </w:r>
      <w:r>
        <w:rPr>
          <w:rFonts w:ascii="Arial" w:eastAsia="Arial" w:hAnsi="Arial" w:cs="Arial"/>
          <w:color w:val="222222"/>
          <w:sz w:val="24"/>
          <w:szCs w:val="24"/>
          <w:highlight w:val="white"/>
        </w:rPr>
        <w:t>(04), pp.80-96.</w:t>
      </w:r>
    </w:p>
    <w:p w14:paraId="3BE175C1"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highlight w:val="white"/>
        </w:rPr>
        <w:t xml:space="preserve">Olowu, O., Adeleye, A.O., Omokanye, A.O., Ajayi, A.M., Adepoju, A.O., Omole, O.M. and Chianumba, E.C., (2024). AI-driven fraud detection in banking: A systematic review of data science approaches to enhancing cybersecurity. </w:t>
      </w:r>
      <w:r>
        <w:rPr>
          <w:rFonts w:ascii="Arial" w:eastAsia="Arial" w:hAnsi="Arial" w:cs="Arial"/>
          <w:i/>
          <w:iCs/>
          <w:color w:val="000000"/>
          <w:sz w:val="24"/>
          <w:szCs w:val="24"/>
          <w:highlight w:val="white"/>
        </w:rPr>
        <w:t>GSC Advanced Research and Reviews</w:t>
      </w:r>
      <w:r>
        <w:rPr>
          <w:rFonts w:ascii="Arial" w:eastAsia="Arial" w:hAnsi="Arial" w:cs="Arial"/>
          <w:color w:val="000000"/>
          <w:sz w:val="24"/>
          <w:szCs w:val="24"/>
          <w:highlight w:val="white"/>
        </w:rPr>
        <w:t xml:space="preserve">, </w:t>
      </w:r>
      <w:r>
        <w:rPr>
          <w:rFonts w:ascii="Arial" w:eastAsia="Arial" w:hAnsi="Arial" w:cs="Arial"/>
          <w:i/>
          <w:iCs/>
          <w:color w:val="000000"/>
          <w:sz w:val="24"/>
          <w:szCs w:val="24"/>
          <w:highlight w:val="white"/>
        </w:rPr>
        <w:t>21</w:t>
      </w:r>
      <w:r>
        <w:rPr>
          <w:rFonts w:ascii="Arial" w:eastAsia="Arial" w:hAnsi="Arial" w:cs="Arial"/>
          <w:color w:val="000000"/>
          <w:sz w:val="24"/>
          <w:szCs w:val="24"/>
          <w:highlight w:val="white"/>
        </w:rPr>
        <w:t>(2), pp.227-</w:t>
      </w:r>
      <w:r>
        <w:rPr>
          <w:rFonts w:ascii="Arial" w:eastAsia="Arial" w:hAnsi="Arial" w:cs="Arial"/>
          <w:color w:val="000000"/>
          <w:sz w:val="24"/>
          <w:szCs w:val="24"/>
          <w:highlight w:val="white"/>
        </w:rPr>
        <w:lastRenderedPageBreak/>
        <w:t>237.</w:t>
      </w:r>
      <w:hyperlink r:id="rId69">
        <w:r>
          <w:rPr>
            <w:rFonts w:ascii="Arial" w:eastAsia="Arial" w:hAnsi="Arial" w:cs="Arial"/>
            <w:color w:val="0000FF"/>
            <w:sz w:val="24"/>
            <w:szCs w:val="24"/>
            <w:u w:val="single"/>
          </w:rPr>
          <w:t>https://www.researchgate.net/publication/386276951_AI-driven_fraud_detection_in_banking_A_systematic_review_of_data_science_approaches_to_enhancing_cybersecurity</w:t>
        </w:r>
      </w:hyperlink>
    </w:p>
    <w:p w14:paraId="3BE175C2"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Oye, E., Williams, S. and Anderson, G., (2025). The Effectiveness of Blockchain Analytics in Detecting Illicit Financial Flows.</w:t>
      </w:r>
    </w:p>
    <w:p w14:paraId="3BE175C3"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Oyedokun, O., Ewim, S.E. and Oyeyemi, O.P., (2024). A comprehensive review of machine learning applications in AML transaction monitoring. </w:t>
      </w:r>
      <w:r>
        <w:rPr>
          <w:rFonts w:ascii="Arial" w:eastAsia="Arial" w:hAnsi="Arial" w:cs="Arial"/>
          <w:i/>
          <w:iCs/>
          <w:color w:val="222222"/>
          <w:sz w:val="24"/>
          <w:szCs w:val="24"/>
          <w:highlight w:val="white"/>
        </w:rPr>
        <w:t>International Journal of Engineering Research and Development</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20</w:t>
      </w:r>
      <w:r>
        <w:rPr>
          <w:rFonts w:ascii="Arial" w:eastAsia="Arial" w:hAnsi="Arial" w:cs="Arial"/>
          <w:color w:val="222222"/>
          <w:sz w:val="24"/>
          <w:szCs w:val="24"/>
          <w:highlight w:val="white"/>
        </w:rPr>
        <w:t>(11), pp.173-143.</w:t>
      </w:r>
      <w:hyperlink r:id="rId70">
        <w:r>
          <w:rPr>
            <w:rFonts w:ascii="Arial" w:eastAsia="Arial" w:hAnsi="Arial" w:cs="Arial"/>
            <w:color w:val="0000FF"/>
            <w:sz w:val="24"/>
            <w:szCs w:val="24"/>
            <w:u w:val="single"/>
          </w:rPr>
          <w:t>https://ijircce.com/article/artificial-intelligence-for-anti-money-laundering-a-comprehensive-literature-review-of-network-and-behavioural-analysis-approaches-18885</w:t>
        </w:r>
      </w:hyperlink>
    </w:p>
    <w:p w14:paraId="3BE175C4" w14:textId="77777777" w:rsidR="000D0697" w:rsidRDefault="00DB5716">
      <w:pPr>
        <w:pStyle w:val="Normal1"/>
        <w:pBdr>
          <w:top w:val="nil"/>
          <w:left w:val="nil"/>
          <w:bottom w:val="nil"/>
          <w:right w:val="nil"/>
          <w:between w:val="nil"/>
        </w:pBdr>
        <w:spacing w:after="120" w:line="360" w:lineRule="auto"/>
        <w:jc w:val="both"/>
        <w:rPr>
          <w:rFonts w:ascii="Arial" w:eastAsia="Arial" w:hAnsi="Arial" w:cs="Arial"/>
          <w:sz w:val="24"/>
          <w:szCs w:val="24"/>
        </w:rPr>
      </w:pPr>
      <w:r>
        <w:rPr>
          <w:rFonts w:ascii="Arial" w:eastAsia="Arial" w:hAnsi="Arial" w:cs="Arial"/>
          <w:sz w:val="24"/>
          <w:szCs w:val="24"/>
        </w:rPr>
        <w:t xml:space="preserve">Oyeniran, C.O., Adewusi, A.O., Adeleke, A.G., Akwawa, L.A. and Azubuko, C.F., (2022). Ethical AI: Addressing bias in machine learning models and software applications. </w:t>
      </w:r>
      <w:r>
        <w:rPr>
          <w:rFonts w:ascii="Arial" w:eastAsia="Arial" w:hAnsi="Arial" w:cs="Arial"/>
          <w:i/>
          <w:iCs/>
          <w:sz w:val="24"/>
          <w:szCs w:val="24"/>
        </w:rPr>
        <w:t>Computer Science &amp; IT Research Journal</w:t>
      </w:r>
      <w:r>
        <w:rPr>
          <w:rFonts w:ascii="Arial" w:eastAsia="Arial" w:hAnsi="Arial" w:cs="Arial"/>
          <w:sz w:val="24"/>
          <w:szCs w:val="24"/>
        </w:rPr>
        <w:t xml:space="preserve">, </w:t>
      </w:r>
      <w:r>
        <w:rPr>
          <w:rFonts w:ascii="Arial" w:eastAsia="Arial" w:hAnsi="Arial" w:cs="Arial"/>
          <w:i/>
          <w:iCs/>
          <w:sz w:val="24"/>
          <w:szCs w:val="24"/>
        </w:rPr>
        <w:t>3</w:t>
      </w:r>
      <w:r>
        <w:rPr>
          <w:rFonts w:ascii="Arial" w:eastAsia="Arial" w:hAnsi="Arial" w:cs="Arial"/>
          <w:sz w:val="24"/>
          <w:szCs w:val="24"/>
        </w:rPr>
        <w:t xml:space="preserve">(3), pp.115-126. </w:t>
      </w:r>
      <w:hyperlink r:id="rId71">
        <w:r>
          <w:rPr>
            <w:rFonts w:ascii="Arial" w:eastAsia="Arial" w:hAnsi="Arial" w:cs="Arial"/>
            <w:color w:val="0000FF"/>
            <w:sz w:val="24"/>
            <w:szCs w:val="24"/>
            <w:u w:val="single"/>
          </w:rPr>
          <w:t>https://www.researchgate.net/profile/Adebunmi-Adewusi/publication/383846326_Ethical_AI_Addressing_bias_in_machine_learning_models_and_software_applications/links/66e620bcdde50b3258745f15/Ethical-AI-Addressing-bias-in-machine-learning-models-and-software-applications.pdf</w:t>
        </w:r>
      </w:hyperlink>
    </w:p>
    <w:p w14:paraId="3BE175C5"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Özden, M., (2024). Content and thematic analysis techniques in qualitative research: Purpose, process and features. </w:t>
      </w:r>
      <w:r>
        <w:rPr>
          <w:rFonts w:ascii="Arial" w:eastAsia="Arial" w:hAnsi="Arial" w:cs="Arial"/>
          <w:i/>
          <w:iCs/>
          <w:color w:val="222222"/>
          <w:sz w:val="24"/>
          <w:szCs w:val="24"/>
          <w:highlight w:val="white"/>
        </w:rPr>
        <w:t>Qualitative Inquiry in Education: Theory &amp; Practice</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2</w:t>
      </w:r>
      <w:r>
        <w:rPr>
          <w:rFonts w:ascii="Arial" w:eastAsia="Arial" w:hAnsi="Arial" w:cs="Arial"/>
          <w:color w:val="222222"/>
          <w:sz w:val="24"/>
          <w:szCs w:val="24"/>
          <w:highlight w:val="white"/>
        </w:rPr>
        <w:t>(1), pp.64-81.</w:t>
      </w:r>
      <w:hyperlink r:id="rId72">
        <w:r>
          <w:rPr>
            <w:rFonts w:ascii="Arial" w:eastAsia="Arial" w:hAnsi="Arial" w:cs="Arial"/>
            <w:color w:val="0000FF"/>
            <w:sz w:val="24"/>
            <w:szCs w:val="24"/>
            <w:u w:val="single"/>
          </w:rPr>
          <w:t>https://qietp.com/index.php/pub/article/download/20/13</w:t>
        </w:r>
      </w:hyperlink>
    </w:p>
    <w:p w14:paraId="3BE175C6"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222222"/>
          <w:sz w:val="24"/>
          <w:szCs w:val="24"/>
        </w:rPr>
        <w:t xml:space="preserve">Oztas, B., Cetinkaya, D., Adedoyin, F., Budka, M., Aksu, G. and Dogan, H., (2024). Transaction monitoring in anti-money laundering: A qualitative analysis and points of view from industry. </w:t>
      </w:r>
      <w:r>
        <w:rPr>
          <w:rFonts w:ascii="Arial" w:eastAsia="Arial" w:hAnsi="Arial" w:cs="Arial"/>
          <w:i/>
          <w:iCs/>
          <w:color w:val="222222"/>
          <w:sz w:val="24"/>
          <w:szCs w:val="24"/>
        </w:rPr>
        <w:t>Future Generation Computer Systems</w:t>
      </w:r>
      <w:r>
        <w:rPr>
          <w:rFonts w:ascii="Arial" w:eastAsia="Arial" w:hAnsi="Arial" w:cs="Arial"/>
          <w:color w:val="222222"/>
          <w:sz w:val="24"/>
          <w:szCs w:val="24"/>
        </w:rPr>
        <w:t xml:space="preserve">, </w:t>
      </w:r>
      <w:r>
        <w:rPr>
          <w:rFonts w:ascii="Arial" w:eastAsia="Arial" w:hAnsi="Arial" w:cs="Arial"/>
          <w:i/>
          <w:iCs/>
          <w:color w:val="222222"/>
          <w:sz w:val="24"/>
          <w:szCs w:val="24"/>
        </w:rPr>
        <w:t>159</w:t>
      </w:r>
      <w:r>
        <w:rPr>
          <w:rFonts w:ascii="Arial" w:eastAsia="Arial" w:hAnsi="Arial" w:cs="Arial"/>
          <w:color w:val="222222"/>
          <w:sz w:val="24"/>
          <w:szCs w:val="24"/>
        </w:rPr>
        <w:t>, pp.161-171.</w:t>
      </w:r>
      <w:hyperlink r:id="rId73">
        <w:r>
          <w:rPr>
            <w:rFonts w:ascii="Arial" w:eastAsia="Arial" w:hAnsi="Arial" w:cs="Arial"/>
            <w:color w:val="0000FF"/>
            <w:sz w:val="24"/>
            <w:szCs w:val="24"/>
            <w:u w:val="single"/>
          </w:rPr>
          <w:t>https://www.sciencedirect.com/science/article/pii/S0167739X24002607</w:t>
        </w:r>
      </w:hyperlink>
    </w:p>
    <w:p w14:paraId="3BE175C7"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Padalkar, N.R., (2023). Unveiling the digital shadows: exploring the role of technology in illicit financial flows. In </w:t>
      </w:r>
      <w:r>
        <w:rPr>
          <w:rFonts w:ascii="Arial" w:eastAsia="Arial" w:hAnsi="Arial" w:cs="Arial"/>
          <w:i/>
          <w:iCs/>
          <w:color w:val="222222"/>
          <w:sz w:val="24"/>
          <w:szCs w:val="24"/>
          <w:highlight w:val="white"/>
        </w:rPr>
        <w:t>IMF Stat. Forum</w:t>
      </w:r>
      <w:r>
        <w:rPr>
          <w:rFonts w:ascii="Arial" w:eastAsia="Arial" w:hAnsi="Arial" w:cs="Arial"/>
          <w:color w:val="222222"/>
          <w:sz w:val="24"/>
          <w:szCs w:val="24"/>
          <w:highlight w:val="white"/>
        </w:rPr>
        <w:t> (Vol. 11, pp. 1-17).</w:t>
      </w:r>
    </w:p>
    <w:p w14:paraId="3BE175C8"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 xml:space="preserve">Parray, J.A., Li, W.J. and Haghi, A.K., (2025). </w:t>
      </w:r>
      <w:r>
        <w:rPr>
          <w:rFonts w:ascii="Arial" w:eastAsia="Arial" w:hAnsi="Arial" w:cs="Arial"/>
          <w:i/>
          <w:iCs/>
          <w:color w:val="222222"/>
          <w:sz w:val="24"/>
          <w:szCs w:val="24"/>
          <w:highlight w:val="white"/>
        </w:rPr>
        <w:t>Zero Liquid Discharge Wastewater Treatment System</w:t>
      </w:r>
      <w:r>
        <w:rPr>
          <w:rFonts w:ascii="Arial" w:eastAsia="Arial" w:hAnsi="Arial" w:cs="Arial"/>
          <w:color w:val="222222"/>
          <w:sz w:val="24"/>
          <w:szCs w:val="24"/>
          <w:highlight w:val="white"/>
        </w:rPr>
        <w:t>.</w:t>
      </w:r>
      <w:hyperlink r:id="rId74">
        <w:r>
          <w:rPr>
            <w:rFonts w:ascii="Arial" w:eastAsia="Arial" w:hAnsi="Arial" w:cs="Arial"/>
            <w:color w:val="0000FF"/>
            <w:sz w:val="24"/>
            <w:szCs w:val="24"/>
            <w:u w:val="single"/>
          </w:rPr>
          <w:t>https://www.researchgate.net/profile/Priyanka-Ramteke-4/publication/398407260_springer_my_book/links/69340f0706a9ab54f84493a0/springer-my-book.pdf</w:t>
        </w:r>
      </w:hyperlink>
    </w:p>
    <w:p w14:paraId="3BE175C9"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 xml:space="preserve">Pervin, N. and Mokhtar, M., (2022). </w:t>
      </w:r>
      <w:r>
        <w:rPr>
          <w:rFonts w:ascii="Arial" w:eastAsia="Arial" w:hAnsi="Arial" w:cs="Arial"/>
          <w:i/>
          <w:iCs/>
          <w:color w:val="222222"/>
          <w:sz w:val="24"/>
          <w:szCs w:val="24"/>
          <w:highlight w:val="white"/>
        </w:rPr>
        <w:t>The interpretivist research paradigm: A subjective notion of a social context.</w:t>
      </w:r>
      <w:r>
        <w:rPr>
          <w:rFonts w:ascii="Arial" w:eastAsia="Arial" w:hAnsi="Arial" w:cs="Arial"/>
          <w:color w:val="222222"/>
          <w:sz w:val="24"/>
          <w:szCs w:val="24"/>
          <w:highlight w:val="white"/>
        </w:rPr>
        <w:t xml:space="preserve"> Available at: </w:t>
      </w:r>
      <w:hyperlink r:id="rId75">
        <w:r>
          <w:rPr>
            <w:rFonts w:ascii="Arial" w:eastAsia="Arial" w:hAnsi="Arial" w:cs="Arial"/>
            <w:color w:val="0000FF"/>
            <w:sz w:val="24"/>
            <w:szCs w:val="24"/>
            <w:highlight w:val="white"/>
            <w:u w:val="single"/>
          </w:rPr>
          <w:t>https://www.researchgate.net/publication/360180378_The_Interpretivist_Research_Paradigm_A_Subjective_Notion_of_a_Social_Context</w:t>
        </w:r>
      </w:hyperlink>
    </w:p>
    <w:p w14:paraId="3BE175CA"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Prakash, C., (2025). Evaluating the TOE framework for technology adoption: A systematic review of its strengths and limitations. </w:t>
      </w:r>
      <w:r>
        <w:rPr>
          <w:rFonts w:ascii="Arial" w:eastAsia="Arial" w:hAnsi="Arial" w:cs="Arial"/>
          <w:i/>
          <w:iCs/>
          <w:color w:val="222222"/>
          <w:sz w:val="24"/>
          <w:szCs w:val="24"/>
          <w:highlight w:val="white"/>
        </w:rPr>
        <w:t>International Journal on Recent and Innovation Trends in Computing and Communication</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13</w:t>
      </w:r>
      <w:r>
        <w:rPr>
          <w:rFonts w:ascii="Arial" w:eastAsia="Arial" w:hAnsi="Arial" w:cs="Arial"/>
          <w:color w:val="222222"/>
          <w:sz w:val="24"/>
          <w:szCs w:val="24"/>
          <w:highlight w:val="white"/>
        </w:rPr>
        <w:t>(1), pp.76-82.</w:t>
      </w:r>
      <w:hyperlink r:id="rId76">
        <w:r>
          <w:rPr>
            <w:rFonts w:ascii="Arial" w:eastAsia="Arial" w:hAnsi="Arial" w:cs="Arial"/>
            <w:color w:val="0000FF"/>
            <w:sz w:val="24"/>
            <w:szCs w:val="24"/>
            <w:u w:val="single"/>
          </w:rPr>
          <w:t>https://www.researchgate.net/publication/389208026_Evaluating_the_TOE_Framework_for_Technology_Adoption_A_Systematic_Review_of_Its_Strengths_and_Limitations</w:t>
        </w:r>
      </w:hyperlink>
    </w:p>
    <w:p w14:paraId="3BE175CB"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Ramesh, M.R., (2024). Ethical publication and dissemination of research: principles and practices. </w:t>
      </w:r>
      <w:r>
        <w:rPr>
          <w:rFonts w:ascii="Arial" w:eastAsia="Arial" w:hAnsi="Arial" w:cs="Arial"/>
          <w:i/>
          <w:iCs/>
          <w:color w:val="222222"/>
          <w:sz w:val="24"/>
          <w:szCs w:val="24"/>
          <w:highlight w:val="white"/>
        </w:rPr>
        <w:t>Ethical Frameworks in Special Education: A Guide for Researchers</w:t>
      </w:r>
      <w:r>
        <w:rPr>
          <w:rFonts w:ascii="Arial" w:eastAsia="Arial" w:hAnsi="Arial" w:cs="Arial"/>
          <w:color w:val="222222"/>
          <w:sz w:val="24"/>
          <w:szCs w:val="24"/>
          <w:highlight w:val="white"/>
        </w:rPr>
        <w:t>, p.29.</w:t>
      </w:r>
      <w:hyperlink r:id="rId77" w:anchor="page=40">
        <w:r>
          <w:rPr>
            <w:rFonts w:ascii="Arial" w:eastAsia="Arial" w:hAnsi="Arial" w:cs="Arial"/>
            <w:color w:val="0000FF"/>
            <w:sz w:val="24"/>
            <w:szCs w:val="24"/>
            <w:u w:val="single"/>
          </w:rPr>
          <w:t>https://www.researchgate.net/profile/Ravindra-Kushwaha-2/publication/382887467_Ethical_Frameworks_in_Special_Education/links/66b1c2e12361f42f23b572d9/Ethical-Frameworks-in-Special-Education.pdf#page=40</w:t>
        </w:r>
      </w:hyperlink>
    </w:p>
    <w:p w14:paraId="3BE175CC"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rPr>
      </w:pPr>
      <w:r>
        <w:rPr>
          <w:rFonts w:ascii="Arial" w:eastAsia="Arial" w:hAnsi="Arial" w:cs="Arial"/>
          <w:color w:val="222222"/>
          <w:sz w:val="24"/>
          <w:szCs w:val="24"/>
          <w:highlight w:val="white"/>
        </w:rPr>
        <w:t>Reinhard, P., Li, M.M., Dickhaut, E., Peters, C. and Leimeister, J.M., (2023, May). Empowering recommender systems in ITSM: a pipeline reference model for AI-based textual data quality enrichment. In </w:t>
      </w:r>
      <w:r>
        <w:rPr>
          <w:rFonts w:ascii="Arial" w:eastAsia="Arial" w:hAnsi="Arial" w:cs="Arial"/>
          <w:i/>
          <w:iCs/>
          <w:color w:val="222222"/>
          <w:sz w:val="24"/>
          <w:szCs w:val="24"/>
          <w:highlight w:val="white"/>
        </w:rPr>
        <w:t>International Conference on Design Science Research in Information Systems and Technology</w:t>
      </w:r>
      <w:r>
        <w:rPr>
          <w:rFonts w:ascii="Arial" w:eastAsia="Arial" w:hAnsi="Arial" w:cs="Arial"/>
          <w:color w:val="222222"/>
          <w:sz w:val="24"/>
          <w:szCs w:val="24"/>
          <w:highlight w:val="white"/>
        </w:rPr>
        <w:t> (pp. 279-293). Cham: Springer Nature Switzerland.</w:t>
      </w:r>
      <w:hyperlink r:id="rId78">
        <w:r>
          <w:rPr>
            <w:rFonts w:ascii="Arial" w:eastAsia="Arial" w:hAnsi="Arial" w:cs="Arial"/>
            <w:color w:val="0000FF"/>
            <w:sz w:val="24"/>
            <w:szCs w:val="24"/>
            <w:u w:val="single"/>
          </w:rPr>
          <w:t>https://papers.ssrn.com/sol3/Delivery.cfm?abstractid=4404932</w:t>
        </w:r>
      </w:hyperlink>
    </w:p>
    <w:p w14:paraId="3BE175CD"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000000"/>
          <w:sz w:val="24"/>
          <w:szCs w:val="24"/>
        </w:rPr>
        <w:t xml:space="preserve">Ridzuan, N.N., Masri, M., Anshari, M., Fitriyani, N.L. and Syafrudin, M., (2024). AI in the financial sector: The line between innovation, regulation and ethical responsibility. Information, 15(8), p.432. </w:t>
      </w:r>
    </w:p>
    <w:p w14:paraId="3BE175CE"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Ross, M. L., (2025). </w:t>
      </w:r>
      <w:r>
        <w:rPr>
          <w:rFonts w:ascii="Arial" w:eastAsia="Arial" w:hAnsi="Arial" w:cs="Arial"/>
          <w:i/>
          <w:iCs/>
          <w:color w:val="000000"/>
          <w:sz w:val="24"/>
          <w:szCs w:val="24"/>
        </w:rPr>
        <w:t>HSBC Money Laundering Scandal: A Case Study in Compliance Failures</w:t>
      </w:r>
      <w:r>
        <w:rPr>
          <w:rFonts w:ascii="Arial" w:eastAsia="Arial" w:hAnsi="Arial" w:cs="Arial"/>
          <w:color w:val="000000"/>
          <w:sz w:val="24"/>
          <w:szCs w:val="24"/>
        </w:rPr>
        <w:t xml:space="preserve">. Available at: </w:t>
      </w:r>
      <w:hyperlink r:id="rId79">
        <w:r>
          <w:rPr>
            <w:rFonts w:ascii="Arial" w:eastAsia="Arial" w:hAnsi="Arial" w:cs="Arial"/>
            <w:color w:val="0000FF"/>
            <w:sz w:val="24"/>
            <w:szCs w:val="24"/>
            <w:u w:val="single"/>
          </w:rPr>
          <w:t>https://www.investopedia.com/stock-analysis/2013/investing-news-for-jan-29-hsbcs-money-laundering-scandal-hbc-scbff-ing-cs-rbs0129.aspx</w:t>
        </w:r>
      </w:hyperlink>
    </w:p>
    <w:p w14:paraId="3BE175CF" w14:textId="77777777" w:rsidR="000D0697" w:rsidRDefault="00DB5716">
      <w:pPr>
        <w:pStyle w:val="Normal1"/>
        <w:spacing w:line="360" w:lineRule="auto"/>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Sabareesh, R., Pathak, D.N., Ranjan, R., Prasanna, R.D., Shalini, P. and Bellary, E.K., (2024). AI-driven fraud detection in banking: Enhancing transaction security. </w:t>
      </w:r>
      <w:r>
        <w:rPr>
          <w:rFonts w:ascii="Arial" w:eastAsia="Arial" w:hAnsi="Arial" w:cs="Arial"/>
          <w:i/>
          <w:iCs/>
          <w:color w:val="000000"/>
          <w:sz w:val="24"/>
          <w:szCs w:val="24"/>
          <w:highlight w:val="white"/>
        </w:rPr>
        <w:t xml:space="preserve">Journal of Informatics Education and </w:t>
      </w:r>
      <w:r>
        <w:rPr>
          <w:rFonts w:ascii="Arial" w:eastAsia="Arial" w:hAnsi="Arial" w:cs="Arial"/>
          <w:i/>
          <w:iCs/>
          <w:color w:val="000000"/>
          <w:sz w:val="24"/>
          <w:szCs w:val="24"/>
          <w:highlight w:val="white"/>
        </w:rPr>
        <w:lastRenderedPageBreak/>
        <w:t>Research</w:t>
      </w:r>
      <w:r>
        <w:rPr>
          <w:rFonts w:ascii="Arial" w:eastAsia="Arial" w:hAnsi="Arial" w:cs="Arial"/>
          <w:color w:val="000000"/>
          <w:sz w:val="24"/>
          <w:szCs w:val="24"/>
          <w:highlight w:val="white"/>
        </w:rPr>
        <w:t>, </w:t>
      </w:r>
      <w:r>
        <w:rPr>
          <w:rFonts w:ascii="Arial" w:eastAsia="Arial" w:hAnsi="Arial" w:cs="Arial"/>
          <w:i/>
          <w:iCs/>
          <w:color w:val="000000"/>
          <w:sz w:val="24"/>
          <w:szCs w:val="24"/>
          <w:highlight w:val="white"/>
        </w:rPr>
        <w:t>4</w:t>
      </w:r>
      <w:r>
        <w:rPr>
          <w:rFonts w:ascii="Arial" w:eastAsia="Arial" w:hAnsi="Arial" w:cs="Arial"/>
          <w:color w:val="000000"/>
          <w:sz w:val="24"/>
          <w:szCs w:val="24"/>
          <w:highlight w:val="white"/>
        </w:rPr>
        <w:t>(3).</w:t>
      </w:r>
      <w:hyperlink r:id="rId80">
        <w:r>
          <w:rPr>
            <w:rFonts w:ascii="Arial" w:eastAsia="Arial" w:hAnsi="Arial" w:cs="Arial"/>
            <w:color w:val="0000FF"/>
            <w:sz w:val="24"/>
            <w:szCs w:val="24"/>
            <w:u w:val="single"/>
          </w:rPr>
          <w:t>https://www.academia.edu/download/119796927/AI_Driven_Fraud_Detection_in_Banking_Enhancing_Transaction_Security.pdf</w:t>
        </w:r>
      </w:hyperlink>
    </w:p>
    <w:p w14:paraId="3BE175D0"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SAS, (2025). </w:t>
      </w:r>
      <w:r>
        <w:rPr>
          <w:rFonts w:ascii="Arial" w:eastAsia="Arial" w:hAnsi="Arial" w:cs="Arial"/>
          <w:i/>
          <w:iCs/>
          <w:color w:val="000000"/>
          <w:sz w:val="24"/>
          <w:szCs w:val="24"/>
        </w:rPr>
        <w:t>Anti-money laundering pros find expanding uses for AI but adoption remains slow</w:t>
      </w:r>
      <w:r>
        <w:rPr>
          <w:rFonts w:ascii="Arial" w:eastAsia="Arial" w:hAnsi="Arial" w:cs="Arial"/>
          <w:color w:val="000000"/>
          <w:sz w:val="24"/>
          <w:szCs w:val="24"/>
        </w:rPr>
        <w:t xml:space="preserve">. Available at: </w:t>
      </w:r>
      <w:hyperlink r:id="rId81">
        <w:r>
          <w:rPr>
            <w:rFonts w:ascii="Arial" w:eastAsia="Arial" w:hAnsi="Arial" w:cs="Arial"/>
            <w:color w:val="0000FF"/>
            <w:sz w:val="24"/>
            <w:szCs w:val="24"/>
            <w:u w:val="single"/>
          </w:rPr>
          <w:t>https://www.sas.com/en_gb/news/press-releases/2025/february/anti-money-laundering-survey-ai-machine-learning.html</w:t>
        </w:r>
      </w:hyperlink>
    </w:p>
    <w:p w14:paraId="3BE175D1"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Seuring, S., Stella, T. and Stella, M., (2021). Developing and publishing strong empirical research in sustainability management—addressing the intersection of theory, method, and empirical field. </w:t>
      </w:r>
      <w:r>
        <w:rPr>
          <w:rFonts w:ascii="Arial" w:eastAsia="Arial" w:hAnsi="Arial" w:cs="Arial"/>
          <w:i/>
          <w:iCs/>
          <w:color w:val="222222"/>
          <w:sz w:val="24"/>
          <w:szCs w:val="24"/>
          <w:highlight w:val="white"/>
        </w:rPr>
        <w:t>Frontiers in Sustainability</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w:t>
      </w:r>
      <w:r>
        <w:rPr>
          <w:rFonts w:ascii="Arial" w:eastAsia="Arial" w:hAnsi="Arial" w:cs="Arial"/>
          <w:color w:val="222222"/>
          <w:sz w:val="24"/>
          <w:szCs w:val="24"/>
          <w:highlight w:val="white"/>
        </w:rPr>
        <w:t>, p.617870.</w:t>
      </w:r>
    </w:p>
    <w:p w14:paraId="3BE175D2"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Sharma, R., Chandola, V., and Bhat, S. (2026). </w:t>
      </w:r>
      <w:r>
        <w:rPr>
          <w:rFonts w:ascii="Arial" w:eastAsia="Arial" w:hAnsi="Arial" w:cs="Arial"/>
          <w:i/>
          <w:iCs/>
          <w:color w:val="000000"/>
          <w:sz w:val="24"/>
          <w:szCs w:val="24"/>
        </w:rPr>
        <w:t>Financial Crime Compliance Market.</w:t>
      </w:r>
      <w:r>
        <w:rPr>
          <w:rFonts w:ascii="Arial" w:eastAsia="Arial" w:hAnsi="Arial" w:cs="Arial"/>
          <w:color w:val="000000"/>
          <w:sz w:val="24"/>
          <w:szCs w:val="24"/>
        </w:rPr>
        <w:t xml:space="preserve"> Available at: </w:t>
      </w:r>
      <w:hyperlink r:id="rId82">
        <w:r>
          <w:rPr>
            <w:rFonts w:ascii="Arial" w:eastAsia="Arial" w:hAnsi="Arial" w:cs="Arial"/>
            <w:color w:val="0000FF"/>
            <w:sz w:val="24"/>
            <w:szCs w:val="24"/>
            <w:u w:val="single"/>
          </w:rPr>
          <w:t>https://dataintelo.com/report/financial-crime-compliance-market</w:t>
        </w:r>
      </w:hyperlink>
    </w:p>
    <w:p w14:paraId="3BE175D3"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Shirvanporzour, A., (2025). Artificial intelligence in banking risk management and anti-money laundering: A comprehensive review. </w:t>
      </w:r>
      <w:r>
        <w:rPr>
          <w:rFonts w:ascii="Arial" w:eastAsia="Arial" w:hAnsi="Arial" w:cs="Arial"/>
          <w:i/>
          <w:iCs/>
          <w:color w:val="222222"/>
          <w:sz w:val="24"/>
          <w:szCs w:val="24"/>
          <w:highlight w:val="white"/>
        </w:rPr>
        <w:t>Available at SSRN 5161209</w:t>
      </w:r>
      <w:r>
        <w:rPr>
          <w:rFonts w:ascii="Arial" w:eastAsia="Arial" w:hAnsi="Arial" w:cs="Arial"/>
          <w:color w:val="222222"/>
          <w:sz w:val="24"/>
          <w:szCs w:val="24"/>
          <w:highlight w:val="white"/>
        </w:rPr>
        <w:t>.</w:t>
      </w:r>
      <w:hyperlink r:id="rId83">
        <w:r>
          <w:rPr>
            <w:rFonts w:ascii="Arial" w:eastAsia="Arial" w:hAnsi="Arial" w:cs="Arial"/>
            <w:color w:val="0000FF"/>
            <w:sz w:val="24"/>
            <w:szCs w:val="24"/>
            <w:u w:val="single"/>
          </w:rPr>
          <w:t>https://papers.ssrn.com/sol3/Delivery.cfm?abstractid=5161209</w:t>
        </w:r>
      </w:hyperlink>
    </w:p>
    <w:p w14:paraId="3BE175D4"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Singh, A., (2025). Transaction Monitoring vs. Trade-Based Money Laundering. </w:t>
      </w:r>
      <w:r>
        <w:rPr>
          <w:rFonts w:ascii="Arial" w:eastAsia="Arial" w:hAnsi="Arial" w:cs="Arial"/>
          <w:i/>
          <w:iCs/>
          <w:color w:val="222222"/>
          <w:sz w:val="24"/>
          <w:szCs w:val="24"/>
          <w:highlight w:val="white"/>
        </w:rPr>
        <w:t>GSJ</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13</w:t>
      </w:r>
      <w:r>
        <w:rPr>
          <w:rFonts w:ascii="Arial" w:eastAsia="Arial" w:hAnsi="Arial" w:cs="Arial"/>
          <w:color w:val="222222"/>
          <w:sz w:val="24"/>
          <w:szCs w:val="24"/>
          <w:highlight w:val="white"/>
        </w:rPr>
        <w:t xml:space="preserve">(10). </w:t>
      </w:r>
      <w:hyperlink r:id="rId84">
        <w:r>
          <w:rPr>
            <w:rFonts w:ascii="Arial" w:eastAsia="Arial" w:hAnsi="Arial" w:cs="Arial"/>
            <w:color w:val="0000FF"/>
            <w:sz w:val="24"/>
            <w:szCs w:val="24"/>
            <w:highlight w:val="white"/>
            <w:u w:val="single"/>
          </w:rPr>
          <w:t>https://www.researchgate.net/profile/Adams-Hex/publication/405916355_Transaction_Monitoring_vs_Trade-Based_Money_Laundering/links/6a20f7fdd551e312d71ef96d/Transaction-Monitoring-vs-Trade-Based-Money-Laundering.pdf</w:t>
        </w:r>
      </w:hyperlink>
    </w:p>
    <w:p w14:paraId="3BE175D5" w14:textId="77777777" w:rsidR="000D0697" w:rsidRDefault="00DB5716">
      <w:pPr>
        <w:pStyle w:val="Normal1"/>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Tang, R.L. and Wen, B., (2026). Artificial Intelligence in AML/CFT: A Criminological Evidence Map and Multilevel Governance Framework for Organised Financial Crime Control.</w:t>
      </w:r>
      <w:hyperlink r:id="rId85">
        <w:r>
          <w:rPr>
            <w:rFonts w:ascii="Arial" w:eastAsia="Arial" w:hAnsi="Arial" w:cs="Arial"/>
            <w:color w:val="0000FF"/>
            <w:sz w:val="24"/>
            <w:szCs w:val="24"/>
            <w:u w:val="single"/>
          </w:rPr>
          <w:t>https://www.researchsquare.com/article/rs-10223819/latest.pdf</w:t>
        </w:r>
      </w:hyperlink>
    </w:p>
    <w:p w14:paraId="3BE175D6" w14:textId="77777777" w:rsidR="000D0697" w:rsidRDefault="00DB5716">
      <w:pPr>
        <w:pStyle w:val="Normal1"/>
        <w:spacing w:line="360" w:lineRule="auto"/>
        <w:jc w:val="both"/>
        <w:rPr>
          <w:rFonts w:ascii="Arial" w:eastAsia="Arial" w:hAnsi="Arial" w:cs="Arial"/>
          <w:sz w:val="24"/>
          <w:szCs w:val="24"/>
        </w:rPr>
      </w:pPr>
      <w:r>
        <w:rPr>
          <w:rFonts w:ascii="Arial" w:eastAsia="Arial" w:hAnsi="Arial" w:cs="Arial"/>
          <w:sz w:val="24"/>
          <w:szCs w:val="24"/>
        </w:rPr>
        <w:t xml:space="preserve">unodcorg, (2024). </w:t>
      </w:r>
      <w:r>
        <w:rPr>
          <w:rFonts w:ascii="Arial" w:eastAsia="Arial" w:hAnsi="Arial" w:cs="Arial"/>
          <w:i/>
          <w:iCs/>
          <w:sz w:val="24"/>
          <w:szCs w:val="24"/>
        </w:rPr>
        <w:t>Improving regional investigations on money laundering and asset recovery</w:t>
      </w:r>
      <w:r>
        <w:rPr>
          <w:rFonts w:ascii="Arial" w:eastAsia="Arial" w:hAnsi="Arial" w:cs="Arial"/>
          <w:sz w:val="24"/>
          <w:szCs w:val="24"/>
        </w:rPr>
        <w:t xml:space="preserve">. Available at: </w:t>
      </w:r>
      <w:hyperlink r:id="rId86">
        <w:r>
          <w:rPr>
            <w:rFonts w:ascii="Arial" w:eastAsia="Arial" w:hAnsi="Arial" w:cs="Arial"/>
            <w:color w:val="0000FF"/>
            <w:sz w:val="24"/>
            <w:szCs w:val="24"/>
            <w:u w:val="single"/>
          </w:rPr>
          <w:t>https://www.unodc.org/roca/en/NEWS/news_2024/november/improving-regional-investigations-on-money-laundering-and-asset-recovery.html</w:t>
        </w:r>
      </w:hyperlink>
    </w:p>
    <w:p w14:paraId="3BE175D7"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Usman, A.C., Al-Hendawi, M. and Bulut, S., (2025). Approaches to qualitative research: A narrative literature review. </w:t>
      </w:r>
      <w:r>
        <w:rPr>
          <w:rFonts w:ascii="Arial" w:eastAsia="Arial" w:hAnsi="Arial" w:cs="Arial"/>
          <w:i/>
          <w:iCs/>
          <w:color w:val="222222"/>
          <w:sz w:val="24"/>
          <w:szCs w:val="24"/>
          <w:highlight w:val="white"/>
        </w:rPr>
        <w:t>Advances in Medicine, Psychology, and Public Health</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2</w:t>
      </w:r>
      <w:r>
        <w:rPr>
          <w:rFonts w:ascii="Arial" w:eastAsia="Arial" w:hAnsi="Arial" w:cs="Arial"/>
          <w:color w:val="222222"/>
          <w:sz w:val="24"/>
          <w:szCs w:val="24"/>
          <w:highlight w:val="white"/>
        </w:rPr>
        <w:t>(2), pp.81-95.</w:t>
      </w:r>
      <w:hyperlink r:id="rId87">
        <w:r>
          <w:rPr>
            <w:rFonts w:ascii="Arial" w:eastAsia="Arial" w:hAnsi="Arial" w:cs="Arial"/>
            <w:color w:val="0000FF"/>
            <w:sz w:val="24"/>
            <w:szCs w:val="24"/>
            <w:u w:val="single"/>
          </w:rPr>
          <w:t>https://hal.science/hal-04745107v1/file/AMPPH_2025_81_95.pdf</w:t>
        </w:r>
      </w:hyperlink>
    </w:p>
    <w:p w14:paraId="3BE175D8"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William, F.K.A., (2024). Mastering validity and reliability in academic research: Meaning and significance. </w:t>
      </w:r>
      <w:r>
        <w:rPr>
          <w:rFonts w:ascii="Arial" w:eastAsia="Arial" w:hAnsi="Arial" w:cs="Arial"/>
          <w:i/>
          <w:iCs/>
          <w:color w:val="222222"/>
          <w:sz w:val="24"/>
          <w:szCs w:val="24"/>
          <w:highlight w:val="white"/>
        </w:rPr>
        <w:t>International Journal of Research Publications</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144</w:t>
      </w:r>
      <w:r>
        <w:rPr>
          <w:rFonts w:ascii="Arial" w:eastAsia="Arial" w:hAnsi="Arial" w:cs="Arial"/>
          <w:color w:val="222222"/>
          <w:sz w:val="24"/>
          <w:szCs w:val="24"/>
          <w:highlight w:val="white"/>
        </w:rPr>
        <w:t>(1), pp.287-292.</w:t>
      </w:r>
    </w:p>
    <w:p w14:paraId="3BE175D9"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Wimalaratne, P.L.I. and Kulatunga, U., (2022, June). A methodology to study the complexity of buildability in construction projects: phenomenological research perspective. In </w:t>
      </w:r>
      <w:r>
        <w:rPr>
          <w:rFonts w:ascii="Arial" w:eastAsia="Arial" w:hAnsi="Arial" w:cs="Arial"/>
          <w:i/>
          <w:iCs/>
          <w:color w:val="222222"/>
          <w:sz w:val="24"/>
          <w:szCs w:val="24"/>
          <w:highlight w:val="white"/>
        </w:rPr>
        <w:t>Proceedings of the 10th World Construction Symposium</w:t>
      </w:r>
      <w:r>
        <w:rPr>
          <w:rFonts w:ascii="Arial" w:eastAsia="Arial" w:hAnsi="Arial" w:cs="Arial"/>
          <w:color w:val="222222"/>
          <w:sz w:val="24"/>
          <w:szCs w:val="24"/>
          <w:highlight w:val="white"/>
        </w:rPr>
        <w:t> (pp. 24-26). Ceylon Institute of Builders, Colombo, Sri Lanka.</w:t>
      </w:r>
      <w:hyperlink r:id="rId88">
        <w:r>
          <w:rPr>
            <w:rFonts w:ascii="Arial" w:eastAsia="Arial" w:hAnsi="Arial" w:cs="Arial"/>
            <w:color w:val="0000FF"/>
            <w:sz w:val="24"/>
            <w:szCs w:val="24"/>
            <w:u w:val="single"/>
          </w:rPr>
          <w:t>https://www.researchgate.net/profile/Pli-Wimalaratne/publication/364253873_A_methodology_to_study_the_complexity_of_buildability_in_construction_projects_Phenomenological_research_perspective/links/6341212c2752e45ef69f9f24/A-methodology-to-study-the-complexity-of-buildability-in-construction-projects-Phenomenological-research-perspective.pdf</w:t>
        </w:r>
      </w:hyperlink>
    </w:p>
    <w:p w14:paraId="3BE175DA" w14:textId="77777777" w:rsidR="000D0697" w:rsidRDefault="00DB5716">
      <w:pPr>
        <w:pStyle w:val="Normal1"/>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WNS, (2026). </w:t>
      </w:r>
      <w:r>
        <w:rPr>
          <w:rFonts w:ascii="Arial" w:eastAsia="Arial" w:hAnsi="Arial" w:cs="Arial"/>
          <w:i/>
          <w:iCs/>
          <w:color w:val="000000"/>
          <w:sz w:val="24"/>
          <w:szCs w:val="24"/>
        </w:rPr>
        <w:t>From compliance to intelligence: A risk-based approach to financial crime risk management</w:t>
      </w:r>
      <w:r>
        <w:rPr>
          <w:rFonts w:ascii="Arial" w:eastAsia="Arial" w:hAnsi="Arial" w:cs="Arial"/>
          <w:color w:val="000000"/>
          <w:sz w:val="24"/>
          <w:szCs w:val="24"/>
        </w:rPr>
        <w:t>. 29 June. Available at:</w:t>
      </w:r>
      <w:hyperlink r:id="rId89">
        <w:r>
          <w:rPr>
            <w:rFonts w:ascii="Arial" w:eastAsia="Arial" w:hAnsi="Arial" w:cs="Arial"/>
            <w:color w:val="0000FF"/>
            <w:sz w:val="24"/>
            <w:szCs w:val="24"/>
            <w:u w:val="single"/>
          </w:rPr>
          <w:t>https://www.wns.com/perspectives/articles/from-compliance-to-intelligence-a-risk-based-approach-to-financial-crime-risk-management</w:t>
        </w:r>
      </w:hyperlink>
    </w:p>
    <w:p w14:paraId="3BE175DB" w14:textId="77777777" w:rsidR="000D0697" w:rsidRDefault="00DB5716">
      <w:pPr>
        <w:pStyle w:val="Normal1"/>
        <w:spacing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Wronka, C., (2023). Financial crime in the decentralized finance ecosystem: new challenges for compliance. </w:t>
      </w:r>
      <w:r>
        <w:rPr>
          <w:rFonts w:ascii="Arial" w:eastAsia="Arial" w:hAnsi="Arial" w:cs="Arial"/>
          <w:i/>
          <w:iCs/>
          <w:color w:val="222222"/>
          <w:sz w:val="24"/>
          <w:szCs w:val="24"/>
        </w:rPr>
        <w:t>Journal of Financial Crime</w:t>
      </w:r>
      <w:r>
        <w:rPr>
          <w:rFonts w:ascii="Arial" w:eastAsia="Arial" w:hAnsi="Arial" w:cs="Arial"/>
          <w:color w:val="222222"/>
          <w:sz w:val="24"/>
          <w:szCs w:val="24"/>
        </w:rPr>
        <w:t xml:space="preserve">, </w:t>
      </w:r>
      <w:r>
        <w:rPr>
          <w:rFonts w:ascii="Arial" w:eastAsia="Arial" w:hAnsi="Arial" w:cs="Arial"/>
          <w:i/>
          <w:iCs/>
          <w:color w:val="222222"/>
          <w:sz w:val="24"/>
          <w:szCs w:val="24"/>
        </w:rPr>
        <w:t>30</w:t>
      </w:r>
      <w:r>
        <w:rPr>
          <w:rFonts w:ascii="Arial" w:eastAsia="Arial" w:hAnsi="Arial" w:cs="Arial"/>
          <w:color w:val="222222"/>
          <w:sz w:val="24"/>
          <w:szCs w:val="24"/>
        </w:rPr>
        <w:t xml:space="preserve">(1), pp.97-113. </w:t>
      </w:r>
      <w:hyperlink r:id="rId90">
        <w:r>
          <w:rPr>
            <w:rFonts w:ascii="Arial" w:eastAsia="Arial" w:hAnsi="Arial" w:cs="Arial"/>
            <w:color w:val="1155CC"/>
            <w:sz w:val="24"/>
            <w:szCs w:val="24"/>
            <w:u w:val="single"/>
          </w:rPr>
          <w:t>https://www.emerald.com/jfc/article/30/1/97/451995</w:t>
        </w:r>
      </w:hyperlink>
    </w:p>
    <w:p w14:paraId="3BE175DC" w14:textId="77777777" w:rsidR="000D0697" w:rsidRDefault="00DB5716">
      <w:pPr>
        <w:pStyle w:val="Normal1"/>
        <w:pBdr>
          <w:top w:val="nil"/>
          <w:left w:val="nil"/>
          <w:bottom w:val="nil"/>
          <w:right w:val="nil"/>
          <w:between w:val="nil"/>
        </w:pBd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Yuwono, M.A. and Rachmawati, D., (2023). Combined methods. Can this solve the differences between deductive and inductive methods in qualitative </w:t>
      </w:r>
      <w:proofErr w:type="gramStart"/>
      <w:r>
        <w:rPr>
          <w:rFonts w:ascii="Arial" w:eastAsia="Arial" w:hAnsi="Arial" w:cs="Arial"/>
          <w:color w:val="222222"/>
          <w:sz w:val="24"/>
          <w:szCs w:val="24"/>
          <w:highlight w:val="white"/>
        </w:rPr>
        <w:t>research?.</w:t>
      </w:r>
      <w:proofErr w:type="gramEnd"/>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Moroccan Journal of Quantitative &amp; Qualitative Research</w:t>
      </w:r>
      <w:r>
        <w:rPr>
          <w:rFonts w:ascii="Arial" w:eastAsia="Arial" w:hAnsi="Arial" w:cs="Arial"/>
          <w:color w:val="222222"/>
          <w:sz w:val="24"/>
          <w:szCs w:val="24"/>
          <w:highlight w:val="white"/>
        </w:rPr>
        <w:t>, </w:t>
      </w:r>
      <w:r>
        <w:rPr>
          <w:rFonts w:ascii="Arial" w:eastAsia="Arial" w:hAnsi="Arial" w:cs="Arial"/>
          <w:i/>
          <w:iCs/>
          <w:color w:val="222222"/>
          <w:sz w:val="24"/>
          <w:szCs w:val="24"/>
          <w:highlight w:val="white"/>
        </w:rPr>
        <w:t>5</w:t>
      </w:r>
      <w:r>
        <w:rPr>
          <w:rFonts w:ascii="Arial" w:eastAsia="Arial" w:hAnsi="Arial" w:cs="Arial"/>
          <w:color w:val="222222"/>
          <w:sz w:val="24"/>
          <w:szCs w:val="24"/>
          <w:highlight w:val="white"/>
        </w:rPr>
        <w:t>(3), p.1.</w:t>
      </w:r>
      <w:hyperlink r:id="rId91">
        <w:r>
          <w:rPr>
            <w:rFonts w:ascii="Arial" w:eastAsia="Arial" w:hAnsi="Arial" w:cs="Arial"/>
            <w:color w:val="0000FF"/>
            <w:sz w:val="24"/>
            <w:szCs w:val="24"/>
            <w:u w:val="single"/>
          </w:rPr>
          <w:t>https://www.researchgate.net/profile/Mr-Yo/publication/380168755_Combined_Methods_Can_This_Solve_The_Differences_Between_Deductive_and_Inductive_Methods_in_Qualitative_Research/links/662f4e2c06ea3d0b7416851d/Combined-Methods-Can-This-Solve-The-Differences-Between-Deductive-and-Inductive-Methods-in-Qualitative-Research.pdf</w:t>
        </w:r>
      </w:hyperlink>
    </w:p>
    <w:p w14:paraId="3BE175DD" w14:textId="77777777" w:rsidR="000D0697" w:rsidRDefault="00DB5716">
      <w:pPr>
        <w:pStyle w:val="Normal1"/>
        <w:spacing w:line="360" w:lineRule="auto"/>
        <w:jc w:val="both"/>
        <w:rPr>
          <w:rFonts w:ascii="Arial" w:eastAsia="Arial" w:hAnsi="Arial" w:cs="Arial"/>
          <w:sz w:val="24"/>
          <w:szCs w:val="24"/>
        </w:rPr>
      </w:pPr>
      <w:r>
        <w:rPr>
          <w:rFonts w:ascii="Arial" w:eastAsia="Arial" w:hAnsi="Arial" w:cs="Arial"/>
          <w:sz w:val="24"/>
          <w:szCs w:val="24"/>
        </w:rPr>
        <w:t xml:space="preserve">Zutshi, V., (2023). </w:t>
      </w:r>
      <w:r>
        <w:rPr>
          <w:rFonts w:ascii="Arial" w:eastAsia="Arial" w:hAnsi="Arial" w:cs="Arial"/>
          <w:i/>
          <w:iCs/>
          <w:sz w:val="24"/>
          <w:szCs w:val="24"/>
        </w:rPr>
        <w:t xml:space="preserve">Sinaloa Cartel, DEA and Big Pharma: </w:t>
      </w:r>
      <w:proofErr w:type="gramStart"/>
      <w:r>
        <w:rPr>
          <w:rFonts w:ascii="Arial" w:eastAsia="Arial" w:hAnsi="Arial" w:cs="Arial"/>
          <w:i/>
          <w:iCs/>
          <w:sz w:val="24"/>
          <w:szCs w:val="24"/>
        </w:rPr>
        <w:t>a</w:t>
      </w:r>
      <w:proofErr w:type="gramEnd"/>
      <w:r>
        <w:rPr>
          <w:rFonts w:ascii="Arial" w:eastAsia="Arial" w:hAnsi="Arial" w:cs="Arial"/>
          <w:i/>
          <w:iCs/>
          <w:sz w:val="24"/>
          <w:szCs w:val="24"/>
        </w:rPr>
        <w:t xml:space="preserve"> Lethal Nexus</w:t>
      </w:r>
      <w:r>
        <w:rPr>
          <w:rFonts w:ascii="Arial" w:eastAsia="Arial" w:hAnsi="Arial" w:cs="Arial"/>
          <w:sz w:val="24"/>
          <w:szCs w:val="24"/>
        </w:rPr>
        <w:t xml:space="preserve">. Available at: </w:t>
      </w:r>
      <w:hyperlink r:id="rId92">
        <w:r>
          <w:rPr>
            <w:rFonts w:ascii="Arial" w:eastAsia="Arial" w:hAnsi="Arial" w:cs="Arial"/>
            <w:color w:val="0000FF"/>
            <w:sz w:val="24"/>
            <w:szCs w:val="24"/>
            <w:u w:val="single"/>
          </w:rPr>
          <w:t>https://www.fairobserver.com/american-news/sinaloa-cartel-dea-and-big-pharma-a-lethal-nexus/</w:t>
        </w:r>
      </w:hyperlink>
    </w:p>
    <w:p w14:paraId="3BE175DE" w14:textId="77777777" w:rsidR="000D0697" w:rsidRDefault="00DB5716">
      <w:pPr>
        <w:pStyle w:val="Normal1"/>
        <w:spacing w:line="360" w:lineRule="auto"/>
        <w:rPr>
          <w:rFonts w:ascii="Arial" w:eastAsia="Arial" w:hAnsi="Arial" w:cs="Arial"/>
        </w:rPr>
      </w:pPr>
      <w:r>
        <w:br w:type="page"/>
      </w:r>
    </w:p>
    <w:p w14:paraId="3BE175DF" w14:textId="77777777" w:rsidR="000D0697" w:rsidRDefault="00DB5716">
      <w:pPr>
        <w:pStyle w:val="Heading1"/>
      </w:pPr>
      <w:bookmarkStart w:id="79" w:name="_Toc240985360"/>
      <w:r>
        <w:lastRenderedPageBreak/>
        <w:t>Appendices</w:t>
      </w:r>
      <w:bookmarkEnd w:id="79"/>
    </w:p>
    <w:p w14:paraId="5198F8B5" w14:textId="15B906D1" w:rsidR="003B7A74" w:rsidRDefault="003B7A74" w:rsidP="003B7A74">
      <w:pPr>
        <w:pStyle w:val="Heading2"/>
        <w:spacing w:line="360" w:lineRule="auto"/>
      </w:pPr>
      <w:bookmarkStart w:id="80" w:name="_Toc240985361"/>
      <w:r>
        <w:t xml:space="preserve">Appendix </w:t>
      </w:r>
      <w:r w:rsidR="001F27A4">
        <w:t>1</w:t>
      </w:r>
      <w:r>
        <w:t>: Ethics form</w:t>
      </w:r>
      <w:bookmarkEnd w:id="80"/>
    </w:p>
    <w:p w14:paraId="748A10B1" w14:textId="77777777" w:rsidR="003B7A74" w:rsidRDefault="003B7A74" w:rsidP="003B7A74">
      <w:pPr>
        <w:pStyle w:val="Normal1"/>
        <w:pBdr>
          <w:top w:val="nil"/>
          <w:left w:val="nil"/>
          <w:bottom w:val="nil"/>
          <w:right w:val="nil"/>
          <w:between w:val="nil"/>
        </w:pBdr>
        <w:tabs>
          <w:tab w:val="left" w:pos="5103"/>
        </w:tabs>
        <w:spacing w:after="0" w:line="360" w:lineRule="auto"/>
        <w:jc w:val="center"/>
        <w:rPr>
          <w:rFonts w:ascii="Arial" w:eastAsia="Arial" w:hAnsi="Arial" w:cs="Arial"/>
          <w:b/>
          <w:bCs/>
          <w:color w:val="000000"/>
          <w:sz w:val="24"/>
          <w:szCs w:val="24"/>
        </w:rPr>
      </w:pPr>
      <w:r>
        <w:rPr>
          <w:rFonts w:ascii="Arial" w:eastAsia="Arial" w:hAnsi="Arial" w:cs="Arial"/>
          <w:b/>
          <w:bCs/>
          <w:color w:val="000000"/>
          <w:sz w:val="24"/>
          <w:szCs w:val="24"/>
        </w:rPr>
        <w:t>APPLICATION FOR ETHICAL APPROVAL</w:t>
      </w:r>
    </w:p>
    <w:p w14:paraId="6FAF4771"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center"/>
        <w:rPr>
          <w:rFonts w:ascii="Arial" w:eastAsia="Arial" w:hAnsi="Arial" w:cs="Arial"/>
          <w:b/>
          <w:bCs/>
          <w:color w:val="000000"/>
          <w:sz w:val="20"/>
          <w:szCs w:val="20"/>
        </w:rPr>
      </w:pPr>
    </w:p>
    <w:p w14:paraId="32549EAE"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both"/>
        <w:rPr>
          <w:rFonts w:ascii="Arial" w:eastAsia="Arial" w:hAnsi="Arial" w:cs="Arial"/>
          <w:b/>
          <w:bCs/>
          <w:color w:val="000000"/>
        </w:rPr>
      </w:pPr>
      <w:r>
        <w:rPr>
          <w:rFonts w:ascii="Arial" w:eastAsia="Arial" w:hAnsi="Arial" w:cs="Arial"/>
          <w:b/>
          <w:bCs/>
          <w:color w:val="000000"/>
        </w:rPr>
        <w:t xml:space="preserve">In order for research to result in benefit and minimise risk of harm, it must be conducted ethically. </w:t>
      </w:r>
    </w:p>
    <w:p w14:paraId="735850F3"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center"/>
        <w:rPr>
          <w:rFonts w:ascii="Arial" w:eastAsia="Arial" w:hAnsi="Arial" w:cs="Arial"/>
          <w:b/>
          <w:bCs/>
          <w:color w:val="000000"/>
          <w:sz w:val="16"/>
          <w:szCs w:val="16"/>
        </w:rPr>
      </w:pPr>
    </w:p>
    <w:p w14:paraId="1E266F05"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both"/>
        <w:rPr>
          <w:rFonts w:ascii="Arial" w:eastAsia="Arial" w:hAnsi="Arial" w:cs="Arial"/>
          <w:color w:val="000000"/>
        </w:rPr>
      </w:pPr>
      <w:r>
        <w:rPr>
          <w:rFonts w:ascii="Arial" w:eastAsia="Arial" w:hAnsi="Arial" w:cs="Arial"/>
          <w:color w:val="000000"/>
        </w:rPr>
        <w:t xml:space="preserve">The University follows the OECD Frascati manual definition of </w:t>
      </w:r>
      <w:r>
        <w:rPr>
          <w:rFonts w:ascii="Arial" w:eastAsia="Arial" w:hAnsi="Arial" w:cs="Arial"/>
          <w:b/>
          <w:bCs/>
          <w:color w:val="000000"/>
        </w:rPr>
        <w:t>research activity</w:t>
      </w:r>
      <w:r>
        <w:rPr>
          <w:rFonts w:ascii="Arial" w:eastAsia="Arial" w:hAnsi="Arial" w:cs="Arial"/>
          <w:color w:val="00000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7DC64B"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both"/>
        <w:rPr>
          <w:rFonts w:ascii="Arial" w:eastAsia="Arial" w:hAnsi="Arial" w:cs="Arial"/>
          <w:color w:val="000000"/>
        </w:rPr>
      </w:pPr>
    </w:p>
    <w:p w14:paraId="4B2CFCEB"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both"/>
        <w:rPr>
          <w:rFonts w:ascii="Arial" w:eastAsia="Arial" w:hAnsi="Arial" w:cs="Arial"/>
          <w:color w:val="000000"/>
        </w:rPr>
      </w:pPr>
      <w:r>
        <w:rPr>
          <w:rFonts w:ascii="Arial" w:eastAsia="Arial" w:hAnsi="Arial" w:cs="Arial"/>
          <w:color w:val="000000"/>
        </w:rPr>
        <w:t>The individual undertaking the research activity is known as the “principal researcher”.</w:t>
      </w:r>
    </w:p>
    <w:p w14:paraId="17EF9CC3" w14:textId="77777777" w:rsidR="003B7A74" w:rsidRDefault="003B7A74" w:rsidP="003B7A74">
      <w:pPr>
        <w:pStyle w:val="Normal1"/>
        <w:pBdr>
          <w:top w:val="nil"/>
          <w:left w:val="nil"/>
          <w:bottom w:val="nil"/>
          <w:right w:val="nil"/>
          <w:between w:val="nil"/>
        </w:pBdr>
        <w:tabs>
          <w:tab w:val="left" w:pos="5103"/>
        </w:tabs>
        <w:spacing w:after="0" w:line="360" w:lineRule="auto"/>
        <w:ind w:right="282"/>
        <w:jc w:val="both"/>
        <w:rPr>
          <w:rFonts w:ascii="Arial" w:eastAsia="Arial" w:hAnsi="Arial" w:cs="Arial"/>
          <w:color w:val="000000"/>
        </w:rPr>
      </w:pPr>
    </w:p>
    <w:p w14:paraId="5E5DB310" w14:textId="77777777" w:rsidR="003B7A74" w:rsidRDefault="003B7A74" w:rsidP="003B7A74">
      <w:pPr>
        <w:pStyle w:val="Normal1"/>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b/>
          <w:bCs/>
          <w:color w:val="000000"/>
        </w:rPr>
        <w:t>This form must be completed and approved prior to undertaking any research activity.</w:t>
      </w:r>
    </w:p>
    <w:p w14:paraId="4BAB5EEE" w14:textId="77777777" w:rsidR="003B7A74" w:rsidRDefault="003B7A74" w:rsidP="003B7A74">
      <w:pPr>
        <w:pStyle w:val="Normal1"/>
        <w:pBdr>
          <w:top w:val="nil"/>
          <w:left w:val="nil"/>
          <w:bottom w:val="nil"/>
          <w:right w:val="nil"/>
          <w:between w:val="nil"/>
        </w:pBdr>
        <w:spacing w:after="0" w:line="360" w:lineRule="auto"/>
        <w:jc w:val="both"/>
        <w:rPr>
          <w:rFonts w:ascii="Arial" w:eastAsia="Arial" w:hAnsi="Arial" w:cs="Arial"/>
          <w:color w:val="000000"/>
        </w:rPr>
      </w:pPr>
    </w:p>
    <w:p w14:paraId="08659C71"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A: About You (Principal Researcher)</w:t>
      </w:r>
    </w:p>
    <w:tbl>
      <w:tblPr>
        <w:tblStyle w:val="a0"/>
        <w:tblW w:w="9720" w:type="dxa"/>
        <w:tblInd w:w="-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5908"/>
      </w:tblGrid>
      <w:tr w:rsidR="003B7A74" w14:paraId="40BDAF4C" w14:textId="77777777" w:rsidTr="00293DC6">
        <w:trPr>
          <w:cantSplit/>
          <w:trHeight w:val="439"/>
          <w:tblHeader/>
        </w:trPr>
        <w:tc>
          <w:tcPr>
            <w:tcW w:w="559" w:type="dxa"/>
            <w:shd w:val="clear" w:color="auto" w:fill="F2F2F2"/>
            <w:vAlign w:val="center"/>
          </w:tcPr>
          <w:p w14:paraId="3D2F559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w:t>
            </w:r>
          </w:p>
        </w:tc>
        <w:tc>
          <w:tcPr>
            <w:tcW w:w="3253" w:type="dxa"/>
            <w:shd w:val="clear" w:color="auto" w:fill="F2F2F2"/>
            <w:vAlign w:val="center"/>
          </w:tcPr>
          <w:p w14:paraId="5BF2968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Full Name:</w:t>
            </w:r>
          </w:p>
        </w:tc>
        <w:tc>
          <w:tcPr>
            <w:tcW w:w="5908" w:type="dxa"/>
            <w:vAlign w:val="center"/>
          </w:tcPr>
          <w:p w14:paraId="0486C19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MODHAVADIYA DIPAK MALDE</w:t>
            </w:r>
          </w:p>
        </w:tc>
      </w:tr>
      <w:tr w:rsidR="003B7A74" w14:paraId="6A4EC653" w14:textId="77777777" w:rsidTr="00293DC6">
        <w:trPr>
          <w:cantSplit/>
          <w:trHeight w:val="340"/>
          <w:tblHeader/>
        </w:trPr>
        <w:tc>
          <w:tcPr>
            <w:tcW w:w="559" w:type="dxa"/>
            <w:shd w:val="clear" w:color="auto" w:fill="F2F2F2"/>
            <w:vAlign w:val="center"/>
          </w:tcPr>
          <w:p w14:paraId="47FAD09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w:t>
            </w:r>
          </w:p>
        </w:tc>
        <w:tc>
          <w:tcPr>
            <w:tcW w:w="3253" w:type="dxa"/>
            <w:shd w:val="clear" w:color="auto" w:fill="F2F2F2"/>
            <w:vAlign w:val="center"/>
          </w:tcPr>
          <w:p w14:paraId="7C215D3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Student Number:</w:t>
            </w:r>
          </w:p>
        </w:tc>
        <w:tc>
          <w:tcPr>
            <w:tcW w:w="5908" w:type="dxa"/>
            <w:vAlign w:val="center"/>
          </w:tcPr>
          <w:p w14:paraId="2700F1F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2506701</w:t>
            </w:r>
          </w:p>
        </w:tc>
      </w:tr>
      <w:tr w:rsidR="003B7A74" w14:paraId="6919D4EC" w14:textId="77777777" w:rsidTr="00293DC6">
        <w:trPr>
          <w:cantSplit/>
          <w:trHeight w:val="513"/>
          <w:tblHeader/>
        </w:trPr>
        <w:tc>
          <w:tcPr>
            <w:tcW w:w="559" w:type="dxa"/>
            <w:shd w:val="clear" w:color="auto" w:fill="F2F2F2"/>
            <w:vAlign w:val="center"/>
          </w:tcPr>
          <w:p w14:paraId="6B1B503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3</w:t>
            </w:r>
          </w:p>
        </w:tc>
        <w:tc>
          <w:tcPr>
            <w:tcW w:w="3253" w:type="dxa"/>
            <w:shd w:val="clear" w:color="auto" w:fill="F2F2F2"/>
            <w:vAlign w:val="center"/>
          </w:tcPr>
          <w:p w14:paraId="11E0532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Email address:</w:t>
            </w:r>
          </w:p>
        </w:tc>
        <w:tc>
          <w:tcPr>
            <w:tcW w:w="5908" w:type="dxa"/>
            <w:vAlign w:val="center"/>
          </w:tcPr>
          <w:p w14:paraId="65E3A41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2506701@Student.uwtsd.ac.uk</w:t>
            </w:r>
          </w:p>
        </w:tc>
      </w:tr>
      <w:tr w:rsidR="003B7A74" w14:paraId="33A09863" w14:textId="77777777" w:rsidTr="00293DC6">
        <w:trPr>
          <w:cantSplit/>
          <w:trHeight w:val="549"/>
          <w:tblHeader/>
        </w:trPr>
        <w:tc>
          <w:tcPr>
            <w:tcW w:w="559" w:type="dxa"/>
            <w:shd w:val="clear" w:color="auto" w:fill="F2F2F2"/>
            <w:vAlign w:val="center"/>
          </w:tcPr>
          <w:p w14:paraId="1F0A5D2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4</w:t>
            </w:r>
          </w:p>
        </w:tc>
        <w:tc>
          <w:tcPr>
            <w:tcW w:w="3253" w:type="dxa"/>
            <w:shd w:val="clear" w:color="auto" w:fill="F2F2F2"/>
            <w:vAlign w:val="center"/>
          </w:tcPr>
          <w:p w14:paraId="6BA40E2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Programme of Study:</w:t>
            </w:r>
          </w:p>
        </w:tc>
        <w:tc>
          <w:tcPr>
            <w:tcW w:w="5908" w:type="dxa"/>
            <w:vAlign w:val="center"/>
          </w:tcPr>
          <w:p w14:paraId="0FBF295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Master Of Business Administration</w:t>
            </w:r>
          </w:p>
        </w:tc>
      </w:tr>
      <w:tr w:rsidR="003B7A74" w14:paraId="44B8E262" w14:textId="77777777" w:rsidTr="00293DC6">
        <w:trPr>
          <w:cantSplit/>
          <w:trHeight w:val="557"/>
          <w:tblHeader/>
        </w:trPr>
        <w:tc>
          <w:tcPr>
            <w:tcW w:w="559" w:type="dxa"/>
            <w:shd w:val="clear" w:color="auto" w:fill="F2F2F2"/>
            <w:vAlign w:val="center"/>
          </w:tcPr>
          <w:p w14:paraId="3302DBE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5</w:t>
            </w:r>
          </w:p>
        </w:tc>
        <w:tc>
          <w:tcPr>
            <w:tcW w:w="3253" w:type="dxa"/>
            <w:shd w:val="clear" w:color="auto" w:fill="F2F2F2"/>
            <w:vAlign w:val="center"/>
          </w:tcPr>
          <w:p w14:paraId="0FBA901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Supervisor:</w:t>
            </w:r>
          </w:p>
        </w:tc>
        <w:tc>
          <w:tcPr>
            <w:tcW w:w="5908" w:type="dxa"/>
            <w:vAlign w:val="center"/>
          </w:tcPr>
          <w:p w14:paraId="0335DF0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Shahrukh Irfan</w:t>
            </w:r>
          </w:p>
        </w:tc>
      </w:tr>
    </w:tbl>
    <w:p w14:paraId="03D1AC37"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p>
    <w:p w14:paraId="1DC85F99"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B:  Internal and External Ethical Guidance Materials</w:t>
      </w:r>
    </w:p>
    <w:tbl>
      <w:tblPr>
        <w:tblStyle w:val="a1"/>
        <w:tblW w:w="959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594"/>
        <w:gridCol w:w="1440"/>
      </w:tblGrid>
      <w:tr w:rsidR="003B7A74" w14:paraId="51E3D15F" w14:textId="77777777" w:rsidTr="00293DC6">
        <w:trPr>
          <w:cantSplit/>
          <w:tblHeader/>
        </w:trPr>
        <w:tc>
          <w:tcPr>
            <w:tcW w:w="562" w:type="dxa"/>
            <w:shd w:val="clear" w:color="auto" w:fill="F2F2F2"/>
          </w:tcPr>
          <w:p w14:paraId="2B082B1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034" w:type="dxa"/>
            <w:gridSpan w:val="2"/>
            <w:shd w:val="clear" w:color="auto" w:fill="F2F2F2"/>
          </w:tcPr>
          <w:p w14:paraId="736A58F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B7A74" w14:paraId="61A09C6E" w14:textId="77777777" w:rsidTr="00293DC6">
        <w:trPr>
          <w:cantSplit/>
          <w:trHeight w:val="355"/>
          <w:tblHeader/>
        </w:trPr>
        <w:tc>
          <w:tcPr>
            <w:tcW w:w="562" w:type="dxa"/>
            <w:vAlign w:val="center"/>
          </w:tcPr>
          <w:p w14:paraId="2BE41B0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w:t>
            </w:r>
          </w:p>
        </w:tc>
        <w:tc>
          <w:tcPr>
            <w:tcW w:w="7594" w:type="dxa"/>
            <w:vAlign w:val="center"/>
          </w:tcPr>
          <w:p w14:paraId="68EDBC7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hyperlink r:id="rId93">
              <w:r>
                <w:rPr>
                  <w:rFonts w:ascii="Arial" w:eastAsia="Arial" w:hAnsi="Arial" w:cs="Arial"/>
                  <w:b/>
                  <w:bCs/>
                  <w:color w:val="000000"/>
                </w:rPr>
                <w:t>UWTSD Research Ethics &amp; Integrity Code of Practice</w:t>
              </w:r>
            </w:hyperlink>
          </w:p>
        </w:tc>
        <w:tc>
          <w:tcPr>
            <w:tcW w:w="1440" w:type="dxa"/>
            <w:shd w:val="clear" w:color="auto" w:fill="BFBFBF"/>
            <w:vAlign w:val="center"/>
          </w:tcPr>
          <w:p w14:paraId="036555FE" w14:textId="77777777" w:rsidR="003B7A74" w:rsidRDefault="003B7A74" w:rsidP="00293DC6">
            <w:pPr>
              <w:pStyle w:val="Normal1"/>
              <w:numPr>
                <w:ilvl w:val="0"/>
                <w:numId w:val="5"/>
              </w:numPr>
              <w:pBdr>
                <w:top w:val="nil"/>
                <w:left w:val="nil"/>
                <w:bottom w:val="nil"/>
                <w:right w:val="nil"/>
                <w:between w:val="nil"/>
              </w:pBdr>
              <w:spacing w:after="0" w:line="360" w:lineRule="auto"/>
              <w:jc w:val="center"/>
              <w:rPr>
                <w:rFonts w:ascii="Arial" w:eastAsia="Arial" w:hAnsi="Arial" w:cs="Arial"/>
                <w:b/>
                <w:bCs/>
                <w:color w:val="000000"/>
              </w:rPr>
            </w:pPr>
          </w:p>
        </w:tc>
      </w:tr>
      <w:tr w:rsidR="003B7A74" w14:paraId="0F06AD91" w14:textId="77777777" w:rsidTr="00293DC6">
        <w:trPr>
          <w:cantSplit/>
          <w:trHeight w:val="417"/>
          <w:tblHeader/>
        </w:trPr>
        <w:tc>
          <w:tcPr>
            <w:tcW w:w="562" w:type="dxa"/>
            <w:vAlign w:val="center"/>
          </w:tcPr>
          <w:p w14:paraId="699E19C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lastRenderedPageBreak/>
              <w:t>2</w:t>
            </w:r>
          </w:p>
        </w:tc>
        <w:tc>
          <w:tcPr>
            <w:tcW w:w="7594" w:type="dxa"/>
            <w:vAlign w:val="center"/>
          </w:tcPr>
          <w:p w14:paraId="714FBDC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FF0000"/>
              </w:rPr>
            </w:pPr>
            <w:r>
              <w:rPr>
                <w:rFonts w:ascii="Arial" w:eastAsia="Arial" w:hAnsi="Arial" w:cs="Arial"/>
                <w:b/>
                <w:bCs/>
                <w:color w:val="000000"/>
              </w:rPr>
              <w:t>UWTSD Research Data Management Policy</w:t>
            </w:r>
          </w:p>
        </w:tc>
        <w:tc>
          <w:tcPr>
            <w:tcW w:w="1440" w:type="dxa"/>
            <w:shd w:val="clear" w:color="auto" w:fill="BFBFBF"/>
            <w:vAlign w:val="center"/>
          </w:tcPr>
          <w:p w14:paraId="1B2FACD8" w14:textId="77777777" w:rsidR="003B7A74" w:rsidRDefault="003B7A74" w:rsidP="00293DC6">
            <w:pPr>
              <w:pStyle w:val="Normal1"/>
              <w:numPr>
                <w:ilvl w:val="0"/>
                <w:numId w:val="3"/>
              </w:numPr>
              <w:pBdr>
                <w:top w:val="nil"/>
                <w:left w:val="nil"/>
                <w:bottom w:val="nil"/>
                <w:right w:val="nil"/>
                <w:between w:val="nil"/>
              </w:pBdr>
              <w:spacing w:after="0" w:line="360" w:lineRule="auto"/>
              <w:jc w:val="center"/>
              <w:rPr>
                <w:rFonts w:ascii="Arial" w:eastAsia="Arial" w:hAnsi="Arial" w:cs="Arial"/>
                <w:b/>
                <w:bCs/>
                <w:i/>
                <w:iCs/>
                <w:color w:val="000000"/>
              </w:rPr>
            </w:pPr>
          </w:p>
        </w:tc>
      </w:tr>
      <w:tr w:rsidR="003B7A74" w14:paraId="5C2D94FC" w14:textId="77777777" w:rsidTr="00293DC6">
        <w:trPr>
          <w:cantSplit/>
          <w:trHeight w:val="409"/>
          <w:tblHeader/>
        </w:trPr>
        <w:tc>
          <w:tcPr>
            <w:tcW w:w="562" w:type="dxa"/>
            <w:vAlign w:val="center"/>
          </w:tcPr>
          <w:p w14:paraId="0E3D580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3</w:t>
            </w:r>
          </w:p>
        </w:tc>
        <w:tc>
          <w:tcPr>
            <w:tcW w:w="7594" w:type="dxa"/>
            <w:vAlign w:val="center"/>
          </w:tcPr>
          <w:p w14:paraId="626637B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p>
        </w:tc>
        <w:tc>
          <w:tcPr>
            <w:tcW w:w="1440" w:type="dxa"/>
            <w:shd w:val="clear" w:color="auto" w:fill="BFBFBF"/>
            <w:vAlign w:val="center"/>
          </w:tcPr>
          <w:p w14:paraId="067546E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i/>
                <w:iCs/>
                <w:color w:val="000000"/>
              </w:rPr>
            </w:pPr>
            <w:sdt>
              <w:sdtPr>
                <w:tag w:val="goog_rdk_0"/>
                <w:id w:val="-721712621"/>
              </w:sdtPr>
              <w:sdtContent>
                <w:r>
                  <w:rPr>
                    <w:rFonts w:ascii="Arial Unicode MS" w:eastAsia="Arial Unicode MS" w:hAnsi="Arial Unicode MS" w:cs="Arial Unicode MS"/>
                    <w:b/>
                    <w:bCs/>
                    <w:color w:val="000000"/>
                  </w:rPr>
                  <w:t>☐</w:t>
                </w:r>
              </w:sdtContent>
            </w:sdt>
          </w:p>
        </w:tc>
      </w:tr>
      <w:tr w:rsidR="003B7A74" w14:paraId="39330874" w14:textId="77777777" w:rsidTr="00293DC6">
        <w:trPr>
          <w:cantSplit/>
          <w:trHeight w:val="409"/>
          <w:tblHeader/>
        </w:trPr>
        <w:tc>
          <w:tcPr>
            <w:tcW w:w="562" w:type="dxa"/>
            <w:vAlign w:val="center"/>
          </w:tcPr>
          <w:p w14:paraId="5BB9608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4</w:t>
            </w:r>
          </w:p>
        </w:tc>
        <w:tc>
          <w:tcPr>
            <w:tcW w:w="7594" w:type="dxa"/>
            <w:vAlign w:val="center"/>
          </w:tcPr>
          <w:p w14:paraId="71BA460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i/>
                <w:iCs/>
                <w:color w:val="000000"/>
              </w:rPr>
            </w:pPr>
          </w:p>
        </w:tc>
        <w:tc>
          <w:tcPr>
            <w:tcW w:w="1440" w:type="dxa"/>
            <w:shd w:val="clear" w:color="auto" w:fill="BFBFBF"/>
            <w:vAlign w:val="center"/>
          </w:tcPr>
          <w:p w14:paraId="121E8DC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1"/>
                <w:id w:val="87325038"/>
              </w:sdtPr>
              <w:sdtContent>
                <w:r>
                  <w:rPr>
                    <w:rFonts w:ascii="Arial Unicode MS" w:eastAsia="Arial Unicode MS" w:hAnsi="Arial Unicode MS" w:cs="Arial Unicode MS"/>
                    <w:b/>
                    <w:bCs/>
                    <w:color w:val="000000"/>
                  </w:rPr>
                  <w:t>☐</w:t>
                </w:r>
              </w:sdtContent>
            </w:sdt>
          </w:p>
        </w:tc>
      </w:tr>
    </w:tbl>
    <w:p w14:paraId="75D82434"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p>
    <w:p w14:paraId="7FF1C577"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C: Details of Research Activity</w:t>
      </w:r>
    </w:p>
    <w:tbl>
      <w:tblPr>
        <w:tblStyle w:val="a2"/>
        <w:tblW w:w="977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2683"/>
      </w:tblGrid>
      <w:tr w:rsidR="003B7A74" w14:paraId="2B43FB23" w14:textId="77777777" w:rsidTr="00293DC6">
        <w:trPr>
          <w:cantSplit/>
          <w:trHeight w:val="454"/>
          <w:tblHeader/>
          <w:jc w:val="center"/>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3159B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4AD80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Indicative title:</w:t>
            </w:r>
          </w:p>
        </w:tc>
        <w:tc>
          <w:tcPr>
            <w:tcW w:w="7662" w:type="dxa"/>
            <w:gridSpan w:val="3"/>
            <w:tcBorders>
              <w:top w:val="single" w:sz="4" w:space="0" w:color="000000"/>
              <w:left w:val="single" w:sz="4" w:space="0" w:color="000000"/>
              <w:bottom w:val="single" w:sz="4" w:space="0" w:color="000000"/>
              <w:right w:val="single" w:sz="4" w:space="0" w:color="000000"/>
            </w:tcBorders>
            <w:vAlign w:val="center"/>
          </w:tcPr>
          <w:p w14:paraId="534F7B8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 CRITICAL ASSESSMENT OF HSBC’S STRATEGY FORSCALING ANTI-MONEY LAUNDERING (AML) ANDFINANCIAL CRIME RISK MANAGEMENT</w:t>
            </w:r>
          </w:p>
        </w:tc>
      </w:tr>
      <w:tr w:rsidR="003B7A74" w14:paraId="2F9FCAEF" w14:textId="77777777" w:rsidTr="00293DC6">
        <w:trPr>
          <w:cantSplit/>
          <w:trHeight w:val="454"/>
          <w:tblHeader/>
          <w:jc w:val="center"/>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062D8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E712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6717094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08/06/2026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CCDB0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Proposed end date:</w:t>
            </w:r>
          </w:p>
        </w:tc>
        <w:tc>
          <w:tcPr>
            <w:tcW w:w="2683" w:type="dxa"/>
            <w:tcBorders>
              <w:top w:val="single" w:sz="4" w:space="0" w:color="000000"/>
              <w:left w:val="single" w:sz="4" w:space="0" w:color="000000"/>
              <w:bottom w:val="single" w:sz="4" w:space="0" w:color="000000"/>
              <w:right w:val="single" w:sz="4" w:space="0" w:color="000000"/>
            </w:tcBorders>
            <w:vAlign w:val="center"/>
          </w:tcPr>
          <w:p w14:paraId="42FAEE9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18/09/2026</w:t>
            </w:r>
          </w:p>
        </w:tc>
      </w:tr>
      <w:tr w:rsidR="003B7A74" w14:paraId="78739E3B" w14:textId="77777777" w:rsidTr="00293DC6">
        <w:trPr>
          <w:cantSplit/>
          <w:trHeight w:val="454"/>
          <w:tblHeader/>
          <w:jc w:val="center"/>
        </w:trPr>
        <w:tc>
          <w:tcPr>
            <w:tcW w:w="498" w:type="dxa"/>
            <w:tcBorders>
              <w:top w:val="single" w:sz="4" w:space="0" w:color="000000"/>
            </w:tcBorders>
            <w:shd w:val="clear" w:color="auto" w:fill="F2F2F2"/>
            <w:vAlign w:val="center"/>
          </w:tcPr>
          <w:p w14:paraId="2038EF85"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color w:val="000000"/>
              </w:rPr>
            </w:pPr>
          </w:p>
        </w:tc>
        <w:tc>
          <w:tcPr>
            <w:tcW w:w="9278" w:type="dxa"/>
            <w:gridSpan w:val="4"/>
            <w:tcBorders>
              <w:top w:val="single" w:sz="4" w:space="0" w:color="000000"/>
            </w:tcBorders>
            <w:shd w:val="clear" w:color="auto" w:fill="F2F2F2"/>
            <w:vAlign w:val="center"/>
          </w:tcPr>
          <w:p w14:paraId="434979BD"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b/>
                <w:bCs/>
                <w:color w:val="000000"/>
              </w:rPr>
            </w:pPr>
            <w:r>
              <w:rPr>
                <w:rFonts w:ascii="Arial" w:eastAsia="Arial" w:hAnsi="Arial" w:cs="Arial"/>
                <w:b/>
                <w:bCs/>
                <w:color w:val="000000"/>
              </w:rPr>
              <w:t>Introduction to the Research (maximum 300 words in each section)</w:t>
            </w:r>
          </w:p>
          <w:p w14:paraId="74D018E1"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b/>
                <w:bCs/>
                <w:color w:val="000000"/>
              </w:rPr>
            </w:pPr>
            <w:r>
              <w:rPr>
                <w:rFonts w:ascii="Arial" w:eastAsia="Arial" w:hAnsi="Arial" w:cs="Arial"/>
                <w:b/>
                <w:bCs/>
                <w:color w:val="000000"/>
              </w:rPr>
              <w:t xml:space="preserve">Ensure that you write for a </w:t>
            </w:r>
            <w:r>
              <w:rPr>
                <w:rFonts w:ascii="Arial" w:eastAsia="Arial" w:hAnsi="Arial" w:cs="Arial"/>
                <w:b/>
                <w:bCs/>
                <w:color w:val="000000"/>
                <w:u w:val="single"/>
              </w:rPr>
              <w:t>Non-Specialist Audience</w:t>
            </w:r>
            <w:r>
              <w:rPr>
                <w:rFonts w:ascii="Arial" w:eastAsia="Arial" w:hAnsi="Arial" w:cs="Arial"/>
                <w:b/>
                <w:bCs/>
                <w:color w:val="000000"/>
              </w:rPr>
              <w:t xml:space="preserve"> when outlining your response to the three points below:</w:t>
            </w:r>
          </w:p>
          <w:p w14:paraId="6E576C0B" w14:textId="77777777" w:rsidR="003B7A74" w:rsidRDefault="003B7A74" w:rsidP="00293DC6">
            <w:pPr>
              <w:pStyle w:val="Normal1"/>
              <w:numPr>
                <w:ilvl w:val="0"/>
                <w:numId w:val="4"/>
              </w:numPr>
              <w:pBdr>
                <w:top w:val="nil"/>
                <w:left w:val="nil"/>
                <w:bottom w:val="nil"/>
                <w:right w:val="nil"/>
                <w:between w:val="nil"/>
              </w:pBdr>
              <w:spacing w:after="0" w:line="360" w:lineRule="auto"/>
              <w:rPr>
                <w:i/>
                <w:iCs/>
                <w:color w:val="000000"/>
              </w:rPr>
            </w:pPr>
            <w:r>
              <w:rPr>
                <w:rFonts w:ascii="Arial" w:eastAsia="Arial" w:hAnsi="Arial" w:cs="Arial"/>
                <w:i/>
                <w:iCs/>
                <w:color w:val="000000"/>
              </w:rPr>
              <w:t>Purpose of Research Activity</w:t>
            </w:r>
          </w:p>
          <w:p w14:paraId="2AD8C906" w14:textId="77777777" w:rsidR="003B7A74" w:rsidRDefault="003B7A74" w:rsidP="00293DC6">
            <w:pPr>
              <w:pStyle w:val="Normal1"/>
              <w:numPr>
                <w:ilvl w:val="0"/>
                <w:numId w:val="4"/>
              </w:numPr>
              <w:pBdr>
                <w:top w:val="nil"/>
                <w:left w:val="nil"/>
                <w:bottom w:val="nil"/>
                <w:right w:val="nil"/>
                <w:between w:val="nil"/>
              </w:pBdr>
              <w:spacing w:after="0" w:line="360" w:lineRule="auto"/>
              <w:rPr>
                <w:i/>
                <w:iCs/>
                <w:color w:val="000000"/>
              </w:rPr>
            </w:pPr>
            <w:r>
              <w:rPr>
                <w:rFonts w:ascii="Arial" w:eastAsia="Arial" w:hAnsi="Arial" w:cs="Arial"/>
                <w:i/>
                <w:iCs/>
                <w:color w:val="000000"/>
              </w:rPr>
              <w:t>Proposed Research Question</w:t>
            </w:r>
          </w:p>
          <w:p w14:paraId="59A4BBBA" w14:textId="77777777" w:rsidR="003B7A74" w:rsidRDefault="003B7A74" w:rsidP="00293DC6">
            <w:pPr>
              <w:pStyle w:val="Normal1"/>
              <w:numPr>
                <w:ilvl w:val="0"/>
                <w:numId w:val="4"/>
              </w:numPr>
              <w:pBdr>
                <w:top w:val="nil"/>
                <w:left w:val="nil"/>
                <w:bottom w:val="nil"/>
                <w:right w:val="nil"/>
                <w:between w:val="nil"/>
              </w:pBdr>
              <w:spacing w:after="0" w:line="360" w:lineRule="auto"/>
              <w:rPr>
                <w:i/>
                <w:iCs/>
                <w:color w:val="000000"/>
              </w:rPr>
            </w:pPr>
            <w:r>
              <w:rPr>
                <w:rFonts w:ascii="Arial" w:eastAsia="Arial" w:hAnsi="Arial" w:cs="Arial"/>
                <w:i/>
                <w:iCs/>
                <w:color w:val="000000"/>
              </w:rPr>
              <w:t>Aims of Research Activity</w:t>
            </w:r>
          </w:p>
          <w:p w14:paraId="1FC2B287" w14:textId="77777777" w:rsidR="003B7A74" w:rsidRDefault="003B7A74" w:rsidP="00293DC6">
            <w:pPr>
              <w:pStyle w:val="Normal1"/>
              <w:numPr>
                <w:ilvl w:val="0"/>
                <w:numId w:val="4"/>
              </w:numPr>
              <w:pBdr>
                <w:top w:val="nil"/>
                <w:left w:val="nil"/>
                <w:bottom w:val="nil"/>
                <w:right w:val="nil"/>
                <w:between w:val="nil"/>
              </w:pBdr>
              <w:spacing w:after="0" w:line="360" w:lineRule="auto"/>
              <w:ind w:left="714" w:hanging="357"/>
              <w:rPr>
                <w:i/>
                <w:iCs/>
                <w:color w:val="000000"/>
              </w:rPr>
            </w:pPr>
            <w:r>
              <w:rPr>
                <w:rFonts w:ascii="Arial" w:eastAsia="Arial" w:hAnsi="Arial" w:cs="Arial"/>
                <w:i/>
                <w:iCs/>
                <w:color w:val="000000"/>
              </w:rPr>
              <w:t>Objectives of Research Activity</w:t>
            </w:r>
          </w:p>
          <w:p w14:paraId="0B47A45C" w14:textId="77777777" w:rsidR="003B7A74" w:rsidRDefault="003B7A74" w:rsidP="00293DC6">
            <w:pPr>
              <w:pStyle w:val="Normal1"/>
              <w:pBdr>
                <w:top w:val="nil"/>
                <w:left w:val="nil"/>
                <w:bottom w:val="nil"/>
                <w:right w:val="nil"/>
                <w:between w:val="nil"/>
              </w:pBdr>
              <w:spacing w:after="120" w:line="360" w:lineRule="auto"/>
              <w:rPr>
                <w:rFonts w:ascii="Arial" w:eastAsia="Arial" w:hAnsi="Arial" w:cs="Arial"/>
                <w:color w:val="000000"/>
              </w:rPr>
            </w:pPr>
            <w:r>
              <w:rPr>
                <w:rFonts w:ascii="Arial" w:eastAsia="Arial" w:hAnsi="Arial" w:cs="Arial"/>
                <w:color w:val="000000"/>
              </w:rPr>
              <w:t xml:space="preserve">Demonstrate, briefly, how </w:t>
            </w:r>
            <w:r>
              <w:rPr>
                <w:rFonts w:ascii="Arial" w:eastAsia="Arial" w:hAnsi="Arial" w:cs="Arial"/>
                <w:b/>
                <w:bCs/>
                <w:color w:val="000000"/>
                <w:u w:val="single"/>
              </w:rPr>
              <w:t>Existing Research</w:t>
            </w:r>
            <w:r>
              <w:rPr>
                <w:rFonts w:ascii="Arial" w:eastAsia="Arial" w:hAnsi="Arial" w:cs="Arial"/>
                <w:color w:val="000000"/>
              </w:rPr>
              <w:t xml:space="preserve"> has informed the proposed activity and explain</w:t>
            </w:r>
          </w:p>
          <w:p w14:paraId="5679238E" w14:textId="77777777" w:rsidR="003B7A74" w:rsidRDefault="003B7A74" w:rsidP="00293DC6">
            <w:pPr>
              <w:pStyle w:val="Normal1"/>
              <w:numPr>
                <w:ilvl w:val="0"/>
                <w:numId w:val="4"/>
              </w:numPr>
              <w:pBdr>
                <w:top w:val="nil"/>
                <w:left w:val="nil"/>
                <w:bottom w:val="nil"/>
                <w:right w:val="nil"/>
                <w:between w:val="nil"/>
              </w:pBdr>
              <w:spacing w:after="0" w:line="360" w:lineRule="auto"/>
              <w:rPr>
                <w:i/>
                <w:iCs/>
                <w:color w:val="000000"/>
              </w:rPr>
            </w:pPr>
            <w:r>
              <w:rPr>
                <w:rFonts w:ascii="Arial" w:eastAsia="Arial" w:hAnsi="Arial" w:cs="Arial"/>
                <w:i/>
                <w:iCs/>
                <w:color w:val="000000"/>
              </w:rPr>
              <w:t xml:space="preserve">What the research activity will add to the body of knowledge </w:t>
            </w:r>
          </w:p>
          <w:p w14:paraId="0055D907" w14:textId="77777777" w:rsidR="003B7A74" w:rsidRDefault="003B7A74" w:rsidP="00293DC6">
            <w:pPr>
              <w:pStyle w:val="Normal1"/>
              <w:numPr>
                <w:ilvl w:val="0"/>
                <w:numId w:val="4"/>
              </w:numPr>
              <w:pBdr>
                <w:top w:val="nil"/>
                <w:left w:val="nil"/>
                <w:bottom w:val="nil"/>
                <w:right w:val="nil"/>
                <w:between w:val="nil"/>
              </w:pBdr>
              <w:spacing w:after="0" w:line="360" w:lineRule="auto"/>
              <w:rPr>
                <w:color w:val="000000"/>
              </w:rPr>
            </w:pPr>
            <w:r>
              <w:rPr>
                <w:rFonts w:ascii="Arial" w:eastAsia="Arial" w:hAnsi="Arial" w:cs="Arial"/>
                <w:i/>
                <w:iCs/>
                <w:color w:val="000000"/>
              </w:rPr>
              <w:t xml:space="preserve">How it addresses an area of importance. </w:t>
            </w:r>
          </w:p>
        </w:tc>
      </w:tr>
      <w:tr w:rsidR="003B7A74" w14:paraId="65234A10" w14:textId="77777777" w:rsidTr="00293DC6">
        <w:trPr>
          <w:cantSplit/>
          <w:trHeight w:val="454"/>
          <w:tblHeader/>
          <w:jc w:val="center"/>
        </w:trPr>
        <w:tc>
          <w:tcPr>
            <w:tcW w:w="498" w:type="dxa"/>
            <w:vAlign w:val="center"/>
          </w:tcPr>
          <w:p w14:paraId="068A429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lastRenderedPageBreak/>
              <w:t>3</w:t>
            </w:r>
          </w:p>
        </w:tc>
        <w:tc>
          <w:tcPr>
            <w:tcW w:w="9278" w:type="dxa"/>
            <w:gridSpan w:val="4"/>
            <w:vAlign w:val="center"/>
          </w:tcPr>
          <w:p w14:paraId="01292DD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Purpose of Research Activity</w:t>
            </w:r>
          </w:p>
          <w:p w14:paraId="23CF5CAE"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 xml:space="preserve">This research will be focused on analysing ways in which HSBC have scaled its Anti-Money Laundering (AML) and Financial Crime Risk Management (FCRM) aspects in global operations. The study is based on the bank’s approach for creating a risk-based approach and the use of AI, data analytics, and monitoring systems for the management of potential financial crime risks. Regardless of existing studies focusing on AML regulations and technology, they are separate, and thus there is a lack of studies focusing on how major international banks collaborate on these aspects in practice. Therefore, this research will add a detailed case study-based understanding in relation to balancing compliance, operational efficiency and consumer experience, while considering ethical technology usage </w:t>
            </w:r>
            <w:r>
              <w:rPr>
                <w:rFonts w:ascii="Arial" w:eastAsia="Arial" w:hAnsi="Arial" w:cs="Arial"/>
              </w:rPr>
              <w:t>in a wider</w:t>
            </w:r>
            <w:r>
              <w:rPr>
                <w:rFonts w:ascii="Arial" w:eastAsia="Arial" w:hAnsi="Arial" w:cs="Arial"/>
                <w:color w:val="000000"/>
              </w:rPr>
              <w:t xml:space="preserve"> global banking context. The findings aim to shed light on the existing knowledge for technology-based compliance issues in major multinational banks in various regulations.</w:t>
            </w:r>
          </w:p>
        </w:tc>
      </w:tr>
      <w:tr w:rsidR="003B7A74" w14:paraId="0ADD500B" w14:textId="77777777" w:rsidTr="00293DC6">
        <w:trPr>
          <w:cantSplit/>
          <w:trHeight w:val="454"/>
          <w:tblHeader/>
          <w:jc w:val="center"/>
        </w:trPr>
        <w:tc>
          <w:tcPr>
            <w:tcW w:w="498" w:type="dxa"/>
            <w:vAlign w:val="center"/>
          </w:tcPr>
          <w:p w14:paraId="15DD3EC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4</w:t>
            </w:r>
          </w:p>
        </w:tc>
        <w:tc>
          <w:tcPr>
            <w:tcW w:w="9278" w:type="dxa"/>
            <w:gridSpan w:val="4"/>
            <w:vAlign w:val="center"/>
          </w:tcPr>
          <w:p w14:paraId="63BD930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Research Question</w:t>
            </w:r>
          </w:p>
          <w:p w14:paraId="7ABF8694" w14:textId="77777777" w:rsidR="003B7A74" w:rsidRDefault="003B7A74" w:rsidP="00293DC6">
            <w:pPr>
              <w:pStyle w:val="Normal1"/>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How has HSBC’s AML strategy (FCRM) evolved towards a risk-based approach?</w:t>
            </w:r>
          </w:p>
          <w:p w14:paraId="209ADDB2" w14:textId="77777777" w:rsidR="003B7A74" w:rsidRDefault="003B7A74" w:rsidP="00293DC6">
            <w:pPr>
              <w:pStyle w:val="Normal1"/>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How is the integration of AI and integrated systems fostering HSBC’s financial crime detection?</w:t>
            </w:r>
          </w:p>
          <w:p w14:paraId="7037A7F0" w14:textId="77777777" w:rsidR="003B7A74" w:rsidRDefault="003B7A74" w:rsidP="00293DC6">
            <w:pPr>
              <w:pStyle w:val="Normal1"/>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How does HSBC balance compliance with operational efficiency and customer experience?</w:t>
            </w:r>
          </w:p>
          <w:p w14:paraId="22329DD2" w14:textId="77777777" w:rsidR="003B7A74" w:rsidRDefault="003B7A74" w:rsidP="00293DC6">
            <w:pPr>
              <w:pStyle w:val="Normal1"/>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What strategic improvements could help HSBC to develop the scalable and ethical AML in improving financial crime risk management?</w:t>
            </w:r>
          </w:p>
        </w:tc>
      </w:tr>
      <w:tr w:rsidR="003B7A74" w14:paraId="7184E066" w14:textId="77777777" w:rsidTr="00293DC6">
        <w:trPr>
          <w:cantSplit/>
          <w:trHeight w:val="454"/>
          <w:tblHeader/>
          <w:jc w:val="center"/>
        </w:trPr>
        <w:tc>
          <w:tcPr>
            <w:tcW w:w="498" w:type="dxa"/>
            <w:vAlign w:val="center"/>
          </w:tcPr>
          <w:p w14:paraId="675465C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5</w:t>
            </w:r>
          </w:p>
        </w:tc>
        <w:tc>
          <w:tcPr>
            <w:tcW w:w="9278" w:type="dxa"/>
            <w:gridSpan w:val="4"/>
            <w:vAlign w:val="center"/>
          </w:tcPr>
          <w:p w14:paraId="2BD23EF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Aims of Research Activity</w:t>
            </w:r>
          </w:p>
          <w:p w14:paraId="3BC66D3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46597907" w14:textId="77777777" w:rsidR="003B7A74" w:rsidRDefault="003B7A74" w:rsidP="00293DC6">
            <w:pPr>
              <w:pStyle w:val="Normal1"/>
              <w:spacing w:line="360" w:lineRule="auto"/>
              <w:jc w:val="both"/>
              <w:rPr>
                <w:rFonts w:ascii="Arial" w:eastAsia="Arial" w:hAnsi="Arial" w:cs="Arial"/>
              </w:rPr>
            </w:pPr>
            <w:r>
              <w:rPr>
                <w:rFonts w:ascii="Arial" w:eastAsia="Arial" w:hAnsi="Arial" w:cs="Arial"/>
              </w:rPr>
              <w:t>This research aims at critically evaluating the effectiveness and scalability of HSBC’s Anti-Money Laundering (AML) and Financial Crime Risk Management (FCRM) framework. Specific emphasis will be given on analysing ways in which this bank leverages advanced technologies of AI and data analytics to mitigate global financial crime risks while balancing operational efficiency and customer experience.</w:t>
            </w:r>
          </w:p>
        </w:tc>
      </w:tr>
      <w:tr w:rsidR="003B7A74" w14:paraId="6D4933D8" w14:textId="77777777" w:rsidTr="00293DC6">
        <w:trPr>
          <w:cantSplit/>
          <w:trHeight w:val="454"/>
          <w:tblHeader/>
          <w:jc w:val="center"/>
        </w:trPr>
        <w:tc>
          <w:tcPr>
            <w:tcW w:w="498" w:type="dxa"/>
            <w:vAlign w:val="center"/>
          </w:tcPr>
          <w:p w14:paraId="11A1A79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lastRenderedPageBreak/>
              <w:t>6</w:t>
            </w:r>
          </w:p>
        </w:tc>
        <w:tc>
          <w:tcPr>
            <w:tcW w:w="9278" w:type="dxa"/>
            <w:gridSpan w:val="4"/>
            <w:vAlign w:val="center"/>
          </w:tcPr>
          <w:p w14:paraId="01A7DD9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Objectives of Research Activity</w:t>
            </w:r>
          </w:p>
          <w:p w14:paraId="1FEBF1F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39AE9F52" w14:textId="77777777" w:rsidR="003B7A74" w:rsidRDefault="003B7A74" w:rsidP="00293DC6">
            <w:pPr>
              <w:pStyle w:val="Normal1"/>
              <w:numPr>
                <w:ilvl w:val="0"/>
                <w:numId w:val="7"/>
              </w:numPr>
              <w:spacing w:after="0" w:line="360" w:lineRule="auto"/>
              <w:jc w:val="both"/>
            </w:pPr>
            <w:r>
              <w:rPr>
                <w:rFonts w:ascii="Arial" w:eastAsia="Arial" w:hAnsi="Arial" w:cs="Arial"/>
              </w:rPr>
              <w:t>To assess the evolution of HSBC’s FCRM policies to a risk-based approach (RBA)</w:t>
            </w:r>
          </w:p>
          <w:p w14:paraId="7B22E52A" w14:textId="77777777" w:rsidR="003B7A74" w:rsidRDefault="003B7A74" w:rsidP="00293DC6">
            <w:pPr>
              <w:pStyle w:val="Normal1"/>
              <w:numPr>
                <w:ilvl w:val="0"/>
                <w:numId w:val="7"/>
              </w:numPr>
              <w:spacing w:after="0" w:line="360" w:lineRule="auto"/>
              <w:jc w:val="both"/>
            </w:pPr>
            <w:r>
              <w:rPr>
                <w:rFonts w:ascii="Arial" w:eastAsia="Arial" w:hAnsi="Arial" w:cs="Arial"/>
              </w:rPr>
              <w:t>To examine the role of AI and ‘integrated systems’ in scaling the detection of suspicious activities across a global network.</w:t>
            </w:r>
          </w:p>
          <w:p w14:paraId="04BE72A6" w14:textId="77777777" w:rsidR="003B7A74" w:rsidRDefault="003B7A74" w:rsidP="00293DC6">
            <w:pPr>
              <w:pStyle w:val="Normal1"/>
              <w:numPr>
                <w:ilvl w:val="0"/>
                <w:numId w:val="7"/>
              </w:numPr>
              <w:spacing w:after="0" w:line="360" w:lineRule="auto"/>
              <w:jc w:val="both"/>
            </w:pPr>
            <w:r>
              <w:rPr>
                <w:rFonts w:ascii="Arial" w:eastAsia="Arial" w:hAnsi="Arial" w:cs="Arial"/>
              </w:rPr>
              <w:t>To investigate the balance between stringent compliance and the impact on legitimate customer experience and operational friction</w:t>
            </w:r>
          </w:p>
          <w:p w14:paraId="1940FD7C" w14:textId="77777777" w:rsidR="003B7A74" w:rsidRDefault="003B7A74" w:rsidP="00293DC6">
            <w:pPr>
              <w:pStyle w:val="Normal1"/>
              <w:numPr>
                <w:ilvl w:val="0"/>
                <w:numId w:val="8"/>
              </w:numPr>
              <w:spacing w:after="120" w:line="360" w:lineRule="auto"/>
              <w:jc w:val="both"/>
              <w:rPr>
                <w:color w:val="000000"/>
              </w:rPr>
            </w:pPr>
            <w:r>
              <w:rPr>
                <w:rFonts w:ascii="Arial" w:eastAsia="Arial" w:hAnsi="Arial" w:cs="Arial"/>
              </w:rPr>
              <w:t>To offer strategic insights into how HSBC can better integrate emerging technologies to address evolving sophisticated financial crime patterns while maintaining ethical data usage</w:t>
            </w:r>
          </w:p>
        </w:tc>
      </w:tr>
      <w:tr w:rsidR="003B7A74" w14:paraId="0B83256E" w14:textId="77777777" w:rsidTr="00293DC6">
        <w:trPr>
          <w:cantSplit/>
          <w:trHeight w:val="454"/>
          <w:tblHeader/>
          <w:jc w:val="center"/>
        </w:trPr>
        <w:tc>
          <w:tcPr>
            <w:tcW w:w="498" w:type="dxa"/>
            <w:shd w:val="clear" w:color="auto" w:fill="F2F2F2"/>
            <w:vAlign w:val="center"/>
          </w:tcPr>
          <w:p w14:paraId="2C56CF58"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color w:val="000000"/>
              </w:rPr>
            </w:pPr>
          </w:p>
        </w:tc>
        <w:tc>
          <w:tcPr>
            <w:tcW w:w="9278" w:type="dxa"/>
            <w:gridSpan w:val="4"/>
            <w:shd w:val="clear" w:color="auto" w:fill="F2F2F2"/>
            <w:vAlign w:val="center"/>
          </w:tcPr>
          <w:p w14:paraId="195D2FC6"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b/>
                <w:bCs/>
                <w:color w:val="000000"/>
              </w:rPr>
            </w:pPr>
            <w:r>
              <w:rPr>
                <w:rFonts w:ascii="Arial" w:eastAsia="Arial" w:hAnsi="Arial" w:cs="Arial"/>
                <w:b/>
                <w:bCs/>
                <w:color w:val="000000"/>
              </w:rPr>
              <w:t>Proposed data collection methods (maximum 600 words)</w:t>
            </w:r>
          </w:p>
          <w:p w14:paraId="26FE796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Provide a brief summary of all the methods that </w:t>
            </w:r>
            <w:r>
              <w:rPr>
                <w:rFonts w:ascii="Arial" w:eastAsia="Arial" w:hAnsi="Arial" w:cs="Arial"/>
                <w:b/>
                <w:bCs/>
                <w:color w:val="000000"/>
              </w:rPr>
              <w:t>may</w:t>
            </w:r>
            <w:r>
              <w:rPr>
                <w:rFonts w:ascii="Arial" w:eastAsia="Arial" w:hAnsi="Arial" w:cs="Arial"/>
                <w:color w:val="00000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B7A74" w14:paraId="7F85CAEB" w14:textId="77777777" w:rsidTr="00293DC6">
        <w:trPr>
          <w:cantSplit/>
          <w:trHeight w:val="454"/>
          <w:tblHeader/>
          <w:jc w:val="center"/>
        </w:trPr>
        <w:tc>
          <w:tcPr>
            <w:tcW w:w="498" w:type="dxa"/>
            <w:vAlign w:val="center"/>
          </w:tcPr>
          <w:p w14:paraId="413FA05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7</w:t>
            </w:r>
          </w:p>
        </w:tc>
        <w:tc>
          <w:tcPr>
            <w:tcW w:w="9278" w:type="dxa"/>
            <w:gridSpan w:val="4"/>
            <w:vAlign w:val="center"/>
          </w:tcPr>
          <w:p w14:paraId="40F7DA7D"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The study will use a qualitative case study design based on secondary data that are available over the internet. All data will be gained through purposive sampling from publicly available data sources related to HSBC’s AML and FCRM approaches. Sources will likely include annual reports, governance reports, regulatory publications, industry reports, journal articles, and others. The research will use longitudinal material for analysing the changes in HSBC’s approach as time passes. All gathered documents will be selected based on their relevance to risk-based compliance, AI usage, transaction measurements, consumer due diligence, regulatory needs, and others. Data will be analysed through mainly thematic analysis. The analysis will be guided through a total of 4 main themes that will be focused on AI integration, risk-based approaches, regulatory compliance, and operational efficiency. All sources will be referenced properly to avoid ethical issues.</w:t>
            </w:r>
          </w:p>
        </w:tc>
      </w:tr>
    </w:tbl>
    <w:p w14:paraId="4AC68D96"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p w14:paraId="3E3282D7" w14:textId="77777777" w:rsidR="003B7A74" w:rsidRDefault="003B7A74" w:rsidP="003B7A74">
      <w:pPr>
        <w:pStyle w:val="Normal1"/>
        <w:pBdr>
          <w:top w:val="nil"/>
          <w:left w:val="nil"/>
          <w:bottom w:val="nil"/>
          <w:right w:val="nil"/>
          <w:between w:val="nil"/>
        </w:pBdr>
        <w:spacing w:after="240" w:line="360" w:lineRule="auto"/>
        <w:rPr>
          <w:rFonts w:ascii="Arial" w:eastAsia="Arial" w:hAnsi="Arial" w:cs="Arial"/>
          <w:b/>
          <w:bCs/>
          <w:color w:val="000000"/>
        </w:rPr>
      </w:pPr>
      <w:r>
        <w:rPr>
          <w:rFonts w:ascii="Arial" w:eastAsia="Arial" w:hAnsi="Arial" w:cs="Arial"/>
          <w:b/>
          <w:bCs/>
          <w:color w:val="000000"/>
        </w:rPr>
        <w:t>SECTION D: Scope of Research Activity</w:t>
      </w:r>
    </w:p>
    <w:tbl>
      <w:tblPr>
        <w:tblStyle w:val="a3"/>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1134"/>
      </w:tblGrid>
      <w:tr w:rsidR="003B7A74" w14:paraId="1ECCA1CC" w14:textId="77777777" w:rsidTr="00293DC6">
        <w:trPr>
          <w:cantSplit/>
          <w:trHeight w:val="558"/>
          <w:tblHeader/>
          <w:jc w:val="center"/>
        </w:trPr>
        <w:tc>
          <w:tcPr>
            <w:tcW w:w="562" w:type="dxa"/>
            <w:shd w:val="clear" w:color="auto" w:fill="F2F2F2"/>
            <w:vAlign w:val="center"/>
          </w:tcPr>
          <w:p w14:paraId="32D259A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p>
        </w:tc>
        <w:tc>
          <w:tcPr>
            <w:tcW w:w="7088" w:type="dxa"/>
            <w:shd w:val="clear" w:color="auto" w:fill="F2F2F2"/>
            <w:vAlign w:val="center"/>
          </w:tcPr>
          <w:p w14:paraId="4AC65CE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Will the research activity include:</w:t>
            </w:r>
          </w:p>
        </w:tc>
        <w:tc>
          <w:tcPr>
            <w:tcW w:w="992" w:type="dxa"/>
            <w:shd w:val="clear" w:color="auto" w:fill="F2F2F2"/>
            <w:vAlign w:val="center"/>
          </w:tcPr>
          <w:p w14:paraId="36E789E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134" w:type="dxa"/>
            <w:shd w:val="clear" w:color="auto" w:fill="F2F2F2"/>
            <w:vAlign w:val="center"/>
          </w:tcPr>
          <w:p w14:paraId="6BA11C6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262BF394" w14:textId="77777777" w:rsidTr="00293DC6">
        <w:trPr>
          <w:cantSplit/>
          <w:trHeight w:val="439"/>
          <w:tblHeader/>
          <w:jc w:val="center"/>
        </w:trPr>
        <w:tc>
          <w:tcPr>
            <w:tcW w:w="562" w:type="dxa"/>
            <w:shd w:val="clear" w:color="auto" w:fill="F2F2F2"/>
            <w:vAlign w:val="center"/>
          </w:tcPr>
          <w:p w14:paraId="2B67D01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w:t>
            </w:r>
          </w:p>
        </w:tc>
        <w:tc>
          <w:tcPr>
            <w:tcW w:w="7088" w:type="dxa"/>
            <w:shd w:val="clear" w:color="auto" w:fill="F2F2F2"/>
            <w:vAlign w:val="center"/>
          </w:tcPr>
          <w:p w14:paraId="48A62EE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a questionnaire or similar research instrument?</w:t>
            </w:r>
          </w:p>
        </w:tc>
        <w:tc>
          <w:tcPr>
            <w:tcW w:w="992" w:type="dxa"/>
            <w:shd w:val="clear" w:color="auto" w:fill="BFBFBF"/>
            <w:vAlign w:val="center"/>
          </w:tcPr>
          <w:p w14:paraId="2A6186F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
                <w:id w:val="-355218439"/>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7A839D06" w14:textId="77777777" w:rsidR="003B7A74" w:rsidRDefault="003B7A74" w:rsidP="00293DC6">
            <w:pPr>
              <w:pStyle w:val="Normal1"/>
              <w:numPr>
                <w:ilvl w:val="0"/>
                <w:numId w:val="9"/>
              </w:numPr>
              <w:pBdr>
                <w:top w:val="nil"/>
                <w:left w:val="nil"/>
                <w:bottom w:val="nil"/>
                <w:right w:val="nil"/>
                <w:between w:val="nil"/>
              </w:pBdr>
              <w:spacing w:after="0" w:line="360" w:lineRule="auto"/>
              <w:rPr>
                <w:b/>
                <w:bCs/>
                <w:color w:val="000000"/>
              </w:rPr>
            </w:pPr>
          </w:p>
        </w:tc>
      </w:tr>
      <w:tr w:rsidR="003B7A74" w14:paraId="47FCD8CB" w14:textId="77777777" w:rsidTr="00293DC6">
        <w:trPr>
          <w:cantSplit/>
          <w:trHeight w:val="439"/>
          <w:tblHeader/>
          <w:jc w:val="center"/>
        </w:trPr>
        <w:tc>
          <w:tcPr>
            <w:tcW w:w="562" w:type="dxa"/>
            <w:shd w:val="clear" w:color="auto" w:fill="F2F2F2"/>
            <w:vAlign w:val="center"/>
          </w:tcPr>
          <w:p w14:paraId="7F2C4D1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w:t>
            </w:r>
          </w:p>
        </w:tc>
        <w:tc>
          <w:tcPr>
            <w:tcW w:w="7088" w:type="dxa"/>
            <w:shd w:val="clear" w:color="auto" w:fill="F2F2F2"/>
            <w:vAlign w:val="center"/>
          </w:tcPr>
          <w:p w14:paraId="6196E49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interviews?</w:t>
            </w:r>
          </w:p>
        </w:tc>
        <w:tc>
          <w:tcPr>
            <w:tcW w:w="992" w:type="dxa"/>
            <w:shd w:val="clear" w:color="auto" w:fill="BFBFBF"/>
            <w:vAlign w:val="center"/>
          </w:tcPr>
          <w:p w14:paraId="74CB6DE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
                <w:id w:val="1435453214"/>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3B445850"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4715A483" w14:textId="77777777" w:rsidTr="00293DC6">
        <w:trPr>
          <w:cantSplit/>
          <w:trHeight w:val="439"/>
          <w:tblHeader/>
          <w:jc w:val="center"/>
        </w:trPr>
        <w:tc>
          <w:tcPr>
            <w:tcW w:w="562" w:type="dxa"/>
            <w:shd w:val="clear" w:color="auto" w:fill="F2F2F2"/>
            <w:vAlign w:val="center"/>
          </w:tcPr>
          <w:p w14:paraId="4A15B48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lastRenderedPageBreak/>
              <w:t>3</w:t>
            </w:r>
          </w:p>
        </w:tc>
        <w:tc>
          <w:tcPr>
            <w:tcW w:w="7088" w:type="dxa"/>
            <w:shd w:val="clear" w:color="auto" w:fill="F2F2F2"/>
            <w:vAlign w:val="center"/>
          </w:tcPr>
          <w:p w14:paraId="3DBB24D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focus groups?</w:t>
            </w:r>
          </w:p>
        </w:tc>
        <w:tc>
          <w:tcPr>
            <w:tcW w:w="992" w:type="dxa"/>
            <w:shd w:val="clear" w:color="auto" w:fill="BFBFBF"/>
            <w:vAlign w:val="center"/>
          </w:tcPr>
          <w:p w14:paraId="4F8018E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4"/>
                <w:id w:val="2097093356"/>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00473700"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059A5846" w14:textId="77777777" w:rsidTr="00293DC6">
        <w:trPr>
          <w:cantSplit/>
          <w:trHeight w:val="403"/>
          <w:tblHeader/>
          <w:jc w:val="center"/>
        </w:trPr>
        <w:tc>
          <w:tcPr>
            <w:tcW w:w="562" w:type="dxa"/>
            <w:shd w:val="clear" w:color="auto" w:fill="F2F2F2"/>
            <w:vAlign w:val="center"/>
          </w:tcPr>
          <w:p w14:paraId="2455013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4</w:t>
            </w:r>
          </w:p>
        </w:tc>
        <w:tc>
          <w:tcPr>
            <w:tcW w:w="7088" w:type="dxa"/>
            <w:shd w:val="clear" w:color="auto" w:fill="F2F2F2"/>
            <w:vAlign w:val="center"/>
          </w:tcPr>
          <w:p w14:paraId="6C1BA79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Use of participant diaries? </w:t>
            </w:r>
          </w:p>
        </w:tc>
        <w:tc>
          <w:tcPr>
            <w:tcW w:w="992" w:type="dxa"/>
            <w:shd w:val="clear" w:color="auto" w:fill="BFBFBF"/>
            <w:vAlign w:val="center"/>
          </w:tcPr>
          <w:p w14:paraId="7BF9302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
                <w:id w:val="1359284686"/>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21BA5D4F"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130FC74E" w14:textId="77777777" w:rsidTr="00293DC6">
        <w:trPr>
          <w:cantSplit/>
          <w:trHeight w:val="403"/>
          <w:tblHeader/>
          <w:jc w:val="center"/>
        </w:trPr>
        <w:tc>
          <w:tcPr>
            <w:tcW w:w="562" w:type="dxa"/>
            <w:shd w:val="clear" w:color="auto" w:fill="F2F2F2"/>
            <w:vAlign w:val="center"/>
          </w:tcPr>
          <w:p w14:paraId="0D392E3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5</w:t>
            </w:r>
          </w:p>
        </w:tc>
        <w:tc>
          <w:tcPr>
            <w:tcW w:w="7088" w:type="dxa"/>
            <w:shd w:val="clear" w:color="auto" w:fill="F2F2F2"/>
            <w:vAlign w:val="center"/>
          </w:tcPr>
          <w:p w14:paraId="65AF34C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video or audio recording?</w:t>
            </w:r>
          </w:p>
        </w:tc>
        <w:tc>
          <w:tcPr>
            <w:tcW w:w="992" w:type="dxa"/>
            <w:shd w:val="clear" w:color="auto" w:fill="BFBFBF"/>
            <w:vAlign w:val="center"/>
          </w:tcPr>
          <w:p w14:paraId="0D88514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6"/>
                <w:id w:val="-286209308"/>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41A28687"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1D3EC3B7" w14:textId="77777777" w:rsidTr="00293DC6">
        <w:trPr>
          <w:cantSplit/>
          <w:trHeight w:val="403"/>
          <w:tblHeader/>
          <w:jc w:val="center"/>
        </w:trPr>
        <w:tc>
          <w:tcPr>
            <w:tcW w:w="562" w:type="dxa"/>
            <w:shd w:val="clear" w:color="auto" w:fill="F2F2F2"/>
            <w:vAlign w:val="center"/>
          </w:tcPr>
          <w:p w14:paraId="5F5DC22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6</w:t>
            </w:r>
          </w:p>
        </w:tc>
        <w:tc>
          <w:tcPr>
            <w:tcW w:w="7088" w:type="dxa"/>
            <w:shd w:val="clear" w:color="auto" w:fill="F2F2F2"/>
            <w:vAlign w:val="center"/>
          </w:tcPr>
          <w:p w14:paraId="2AEDD1D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computer-generated log files?</w:t>
            </w:r>
          </w:p>
        </w:tc>
        <w:tc>
          <w:tcPr>
            <w:tcW w:w="992" w:type="dxa"/>
            <w:shd w:val="clear" w:color="auto" w:fill="BFBFBF"/>
            <w:vAlign w:val="center"/>
          </w:tcPr>
          <w:p w14:paraId="009915F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
                <w:id w:val="-1261494758"/>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0BECF9FB"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6A8BF619" w14:textId="77777777" w:rsidTr="00293DC6">
        <w:trPr>
          <w:cantSplit/>
          <w:trHeight w:val="439"/>
          <w:tblHeader/>
          <w:jc w:val="center"/>
        </w:trPr>
        <w:tc>
          <w:tcPr>
            <w:tcW w:w="562" w:type="dxa"/>
            <w:shd w:val="clear" w:color="auto" w:fill="F2F2F2"/>
            <w:vAlign w:val="center"/>
          </w:tcPr>
          <w:p w14:paraId="0BE704E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7</w:t>
            </w:r>
          </w:p>
        </w:tc>
        <w:tc>
          <w:tcPr>
            <w:tcW w:w="7088" w:type="dxa"/>
            <w:shd w:val="clear" w:color="auto" w:fill="F2F2F2"/>
            <w:vAlign w:val="center"/>
          </w:tcPr>
          <w:p w14:paraId="38B4FE8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Participant observation with their knowledge?</w:t>
            </w:r>
          </w:p>
        </w:tc>
        <w:tc>
          <w:tcPr>
            <w:tcW w:w="992" w:type="dxa"/>
            <w:shd w:val="clear" w:color="auto" w:fill="BFBFBF"/>
            <w:vAlign w:val="center"/>
          </w:tcPr>
          <w:p w14:paraId="129678D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
                <w:id w:val="783423915"/>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31A6E42A"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23E378E5" w14:textId="77777777" w:rsidTr="00293DC6">
        <w:trPr>
          <w:cantSplit/>
          <w:trHeight w:val="403"/>
          <w:tblHeader/>
          <w:jc w:val="center"/>
        </w:trPr>
        <w:tc>
          <w:tcPr>
            <w:tcW w:w="562" w:type="dxa"/>
            <w:shd w:val="clear" w:color="auto" w:fill="F2F2F2"/>
            <w:vAlign w:val="center"/>
          </w:tcPr>
          <w:p w14:paraId="166D0AE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8</w:t>
            </w:r>
          </w:p>
        </w:tc>
        <w:tc>
          <w:tcPr>
            <w:tcW w:w="7088" w:type="dxa"/>
            <w:shd w:val="clear" w:color="auto" w:fill="F2F2F2"/>
            <w:vAlign w:val="center"/>
          </w:tcPr>
          <w:p w14:paraId="70490AE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Participant observation without their knowledge?</w:t>
            </w:r>
          </w:p>
        </w:tc>
        <w:tc>
          <w:tcPr>
            <w:tcW w:w="992" w:type="dxa"/>
            <w:shd w:val="clear" w:color="auto" w:fill="BFBFBF"/>
            <w:vAlign w:val="center"/>
          </w:tcPr>
          <w:p w14:paraId="3D3318F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
                <w:id w:val="1973523163"/>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6C521459"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2092F796" w14:textId="77777777" w:rsidTr="00293DC6">
        <w:trPr>
          <w:cantSplit/>
          <w:trHeight w:val="439"/>
          <w:tblHeader/>
          <w:jc w:val="center"/>
        </w:trPr>
        <w:tc>
          <w:tcPr>
            <w:tcW w:w="562" w:type="dxa"/>
            <w:shd w:val="clear" w:color="auto" w:fill="F2F2F2"/>
            <w:vAlign w:val="center"/>
          </w:tcPr>
          <w:p w14:paraId="68A1A5A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9</w:t>
            </w:r>
          </w:p>
        </w:tc>
        <w:tc>
          <w:tcPr>
            <w:tcW w:w="7088" w:type="dxa"/>
            <w:shd w:val="clear" w:color="auto" w:fill="F2F2F2"/>
            <w:vAlign w:val="center"/>
          </w:tcPr>
          <w:p w14:paraId="1C5D0E4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Access to personal or confidential information without the participants’ specific consent?</w:t>
            </w:r>
          </w:p>
        </w:tc>
        <w:tc>
          <w:tcPr>
            <w:tcW w:w="992" w:type="dxa"/>
            <w:shd w:val="clear" w:color="auto" w:fill="BFBFBF"/>
            <w:vAlign w:val="center"/>
          </w:tcPr>
          <w:p w14:paraId="38F9710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
                <w:id w:val="-1557561398"/>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54717B45"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57AE3538" w14:textId="77777777" w:rsidTr="00293DC6">
        <w:trPr>
          <w:cantSplit/>
          <w:trHeight w:val="403"/>
          <w:tblHeader/>
          <w:jc w:val="center"/>
        </w:trPr>
        <w:tc>
          <w:tcPr>
            <w:tcW w:w="562" w:type="dxa"/>
            <w:shd w:val="clear" w:color="auto" w:fill="F2F2F2"/>
            <w:vAlign w:val="center"/>
          </w:tcPr>
          <w:p w14:paraId="4130F01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10</w:t>
            </w:r>
          </w:p>
        </w:tc>
        <w:tc>
          <w:tcPr>
            <w:tcW w:w="7088" w:type="dxa"/>
            <w:shd w:val="clear" w:color="auto" w:fill="F2F2F2"/>
            <w:vAlign w:val="center"/>
          </w:tcPr>
          <w:p w14:paraId="0D77577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Administration of any questions, test stimuli, presentation that may be experienced as physically, mentally or emotionally harmful / offensive?</w:t>
            </w:r>
          </w:p>
        </w:tc>
        <w:tc>
          <w:tcPr>
            <w:tcW w:w="992" w:type="dxa"/>
            <w:shd w:val="clear" w:color="auto" w:fill="BFBFBF"/>
            <w:vAlign w:val="center"/>
          </w:tcPr>
          <w:p w14:paraId="3663DB3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
                <w:id w:val="-1181808192"/>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2FDD4BB5"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508C36EF" w14:textId="77777777" w:rsidTr="00293DC6">
        <w:trPr>
          <w:cantSplit/>
          <w:trHeight w:val="403"/>
          <w:tblHeader/>
          <w:jc w:val="center"/>
        </w:trPr>
        <w:tc>
          <w:tcPr>
            <w:tcW w:w="562" w:type="dxa"/>
            <w:shd w:val="clear" w:color="auto" w:fill="F2F2F2"/>
            <w:vAlign w:val="center"/>
          </w:tcPr>
          <w:p w14:paraId="513C96B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11</w:t>
            </w:r>
          </w:p>
        </w:tc>
        <w:tc>
          <w:tcPr>
            <w:tcW w:w="7088" w:type="dxa"/>
            <w:shd w:val="clear" w:color="auto" w:fill="F2F2F2"/>
            <w:vAlign w:val="center"/>
          </w:tcPr>
          <w:p w14:paraId="1C6E972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Performance of any acts which may cause embarrassment or affect self-esteem?</w:t>
            </w:r>
          </w:p>
        </w:tc>
        <w:tc>
          <w:tcPr>
            <w:tcW w:w="992" w:type="dxa"/>
            <w:shd w:val="clear" w:color="auto" w:fill="BFBFBF"/>
            <w:vAlign w:val="center"/>
          </w:tcPr>
          <w:p w14:paraId="59A8FD7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
                <w:id w:val="-1025760338"/>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430FCF30"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110A23E8" w14:textId="77777777" w:rsidTr="00293DC6">
        <w:trPr>
          <w:cantSplit/>
          <w:trHeight w:val="403"/>
          <w:tblHeader/>
          <w:jc w:val="center"/>
        </w:trPr>
        <w:tc>
          <w:tcPr>
            <w:tcW w:w="562" w:type="dxa"/>
            <w:shd w:val="clear" w:color="auto" w:fill="F2F2F2"/>
            <w:vAlign w:val="center"/>
          </w:tcPr>
          <w:p w14:paraId="2E24482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12</w:t>
            </w:r>
          </w:p>
        </w:tc>
        <w:tc>
          <w:tcPr>
            <w:tcW w:w="7088" w:type="dxa"/>
            <w:shd w:val="clear" w:color="auto" w:fill="F2F2F2"/>
            <w:vAlign w:val="center"/>
          </w:tcPr>
          <w:p w14:paraId="40F0545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Investigation of participants involved in illegal activities?</w:t>
            </w:r>
          </w:p>
        </w:tc>
        <w:tc>
          <w:tcPr>
            <w:tcW w:w="992" w:type="dxa"/>
            <w:shd w:val="clear" w:color="auto" w:fill="BFBFBF"/>
            <w:vAlign w:val="center"/>
          </w:tcPr>
          <w:p w14:paraId="5EE0371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3"/>
                <w:id w:val="-1990515769"/>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5AAF4580"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3EC63F5C" w14:textId="77777777" w:rsidTr="00293DC6">
        <w:trPr>
          <w:cantSplit/>
          <w:trHeight w:val="403"/>
          <w:tblHeader/>
          <w:jc w:val="center"/>
        </w:trPr>
        <w:tc>
          <w:tcPr>
            <w:tcW w:w="562" w:type="dxa"/>
            <w:shd w:val="clear" w:color="auto" w:fill="F2F2F2"/>
            <w:vAlign w:val="center"/>
          </w:tcPr>
          <w:p w14:paraId="4D103E0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13</w:t>
            </w:r>
          </w:p>
        </w:tc>
        <w:tc>
          <w:tcPr>
            <w:tcW w:w="7088" w:type="dxa"/>
            <w:shd w:val="clear" w:color="auto" w:fill="F2F2F2"/>
            <w:vAlign w:val="center"/>
          </w:tcPr>
          <w:p w14:paraId="0328FFC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procedures that involve deception?</w:t>
            </w:r>
          </w:p>
        </w:tc>
        <w:tc>
          <w:tcPr>
            <w:tcW w:w="992" w:type="dxa"/>
            <w:shd w:val="clear" w:color="auto" w:fill="BFBFBF"/>
            <w:vAlign w:val="center"/>
          </w:tcPr>
          <w:p w14:paraId="56E8DEE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4"/>
                <w:id w:val="-796831694"/>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3EBB9EC2"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166786AB" w14:textId="77777777" w:rsidTr="00293DC6">
        <w:trPr>
          <w:cantSplit/>
          <w:trHeight w:val="403"/>
          <w:tblHeader/>
          <w:jc w:val="center"/>
        </w:trPr>
        <w:tc>
          <w:tcPr>
            <w:tcW w:w="562" w:type="dxa"/>
            <w:shd w:val="clear" w:color="auto" w:fill="F2F2F2"/>
            <w:vAlign w:val="center"/>
          </w:tcPr>
          <w:p w14:paraId="56797FD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14</w:t>
            </w:r>
          </w:p>
        </w:tc>
        <w:tc>
          <w:tcPr>
            <w:tcW w:w="7088" w:type="dxa"/>
            <w:shd w:val="clear" w:color="auto" w:fill="F2F2F2"/>
            <w:vAlign w:val="center"/>
          </w:tcPr>
          <w:p w14:paraId="0E29552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Administration of any substance, agent or placebo?</w:t>
            </w:r>
          </w:p>
        </w:tc>
        <w:tc>
          <w:tcPr>
            <w:tcW w:w="992" w:type="dxa"/>
            <w:shd w:val="clear" w:color="auto" w:fill="BFBFBF"/>
            <w:vAlign w:val="center"/>
          </w:tcPr>
          <w:p w14:paraId="62B3DBE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5"/>
                <w:id w:val="-1859124962"/>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29074179"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6576FA81" w14:textId="77777777" w:rsidTr="00293DC6">
        <w:trPr>
          <w:cantSplit/>
          <w:trHeight w:val="403"/>
          <w:tblHeader/>
          <w:jc w:val="center"/>
        </w:trPr>
        <w:tc>
          <w:tcPr>
            <w:tcW w:w="562" w:type="dxa"/>
            <w:shd w:val="clear" w:color="auto" w:fill="F2F2F2"/>
            <w:vAlign w:val="center"/>
          </w:tcPr>
          <w:p w14:paraId="1CA5FB1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15</w:t>
            </w:r>
          </w:p>
        </w:tc>
        <w:tc>
          <w:tcPr>
            <w:tcW w:w="7088" w:type="dxa"/>
            <w:shd w:val="clear" w:color="auto" w:fill="F2F2F2"/>
            <w:vAlign w:val="center"/>
          </w:tcPr>
          <w:p w14:paraId="269E078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Working with live vertebrate animals?</w:t>
            </w:r>
          </w:p>
        </w:tc>
        <w:tc>
          <w:tcPr>
            <w:tcW w:w="992" w:type="dxa"/>
            <w:shd w:val="clear" w:color="auto" w:fill="BFBFBF"/>
            <w:vAlign w:val="center"/>
          </w:tcPr>
          <w:p w14:paraId="1792C68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6"/>
                <w:id w:val="-572908800"/>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74D689F2"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61C07705" w14:textId="77777777" w:rsidTr="00293DC6">
        <w:trPr>
          <w:cantSplit/>
          <w:trHeight w:val="403"/>
          <w:tblHeader/>
          <w:jc w:val="center"/>
        </w:trPr>
        <w:tc>
          <w:tcPr>
            <w:tcW w:w="562" w:type="dxa"/>
            <w:shd w:val="clear" w:color="auto" w:fill="F2F2F2"/>
            <w:vAlign w:val="center"/>
          </w:tcPr>
          <w:p w14:paraId="20750EC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16</w:t>
            </w:r>
          </w:p>
        </w:tc>
        <w:tc>
          <w:tcPr>
            <w:tcW w:w="7088" w:type="dxa"/>
            <w:shd w:val="clear" w:color="auto" w:fill="F2F2F2"/>
            <w:vAlign w:val="center"/>
          </w:tcPr>
          <w:p w14:paraId="45C532C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Procedures that may have a negative impact on the environment?</w:t>
            </w:r>
          </w:p>
        </w:tc>
        <w:tc>
          <w:tcPr>
            <w:tcW w:w="992" w:type="dxa"/>
            <w:shd w:val="clear" w:color="auto" w:fill="BFBFBF"/>
            <w:vAlign w:val="center"/>
          </w:tcPr>
          <w:p w14:paraId="3938C1A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17"/>
                <w:id w:val="888115168"/>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5169C53C"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b/>
                <w:bCs/>
                <w:color w:val="000000"/>
              </w:rPr>
            </w:pPr>
          </w:p>
        </w:tc>
      </w:tr>
      <w:tr w:rsidR="003B7A74" w14:paraId="77D0B604" w14:textId="77777777" w:rsidTr="00293DC6">
        <w:trPr>
          <w:cantSplit/>
          <w:trHeight w:val="403"/>
          <w:tblHeader/>
          <w:jc w:val="center"/>
        </w:trPr>
        <w:tc>
          <w:tcPr>
            <w:tcW w:w="562" w:type="dxa"/>
            <w:shd w:val="clear" w:color="auto" w:fill="F2F2F2"/>
            <w:vAlign w:val="center"/>
          </w:tcPr>
          <w:p w14:paraId="2FA2EE0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17</w:t>
            </w:r>
          </w:p>
        </w:tc>
        <w:tc>
          <w:tcPr>
            <w:tcW w:w="7088" w:type="dxa"/>
            <w:shd w:val="clear" w:color="auto" w:fill="F2F2F2"/>
            <w:vAlign w:val="center"/>
          </w:tcPr>
          <w:p w14:paraId="189376D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Other primary data collection methods. Please indicate the type of data collection method(s) below.</w:t>
            </w:r>
          </w:p>
        </w:tc>
        <w:tc>
          <w:tcPr>
            <w:tcW w:w="992" w:type="dxa"/>
            <w:vMerge w:val="restart"/>
            <w:shd w:val="clear" w:color="auto" w:fill="BFBFBF"/>
            <w:vAlign w:val="center"/>
          </w:tcPr>
          <w:p w14:paraId="6C43C5B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18"/>
                <w:id w:val="-943877136"/>
              </w:sdtPr>
              <w:sdtContent>
                <w:r>
                  <w:rPr>
                    <w:rFonts w:ascii="Arial Unicode MS" w:eastAsia="Arial Unicode MS" w:hAnsi="Arial Unicode MS" w:cs="Arial Unicode MS"/>
                    <w:b/>
                    <w:bCs/>
                    <w:color w:val="000000"/>
                  </w:rPr>
                  <w:t>☐</w:t>
                </w:r>
              </w:sdtContent>
            </w:sdt>
          </w:p>
        </w:tc>
        <w:tc>
          <w:tcPr>
            <w:tcW w:w="1134" w:type="dxa"/>
            <w:vMerge w:val="restart"/>
            <w:shd w:val="clear" w:color="auto" w:fill="BFBFBF"/>
            <w:vAlign w:val="center"/>
          </w:tcPr>
          <w:p w14:paraId="7F04D79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19"/>
                <w:id w:val="1084340272"/>
              </w:sdtPr>
              <w:sdtContent>
                <w:r>
                  <w:rPr>
                    <w:rFonts w:ascii="Arial Unicode MS" w:eastAsia="Arial Unicode MS" w:hAnsi="Arial Unicode MS" w:cs="Arial Unicode MS"/>
                    <w:b/>
                    <w:bCs/>
                    <w:color w:val="000000"/>
                  </w:rPr>
                  <w:t>☐</w:t>
                </w:r>
              </w:sdtContent>
            </w:sdt>
          </w:p>
        </w:tc>
      </w:tr>
      <w:tr w:rsidR="003B7A74" w14:paraId="170E9E95" w14:textId="77777777" w:rsidTr="00293DC6">
        <w:trPr>
          <w:cantSplit/>
          <w:trHeight w:val="403"/>
          <w:tblHeader/>
          <w:jc w:val="center"/>
        </w:trPr>
        <w:tc>
          <w:tcPr>
            <w:tcW w:w="562" w:type="dxa"/>
            <w:vAlign w:val="center"/>
          </w:tcPr>
          <w:p w14:paraId="1CE3ADC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7088" w:type="dxa"/>
            <w:vAlign w:val="center"/>
          </w:tcPr>
          <w:p w14:paraId="658E0AD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Details of any other primary data collection method:</w:t>
            </w:r>
          </w:p>
          <w:p w14:paraId="15430E1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p>
          <w:p w14:paraId="4880210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p>
          <w:p w14:paraId="767F1A5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0522B34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sz w:val="18"/>
                <w:szCs w:val="18"/>
              </w:rPr>
              <w:t>(this box should expand as you type)</w:t>
            </w:r>
          </w:p>
        </w:tc>
        <w:tc>
          <w:tcPr>
            <w:tcW w:w="992" w:type="dxa"/>
            <w:vMerge/>
            <w:shd w:val="clear" w:color="auto" w:fill="BFBFBF"/>
            <w:vAlign w:val="center"/>
          </w:tcPr>
          <w:p w14:paraId="1F43A63F" w14:textId="77777777" w:rsidR="003B7A74" w:rsidRDefault="003B7A74" w:rsidP="00293DC6">
            <w:pPr>
              <w:pStyle w:val="Normal1"/>
              <w:widowControl w:val="0"/>
              <w:pBdr>
                <w:top w:val="nil"/>
                <w:left w:val="nil"/>
                <w:bottom w:val="nil"/>
                <w:right w:val="nil"/>
                <w:between w:val="nil"/>
              </w:pBdr>
              <w:spacing w:after="0"/>
              <w:rPr>
                <w:rFonts w:ascii="Arial" w:eastAsia="Arial" w:hAnsi="Arial" w:cs="Arial"/>
                <w:color w:val="000000"/>
              </w:rPr>
            </w:pPr>
          </w:p>
        </w:tc>
        <w:tc>
          <w:tcPr>
            <w:tcW w:w="1134" w:type="dxa"/>
            <w:vMerge/>
            <w:shd w:val="clear" w:color="auto" w:fill="BFBFBF"/>
            <w:vAlign w:val="center"/>
          </w:tcPr>
          <w:p w14:paraId="014D8C5E" w14:textId="77777777" w:rsidR="003B7A74" w:rsidRDefault="003B7A74" w:rsidP="00293DC6">
            <w:pPr>
              <w:pStyle w:val="Normal1"/>
              <w:widowControl w:val="0"/>
              <w:pBdr>
                <w:top w:val="nil"/>
                <w:left w:val="nil"/>
                <w:bottom w:val="nil"/>
                <w:right w:val="nil"/>
                <w:between w:val="nil"/>
              </w:pBdr>
              <w:spacing w:after="0"/>
              <w:rPr>
                <w:rFonts w:ascii="Arial" w:eastAsia="Arial" w:hAnsi="Arial" w:cs="Arial"/>
                <w:color w:val="000000"/>
              </w:rPr>
            </w:pPr>
          </w:p>
        </w:tc>
      </w:tr>
    </w:tbl>
    <w:p w14:paraId="26E688F5" w14:textId="77777777" w:rsidR="003B7A74" w:rsidRDefault="003B7A74" w:rsidP="003B7A74">
      <w:pPr>
        <w:pStyle w:val="Normal1"/>
        <w:pBdr>
          <w:top w:val="nil"/>
          <w:left w:val="nil"/>
          <w:bottom w:val="nil"/>
          <w:right w:val="nil"/>
          <w:between w:val="nil"/>
        </w:pBdr>
        <w:spacing w:after="0" w:line="360" w:lineRule="auto"/>
        <w:jc w:val="both"/>
        <w:rPr>
          <w:rFonts w:ascii="Arial" w:eastAsia="Arial" w:hAnsi="Arial" w:cs="Arial"/>
          <w:color w:val="000000"/>
        </w:rPr>
      </w:pPr>
    </w:p>
    <w:p w14:paraId="7520E146" w14:textId="77777777" w:rsidR="003B7A74" w:rsidRDefault="003B7A74" w:rsidP="003B7A74">
      <w:pPr>
        <w:pStyle w:val="Normal1"/>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If you have ticked NO to every question then the research activity is (ethically) low risk and you may skip section E and continue to section F.</w:t>
      </w:r>
    </w:p>
    <w:p w14:paraId="096F40D1"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p>
    <w:p w14:paraId="0C164FE5"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If YES to any question, then no research activity should be undertaken until full ethical approval has been obtained. </w:t>
      </w:r>
    </w:p>
    <w:p w14:paraId="4F03BFFC"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p>
    <w:p w14:paraId="5DE8FE70"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E: Intended Participants</w:t>
      </w:r>
    </w:p>
    <w:tbl>
      <w:tblPr>
        <w:tblStyle w:val="a4"/>
        <w:tblW w:w="971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311"/>
        <w:gridCol w:w="992"/>
        <w:gridCol w:w="851"/>
      </w:tblGrid>
      <w:tr w:rsidR="003B7A74" w14:paraId="62143299" w14:textId="77777777" w:rsidTr="00293DC6">
        <w:trPr>
          <w:cantSplit/>
          <w:tblHeader/>
        </w:trPr>
        <w:tc>
          <w:tcPr>
            <w:tcW w:w="562" w:type="dxa"/>
            <w:shd w:val="clear" w:color="auto" w:fill="F2F2F2"/>
            <w:vAlign w:val="center"/>
          </w:tcPr>
          <w:p w14:paraId="4E75EB0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p>
        </w:tc>
        <w:tc>
          <w:tcPr>
            <w:tcW w:w="7311" w:type="dxa"/>
            <w:shd w:val="clear" w:color="auto" w:fill="F2F2F2"/>
          </w:tcPr>
          <w:p w14:paraId="1CC53073"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b/>
                <w:bCs/>
                <w:color w:val="000000"/>
              </w:rPr>
            </w:pPr>
            <w:r>
              <w:rPr>
                <w:rFonts w:ascii="Arial" w:eastAsia="Arial" w:hAnsi="Arial" w:cs="Arial"/>
                <w:b/>
                <w:bCs/>
                <w:color w:val="000000"/>
              </w:rPr>
              <w:t>Who are the intended participants:</w:t>
            </w:r>
          </w:p>
        </w:tc>
        <w:tc>
          <w:tcPr>
            <w:tcW w:w="992" w:type="dxa"/>
            <w:shd w:val="clear" w:color="auto" w:fill="F2F2F2"/>
          </w:tcPr>
          <w:p w14:paraId="53E0704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p>
          <w:p w14:paraId="643F94E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851" w:type="dxa"/>
            <w:shd w:val="clear" w:color="auto" w:fill="F2F2F2"/>
          </w:tcPr>
          <w:p w14:paraId="7641391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p>
          <w:p w14:paraId="3F37FDE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7113023C" w14:textId="77777777" w:rsidTr="00293DC6">
        <w:trPr>
          <w:cantSplit/>
          <w:trHeight w:val="439"/>
          <w:tblHeader/>
        </w:trPr>
        <w:tc>
          <w:tcPr>
            <w:tcW w:w="562" w:type="dxa"/>
            <w:shd w:val="clear" w:color="auto" w:fill="F2F2F2"/>
            <w:vAlign w:val="center"/>
          </w:tcPr>
          <w:p w14:paraId="3BE613D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w:t>
            </w:r>
          </w:p>
        </w:tc>
        <w:tc>
          <w:tcPr>
            <w:tcW w:w="7311" w:type="dxa"/>
            <w:shd w:val="clear" w:color="auto" w:fill="F2F2F2"/>
            <w:vAlign w:val="center"/>
          </w:tcPr>
          <w:p w14:paraId="0492F28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Students or staff at the University?</w:t>
            </w:r>
          </w:p>
        </w:tc>
        <w:tc>
          <w:tcPr>
            <w:tcW w:w="992" w:type="dxa"/>
            <w:shd w:val="clear" w:color="auto" w:fill="BFBFBF"/>
            <w:vAlign w:val="center"/>
          </w:tcPr>
          <w:p w14:paraId="146FB27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0"/>
                <w:id w:val="191969092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1C1F1FC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1"/>
                <w:id w:val="-1777557107"/>
              </w:sdtPr>
              <w:sdtContent>
                <w:r>
                  <w:rPr>
                    <w:rFonts w:ascii="Arial Unicode MS" w:eastAsia="Arial Unicode MS" w:hAnsi="Arial Unicode MS" w:cs="Arial Unicode MS"/>
                    <w:b/>
                    <w:bCs/>
                    <w:color w:val="000000"/>
                  </w:rPr>
                  <w:t>☐</w:t>
                </w:r>
              </w:sdtContent>
            </w:sdt>
          </w:p>
        </w:tc>
      </w:tr>
      <w:tr w:rsidR="003B7A74" w14:paraId="417E5302" w14:textId="77777777" w:rsidTr="00293DC6">
        <w:trPr>
          <w:cantSplit/>
          <w:trHeight w:val="403"/>
          <w:tblHeader/>
        </w:trPr>
        <w:tc>
          <w:tcPr>
            <w:tcW w:w="562" w:type="dxa"/>
            <w:shd w:val="clear" w:color="auto" w:fill="F2F2F2"/>
            <w:vAlign w:val="center"/>
          </w:tcPr>
          <w:p w14:paraId="0149BC0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w:t>
            </w:r>
          </w:p>
        </w:tc>
        <w:tc>
          <w:tcPr>
            <w:tcW w:w="7311" w:type="dxa"/>
            <w:shd w:val="clear" w:color="auto" w:fill="F2F2F2"/>
            <w:vAlign w:val="center"/>
          </w:tcPr>
          <w:p w14:paraId="04BFE2C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Adults (over the age of 18 and competent to give consent)?</w:t>
            </w:r>
          </w:p>
        </w:tc>
        <w:tc>
          <w:tcPr>
            <w:tcW w:w="992" w:type="dxa"/>
            <w:shd w:val="clear" w:color="auto" w:fill="BFBFBF"/>
            <w:vAlign w:val="center"/>
          </w:tcPr>
          <w:p w14:paraId="506B3AD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2"/>
                <w:id w:val="423829286"/>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3CBD33F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3"/>
                <w:id w:val="-443245941"/>
              </w:sdtPr>
              <w:sdtContent>
                <w:r>
                  <w:rPr>
                    <w:rFonts w:ascii="Arial Unicode MS" w:eastAsia="Arial Unicode MS" w:hAnsi="Arial Unicode MS" w:cs="Arial Unicode MS"/>
                    <w:b/>
                    <w:bCs/>
                    <w:color w:val="000000"/>
                  </w:rPr>
                  <w:t>☐</w:t>
                </w:r>
              </w:sdtContent>
            </w:sdt>
          </w:p>
        </w:tc>
      </w:tr>
      <w:tr w:rsidR="003B7A74" w14:paraId="70F9F49F" w14:textId="77777777" w:rsidTr="00293DC6">
        <w:trPr>
          <w:cantSplit/>
          <w:trHeight w:val="439"/>
          <w:tblHeader/>
        </w:trPr>
        <w:tc>
          <w:tcPr>
            <w:tcW w:w="562" w:type="dxa"/>
            <w:shd w:val="clear" w:color="auto" w:fill="F2F2F2"/>
            <w:vAlign w:val="center"/>
          </w:tcPr>
          <w:p w14:paraId="26433EE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3</w:t>
            </w:r>
          </w:p>
        </w:tc>
        <w:tc>
          <w:tcPr>
            <w:tcW w:w="7311" w:type="dxa"/>
            <w:shd w:val="clear" w:color="auto" w:fill="F2F2F2"/>
            <w:vAlign w:val="center"/>
          </w:tcPr>
          <w:p w14:paraId="7CD01EB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Vulnerable adults?</w:t>
            </w:r>
          </w:p>
        </w:tc>
        <w:tc>
          <w:tcPr>
            <w:tcW w:w="992" w:type="dxa"/>
            <w:shd w:val="clear" w:color="auto" w:fill="BFBFBF"/>
            <w:vAlign w:val="center"/>
          </w:tcPr>
          <w:p w14:paraId="57366E2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4"/>
                <w:id w:val="588466750"/>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5E2C9FC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5"/>
                <w:id w:val="106258848"/>
              </w:sdtPr>
              <w:sdtContent>
                <w:r>
                  <w:rPr>
                    <w:rFonts w:ascii="Arial Unicode MS" w:eastAsia="Arial Unicode MS" w:hAnsi="Arial Unicode MS" w:cs="Arial Unicode MS"/>
                    <w:b/>
                    <w:bCs/>
                    <w:color w:val="000000"/>
                  </w:rPr>
                  <w:t>☐</w:t>
                </w:r>
              </w:sdtContent>
            </w:sdt>
          </w:p>
        </w:tc>
      </w:tr>
      <w:tr w:rsidR="003B7A74" w14:paraId="281CCFA8" w14:textId="77777777" w:rsidTr="00293DC6">
        <w:trPr>
          <w:cantSplit/>
          <w:trHeight w:val="403"/>
          <w:tblHeader/>
        </w:trPr>
        <w:tc>
          <w:tcPr>
            <w:tcW w:w="562" w:type="dxa"/>
            <w:shd w:val="clear" w:color="auto" w:fill="F2F2F2"/>
            <w:vAlign w:val="center"/>
          </w:tcPr>
          <w:p w14:paraId="402A707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4</w:t>
            </w:r>
          </w:p>
        </w:tc>
        <w:tc>
          <w:tcPr>
            <w:tcW w:w="7311" w:type="dxa"/>
            <w:shd w:val="clear" w:color="auto" w:fill="F2F2F2"/>
            <w:vAlign w:val="center"/>
          </w:tcPr>
          <w:p w14:paraId="37299D6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Children and Young People under the age of 18? (Consent from Parent, Carer or Guardian will be required)</w:t>
            </w:r>
          </w:p>
        </w:tc>
        <w:tc>
          <w:tcPr>
            <w:tcW w:w="992" w:type="dxa"/>
            <w:shd w:val="clear" w:color="auto" w:fill="BFBFBF"/>
            <w:vAlign w:val="center"/>
          </w:tcPr>
          <w:p w14:paraId="52889B9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6"/>
                <w:id w:val="451697293"/>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5DC6A10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7"/>
                <w:id w:val="675207626"/>
              </w:sdtPr>
              <w:sdtContent>
                <w:r>
                  <w:rPr>
                    <w:rFonts w:ascii="Arial Unicode MS" w:eastAsia="Arial Unicode MS" w:hAnsi="Arial Unicode MS" w:cs="Arial Unicode MS"/>
                    <w:b/>
                    <w:bCs/>
                    <w:color w:val="000000"/>
                  </w:rPr>
                  <w:t>☐</w:t>
                </w:r>
              </w:sdtContent>
            </w:sdt>
          </w:p>
        </w:tc>
      </w:tr>
      <w:tr w:rsidR="003B7A74" w14:paraId="4D006A78" w14:textId="77777777" w:rsidTr="00293DC6">
        <w:trPr>
          <w:cantSplit/>
          <w:trHeight w:val="403"/>
          <w:tblHeader/>
        </w:trPr>
        <w:tc>
          <w:tcPr>
            <w:tcW w:w="562" w:type="dxa"/>
            <w:shd w:val="clear" w:color="auto" w:fill="F2F2F2"/>
            <w:vAlign w:val="center"/>
          </w:tcPr>
          <w:p w14:paraId="74571D6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5</w:t>
            </w:r>
          </w:p>
        </w:tc>
        <w:tc>
          <w:tcPr>
            <w:tcW w:w="7311" w:type="dxa"/>
            <w:shd w:val="clear" w:color="auto" w:fill="F2F2F2"/>
            <w:vAlign w:val="center"/>
          </w:tcPr>
          <w:p w14:paraId="4D0FA2D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Prisoners?</w:t>
            </w:r>
          </w:p>
        </w:tc>
        <w:tc>
          <w:tcPr>
            <w:tcW w:w="992" w:type="dxa"/>
            <w:shd w:val="clear" w:color="auto" w:fill="BFBFBF"/>
            <w:vAlign w:val="center"/>
          </w:tcPr>
          <w:p w14:paraId="6BE671A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8"/>
                <w:id w:val="1314944225"/>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02A347A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29"/>
                <w:id w:val="1864067372"/>
              </w:sdtPr>
              <w:sdtContent>
                <w:r>
                  <w:rPr>
                    <w:rFonts w:ascii="Arial Unicode MS" w:eastAsia="Arial Unicode MS" w:hAnsi="Arial Unicode MS" w:cs="Arial Unicode MS"/>
                    <w:b/>
                    <w:bCs/>
                    <w:color w:val="000000"/>
                  </w:rPr>
                  <w:t>☐</w:t>
                </w:r>
              </w:sdtContent>
            </w:sdt>
          </w:p>
        </w:tc>
      </w:tr>
      <w:tr w:rsidR="003B7A74" w14:paraId="331387D1" w14:textId="77777777" w:rsidTr="00293DC6">
        <w:trPr>
          <w:cantSplit/>
          <w:trHeight w:val="439"/>
          <w:tblHeader/>
        </w:trPr>
        <w:tc>
          <w:tcPr>
            <w:tcW w:w="562" w:type="dxa"/>
            <w:shd w:val="clear" w:color="auto" w:fill="F2F2F2"/>
            <w:vAlign w:val="center"/>
          </w:tcPr>
          <w:p w14:paraId="24015C2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6</w:t>
            </w:r>
          </w:p>
        </w:tc>
        <w:tc>
          <w:tcPr>
            <w:tcW w:w="7311" w:type="dxa"/>
            <w:shd w:val="clear" w:color="auto" w:fill="F2F2F2"/>
            <w:vAlign w:val="center"/>
          </w:tcPr>
          <w:p w14:paraId="63393DD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Young offenders?</w:t>
            </w:r>
          </w:p>
        </w:tc>
        <w:tc>
          <w:tcPr>
            <w:tcW w:w="992" w:type="dxa"/>
            <w:shd w:val="clear" w:color="auto" w:fill="BFBFBF"/>
            <w:vAlign w:val="center"/>
          </w:tcPr>
          <w:p w14:paraId="2606AD7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0"/>
                <w:id w:val="744090462"/>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693861F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1"/>
                <w:id w:val="-1761179541"/>
              </w:sdtPr>
              <w:sdtContent>
                <w:r>
                  <w:rPr>
                    <w:rFonts w:ascii="Arial Unicode MS" w:eastAsia="Arial Unicode MS" w:hAnsi="Arial Unicode MS" w:cs="Arial Unicode MS"/>
                    <w:b/>
                    <w:bCs/>
                    <w:color w:val="000000"/>
                  </w:rPr>
                  <w:t>☐</w:t>
                </w:r>
              </w:sdtContent>
            </w:sdt>
          </w:p>
        </w:tc>
      </w:tr>
      <w:tr w:rsidR="003B7A74" w14:paraId="2533D3C3" w14:textId="77777777" w:rsidTr="00293DC6">
        <w:trPr>
          <w:cantSplit/>
          <w:trHeight w:val="403"/>
          <w:tblHeader/>
        </w:trPr>
        <w:tc>
          <w:tcPr>
            <w:tcW w:w="562" w:type="dxa"/>
            <w:shd w:val="clear" w:color="auto" w:fill="F2F2F2"/>
            <w:vAlign w:val="center"/>
          </w:tcPr>
          <w:p w14:paraId="0F4E282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7</w:t>
            </w:r>
          </w:p>
        </w:tc>
        <w:tc>
          <w:tcPr>
            <w:tcW w:w="7311" w:type="dxa"/>
            <w:shd w:val="clear" w:color="auto" w:fill="F2F2F2"/>
            <w:vAlign w:val="center"/>
          </w:tcPr>
          <w:p w14:paraId="4467481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Those who could be considered to have a particularly dependent relationship with the investigator or a gatekeeper?</w:t>
            </w:r>
          </w:p>
        </w:tc>
        <w:tc>
          <w:tcPr>
            <w:tcW w:w="992" w:type="dxa"/>
            <w:shd w:val="clear" w:color="auto" w:fill="BFBFBF"/>
            <w:vAlign w:val="center"/>
          </w:tcPr>
          <w:p w14:paraId="4945981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2"/>
                <w:id w:val="-5300114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0DE855E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3"/>
                <w:id w:val="-432126265"/>
              </w:sdtPr>
              <w:sdtContent>
                <w:r>
                  <w:rPr>
                    <w:rFonts w:ascii="Arial Unicode MS" w:eastAsia="Arial Unicode MS" w:hAnsi="Arial Unicode MS" w:cs="Arial Unicode MS"/>
                    <w:b/>
                    <w:bCs/>
                    <w:color w:val="000000"/>
                  </w:rPr>
                  <w:t>☐</w:t>
                </w:r>
              </w:sdtContent>
            </w:sdt>
          </w:p>
        </w:tc>
      </w:tr>
      <w:tr w:rsidR="003B7A74" w14:paraId="58D2B1AC" w14:textId="77777777" w:rsidTr="00293DC6">
        <w:trPr>
          <w:cantSplit/>
          <w:trHeight w:val="403"/>
          <w:tblHeader/>
        </w:trPr>
        <w:tc>
          <w:tcPr>
            <w:tcW w:w="562" w:type="dxa"/>
            <w:shd w:val="clear" w:color="auto" w:fill="F2F2F2"/>
            <w:vAlign w:val="center"/>
          </w:tcPr>
          <w:p w14:paraId="504FA1B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8</w:t>
            </w:r>
          </w:p>
        </w:tc>
        <w:tc>
          <w:tcPr>
            <w:tcW w:w="7311" w:type="dxa"/>
            <w:shd w:val="clear" w:color="auto" w:fill="F2F2F2"/>
            <w:vAlign w:val="center"/>
          </w:tcPr>
          <w:p w14:paraId="19FB434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People engaged in illegal activities?</w:t>
            </w:r>
          </w:p>
        </w:tc>
        <w:tc>
          <w:tcPr>
            <w:tcW w:w="992" w:type="dxa"/>
            <w:shd w:val="clear" w:color="auto" w:fill="BFBFBF"/>
            <w:vAlign w:val="center"/>
          </w:tcPr>
          <w:p w14:paraId="57506F7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4"/>
                <w:id w:val="202164958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43D18B1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5"/>
                <w:id w:val="-1113405785"/>
              </w:sdtPr>
              <w:sdtContent>
                <w:r>
                  <w:rPr>
                    <w:rFonts w:ascii="Arial Unicode MS" w:eastAsia="Arial Unicode MS" w:hAnsi="Arial Unicode MS" w:cs="Arial Unicode MS"/>
                    <w:b/>
                    <w:bCs/>
                    <w:color w:val="000000"/>
                  </w:rPr>
                  <w:t>☐</w:t>
                </w:r>
              </w:sdtContent>
            </w:sdt>
          </w:p>
        </w:tc>
      </w:tr>
      <w:tr w:rsidR="003B7A74" w14:paraId="1BBA3B1D" w14:textId="77777777" w:rsidTr="00293DC6">
        <w:trPr>
          <w:cantSplit/>
          <w:trHeight w:val="403"/>
          <w:tblHeader/>
        </w:trPr>
        <w:tc>
          <w:tcPr>
            <w:tcW w:w="562" w:type="dxa"/>
            <w:shd w:val="clear" w:color="auto" w:fill="F2F2F2"/>
            <w:vAlign w:val="center"/>
          </w:tcPr>
          <w:p w14:paraId="25F7010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9</w:t>
            </w:r>
          </w:p>
        </w:tc>
        <w:tc>
          <w:tcPr>
            <w:tcW w:w="7311" w:type="dxa"/>
            <w:shd w:val="clear" w:color="auto" w:fill="F2F2F2"/>
            <w:vAlign w:val="center"/>
          </w:tcPr>
          <w:p w14:paraId="0FEF58D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Others. Please indicate the participants below, and specifically any group who may be unable to give consent.</w:t>
            </w:r>
          </w:p>
          <w:p w14:paraId="6C2EF34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92" w:type="dxa"/>
            <w:vMerge w:val="restart"/>
            <w:shd w:val="clear" w:color="auto" w:fill="BFBFBF"/>
            <w:vAlign w:val="center"/>
          </w:tcPr>
          <w:p w14:paraId="60381B8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6"/>
                <w:id w:val="1497775344"/>
              </w:sdtPr>
              <w:sdtContent>
                <w:r>
                  <w:rPr>
                    <w:rFonts w:ascii="Arial Unicode MS" w:eastAsia="Arial Unicode MS" w:hAnsi="Arial Unicode MS" w:cs="Arial Unicode MS"/>
                    <w:b/>
                    <w:bCs/>
                    <w:color w:val="000000"/>
                  </w:rPr>
                  <w:t>☐</w:t>
                </w:r>
              </w:sdtContent>
            </w:sdt>
          </w:p>
        </w:tc>
        <w:tc>
          <w:tcPr>
            <w:tcW w:w="851" w:type="dxa"/>
            <w:vMerge w:val="restart"/>
            <w:shd w:val="clear" w:color="auto" w:fill="BFBFBF"/>
            <w:vAlign w:val="center"/>
          </w:tcPr>
          <w:p w14:paraId="6385B69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7"/>
                <w:id w:val="-1394412433"/>
              </w:sdtPr>
              <w:sdtContent>
                <w:r>
                  <w:rPr>
                    <w:rFonts w:ascii="Arial Unicode MS" w:eastAsia="Arial Unicode MS" w:hAnsi="Arial Unicode MS" w:cs="Arial Unicode MS"/>
                    <w:b/>
                    <w:bCs/>
                    <w:color w:val="000000"/>
                  </w:rPr>
                  <w:t>☐</w:t>
                </w:r>
              </w:sdtContent>
            </w:sdt>
          </w:p>
        </w:tc>
      </w:tr>
      <w:tr w:rsidR="003B7A74" w14:paraId="58E2F50D" w14:textId="77777777" w:rsidTr="00293DC6">
        <w:trPr>
          <w:cantSplit/>
          <w:trHeight w:val="403"/>
          <w:tblHeader/>
        </w:trPr>
        <w:tc>
          <w:tcPr>
            <w:tcW w:w="562" w:type="dxa"/>
            <w:vAlign w:val="center"/>
          </w:tcPr>
          <w:p w14:paraId="527A77D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7311" w:type="dxa"/>
            <w:vAlign w:val="center"/>
          </w:tcPr>
          <w:p w14:paraId="3F55393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Details of any other participant groups:</w:t>
            </w:r>
          </w:p>
          <w:p w14:paraId="437FF9D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p>
          <w:p w14:paraId="1F9FD22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808080"/>
                <w:sz w:val="18"/>
                <w:szCs w:val="18"/>
              </w:rPr>
              <w:t>(this box should expand as you type)</w:t>
            </w:r>
          </w:p>
        </w:tc>
        <w:tc>
          <w:tcPr>
            <w:tcW w:w="992" w:type="dxa"/>
            <w:vMerge/>
            <w:shd w:val="clear" w:color="auto" w:fill="BFBFBF"/>
            <w:vAlign w:val="center"/>
          </w:tcPr>
          <w:p w14:paraId="514D9BA6" w14:textId="77777777" w:rsidR="003B7A74" w:rsidRDefault="003B7A74" w:rsidP="00293DC6">
            <w:pPr>
              <w:pStyle w:val="Normal1"/>
              <w:widowControl w:val="0"/>
              <w:pBdr>
                <w:top w:val="nil"/>
                <w:left w:val="nil"/>
                <w:bottom w:val="nil"/>
                <w:right w:val="nil"/>
                <w:between w:val="nil"/>
              </w:pBdr>
              <w:spacing w:after="0"/>
              <w:rPr>
                <w:rFonts w:ascii="Arial" w:eastAsia="Arial" w:hAnsi="Arial" w:cs="Arial"/>
                <w:color w:val="000000"/>
              </w:rPr>
            </w:pPr>
          </w:p>
        </w:tc>
        <w:tc>
          <w:tcPr>
            <w:tcW w:w="851" w:type="dxa"/>
            <w:vMerge/>
            <w:shd w:val="clear" w:color="auto" w:fill="BFBFBF"/>
            <w:vAlign w:val="center"/>
          </w:tcPr>
          <w:p w14:paraId="295910B7" w14:textId="77777777" w:rsidR="003B7A74" w:rsidRDefault="003B7A74" w:rsidP="00293DC6">
            <w:pPr>
              <w:pStyle w:val="Normal1"/>
              <w:widowControl w:val="0"/>
              <w:pBdr>
                <w:top w:val="nil"/>
                <w:left w:val="nil"/>
                <w:bottom w:val="nil"/>
                <w:right w:val="nil"/>
                <w:between w:val="nil"/>
              </w:pBdr>
              <w:spacing w:after="0"/>
              <w:rPr>
                <w:rFonts w:ascii="Arial" w:eastAsia="Arial" w:hAnsi="Arial" w:cs="Arial"/>
                <w:color w:val="000000"/>
              </w:rPr>
            </w:pPr>
          </w:p>
        </w:tc>
      </w:tr>
    </w:tbl>
    <w:p w14:paraId="15DFD2E2"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4"/>
          <w:szCs w:val="24"/>
        </w:rPr>
      </w:pPr>
    </w:p>
    <w:tbl>
      <w:tblPr>
        <w:tblStyle w:val="a5"/>
        <w:tblW w:w="971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5898"/>
      </w:tblGrid>
      <w:tr w:rsidR="003B7A74" w14:paraId="585BCC76" w14:textId="77777777" w:rsidTr="00293DC6">
        <w:trPr>
          <w:cantSplit/>
          <w:trHeight w:val="403"/>
          <w:tblHeader/>
        </w:trPr>
        <w:tc>
          <w:tcPr>
            <w:tcW w:w="562" w:type="dxa"/>
            <w:tcBorders>
              <w:bottom w:val="single" w:sz="4" w:space="0" w:color="000000"/>
            </w:tcBorders>
            <w:shd w:val="clear" w:color="auto" w:fill="F2F2F2"/>
          </w:tcPr>
          <w:p w14:paraId="46A9F5C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154" w:type="dxa"/>
            <w:gridSpan w:val="2"/>
            <w:tcBorders>
              <w:bottom w:val="single" w:sz="4" w:space="0" w:color="000000"/>
            </w:tcBorders>
            <w:shd w:val="clear" w:color="auto" w:fill="F2F2F2"/>
            <w:vAlign w:val="center"/>
          </w:tcPr>
          <w:p w14:paraId="0147A12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Participant numbers and source</w:t>
            </w:r>
          </w:p>
          <w:p w14:paraId="33FEFDC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Provide an estimate of the expected number of participants. How will you identify participants and how will they be recruited? </w:t>
            </w:r>
          </w:p>
        </w:tc>
      </w:tr>
      <w:tr w:rsidR="003B7A74" w14:paraId="0EF343E7" w14:textId="77777777" w:rsidTr="00293DC6">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BF9D2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FDA27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How many participants are expected?</w:t>
            </w:r>
          </w:p>
          <w:p w14:paraId="7E4E5DE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5898" w:type="dxa"/>
            <w:tcBorders>
              <w:top w:val="single" w:sz="4" w:space="0" w:color="000000"/>
              <w:left w:val="single" w:sz="4" w:space="0" w:color="000000"/>
              <w:bottom w:val="single" w:sz="4" w:space="0" w:color="000000"/>
              <w:right w:val="single" w:sz="4" w:space="0" w:color="000000"/>
            </w:tcBorders>
            <w:vAlign w:val="center"/>
          </w:tcPr>
          <w:p w14:paraId="1F7593B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7CB0352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i/>
                <w:iCs/>
                <w:color w:val="808080"/>
                <w:sz w:val="18"/>
                <w:szCs w:val="18"/>
              </w:rPr>
              <w:t>(this box should expand as you type)</w:t>
            </w:r>
          </w:p>
        </w:tc>
      </w:tr>
      <w:tr w:rsidR="003B7A74" w14:paraId="6B00A196" w14:textId="77777777" w:rsidTr="00293DC6">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80B3C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DE8B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Who will the participants be?</w:t>
            </w:r>
          </w:p>
          <w:p w14:paraId="5A55348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5898" w:type="dxa"/>
            <w:tcBorders>
              <w:top w:val="single" w:sz="4" w:space="0" w:color="000000"/>
              <w:left w:val="single" w:sz="4" w:space="0" w:color="000000"/>
              <w:bottom w:val="single" w:sz="4" w:space="0" w:color="000000"/>
              <w:right w:val="single" w:sz="4" w:space="0" w:color="000000"/>
            </w:tcBorders>
            <w:vAlign w:val="center"/>
          </w:tcPr>
          <w:p w14:paraId="11CE0C6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28BE4C3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277FC04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3B7A74" w14:paraId="4C37FB1C" w14:textId="77777777" w:rsidTr="00293DC6">
        <w:trPr>
          <w:cantSplit/>
          <w:trHeight w:val="403"/>
          <w:tblHeader/>
        </w:trPr>
        <w:tc>
          <w:tcPr>
            <w:tcW w:w="562" w:type="dxa"/>
            <w:tcBorders>
              <w:top w:val="single" w:sz="4" w:space="0" w:color="000000"/>
            </w:tcBorders>
            <w:shd w:val="clear" w:color="auto" w:fill="F2F2F2"/>
            <w:vAlign w:val="center"/>
          </w:tcPr>
          <w:p w14:paraId="1243D50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12</w:t>
            </w:r>
          </w:p>
        </w:tc>
        <w:tc>
          <w:tcPr>
            <w:tcW w:w="3256" w:type="dxa"/>
            <w:tcBorders>
              <w:top w:val="single" w:sz="4" w:space="0" w:color="000000"/>
            </w:tcBorders>
            <w:shd w:val="clear" w:color="auto" w:fill="F2F2F2"/>
            <w:vAlign w:val="center"/>
          </w:tcPr>
          <w:p w14:paraId="4F4F553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How will you identify the participants?</w:t>
            </w:r>
          </w:p>
        </w:tc>
        <w:tc>
          <w:tcPr>
            <w:tcW w:w="5898" w:type="dxa"/>
            <w:tcBorders>
              <w:top w:val="single" w:sz="4" w:space="0" w:color="000000"/>
            </w:tcBorders>
            <w:vAlign w:val="center"/>
          </w:tcPr>
          <w:p w14:paraId="3184EE4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53B5143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64D4A12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1AA9511E"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4"/>
          <w:szCs w:val="24"/>
        </w:rPr>
      </w:pPr>
    </w:p>
    <w:p w14:paraId="6C99AD9C"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tbl>
      <w:tblPr>
        <w:tblStyle w:val="a6"/>
        <w:tblW w:w="971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602"/>
        <w:gridCol w:w="992"/>
        <w:gridCol w:w="709"/>
        <w:gridCol w:w="851"/>
      </w:tblGrid>
      <w:tr w:rsidR="003B7A74" w14:paraId="76738D62" w14:textId="77777777" w:rsidTr="00293DC6">
        <w:trPr>
          <w:cantSplit/>
          <w:tblHeader/>
        </w:trPr>
        <w:tc>
          <w:tcPr>
            <w:tcW w:w="562" w:type="dxa"/>
            <w:shd w:val="clear" w:color="auto" w:fill="F2F2F2"/>
            <w:vAlign w:val="center"/>
          </w:tcPr>
          <w:p w14:paraId="5EA61EF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6602" w:type="dxa"/>
            <w:shd w:val="clear" w:color="auto" w:fill="F2F2F2"/>
          </w:tcPr>
          <w:p w14:paraId="25FF267A"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b/>
                <w:bCs/>
                <w:color w:val="000000"/>
              </w:rPr>
            </w:pPr>
            <w:r>
              <w:rPr>
                <w:rFonts w:ascii="Arial" w:eastAsia="Arial" w:hAnsi="Arial" w:cs="Arial"/>
                <w:b/>
                <w:bCs/>
                <w:color w:val="000000"/>
              </w:rPr>
              <w:t>Information for participants:</w:t>
            </w:r>
          </w:p>
        </w:tc>
        <w:tc>
          <w:tcPr>
            <w:tcW w:w="992" w:type="dxa"/>
            <w:shd w:val="clear" w:color="auto" w:fill="F2F2F2"/>
            <w:vAlign w:val="bottom"/>
          </w:tcPr>
          <w:p w14:paraId="4873DF0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sz w:val="16"/>
                <w:szCs w:val="16"/>
              </w:rPr>
            </w:pPr>
          </w:p>
          <w:p w14:paraId="203EE42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709" w:type="dxa"/>
            <w:shd w:val="clear" w:color="auto" w:fill="F2F2F2"/>
            <w:vAlign w:val="bottom"/>
          </w:tcPr>
          <w:p w14:paraId="27C4A91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c>
          <w:tcPr>
            <w:tcW w:w="851" w:type="dxa"/>
            <w:shd w:val="clear" w:color="auto" w:fill="F2F2F2"/>
          </w:tcPr>
          <w:p w14:paraId="3E9835F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sz w:val="16"/>
                <w:szCs w:val="16"/>
              </w:rPr>
            </w:pPr>
          </w:p>
          <w:p w14:paraId="705B37A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N/A</w:t>
            </w:r>
          </w:p>
        </w:tc>
      </w:tr>
      <w:tr w:rsidR="003B7A74" w14:paraId="636320E5" w14:textId="77777777" w:rsidTr="00293DC6">
        <w:trPr>
          <w:cantSplit/>
          <w:trHeight w:val="439"/>
          <w:tblHeader/>
        </w:trPr>
        <w:tc>
          <w:tcPr>
            <w:tcW w:w="562" w:type="dxa"/>
            <w:shd w:val="clear" w:color="auto" w:fill="F2F2F2"/>
            <w:vAlign w:val="center"/>
          </w:tcPr>
          <w:p w14:paraId="4A03E8F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13</w:t>
            </w:r>
          </w:p>
        </w:tc>
        <w:tc>
          <w:tcPr>
            <w:tcW w:w="6602" w:type="dxa"/>
            <w:shd w:val="clear" w:color="auto" w:fill="F2F2F2"/>
            <w:vAlign w:val="center"/>
          </w:tcPr>
          <w:p w14:paraId="130CB85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describe the main research procedures to participants in advance, so that they are informed about what to expect?</w:t>
            </w:r>
          </w:p>
        </w:tc>
        <w:tc>
          <w:tcPr>
            <w:tcW w:w="992" w:type="dxa"/>
            <w:shd w:val="clear" w:color="auto" w:fill="BFBFBF"/>
            <w:vAlign w:val="center"/>
          </w:tcPr>
          <w:p w14:paraId="6A08204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8"/>
                <w:id w:val="1232189107"/>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54CAC1E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39"/>
                <w:id w:val="-1450835991"/>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017E3FD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0"/>
                <w:id w:val="-692676129"/>
              </w:sdtPr>
              <w:sdtContent>
                <w:r>
                  <w:rPr>
                    <w:rFonts w:ascii="Arial Unicode MS" w:eastAsia="Arial Unicode MS" w:hAnsi="Arial Unicode MS" w:cs="Arial Unicode MS"/>
                    <w:b/>
                    <w:bCs/>
                    <w:color w:val="000000"/>
                  </w:rPr>
                  <w:t>☐</w:t>
                </w:r>
              </w:sdtContent>
            </w:sdt>
          </w:p>
        </w:tc>
      </w:tr>
      <w:tr w:rsidR="003B7A74" w14:paraId="0811163A" w14:textId="77777777" w:rsidTr="00293DC6">
        <w:trPr>
          <w:cantSplit/>
          <w:trHeight w:val="403"/>
          <w:tblHeader/>
        </w:trPr>
        <w:tc>
          <w:tcPr>
            <w:tcW w:w="562" w:type="dxa"/>
            <w:shd w:val="clear" w:color="auto" w:fill="F2F2F2"/>
            <w:vAlign w:val="center"/>
          </w:tcPr>
          <w:p w14:paraId="6CF1E79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14</w:t>
            </w:r>
          </w:p>
        </w:tc>
        <w:tc>
          <w:tcPr>
            <w:tcW w:w="6602" w:type="dxa"/>
            <w:shd w:val="clear" w:color="auto" w:fill="F2F2F2"/>
            <w:vAlign w:val="center"/>
          </w:tcPr>
          <w:p w14:paraId="174DFDC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tell participants that their participation is voluntary?</w:t>
            </w:r>
          </w:p>
        </w:tc>
        <w:tc>
          <w:tcPr>
            <w:tcW w:w="992" w:type="dxa"/>
            <w:shd w:val="clear" w:color="auto" w:fill="BFBFBF"/>
            <w:vAlign w:val="center"/>
          </w:tcPr>
          <w:p w14:paraId="260D42B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1"/>
                <w:id w:val="1291147673"/>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65C5194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2"/>
                <w:id w:val="-508675857"/>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5567BED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3"/>
                <w:id w:val="899888710"/>
              </w:sdtPr>
              <w:sdtContent>
                <w:r>
                  <w:rPr>
                    <w:rFonts w:ascii="Arial Unicode MS" w:eastAsia="Arial Unicode MS" w:hAnsi="Arial Unicode MS" w:cs="Arial Unicode MS"/>
                    <w:b/>
                    <w:bCs/>
                    <w:color w:val="000000"/>
                  </w:rPr>
                  <w:t>☐</w:t>
                </w:r>
              </w:sdtContent>
            </w:sdt>
          </w:p>
        </w:tc>
      </w:tr>
      <w:tr w:rsidR="003B7A74" w14:paraId="01162538" w14:textId="77777777" w:rsidTr="00293DC6">
        <w:trPr>
          <w:cantSplit/>
          <w:trHeight w:val="439"/>
          <w:tblHeader/>
        </w:trPr>
        <w:tc>
          <w:tcPr>
            <w:tcW w:w="562" w:type="dxa"/>
            <w:shd w:val="clear" w:color="auto" w:fill="F2F2F2"/>
            <w:vAlign w:val="center"/>
          </w:tcPr>
          <w:p w14:paraId="128E539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15</w:t>
            </w:r>
          </w:p>
        </w:tc>
        <w:tc>
          <w:tcPr>
            <w:tcW w:w="6602" w:type="dxa"/>
            <w:shd w:val="clear" w:color="auto" w:fill="F2F2F2"/>
            <w:vAlign w:val="center"/>
          </w:tcPr>
          <w:p w14:paraId="7928806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obtain written consent for participation?</w:t>
            </w:r>
          </w:p>
        </w:tc>
        <w:tc>
          <w:tcPr>
            <w:tcW w:w="992" w:type="dxa"/>
            <w:shd w:val="clear" w:color="auto" w:fill="BFBFBF"/>
            <w:vAlign w:val="center"/>
          </w:tcPr>
          <w:p w14:paraId="21D28EA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4"/>
                <w:id w:val="-1454002208"/>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25B7DFD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5"/>
                <w:id w:val="2124800523"/>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1A13B51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6"/>
                <w:id w:val="879681880"/>
              </w:sdtPr>
              <w:sdtContent>
                <w:r>
                  <w:rPr>
                    <w:rFonts w:ascii="Arial Unicode MS" w:eastAsia="Arial Unicode MS" w:hAnsi="Arial Unicode MS" w:cs="Arial Unicode MS"/>
                    <w:b/>
                    <w:bCs/>
                    <w:color w:val="000000"/>
                  </w:rPr>
                  <w:t>☐</w:t>
                </w:r>
              </w:sdtContent>
            </w:sdt>
          </w:p>
        </w:tc>
      </w:tr>
      <w:tr w:rsidR="003B7A74" w14:paraId="2A6E02F4" w14:textId="77777777" w:rsidTr="00293DC6">
        <w:trPr>
          <w:cantSplit/>
          <w:trHeight w:val="403"/>
          <w:tblHeader/>
        </w:trPr>
        <w:tc>
          <w:tcPr>
            <w:tcW w:w="562" w:type="dxa"/>
            <w:shd w:val="clear" w:color="auto" w:fill="F2F2F2"/>
            <w:vAlign w:val="center"/>
          </w:tcPr>
          <w:p w14:paraId="499E993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16</w:t>
            </w:r>
          </w:p>
        </w:tc>
        <w:tc>
          <w:tcPr>
            <w:tcW w:w="6602" w:type="dxa"/>
            <w:shd w:val="clear" w:color="auto" w:fill="F2F2F2"/>
            <w:vAlign w:val="center"/>
          </w:tcPr>
          <w:p w14:paraId="646935A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explain to participants that refusal to participate in the research will not affect their treatment or education (if relevant)?</w:t>
            </w:r>
          </w:p>
        </w:tc>
        <w:tc>
          <w:tcPr>
            <w:tcW w:w="992" w:type="dxa"/>
            <w:shd w:val="clear" w:color="auto" w:fill="BFBFBF"/>
            <w:vAlign w:val="center"/>
          </w:tcPr>
          <w:p w14:paraId="333BA54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7"/>
                <w:id w:val="-404725863"/>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1240605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8"/>
                <w:id w:val="-104058962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4ABC073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49"/>
                <w:id w:val="-1286266695"/>
              </w:sdtPr>
              <w:sdtContent>
                <w:r>
                  <w:rPr>
                    <w:rFonts w:ascii="Arial Unicode MS" w:eastAsia="Arial Unicode MS" w:hAnsi="Arial Unicode MS" w:cs="Arial Unicode MS"/>
                    <w:b/>
                    <w:bCs/>
                    <w:color w:val="000000"/>
                  </w:rPr>
                  <w:t>☐</w:t>
                </w:r>
              </w:sdtContent>
            </w:sdt>
          </w:p>
        </w:tc>
      </w:tr>
      <w:tr w:rsidR="003B7A74" w14:paraId="2CEB94EC" w14:textId="77777777" w:rsidTr="00293DC6">
        <w:trPr>
          <w:cantSplit/>
          <w:trHeight w:val="439"/>
          <w:tblHeader/>
        </w:trPr>
        <w:tc>
          <w:tcPr>
            <w:tcW w:w="562" w:type="dxa"/>
            <w:shd w:val="clear" w:color="auto" w:fill="F2F2F2"/>
            <w:vAlign w:val="center"/>
          </w:tcPr>
          <w:p w14:paraId="59741E0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17</w:t>
            </w:r>
          </w:p>
        </w:tc>
        <w:tc>
          <w:tcPr>
            <w:tcW w:w="6602" w:type="dxa"/>
            <w:shd w:val="clear" w:color="auto" w:fill="F2F2F2"/>
            <w:vAlign w:val="center"/>
          </w:tcPr>
          <w:p w14:paraId="56B11F7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If the research is observational, will you ask participants for their consent to being observed?</w:t>
            </w:r>
          </w:p>
        </w:tc>
        <w:tc>
          <w:tcPr>
            <w:tcW w:w="992" w:type="dxa"/>
            <w:shd w:val="clear" w:color="auto" w:fill="BFBFBF"/>
            <w:vAlign w:val="center"/>
          </w:tcPr>
          <w:p w14:paraId="64116DD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0"/>
                <w:id w:val="-994372309"/>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0BB0189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1"/>
                <w:id w:val="165726250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7DAB3A6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2"/>
                <w:id w:val="237307781"/>
              </w:sdtPr>
              <w:sdtContent>
                <w:r>
                  <w:rPr>
                    <w:rFonts w:ascii="Arial Unicode MS" w:eastAsia="Arial Unicode MS" w:hAnsi="Arial Unicode MS" w:cs="Arial Unicode MS"/>
                    <w:b/>
                    <w:bCs/>
                    <w:color w:val="000000"/>
                  </w:rPr>
                  <w:t>☐</w:t>
                </w:r>
              </w:sdtContent>
            </w:sdt>
          </w:p>
        </w:tc>
      </w:tr>
      <w:tr w:rsidR="003B7A74" w14:paraId="76C8B8D7" w14:textId="77777777" w:rsidTr="00293DC6">
        <w:trPr>
          <w:cantSplit/>
          <w:trHeight w:val="403"/>
          <w:tblHeader/>
        </w:trPr>
        <w:tc>
          <w:tcPr>
            <w:tcW w:w="562" w:type="dxa"/>
            <w:shd w:val="clear" w:color="auto" w:fill="F2F2F2"/>
            <w:vAlign w:val="center"/>
          </w:tcPr>
          <w:p w14:paraId="64BCFAF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18</w:t>
            </w:r>
          </w:p>
        </w:tc>
        <w:tc>
          <w:tcPr>
            <w:tcW w:w="6602" w:type="dxa"/>
            <w:shd w:val="clear" w:color="auto" w:fill="F2F2F2"/>
            <w:vAlign w:val="center"/>
          </w:tcPr>
          <w:p w14:paraId="40F5091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tell participants that they may withdraw from the research at any time and for any reason?</w:t>
            </w:r>
          </w:p>
        </w:tc>
        <w:tc>
          <w:tcPr>
            <w:tcW w:w="992" w:type="dxa"/>
            <w:shd w:val="clear" w:color="auto" w:fill="BFBFBF"/>
            <w:vAlign w:val="center"/>
          </w:tcPr>
          <w:p w14:paraId="136B4B2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3"/>
                <w:id w:val="-1616935697"/>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162F7BD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4"/>
                <w:id w:val="1765947814"/>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36AF1BC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5"/>
                <w:id w:val="1850392089"/>
              </w:sdtPr>
              <w:sdtContent>
                <w:r>
                  <w:rPr>
                    <w:rFonts w:ascii="Arial Unicode MS" w:eastAsia="Arial Unicode MS" w:hAnsi="Arial Unicode MS" w:cs="Arial Unicode MS"/>
                    <w:b/>
                    <w:bCs/>
                    <w:color w:val="000000"/>
                  </w:rPr>
                  <w:t>☐</w:t>
                </w:r>
              </w:sdtContent>
            </w:sdt>
          </w:p>
        </w:tc>
      </w:tr>
      <w:tr w:rsidR="003B7A74" w14:paraId="63A8356D" w14:textId="77777777" w:rsidTr="00293DC6">
        <w:trPr>
          <w:cantSplit/>
          <w:trHeight w:val="439"/>
          <w:tblHeader/>
        </w:trPr>
        <w:tc>
          <w:tcPr>
            <w:tcW w:w="562" w:type="dxa"/>
            <w:shd w:val="clear" w:color="auto" w:fill="F2F2F2"/>
            <w:vAlign w:val="center"/>
          </w:tcPr>
          <w:p w14:paraId="0D68085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19</w:t>
            </w:r>
          </w:p>
        </w:tc>
        <w:tc>
          <w:tcPr>
            <w:tcW w:w="6602" w:type="dxa"/>
            <w:shd w:val="clear" w:color="auto" w:fill="F2F2F2"/>
            <w:vAlign w:val="center"/>
          </w:tcPr>
          <w:p w14:paraId="6B15C62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With questionnaires, will you give participants the option of omitting questions they do not want to answer?</w:t>
            </w:r>
          </w:p>
        </w:tc>
        <w:tc>
          <w:tcPr>
            <w:tcW w:w="992" w:type="dxa"/>
            <w:shd w:val="clear" w:color="auto" w:fill="BFBFBF"/>
            <w:vAlign w:val="center"/>
          </w:tcPr>
          <w:p w14:paraId="3D5FB55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6"/>
                <w:id w:val="1487319481"/>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1BBD798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7"/>
                <w:id w:val="-495247653"/>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4EEC8B4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8"/>
                <w:id w:val="-1321317211"/>
              </w:sdtPr>
              <w:sdtContent>
                <w:r>
                  <w:rPr>
                    <w:rFonts w:ascii="Arial Unicode MS" w:eastAsia="Arial Unicode MS" w:hAnsi="Arial Unicode MS" w:cs="Arial Unicode MS"/>
                    <w:b/>
                    <w:bCs/>
                    <w:color w:val="000000"/>
                  </w:rPr>
                  <w:t>☐</w:t>
                </w:r>
              </w:sdtContent>
            </w:sdt>
          </w:p>
        </w:tc>
      </w:tr>
      <w:tr w:rsidR="003B7A74" w14:paraId="2C194925" w14:textId="77777777" w:rsidTr="00293DC6">
        <w:trPr>
          <w:cantSplit/>
          <w:trHeight w:val="403"/>
          <w:tblHeader/>
        </w:trPr>
        <w:tc>
          <w:tcPr>
            <w:tcW w:w="562" w:type="dxa"/>
            <w:shd w:val="clear" w:color="auto" w:fill="F2F2F2"/>
            <w:vAlign w:val="center"/>
          </w:tcPr>
          <w:p w14:paraId="4716827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20</w:t>
            </w:r>
          </w:p>
        </w:tc>
        <w:tc>
          <w:tcPr>
            <w:tcW w:w="6602" w:type="dxa"/>
            <w:shd w:val="clear" w:color="auto" w:fill="F2F2F2"/>
            <w:vAlign w:val="center"/>
          </w:tcPr>
          <w:p w14:paraId="45990B3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tell participants that their data will be treated with full confidentiality and that, if published, it will not be identifiable as theirs?</w:t>
            </w:r>
          </w:p>
        </w:tc>
        <w:tc>
          <w:tcPr>
            <w:tcW w:w="992" w:type="dxa"/>
            <w:shd w:val="clear" w:color="auto" w:fill="BFBFBF"/>
            <w:vAlign w:val="center"/>
          </w:tcPr>
          <w:p w14:paraId="1B4F347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59"/>
                <w:id w:val="1655095370"/>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489C6EA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0"/>
                <w:id w:val="-918579370"/>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344DEA1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1"/>
                <w:id w:val="-208047073"/>
              </w:sdtPr>
              <w:sdtContent>
                <w:r>
                  <w:rPr>
                    <w:rFonts w:ascii="Arial Unicode MS" w:eastAsia="Arial Unicode MS" w:hAnsi="Arial Unicode MS" w:cs="Arial Unicode MS"/>
                    <w:b/>
                    <w:bCs/>
                    <w:color w:val="000000"/>
                  </w:rPr>
                  <w:t>☐</w:t>
                </w:r>
              </w:sdtContent>
            </w:sdt>
          </w:p>
        </w:tc>
      </w:tr>
      <w:tr w:rsidR="003B7A74" w14:paraId="43803100" w14:textId="77777777" w:rsidTr="00293DC6">
        <w:trPr>
          <w:cantSplit/>
          <w:trHeight w:val="439"/>
          <w:tblHeader/>
        </w:trPr>
        <w:tc>
          <w:tcPr>
            <w:tcW w:w="562" w:type="dxa"/>
            <w:shd w:val="clear" w:color="auto" w:fill="F2F2F2"/>
            <w:vAlign w:val="center"/>
          </w:tcPr>
          <w:p w14:paraId="6117E86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21</w:t>
            </w:r>
          </w:p>
        </w:tc>
        <w:tc>
          <w:tcPr>
            <w:tcW w:w="6602" w:type="dxa"/>
            <w:shd w:val="clear" w:color="auto" w:fill="F2F2F2"/>
            <w:vAlign w:val="center"/>
          </w:tcPr>
          <w:p w14:paraId="6D3BC10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you debrief participants at the end of their participation, in a way appropriate to the type of research undertaken?</w:t>
            </w:r>
          </w:p>
        </w:tc>
        <w:tc>
          <w:tcPr>
            <w:tcW w:w="992" w:type="dxa"/>
            <w:shd w:val="clear" w:color="auto" w:fill="BFBFBF"/>
            <w:vAlign w:val="center"/>
          </w:tcPr>
          <w:p w14:paraId="286A502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2"/>
                <w:id w:val="752946331"/>
              </w:sdtPr>
              <w:sdtContent>
                <w:r>
                  <w:rPr>
                    <w:rFonts w:ascii="Arial Unicode MS" w:eastAsia="Arial Unicode MS" w:hAnsi="Arial Unicode MS" w:cs="Arial Unicode MS"/>
                    <w:b/>
                    <w:bCs/>
                    <w:color w:val="000000"/>
                  </w:rPr>
                  <w:t>☐</w:t>
                </w:r>
              </w:sdtContent>
            </w:sdt>
          </w:p>
        </w:tc>
        <w:tc>
          <w:tcPr>
            <w:tcW w:w="709" w:type="dxa"/>
            <w:shd w:val="clear" w:color="auto" w:fill="BFBFBF"/>
            <w:vAlign w:val="center"/>
          </w:tcPr>
          <w:p w14:paraId="119139F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3"/>
                <w:id w:val="1354791290"/>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0B68834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4"/>
                <w:id w:val="-1410801836"/>
              </w:sdtPr>
              <w:sdtContent>
                <w:r>
                  <w:rPr>
                    <w:rFonts w:ascii="Arial Unicode MS" w:eastAsia="Arial Unicode MS" w:hAnsi="Arial Unicode MS" w:cs="Arial Unicode MS"/>
                    <w:b/>
                    <w:bCs/>
                    <w:color w:val="000000"/>
                  </w:rPr>
                  <w:t>☐</w:t>
                </w:r>
              </w:sdtContent>
            </w:sdt>
          </w:p>
        </w:tc>
      </w:tr>
      <w:tr w:rsidR="003B7A74" w14:paraId="75B76AC2" w14:textId="77777777" w:rsidTr="00293DC6">
        <w:trPr>
          <w:cantSplit/>
          <w:trHeight w:val="403"/>
          <w:tblHeader/>
        </w:trPr>
        <w:tc>
          <w:tcPr>
            <w:tcW w:w="562" w:type="dxa"/>
            <w:tcBorders>
              <w:bottom w:val="single" w:sz="4" w:space="0" w:color="000000"/>
            </w:tcBorders>
            <w:shd w:val="clear" w:color="auto" w:fill="F2F2F2"/>
            <w:vAlign w:val="center"/>
          </w:tcPr>
          <w:p w14:paraId="27E4A56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22</w:t>
            </w:r>
          </w:p>
        </w:tc>
        <w:tc>
          <w:tcPr>
            <w:tcW w:w="9154" w:type="dxa"/>
            <w:gridSpan w:val="4"/>
            <w:tcBorders>
              <w:bottom w:val="single" w:sz="4" w:space="0" w:color="000000"/>
            </w:tcBorders>
            <w:shd w:val="clear" w:color="auto" w:fill="F2F2F2"/>
            <w:vAlign w:val="center"/>
          </w:tcPr>
          <w:p w14:paraId="09AABA3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If NOto any of above questions, please give an explanation </w:t>
            </w:r>
          </w:p>
        </w:tc>
      </w:tr>
      <w:tr w:rsidR="003B7A74" w14:paraId="7AD0B0B4" w14:textId="77777777" w:rsidTr="00293DC6">
        <w:trPr>
          <w:cantSplit/>
          <w:trHeight w:val="403"/>
          <w:tblHeader/>
        </w:trPr>
        <w:tc>
          <w:tcPr>
            <w:tcW w:w="562" w:type="dxa"/>
            <w:vAlign w:val="center"/>
          </w:tcPr>
          <w:p w14:paraId="188781F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154" w:type="dxa"/>
            <w:gridSpan w:val="4"/>
            <w:vAlign w:val="center"/>
          </w:tcPr>
          <w:p w14:paraId="2191094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You should be able to tick YES for all of these questions. If not, then explain why not in this box.</w:t>
            </w:r>
          </w:p>
          <w:p w14:paraId="541E36B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26252A3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bl>
    <w:p w14:paraId="3317E2DA"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tbl>
      <w:tblPr>
        <w:tblStyle w:val="a7"/>
        <w:tblW w:w="971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319"/>
        <w:gridCol w:w="850"/>
        <w:gridCol w:w="851"/>
        <w:gridCol w:w="1134"/>
      </w:tblGrid>
      <w:tr w:rsidR="003B7A74" w14:paraId="1C04708B" w14:textId="77777777" w:rsidTr="00293DC6">
        <w:trPr>
          <w:cantSplit/>
          <w:tblHeader/>
        </w:trPr>
        <w:tc>
          <w:tcPr>
            <w:tcW w:w="562" w:type="dxa"/>
            <w:shd w:val="clear" w:color="auto" w:fill="F2F2F2"/>
          </w:tcPr>
          <w:p w14:paraId="3666899B"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color w:val="000000"/>
              </w:rPr>
            </w:pPr>
          </w:p>
        </w:tc>
        <w:tc>
          <w:tcPr>
            <w:tcW w:w="6319" w:type="dxa"/>
            <w:shd w:val="clear" w:color="auto" w:fill="F2F2F2"/>
            <w:vAlign w:val="center"/>
          </w:tcPr>
          <w:p w14:paraId="16B9D2E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Information for participants:</w:t>
            </w:r>
          </w:p>
        </w:tc>
        <w:tc>
          <w:tcPr>
            <w:tcW w:w="850" w:type="dxa"/>
            <w:shd w:val="clear" w:color="auto" w:fill="F2F2F2"/>
            <w:vAlign w:val="bottom"/>
          </w:tcPr>
          <w:p w14:paraId="71DDC33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sz w:val="16"/>
                <w:szCs w:val="16"/>
              </w:rPr>
            </w:pPr>
          </w:p>
          <w:p w14:paraId="6396C4C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851" w:type="dxa"/>
            <w:shd w:val="clear" w:color="auto" w:fill="F2F2F2"/>
            <w:vAlign w:val="bottom"/>
          </w:tcPr>
          <w:p w14:paraId="2A0828A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c>
          <w:tcPr>
            <w:tcW w:w="1134" w:type="dxa"/>
            <w:shd w:val="clear" w:color="auto" w:fill="F2F2F2"/>
            <w:vAlign w:val="bottom"/>
          </w:tcPr>
          <w:p w14:paraId="160CCCD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sz w:val="16"/>
                <w:szCs w:val="16"/>
              </w:rPr>
            </w:pPr>
          </w:p>
          <w:p w14:paraId="041B07B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N/A</w:t>
            </w:r>
          </w:p>
        </w:tc>
      </w:tr>
      <w:tr w:rsidR="003B7A74" w14:paraId="4BB6C1E1" w14:textId="77777777" w:rsidTr="00293DC6">
        <w:trPr>
          <w:cantSplit/>
          <w:trHeight w:val="439"/>
          <w:tblHeader/>
        </w:trPr>
        <w:tc>
          <w:tcPr>
            <w:tcW w:w="562" w:type="dxa"/>
            <w:shd w:val="clear" w:color="auto" w:fill="F2F2F2"/>
            <w:vAlign w:val="center"/>
          </w:tcPr>
          <w:p w14:paraId="715E55A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24</w:t>
            </w:r>
          </w:p>
        </w:tc>
        <w:tc>
          <w:tcPr>
            <w:tcW w:w="6319" w:type="dxa"/>
            <w:shd w:val="clear" w:color="auto" w:fill="F2F2F2"/>
            <w:vAlign w:val="center"/>
          </w:tcPr>
          <w:p w14:paraId="4B0869E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participants be paid?</w:t>
            </w:r>
          </w:p>
        </w:tc>
        <w:tc>
          <w:tcPr>
            <w:tcW w:w="850" w:type="dxa"/>
            <w:shd w:val="clear" w:color="auto" w:fill="BFBFBF"/>
            <w:vAlign w:val="center"/>
          </w:tcPr>
          <w:p w14:paraId="1CD4213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5"/>
                <w:id w:val="-679517252"/>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110BAB8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6"/>
                <w:id w:val="-368201364"/>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07BF29E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7"/>
                <w:id w:val="-1685767236"/>
              </w:sdtPr>
              <w:sdtContent>
                <w:r>
                  <w:rPr>
                    <w:rFonts w:ascii="Arial Unicode MS" w:eastAsia="Arial Unicode MS" w:hAnsi="Arial Unicode MS" w:cs="Arial Unicode MS"/>
                    <w:b/>
                    <w:bCs/>
                    <w:color w:val="000000"/>
                  </w:rPr>
                  <w:t>☐</w:t>
                </w:r>
              </w:sdtContent>
            </w:sdt>
          </w:p>
        </w:tc>
      </w:tr>
      <w:tr w:rsidR="003B7A74" w14:paraId="0C5737EE" w14:textId="77777777" w:rsidTr="00293DC6">
        <w:trPr>
          <w:cantSplit/>
          <w:trHeight w:val="403"/>
          <w:tblHeader/>
        </w:trPr>
        <w:tc>
          <w:tcPr>
            <w:tcW w:w="562" w:type="dxa"/>
            <w:shd w:val="clear" w:color="auto" w:fill="F2F2F2"/>
            <w:vAlign w:val="center"/>
          </w:tcPr>
          <w:p w14:paraId="3D38BB7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25</w:t>
            </w:r>
          </w:p>
        </w:tc>
        <w:tc>
          <w:tcPr>
            <w:tcW w:w="6319" w:type="dxa"/>
            <w:shd w:val="clear" w:color="auto" w:fill="F2F2F2"/>
            <w:vAlign w:val="center"/>
          </w:tcPr>
          <w:p w14:paraId="447C9F3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Is specialist electrical or other equipment to be used with participants?</w:t>
            </w:r>
          </w:p>
        </w:tc>
        <w:tc>
          <w:tcPr>
            <w:tcW w:w="850" w:type="dxa"/>
            <w:shd w:val="clear" w:color="auto" w:fill="BFBFBF"/>
            <w:vAlign w:val="center"/>
          </w:tcPr>
          <w:p w14:paraId="7BF4084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8"/>
                <w:id w:val="-626991914"/>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5BEE275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69"/>
                <w:id w:val="-1274733886"/>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5A6914F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0"/>
                <w:id w:val="207697112"/>
              </w:sdtPr>
              <w:sdtContent>
                <w:r>
                  <w:rPr>
                    <w:rFonts w:ascii="Arial Unicode MS" w:eastAsia="Arial Unicode MS" w:hAnsi="Arial Unicode MS" w:cs="Arial Unicode MS"/>
                    <w:b/>
                    <w:bCs/>
                    <w:color w:val="000000"/>
                  </w:rPr>
                  <w:t>☐</w:t>
                </w:r>
              </w:sdtContent>
            </w:sdt>
          </w:p>
        </w:tc>
      </w:tr>
      <w:tr w:rsidR="003B7A74" w14:paraId="427D6D50" w14:textId="77777777" w:rsidTr="00293DC6">
        <w:trPr>
          <w:cantSplit/>
          <w:trHeight w:val="439"/>
          <w:tblHeader/>
        </w:trPr>
        <w:tc>
          <w:tcPr>
            <w:tcW w:w="562" w:type="dxa"/>
            <w:shd w:val="clear" w:color="auto" w:fill="F2F2F2"/>
            <w:vAlign w:val="center"/>
          </w:tcPr>
          <w:p w14:paraId="09096F4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26</w:t>
            </w:r>
          </w:p>
        </w:tc>
        <w:tc>
          <w:tcPr>
            <w:tcW w:w="6319" w:type="dxa"/>
            <w:shd w:val="clear" w:color="auto" w:fill="F2F2F2"/>
            <w:vAlign w:val="center"/>
          </w:tcPr>
          <w:p w14:paraId="49FE5A5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Are there any financial or other interests to the investigator or University arising from this study?</w:t>
            </w:r>
          </w:p>
        </w:tc>
        <w:tc>
          <w:tcPr>
            <w:tcW w:w="850" w:type="dxa"/>
            <w:shd w:val="clear" w:color="auto" w:fill="BFBFBF"/>
            <w:vAlign w:val="center"/>
          </w:tcPr>
          <w:p w14:paraId="3DDBD4B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1"/>
                <w:id w:val="-702166854"/>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357CD4B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2"/>
                <w:id w:val="-555786531"/>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10F92E9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3"/>
                <w:id w:val="1144003099"/>
              </w:sdtPr>
              <w:sdtContent>
                <w:r>
                  <w:rPr>
                    <w:rFonts w:ascii="Arial Unicode MS" w:eastAsia="Arial Unicode MS" w:hAnsi="Arial Unicode MS" w:cs="Arial Unicode MS"/>
                    <w:b/>
                    <w:bCs/>
                    <w:color w:val="000000"/>
                  </w:rPr>
                  <w:t>☐</w:t>
                </w:r>
              </w:sdtContent>
            </w:sdt>
          </w:p>
        </w:tc>
      </w:tr>
      <w:tr w:rsidR="003B7A74" w14:paraId="7AAAA695" w14:textId="77777777" w:rsidTr="00293DC6">
        <w:trPr>
          <w:cantSplit/>
          <w:trHeight w:val="403"/>
          <w:tblHeader/>
        </w:trPr>
        <w:tc>
          <w:tcPr>
            <w:tcW w:w="562" w:type="dxa"/>
            <w:shd w:val="clear" w:color="auto" w:fill="F2F2F2"/>
            <w:vAlign w:val="center"/>
          </w:tcPr>
          <w:p w14:paraId="60D765B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lastRenderedPageBreak/>
              <w:t>27</w:t>
            </w:r>
          </w:p>
        </w:tc>
        <w:tc>
          <w:tcPr>
            <w:tcW w:w="6319" w:type="dxa"/>
            <w:shd w:val="clear" w:color="auto" w:fill="F2F2F2"/>
            <w:vAlign w:val="center"/>
          </w:tcPr>
          <w:p w14:paraId="4265D42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Will the research activity involve deliberately misleading participants in any way, or the partial or full concealment of the specific study aims?</w:t>
            </w:r>
          </w:p>
        </w:tc>
        <w:tc>
          <w:tcPr>
            <w:tcW w:w="850" w:type="dxa"/>
            <w:shd w:val="clear" w:color="auto" w:fill="BFBFBF"/>
            <w:vAlign w:val="center"/>
          </w:tcPr>
          <w:p w14:paraId="5789B31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4"/>
                <w:id w:val="-2050282639"/>
              </w:sdtPr>
              <w:sdtContent>
                <w:r>
                  <w:rPr>
                    <w:rFonts w:ascii="Arial Unicode MS" w:eastAsia="Arial Unicode MS" w:hAnsi="Arial Unicode MS" w:cs="Arial Unicode MS"/>
                    <w:b/>
                    <w:bCs/>
                    <w:color w:val="000000"/>
                  </w:rPr>
                  <w:t>☐</w:t>
                </w:r>
              </w:sdtContent>
            </w:sdt>
          </w:p>
        </w:tc>
        <w:tc>
          <w:tcPr>
            <w:tcW w:w="851" w:type="dxa"/>
            <w:shd w:val="clear" w:color="auto" w:fill="BFBFBF"/>
            <w:vAlign w:val="center"/>
          </w:tcPr>
          <w:p w14:paraId="58A9478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5"/>
                <w:id w:val="-1556341660"/>
              </w:sdtPr>
              <w:sdtContent>
                <w:r>
                  <w:rPr>
                    <w:rFonts w:ascii="Arial Unicode MS" w:eastAsia="Arial Unicode MS" w:hAnsi="Arial Unicode MS" w:cs="Arial Unicode MS"/>
                    <w:b/>
                    <w:bCs/>
                    <w:color w:val="000000"/>
                  </w:rPr>
                  <w:t>☐</w:t>
                </w:r>
              </w:sdtContent>
            </w:sdt>
          </w:p>
        </w:tc>
        <w:tc>
          <w:tcPr>
            <w:tcW w:w="1134" w:type="dxa"/>
            <w:shd w:val="clear" w:color="auto" w:fill="BFBFBF"/>
            <w:vAlign w:val="center"/>
          </w:tcPr>
          <w:p w14:paraId="712A311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6"/>
                <w:id w:val="-1575776103"/>
              </w:sdtPr>
              <w:sdtContent>
                <w:r>
                  <w:rPr>
                    <w:rFonts w:ascii="Arial Unicode MS" w:eastAsia="Arial Unicode MS" w:hAnsi="Arial Unicode MS" w:cs="Arial Unicode MS"/>
                    <w:b/>
                    <w:bCs/>
                    <w:color w:val="000000"/>
                  </w:rPr>
                  <w:t>☐</w:t>
                </w:r>
              </w:sdtContent>
            </w:sdt>
          </w:p>
        </w:tc>
      </w:tr>
      <w:tr w:rsidR="003B7A74" w14:paraId="6777ABEC" w14:textId="77777777" w:rsidTr="00293DC6">
        <w:trPr>
          <w:cantSplit/>
          <w:trHeight w:val="403"/>
          <w:tblHeader/>
        </w:trPr>
        <w:tc>
          <w:tcPr>
            <w:tcW w:w="562" w:type="dxa"/>
            <w:shd w:val="clear" w:color="auto" w:fill="F2F2F2"/>
            <w:vAlign w:val="center"/>
          </w:tcPr>
          <w:p w14:paraId="7FC590F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28</w:t>
            </w:r>
          </w:p>
        </w:tc>
        <w:tc>
          <w:tcPr>
            <w:tcW w:w="9154" w:type="dxa"/>
            <w:gridSpan w:val="4"/>
            <w:shd w:val="clear" w:color="auto" w:fill="F2F2F2"/>
            <w:vAlign w:val="center"/>
          </w:tcPr>
          <w:p w14:paraId="595686A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If YESto any question, please provide full details </w:t>
            </w:r>
          </w:p>
        </w:tc>
      </w:tr>
      <w:tr w:rsidR="003B7A74" w14:paraId="454B702C" w14:textId="77777777" w:rsidTr="00293DC6">
        <w:trPr>
          <w:cantSplit/>
          <w:trHeight w:val="403"/>
          <w:tblHeader/>
        </w:trPr>
        <w:tc>
          <w:tcPr>
            <w:tcW w:w="562" w:type="dxa"/>
            <w:vAlign w:val="center"/>
          </w:tcPr>
          <w:p w14:paraId="750B69F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154" w:type="dxa"/>
            <w:gridSpan w:val="4"/>
            <w:vAlign w:val="center"/>
          </w:tcPr>
          <w:p w14:paraId="51ED959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p>
          <w:p w14:paraId="22902F0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1069C8D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bl>
    <w:p w14:paraId="7A1B1010"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p>
    <w:p w14:paraId="7B442BF9"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SECTION F: Anticipated Risks</w:t>
      </w:r>
    </w:p>
    <w:p w14:paraId="0157DA89"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tbl>
      <w:tblPr>
        <w:tblStyle w:val="a8"/>
        <w:tblW w:w="9615" w:type="dxa"/>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341"/>
        <w:gridCol w:w="4678"/>
      </w:tblGrid>
      <w:tr w:rsidR="003B7A74" w14:paraId="50A20E1D" w14:textId="77777777" w:rsidTr="00293DC6">
        <w:trPr>
          <w:cantSplit/>
          <w:tblHeader/>
        </w:trPr>
        <w:tc>
          <w:tcPr>
            <w:tcW w:w="596" w:type="dxa"/>
            <w:tcBorders>
              <w:bottom w:val="single" w:sz="4" w:space="0" w:color="000000"/>
            </w:tcBorders>
            <w:shd w:val="clear" w:color="auto" w:fill="F2F2F2"/>
          </w:tcPr>
          <w:p w14:paraId="22675C9D" w14:textId="77777777" w:rsidR="003B7A74" w:rsidRDefault="003B7A74" w:rsidP="00293DC6">
            <w:pPr>
              <w:pStyle w:val="Normal1"/>
              <w:keepNext/>
              <w:pBdr>
                <w:top w:val="nil"/>
                <w:left w:val="nil"/>
                <w:bottom w:val="nil"/>
                <w:right w:val="nil"/>
                <w:between w:val="nil"/>
              </w:pBdr>
              <w:tabs>
                <w:tab w:val="left" w:pos="5103"/>
              </w:tabs>
              <w:spacing w:after="0" w:line="360" w:lineRule="auto"/>
              <w:rPr>
                <w:rFonts w:ascii="Arial" w:eastAsia="Arial" w:hAnsi="Arial" w:cs="Arial"/>
                <w:color w:val="000000"/>
              </w:rPr>
            </w:pPr>
          </w:p>
        </w:tc>
        <w:tc>
          <w:tcPr>
            <w:tcW w:w="9019" w:type="dxa"/>
            <w:gridSpan w:val="2"/>
            <w:tcBorders>
              <w:bottom w:val="single" w:sz="4" w:space="0" w:color="000000"/>
            </w:tcBorders>
            <w:shd w:val="clear" w:color="auto" w:fill="F2F2F2"/>
          </w:tcPr>
          <w:p w14:paraId="7258B844" w14:textId="77777777" w:rsidR="003B7A74" w:rsidRDefault="003B7A74" w:rsidP="00293DC6">
            <w:pPr>
              <w:pStyle w:val="Normal1"/>
              <w:keepNext/>
              <w:pBdr>
                <w:top w:val="nil"/>
                <w:left w:val="nil"/>
                <w:bottom w:val="nil"/>
                <w:right w:val="nil"/>
                <w:between w:val="nil"/>
              </w:pBdr>
              <w:tabs>
                <w:tab w:val="left" w:pos="5103"/>
              </w:tabs>
              <w:spacing w:after="0" w:line="360" w:lineRule="auto"/>
              <w:rPr>
                <w:rFonts w:ascii="Arial" w:eastAsia="Arial" w:hAnsi="Arial" w:cs="Arial"/>
                <w:b/>
                <w:bCs/>
                <w:color w:val="000000"/>
              </w:rPr>
            </w:pPr>
            <w:r>
              <w:rPr>
                <w:rFonts w:ascii="Arial" w:eastAsia="Arial" w:hAnsi="Arial" w:cs="Arial"/>
                <w:b/>
                <w:bCs/>
                <w:color w:val="000000"/>
              </w:rPr>
              <w:t xml:space="preserve">Outline any anticipated risks that may adversely affect any of the participants, the researchers and/or the University, and the steps that will be taken to address them.  </w:t>
            </w:r>
          </w:p>
        </w:tc>
      </w:tr>
      <w:tr w:rsidR="003B7A74" w14:paraId="08D59C4C" w14:textId="77777777" w:rsidTr="00293DC6">
        <w:trPr>
          <w:cantSplit/>
          <w:tblHeader/>
        </w:trPr>
        <w:tc>
          <w:tcPr>
            <w:tcW w:w="596" w:type="dxa"/>
            <w:tcBorders>
              <w:bottom w:val="single" w:sz="4" w:space="0" w:color="000000"/>
            </w:tcBorders>
            <w:shd w:val="clear" w:color="auto" w:fill="F2F2F2"/>
            <w:vAlign w:val="center"/>
          </w:tcPr>
          <w:p w14:paraId="7404451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w:t>
            </w:r>
          </w:p>
        </w:tc>
        <w:tc>
          <w:tcPr>
            <w:tcW w:w="9019" w:type="dxa"/>
            <w:gridSpan w:val="2"/>
            <w:tcBorders>
              <w:bottom w:val="single" w:sz="4" w:space="0" w:color="000000"/>
            </w:tcBorders>
            <w:shd w:val="clear" w:color="auto" w:fill="F2F2F2"/>
          </w:tcPr>
          <w:p w14:paraId="62DAE23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Risks to participants</w:t>
            </w:r>
          </w:p>
          <w:p w14:paraId="02260D3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color w:val="000000"/>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3B7A74" w14:paraId="18611CE5" w14:textId="77777777" w:rsidTr="00293DC6">
        <w:trPr>
          <w:cantSplit/>
          <w:tblHeader/>
        </w:trPr>
        <w:tc>
          <w:tcPr>
            <w:tcW w:w="596" w:type="dxa"/>
            <w:tcBorders>
              <w:top w:val="single" w:sz="4" w:space="0" w:color="000000"/>
              <w:bottom w:val="single" w:sz="4" w:space="0" w:color="000000"/>
            </w:tcBorders>
            <w:vAlign w:val="center"/>
          </w:tcPr>
          <w:p w14:paraId="05D9D4A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4341" w:type="dxa"/>
            <w:tcBorders>
              <w:top w:val="single" w:sz="4" w:space="0" w:color="000000"/>
              <w:bottom w:val="single" w:sz="4" w:space="0" w:color="000000"/>
            </w:tcBorders>
          </w:tcPr>
          <w:p w14:paraId="10BEAD6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Risk to participants:</w:t>
            </w:r>
          </w:p>
          <w:p w14:paraId="7E0EDDD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1B62B9B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N/A</w:t>
            </w:r>
          </w:p>
          <w:p w14:paraId="357A4A3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4678" w:type="dxa"/>
            <w:tcBorders>
              <w:top w:val="single" w:sz="4" w:space="0" w:color="000000"/>
              <w:bottom w:val="single" w:sz="4" w:space="0" w:color="000000"/>
            </w:tcBorders>
          </w:tcPr>
          <w:p w14:paraId="2F7DD91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r>
              <w:rPr>
                <w:rFonts w:ascii="Arial" w:eastAsia="Arial" w:hAnsi="Arial" w:cs="Arial"/>
                <w:i/>
                <w:iCs/>
                <w:color w:val="000000"/>
              </w:rPr>
              <w:t>How you will mitigate the risk to participants:</w:t>
            </w:r>
          </w:p>
          <w:p w14:paraId="09FD977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p>
          <w:p w14:paraId="60A8FA8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N/A</w:t>
            </w:r>
          </w:p>
          <w:p w14:paraId="4DA0441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p>
        </w:tc>
      </w:tr>
      <w:tr w:rsidR="003B7A74" w14:paraId="089B4A3D" w14:textId="77777777" w:rsidTr="00293DC6">
        <w:trPr>
          <w:cantSplit/>
          <w:tblHeader/>
        </w:trPr>
        <w:tc>
          <w:tcPr>
            <w:tcW w:w="596" w:type="dxa"/>
            <w:tcBorders>
              <w:bottom w:val="single" w:sz="4" w:space="0" w:color="000000"/>
            </w:tcBorders>
            <w:shd w:val="clear" w:color="auto" w:fill="F2F2F2"/>
            <w:vAlign w:val="center"/>
          </w:tcPr>
          <w:p w14:paraId="609E3E4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w:t>
            </w:r>
          </w:p>
        </w:tc>
        <w:tc>
          <w:tcPr>
            <w:tcW w:w="9019" w:type="dxa"/>
            <w:gridSpan w:val="2"/>
            <w:tcBorders>
              <w:bottom w:val="single" w:sz="4" w:space="0" w:color="000000"/>
            </w:tcBorders>
            <w:shd w:val="clear" w:color="auto" w:fill="F2F2F2"/>
          </w:tcPr>
          <w:p w14:paraId="31C90A4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p>
        </w:tc>
      </w:tr>
      <w:tr w:rsidR="003B7A74" w14:paraId="2D93E084" w14:textId="77777777" w:rsidTr="00293DC6">
        <w:trPr>
          <w:cantSplit/>
          <w:trHeight w:val="1107"/>
          <w:tblHeader/>
        </w:trPr>
        <w:tc>
          <w:tcPr>
            <w:tcW w:w="596" w:type="dxa"/>
            <w:tcBorders>
              <w:top w:val="single" w:sz="4" w:space="0" w:color="000000"/>
              <w:bottom w:val="single" w:sz="4" w:space="0" w:color="000000"/>
            </w:tcBorders>
            <w:vAlign w:val="center"/>
          </w:tcPr>
          <w:p w14:paraId="487BCBD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019" w:type="dxa"/>
            <w:gridSpan w:val="2"/>
            <w:tcBorders>
              <w:top w:val="single" w:sz="4" w:space="0" w:color="000000"/>
              <w:bottom w:val="single" w:sz="4" w:space="0" w:color="000000"/>
            </w:tcBorders>
          </w:tcPr>
          <w:p w14:paraId="5047F47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737A284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This is not a sensitive, embarrassing or upsetting topic that would have required collection of data from human participants. </w:t>
            </w:r>
          </w:p>
          <w:p w14:paraId="3068550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r>
      <w:tr w:rsidR="003B7A74" w14:paraId="55F6042D" w14:textId="77777777" w:rsidTr="00293DC6">
        <w:trPr>
          <w:cantSplit/>
          <w:tblHeader/>
        </w:trPr>
        <w:tc>
          <w:tcPr>
            <w:tcW w:w="596" w:type="dxa"/>
            <w:tcBorders>
              <w:top w:val="single" w:sz="4" w:space="0" w:color="000000"/>
              <w:bottom w:val="single" w:sz="4" w:space="0" w:color="000000"/>
            </w:tcBorders>
            <w:shd w:val="clear" w:color="auto" w:fill="F2F2F2"/>
            <w:vAlign w:val="center"/>
          </w:tcPr>
          <w:p w14:paraId="1D18E70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lastRenderedPageBreak/>
              <w:t>3</w:t>
            </w:r>
          </w:p>
        </w:tc>
        <w:tc>
          <w:tcPr>
            <w:tcW w:w="9019" w:type="dxa"/>
            <w:gridSpan w:val="2"/>
            <w:tcBorders>
              <w:top w:val="single" w:sz="4" w:space="0" w:color="000000"/>
              <w:bottom w:val="single" w:sz="4" w:space="0" w:color="000000"/>
            </w:tcBorders>
            <w:shd w:val="clear" w:color="auto" w:fill="F2F2F2"/>
          </w:tcPr>
          <w:p w14:paraId="5F64689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Risks to the investigator</w:t>
            </w:r>
          </w:p>
          <w:p w14:paraId="2A0D294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For example: personal health &amp; safety, physical harm, emotional distress, risk of accusation of harm/impropriety, conflict of interest</w:t>
            </w:r>
          </w:p>
        </w:tc>
      </w:tr>
      <w:tr w:rsidR="003B7A74" w14:paraId="0B8598E9" w14:textId="77777777" w:rsidTr="00293DC6">
        <w:trPr>
          <w:cantSplit/>
          <w:tblHeader/>
        </w:trPr>
        <w:tc>
          <w:tcPr>
            <w:tcW w:w="596" w:type="dxa"/>
            <w:tcBorders>
              <w:top w:val="single" w:sz="4" w:space="0" w:color="000000"/>
              <w:bottom w:val="single" w:sz="4" w:space="0" w:color="000000"/>
            </w:tcBorders>
            <w:vAlign w:val="center"/>
          </w:tcPr>
          <w:p w14:paraId="5A0B1BB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4341" w:type="dxa"/>
            <w:tcBorders>
              <w:top w:val="single" w:sz="4" w:space="0" w:color="000000"/>
              <w:bottom w:val="single" w:sz="4" w:space="0" w:color="000000"/>
            </w:tcBorders>
          </w:tcPr>
          <w:p w14:paraId="7732645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Risk to the investigator:</w:t>
            </w:r>
          </w:p>
          <w:p w14:paraId="63402DED"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The investigator may face some issues due to work pressure, high screen time, or stress due to deadlines. Research bias can also affect the analysis of secondary sources.</w:t>
            </w:r>
          </w:p>
        </w:tc>
        <w:tc>
          <w:tcPr>
            <w:tcW w:w="4678" w:type="dxa"/>
            <w:tcBorders>
              <w:top w:val="single" w:sz="4" w:space="0" w:color="000000"/>
              <w:bottom w:val="single" w:sz="4" w:space="0" w:color="000000"/>
            </w:tcBorders>
          </w:tcPr>
          <w:p w14:paraId="302ED28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r>
              <w:rPr>
                <w:rFonts w:ascii="Arial" w:eastAsia="Arial" w:hAnsi="Arial" w:cs="Arial"/>
                <w:i/>
                <w:iCs/>
                <w:color w:val="000000"/>
              </w:rPr>
              <w:t>How you will mitigate the risk to the investigator:</w:t>
            </w:r>
          </w:p>
          <w:p w14:paraId="0F4EB74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59D99713"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A structured timetable will be followed with regular breaks for the investigator in the data collection and analysis process. Regular meetings with supervisors will also support bias reduction.</w:t>
            </w:r>
          </w:p>
        </w:tc>
      </w:tr>
      <w:tr w:rsidR="003B7A74" w14:paraId="06C1D2CD" w14:textId="77777777" w:rsidTr="00293DC6">
        <w:trPr>
          <w:cantSplit/>
          <w:tblHeader/>
        </w:trPr>
        <w:tc>
          <w:tcPr>
            <w:tcW w:w="596" w:type="dxa"/>
            <w:tcBorders>
              <w:top w:val="single" w:sz="4" w:space="0" w:color="000000"/>
              <w:bottom w:val="single" w:sz="4" w:space="0" w:color="000000"/>
            </w:tcBorders>
            <w:shd w:val="clear" w:color="auto" w:fill="F2F2F2"/>
            <w:vAlign w:val="center"/>
          </w:tcPr>
          <w:p w14:paraId="1F47D06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4</w:t>
            </w:r>
          </w:p>
        </w:tc>
        <w:tc>
          <w:tcPr>
            <w:tcW w:w="9019" w:type="dxa"/>
            <w:gridSpan w:val="2"/>
            <w:tcBorders>
              <w:top w:val="single" w:sz="4" w:space="0" w:color="000000"/>
              <w:bottom w:val="single" w:sz="4" w:space="0" w:color="000000"/>
            </w:tcBorders>
            <w:shd w:val="clear" w:color="auto" w:fill="F2F2F2"/>
          </w:tcPr>
          <w:p w14:paraId="2113BEC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University/institutional risks</w:t>
            </w:r>
          </w:p>
          <w:p w14:paraId="0D8A1E8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For example: adverse publicity, financial loss, data protection</w:t>
            </w:r>
          </w:p>
        </w:tc>
      </w:tr>
      <w:tr w:rsidR="003B7A74" w14:paraId="1EB9780D" w14:textId="77777777" w:rsidTr="00293DC6">
        <w:trPr>
          <w:cantSplit/>
          <w:tblHeader/>
        </w:trPr>
        <w:tc>
          <w:tcPr>
            <w:tcW w:w="596" w:type="dxa"/>
            <w:tcBorders>
              <w:top w:val="single" w:sz="4" w:space="0" w:color="000000"/>
              <w:bottom w:val="single" w:sz="4" w:space="0" w:color="000000"/>
            </w:tcBorders>
            <w:vAlign w:val="center"/>
          </w:tcPr>
          <w:p w14:paraId="54C0A6F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4341" w:type="dxa"/>
            <w:tcBorders>
              <w:top w:val="single" w:sz="4" w:space="0" w:color="000000"/>
              <w:bottom w:val="single" w:sz="4" w:space="0" w:color="000000"/>
            </w:tcBorders>
          </w:tcPr>
          <w:p w14:paraId="7DD216D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Risk to the University:</w:t>
            </w:r>
          </w:p>
          <w:p w14:paraId="7FC2158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53C0F8DE"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Inaccurate analysis, inadequate referencing or inadequate use of published materials can affect academic standards and develop reputational concerns.</w:t>
            </w:r>
          </w:p>
          <w:p w14:paraId="2D183D3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4678" w:type="dxa"/>
            <w:tcBorders>
              <w:top w:val="single" w:sz="4" w:space="0" w:color="000000"/>
              <w:bottom w:val="single" w:sz="4" w:space="0" w:color="000000"/>
            </w:tcBorders>
          </w:tcPr>
          <w:p w14:paraId="15F1DF7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r>
              <w:rPr>
                <w:rFonts w:ascii="Arial" w:eastAsia="Arial" w:hAnsi="Arial" w:cs="Arial"/>
                <w:i/>
                <w:iCs/>
                <w:color w:val="000000"/>
              </w:rPr>
              <w:t>How you will mitigate the risk to the University:</w:t>
            </w:r>
          </w:p>
          <w:p w14:paraId="7B15D82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1013264B"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The study will follow the University ethics guide, academic integrity needs, and consider the importance of referencing.</w:t>
            </w:r>
          </w:p>
          <w:p w14:paraId="49B0CD1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r>
      <w:tr w:rsidR="003B7A74" w14:paraId="497C904F" w14:textId="77777777" w:rsidTr="00293DC6">
        <w:trPr>
          <w:cantSplit/>
          <w:tblHeader/>
        </w:trPr>
        <w:tc>
          <w:tcPr>
            <w:tcW w:w="596" w:type="dxa"/>
            <w:tcBorders>
              <w:top w:val="single" w:sz="4" w:space="0" w:color="000000"/>
              <w:bottom w:val="single" w:sz="4" w:space="0" w:color="000000"/>
            </w:tcBorders>
            <w:shd w:val="clear" w:color="auto" w:fill="F2F2F2"/>
            <w:vAlign w:val="center"/>
          </w:tcPr>
          <w:p w14:paraId="4C3F4C2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5</w:t>
            </w:r>
          </w:p>
        </w:tc>
        <w:tc>
          <w:tcPr>
            <w:tcW w:w="9019" w:type="dxa"/>
            <w:gridSpan w:val="2"/>
            <w:tcBorders>
              <w:top w:val="single" w:sz="4" w:space="0" w:color="000000"/>
              <w:bottom w:val="single" w:sz="4" w:space="0" w:color="000000"/>
            </w:tcBorders>
            <w:shd w:val="clear" w:color="auto" w:fill="F2F2F2"/>
          </w:tcPr>
          <w:p w14:paraId="3358A42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Environmental risks</w:t>
            </w:r>
          </w:p>
          <w:p w14:paraId="6A9DF99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For example: accidental spillage of pollutants, damage to local ecosystems</w:t>
            </w:r>
          </w:p>
        </w:tc>
      </w:tr>
      <w:tr w:rsidR="003B7A74" w14:paraId="4062CF65" w14:textId="77777777" w:rsidTr="00293DC6">
        <w:trPr>
          <w:cantSplit/>
          <w:tblHeader/>
        </w:trPr>
        <w:tc>
          <w:tcPr>
            <w:tcW w:w="596" w:type="dxa"/>
            <w:tcBorders>
              <w:top w:val="single" w:sz="4" w:space="0" w:color="000000"/>
              <w:bottom w:val="single" w:sz="4" w:space="0" w:color="000000"/>
            </w:tcBorders>
            <w:vAlign w:val="center"/>
          </w:tcPr>
          <w:p w14:paraId="4AB915F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4341" w:type="dxa"/>
            <w:tcBorders>
              <w:top w:val="single" w:sz="4" w:space="0" w:color="000000"/>
              <w:bottom w:val="single" w:sz="4" w:space="0" w:color="000000"/>
            </w:tcBorders>
          </w:tcPr>
          <w:p w14:paraId="398C9AD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Risk to the environment:</w:t>
            </w:r>
          </w:p>
          <w:p w14:paraId="621C27F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6D35A849"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Environmental risks are low in this research mainly due to its basis on secondary data only.</w:t>
            </w:r>
          </w:p>
          <w:p w14:paraId="3E85E0E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4678" w:type="dxa"/>
            <w:tcBorders>
              <w:top w:val="single" w:sz="4" w:space="0" w:color="000000"/>
              <w:bottom w:val="single" w:sz="4" w:space="0" w:color="000000"/>
            </w:tcBorders>
          </w:tcPr>
          <w:p w14:paraId="31118C1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rPr>
            </w:pPr>
            <w:r>
              <w:rPr>
                <w:rFonts w:ascii="Arial" w:eastAsia="Arial" w:hAnsi="Arial" w:cs="Arial"/>
                <w:i/>
                <w:iCs/>
                <w:color w:val="000000"/>
              </w:rPr>
              <w:t>How you will mitigate the risk to environment:</w:t>
            </w:r>
          </w:p>
          <w:p w14:paraId="0937C1C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3B1168A0"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Only electronic documents will be used and stored, and printing will be limited for unnecessary environmental damage.</w:t>
            </w:r>
          </w:p>
          <w:p w14:paraId="25E7959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r>
    </w:tbl>
    <w:p w14:paraId="29BB341A"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p w14:paraId="0DCA9E31"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SECTION G: Feedback, Consent and Confidentiality</w:t>
      </w:r>
    </w:p>
    <w:p w14:paraId="312381FD"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p w14:paraId="3A3E85A0"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If you have identified in section D that there are no participants, then enter skip this section and continue to section H.</w:t>
      </w:r>
    </w:p>
    <w:p w14:paraId="0B99263E"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tbl>
      <w:tblPr>
        <w:tblStyle w:val="a9"/>
        <w:tblW w:w="9615" w:type="dxa"/>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019"/>
      </w:tblGrid>
      <w:tr w:rsidR="003B7A74" w14:paraId="69492A9F" w14:textId="77777777" w:rsidTr="00293DC6">
        <w:trPr>
          <w:cantSplit/>
          <w:tblHeader/>
        </w:trPr>
        <w:tc>
          <w:tcPr>
            <w:tcW w:w="596" w:type="dxa"/>
            <w:tcBorders>
              <w:top w:val="single" w:sz="4" w:space="0" w:color="000000"/>
              <w:bottom w:val="single" w:sz="4" w:space="0" w:color="000000"/>
            </w:tcBorders>
            <w:shd w:val="clear" w:color="auto" w:fill="F2F2F2"/>
          </w:tcPr>
          <w:p w14:paraId="0D5CC73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lastRenderedPageBreak/>
              <w:t>1</w:t>
            </w:r>
          </w:p>
        </w:tc>
        <w:tc>
          <w:tcPr>
            <w:tcW w:w="9019" w:type="dxa"/>
            <w:tcBorders>
              <w:top w:val="single" w:sz="4" w:space="0" w:color="000000"/>
              <w:bottom w:val="single" w:sz="4" w:space="0" w:color="000000"/>
            </w:tcBorders>
            <w:shd w:val="clear" w:color="auto" w:fill="F2F2F2"/>
          </w:tcPr>
          <w:p w14:paraId="3B52F5F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Feedback</w:t>
            </w:r>
          </w:p>
          <w:p w14:paraId="78B23FD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What de-briefing and feedback will be provided to participants, how will this be done and when? </w:t>
            </w:r>
          </w:p>
        </w:tc>
      </w:tr>
      <w:tr w:rsidR="003B7A74" w14:paraId="76507D3B" w14:textId="77777777" w:rsidTr="00293DC6">
        <w:trPr>
          <w:cantSplit/>
          <w:tblHeader/>
        </w:trPr>
        <w:tc>
          <w:tcPr>
            <w:tcW w:w="596" w:type="dxa"/>
            <w:tcBorders>
              <w:top w:val="single" w:sz="4" w:space="0" w:color="000000"/>
              <w:bottom w:val="single" w:sz="4" w:space="0" w:color="000000"/>
            </w:tcBorders>
          </w:tcPr>
          <w:p w14:paraId="36F5031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019" w:type="dxa"/>
            <w:tcBorders>
              <w:top w:val="single" w:sz="4" w:space="0" w:color="000000"/>
              <w:bottom w:val="single" w:sz="4" w:space="0" w:color="000000"/>
            </w:tcBorders>
          </w:tcPr>
          <w:p w14:paraId="708416F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You don’t need to email your participants with your final report. A good alternative is to set up an email address that they will be able to contact for further details or results.</w:t>
            </w:r>
          </w:p>
          <w:p w14:paraId="1672EA5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5195AE6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r w:rsidR="003B7A74" w14:paraId="0FCF7483" w14:textId="77777777" w:rsidTr="00293DC6">
        <w:trPr>
          <w:cantSplit/>
          <w:tblHeader/>
        </w:trPr>
        <w:tc>
          <w:tcPr>
            <w:tcW w:w="596" w:type="dxa"/>
            <w:tcBorders>
              <w:top w:val="single" w:sz="4" w:space="0" w:color="000000"/>
              <w:bottom w:val="single" w:sz="4" w:space="0" w:color="000000"/>
            </w:tcBorders>
            <w:shd w:val="clear" w:color="auto" w:fill="F2F2F2"/>
          </w:tcPr>
          <w:p w14:paraId="08E13C2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2</w:t>
            </w:r>
          </w:p>
        </w:tc>
        <w:tc>
          <w:tcPr>
            <w:tcW w:w="9019" w:type="dxa"/>
            <w:tcBorders>
              <w:top w:val="single" w:sz="4" w:space="0" w:color="000000"/>
              <w:bottom w:val="single" w:sz="4" w:space="0" w:color="000000"/>
            </w:tcBorders>
            <w:shd w:val="clear" w:color="auto" w:fill="F2F2F2"/>
          </w:tcPr>
          <w:p w14:paraId="43CD06B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Informed consent</w:t>
            </w:r>
          </w:p>
          <w:p w14:paraId="2B87B24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B7A74" w14:paraId="7F988568" w14:textId="77777777" w:rsidTr="00293DC6">
        <w:trPr>
          <w:cantSplit/>
          <w:tblHeader/>
        </w:trPr>
        <w:tc>
          <w:tcPr>
            <w:tcW w:w="596" w:type="dxa"/>
            <w:tcBorders>
              <w:top w:val="single" w:sz="4" w:space="0" w:color="000000"/>
              <w:bottom w:val="single" w:sz="4" w:space="0" w:color="000000"/>
            </w:tcBorders>
          </w:tcPr>
          <w:p w14:paraId="24B57ED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019" w:type="dxa"/>
            <w:tcBorders>
              <w:top w:val="single" w:sz="4" w:space="0" w:color="000000"/>
              <w:bottom w:val="single" w:sz="4" w:space="0" w:color="000000"/>
            </w:tcBorders>
          </w:tcPr>
          <w:p w14:paraId="61CFA8E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rPr>
            </w:pPr>
            <w:r>
              <w:rPr>
                <w:rFonts w:ascii="Arial" w:eastAsia="Arial" w:hAnsi="Arial" w:cs="Arial"/>
                <w:color w:val="00B050"/>
              </w:rPr>
              <w:t>If you are using a paper questionnaire then you should have the participants sign an appropriate consent form. These forms will count as personal data and should be noted as such in section J.</w:t>
            </w:r>
          </w:p>
          <w:p w14:paraId="768F01C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If you are using an online questionnaire, then you should have a screen before the questions start that acts as a consent form, informing participants that by clicking on the NEXT button they are providing consent.</w:t>
            </w:r>
          </w:p>
          <w:p w14:paraId="6745008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5D32C41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r w:rsidR="003B7A74" w14:paraId="23E0B762" w14:textId="77777777" w:rsidTr="00293DC6">
        <w:trPr>
          <w:cantSplit/>
          <w:tblHeader/>
        </w:trPr>
        <w:tc>
          <w:tcPr>
            <w:tcW w:w="596" w:type="dxa"/>
            <w:tcBorders>
              <w:top w:val="single" w:sz="4" w:space="0" w:color="000000"/>
              <w:bottom w:val="single" w:sz="4" w:space="0" w:color="000000"/>
            </w:tcBorders>
            <w:shd w:val="clear" w:color="auto" w:fill="F2F2F2"/>
          </w:tcPr>
          <w:p w14:paraId="1942E0B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3</w:t>
            </w:r>
          </w:p>
        </w:tc>
        <w:tc>
          <w:tcPr>
            <w:tcW w:w="9019" w:type="dxa"/>
            <w:tcBorders>
              <w:top w:val="single" w:sz="4" w:space="0" w:color="000000"/>
              <w:bottom w:val="single" w:sz="4" w:space="0" w:color="000000"/>
            </w:tcBorders>
            <w:shd w:val="clear" w:color="auto" w:fill="F2F2F2"/>
          </w:tcPr>
          <w:p w14:paraId="35B2AE2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Confidentiality / Anonymity</w:t>
            </w:r>
          </w:p>
          <w:p w14:paraId="22D015C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Set out how anonymity of participants and confidentiality will be ensured in any outputs. If anonymity is not being offered, explain why this is the case. </w:t>
            </w:r>
          </w:p>
        </w:tc>
      </w:tr>
      <w:tr w:rsidR="003B7A74" w14:paraId="507958B4" w14:textId="77777777" w:rsidTr="00293DC6">
        <w:trPr>
          <w:cantSplit/>
          <w:tblHeader/>
        </w:trPr>
        <w:tc>
          <w:tcPr>
            <w:tcW w:w="596" w:type="dxa"/>
            <w:tcBorders>
              <w:top w:val="single" w:sz="4" w:space="0" w:color="000000"/>
              <w:bottom w:val="single" w:sz="4" w:space="0" w:color="000000"/>
            </w:tcBorders>
          </w:tcPr>
          <w:p w14:paraId="7EE7EBA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019" w:type="dxa"/>
            <w:tcBorders>
              <w:top w:val="single" w:sz="4" w:space="0" w:color="000000"/>
              <w:bottom w:val="single" w:sz="4" w:space="0" w:color="000000"/>
            </w:tcBorders>
          </w:tcPr>
          <w:p w14:paraId="2247BF8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rPr>
            </w:pPr>
            <w:r>
              <w:rPr>
                <w:rFonts w:ascii="Arial" w:eastAsia="Arial" w:hAnsi="Arial" w:cs="Arial"/>
                <w:color w:val="00B050"/>
              </w:rPr>
              <w:t>Do not collect names unless you really need them. Do not name participants or organisations in any research publications (including the thesis) without their explicit permission.</w:t>
            </w:r>
          </w:p>
          <w:p w14:paraId="358B8CDD"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45A7C69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bl>
    <w:p w14:paraId="5A4CDBCA"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p>
    <w:p w14:paraId="5198AB86"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SECTION H: Data Protection and Storage</w:t>
      </w:r>
    </w:p>
    <w:p w14:paraId="68F91708"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tbl>
      <w:tblPr>
        <w:tblStyle w:val="aa"/>
        <w:tblW w:w="9728" w:type="dxa"/>
        <w:tblInd w:w="-35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318"/>
        <w:gridCol w:w="709"/>
        <w:gridCol w:w="1134"/>
      </w:tblGrid>
      <w:tr w:rsidR="003B7A74" w14:paraId="51FC5667" w14:textId="77777777" w:rsidTr="00293DC6">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36F5889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7318" w:type="dxa"/>
            <w:tcBorders>
              <w:left w:val="single" w:sz="4" w:space="0" w:color="000000"/>
              <w:bottom w:val="single" w:sz="4" w:space="0" w:color="000000"/>
              <w:right w:val="single" w:sz="4" w:space="0" w:color="000000"/>
            </w:tcBorders>
            <w:shd w:val="clear" w:color="auto" w:fill="F2F2F2"/>
            <w:vAlign w:val="center"/>
          </w:tcPr>
          <w:p w14:paraId="0484E36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Does the research activity involve personal da</w:t>
            </w:r>
            <w:r>
              <w:rPr>
                <w:rFonts w:ascii="Arial" w:eastAsia="Arial" w:hAnsi="Arial" w:cs="Arial"/>
                <w:color w:val="000000"/>
                <w:shd w:val="clear" w:color="auto" w:fill="F2F2F2"/>
              </w:rPr>
              <w:t>t</w:t>
            </w:r>
            <w:r>
              <w:rPr>
                <w:rFonts w:ascii="Arial" w:eastAsia="Arial" w:hAnsi="Arial" w:cs="Arial"/>
                <w:color w:val="000000"/>
              </w:rPr>
              <w:t>a (as defined by the General Data Protection Regulation 2016 “GDPR” and the Data Protection Act 2018 “DPA”)?</w:t>
            </w:r>
          </w:p>
        </w:tc>
        <w:tc>
          <w:tcPr>
            <w:tcW w:w="7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1530F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03B32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6FDCC2FB" w14:textId="77777777" w:rsidTr="00293DC6">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588B7D9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lastRenderedPageBreak/>
              <w:t>1</w:t>
            </w:r>
          </w:p>
        </w:tc>
        <w:tc>
          <w:tcPr>
            <w:tcW w:w="7318" w:type="dxa"/>
            <w:tcBorders>
              <w:left w:val="single" w:sz="4" w:space="0" w:color="000000"/>
              <w:bottom w:val="single" w:sz="4" w:space="0" w:color="000000"/>
              <w:right w:val="single" w:sz="4" w:space="0" w:color="000000"/>
            </w:tcBorders>
            <w:shd w:val="clear" w:color="auto" w:fill="F2F2F2"/>
            <w:vAlign w:val="center"/>
          </w:tcPr>
          <w:p w14:paraId="7A5DF154" w14:textId="77777777" w:rsidR="003B7A74" w:rsidRDefault="003B7A74" w:rsidP="00293DC6">
            <w:pPr>
              <w:pStyle w:val="Normal1"/>
              <w:pBdr>
                <w:top w:val="nil"/>
                <w:left w:val="nil"/>
                <w:bottom w:val="nil"/>
                <w:right w:val="nil"/>
                <w:between w:val="nil"/>
              </w:pBdr>
              <w:spacing w:after="0" w:line="360" w:lineRule="auto"/>
              <w:ind w:left="567" w:right="567"/>
              <w:rPr>
                <w:rFonts w:ascii="Arial" w:eastAsia="Arial" w:hAnsi="Arial" w:cs="Arial"/>
                <w:color w:val="000000"/>
              </w:rPr>
            </w:pPr>
            <w:r>
              <w:rPr>
                <w:rFonts w:ascii="Arial" w:eastAsia="Arial" w:hAnsi="Arial" w:cs="Arial"/>
                <w:b/>
                <w:bCs/>
                <w:i/>
                <w:iCs/>
                <w:color w:val="000000"/>
              </w:rPr>
              <w:t xml:space="preserve">“Personal </w:t>
            </w:r>
            <w:proofErr w:type="gramStart"/>
            <w:r>
              <w:rPr>
                <w:rFonts w:ascii="Arial" w:eastAsia="Arial" w:hAnsi="Arial" w:cs="Arial"/>
                <w:b/>
                <w:bCs/>
                <w:i/>
                <w:iCs/>
                <w:color w:val="000000"/>
              </w:rPr>
              <w:t>data”</w:t>
            </w:r>
            <w:r>
              <w:rPr>
                <w:rFonts w:ascii="Arial" w:eastAsia="Arial" w:hAnsi="Arial" w:cs="Arial"/>
                <w:i/>
                <w:iCs/>
                <w:color w:val="333333"/>
                <w:shd w:val="clear" w:color="auto" w:fill="F2F2F2"/>
              </w:rPr>
              <w:t>means</w:t>
            </w:r>
            <w:proofErr w:type="gramEnd"/>
            <w:r>
              <w:rPr>
                <w:rFonts w:ascii="Arial" w:eastAsia="Arial" w:hAnsi="Arial" w:cs="Arial"/>
                <w:i/>
                <w:iCs/>
                <w:color w:val="333333"/>
                <w:shd w:val="clear" w:color="auto" w:fill="F2F2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001DC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sdt>
              <w:sdtPr>
                <w:tag w:val="goog_rdk_77"/>
                <w:id w:val="1452886261"/>
              </w:sdtPr>
              <w:sdtContent>
                <w:r>
                  <w:rPr>
                    <w:rFonts w:ascii="Arial Unicode MS" w:eastAsia="Arial Unicode MS" w:hAnsi="Arial Unicode MS" w:cs="Arial Unicode MS"/>
                    <w:b/>
                    <w:bCs/>
                    <w:color w:val="000000"/>
                  </w:rPr>
                  <w:t>☐</w:t>
                </w:r>
              </w:sdtContent>
            </w:sdt>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8405BB" w14:textId="77777777" w:rsidR="003B7A74" w:rsidRDefault="003B7A74" w:rsidP="00293DC6">
            <w:pPr>
              <w:pStyle w:val="Normal1"/>
              <w:numPr>
                <w:ilvl w:val="0"/>
                <w:numId w:val="9"/>
              </w:numPr>
              <w:pBdr>
                <w:top w:val="nil"/>
                <w:left w:val="nil"/>
                <w:bottom w:val="nil"/>
                <w:right w:val="nil"/>
                <w:between w:val="nil"/>
              </w:pBdr>
              <w:spacing w:after="0" w:line="360" w:lineRule="auto"/>
              <w:rPr>
                <w:b/>
                <w:bCs/>
                <w:color w:val="000000"/>
              </w:rPr>
            </w:pPr>
          </w:p>
        </w:tc>
      </w:tr>
      <w:tr w:rsidR="003B7A74" w14:paraId="629813C6" w14:textId="77777777" w:rsidTr="00293DC6">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30F9B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16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8E8B5E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rPr>
              <w:t>If YES, provide adescription of the data and explain why this data needs to be collected:</w:t>
            </w:r>
          </w:p>
        </w:tc>
      </w:tr>
      <w:tr w:rsidR="003B7A74" w14:paraId="3D9BDF4F" w14:textId="77777777" w:rsidTr="00293DC6">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7F3B791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w:t>
            </w:r>
          </w:p>
        </w:tc>
        <w:tc>
          <w:tcPr>
            <w:tcW w:w="9161" w:type="dxa"/>
            <w:gridSpan w:val="3"/>
            <w:tcBorders>
              <w:top w:val="single" w:sz="4" w:space="0" w:color="000000"/>
              <w:left w:val="single" w:sz="4" w:space="0" w:color="000000"/>
              <w:bottom w:val="single" w:sz="4" w:space="0" w:color="000000"/>
              <w:right w:val="single" w:sz="4" w:space="0" w:color="000000"/>
            </w:tcBorders>
            <w:vAlign w:val="center"/>
          </w:tcPr>
          <w:p w14:paraId="27A281E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This includes audio/video data of participants but can also include IP addresses and usernames. Names, addresses and emails also count, as do consent forms.</w:t>
            </w:r>
          </w:p>
          <w:p w14:paraId="205DC36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481DE30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000000"/>
                <w:sz w:val="20"/>
                <w:szCs w:val="20"/>
              </w:rPr>
            </w:pPr>
            <w:r>
              <w:rPr>
                <w:rFonts w:ascii="Arial" w:eastAsia="Arial" w:hAnsi="Arial" w:cs="Arial"/>
                <w:i/>
                <w:iCs/>
                <w:color w:val="808080"/>
                <w:sz w:val="18"/>
                <w:szCs w:val="18"/>
              </w:rPr>
              <w:t>(this box should expand as you type)</w:t>
            </w:r>
          </w:p>
        </w:tc>
      </w:tr>
      <w:tr w:rsidR="003B7A74" w14:paraId="3E10503E" w14:textId="77777777" w:rsidTr="00293DC6">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1FD2AA0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7318" w:type="dxa"/>
            <w:tcBorders>
              <w:left w:val="single" w:sz="4" w:space="0" w:color="000000"/>
              <w:bottom w:val="single" w:sz="4" w:space="0" w:color="000000"/>
              <w:right w:val="single" w:sz="4" w:space="0" w:color="000000"/>
            </w:tcBorders>
            <w:shd w:val="clear" w:color="auto" w:fill="F2F2F2"/>
            <w:vAlign w:val="center"/>
          </w:tcPr>
          <w:p w14:paraId="6FD1773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rPr>
              <w:t>Does it involve special category data (as defined by the GDPR)?</w:t>
            </w:r>
          </w:p>
        </w:tc>
        <w:tc>
          <w:tcPr>
            <w:tcW w:w="70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D7DE1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70C3B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0B8933CD" w14:textId="77777777" w:rsidTr="00293DC6">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E3266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sz w:val="20"/>
                <w:szCs w:val="20"/>
              </w:rPr>
            </w:pPr>
            <w:r>
              <w:rPr>
                <w:rFonts w:ascii="Arial" w:eastAsia="Arial" w:hAnsi="Arial" w:cs="Arial"/>
                <w:color w:val="000000"/>
                <w:sz w:val="20"/>
                <w:szCs w:val="20"/>
              </w:rPr>
              <w:t>3</w:t>
            </w:r>
          </w:p>
        </w:tc>
        <w:tc>
          <w:tcPr>
            <w:tcW w:w="73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45FD83" w14:textId="77777777" w:rsidR="003B7A74" w:rsidRDefault="003B7A74" w:rsidP="00293DC6">
            <w:pPr>
              <w:pStyle w:val="Normal1"/>
              <w:pBdr>
                <w:top w:val="nil"/>
                <w:left w:val="nil"/>
                <w:bottom w:val="nil"/>
                <w:right w:val="nil"/>
                <w:between w:val="nil"/>
              </w:pBdr>
              <w:spacing w:after="0" w:line="360" w:lineRule="auto"/>
              <w:ind w:left="567" w:right="567"/>
              <w:rPr>
                <w:rFonts w:ascii="Arial" w:eastAsia="Arial" w:hAnsi="Arial" w:cs="Arial"/>
                <w:color w:val="000000"/>
                <w:sz w:val="24"/>
                <w:szCs w:val="24"/>
              </w:rPr>
            </w:pPr>
            <w:r>
              <w:rPr>
                <w:rFonts w:ascii="Arial" w:eastAsia="Arial" w:hAnsi="Arial" w:cs="Arial"/>
                <w:b/>
                <w:bCs/>
                <w:i/>
                <w:iCs/>
                <w:color w:val="000000"/>
                <w:sz w:val="20"/>
                <w:szCs w:val="20"/>
              </w:rPr>
              <w:t>“Special category data”</w:t>
            </w:r>
            <w:r>
              <w:rPr>
                <w:rFonts w:ascii="Arial" w:eastAsia="Arial" w:hAnsi="Arial" w:cs="Arial"/>
                <w:i/>
                <w:iCs/>
                <w:color w:val="000000"/>
                <w:sz w:val="20"/>
                <w:szCs w:val="20"/>
              </w:rPr>
              <w:t xml:space="preserve"> means sensitive personal data consisting of information as to the data </w:t>
            </w:r>
            <w:proofErr w:type="gramStart"/>
            <w:r>
              <w:rPr>
                <w:rFonts w:ascii="Arial" w:eastAsia="Arial" w:hAnsi="Arial" w:cs="Arial"/>
                <w:i/>
                <w:iCs/>
                <w:color w:val="000000"/>
                <w:sz w:val="20"/>
                <w:szCs w:val="20"/>
              </w:rPr>
              <w:t>subjects’</w:t>
            </w:r>
            <w:proofErr w:type="gramEnd"/>
            <w:r>
              <w:rPr>
                <w:rFonts w:ascii="Arial" w:eastAsia="Arial" w:hAnsi="Arial" w:cs="Arial"/>
                <w:i/>
                <w:iCs/>
                <w:color w:val="000000"/>
                <w:sz w:val="20"/>
                <w:szCs w:val="20"/>
              </w:rPr>
              <w:t xml:space="preserve"> –</w:t>
            </w:r>
          </w:p>
          <w:p w14:paraId="2B1B633B"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(a) racial or ethnic origin,</w:t>
            </w:r>
          </w:p>
          <w:p w14:paraId="54BAA3B3"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(b) political opinions,</w:t>
            </w:r>
          </w:p>
          <w:p w14:paraId="1726FEFE"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(c) religious beliefs or other beliefs of a similar nature,</w:t>
            </w:r>
          </w:p>
          <w:p w14:paraId="4E111E81"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(d) membership of a trade union (within the meaning of the Trade Union and Labour Relations (Consolidation) Act 1992),</w:t>
            </w:r>
          </w:p>
          <w:p w14:paraId="01CC189A"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(e) physical or mental health or condition,</w:t>
            </w:r>
          </w:p>
          <w:p w14:paraId="0DD88857"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(f) sexual life,</w:t>
            </w:r>
          </w:p>
          <w:p w14:paraId="46F33485"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color w:val="000000"/>
                <w:sz w:val="24"/>
                <w:szCs w:val="24"/>
              </w:rPr>
            </w:pPr>
            <w:r>
              <w:rPr>
                <w:rFonts w:ascii="Arial" w:eastAsia="Arial" w:hAnsi="Arial" w:cs="Arial"/>
                <w:i/>
                <w:iCs/>
                <w:color w:val="000000"/>
                <w:sz w:val="20"/>
                <w:szCs w:val="20"/>
              </w:rPr>
              <w:t>(g) genetics,</w:t>
            </w:r>
          </w:p>
          <w:p w14:paraId="7B32A4A9" w14:textId="77777777" w:rsidR="003B7A74" w:rsidRDefault="003B7A74" w:rsidP="00293DC6">
            <w:pPr>
              <w:pStyle w:val="Normal1"/>
              <w:pBdr>
                <w:top w:val="nil"/>
                <w:left w:val="nil"/>
                <w:bottom w:val="nil"/>
                <w:right w:val="nil"/>
                <w:between w:val="nil"/>
              </w:pBdr>
              <w:spacing w:after="0" w:line="360" w:lineRule="auto"/>
              <w:ind w:left="1134" w:right="567"/>
              <w:rPr>
                <w:rFonts w:ascii="Arial" w:eastAsia="Arial" w:hAnsi="Arial" w:cs="Arial"/>
                <w:i/>
                <w:iCs/>
                <w:color w:val="000000"/>
                <w:sz w:val="20"/>
                <w:szCs w:val="20"/>
              </w:rPr>
            </w:pPr>
            <w:r>
              <w:rPr>
                <w:rFonts w:ascii="Arial" w:eastAsia="Arial" w:hAnsi="Arial" w:cs="Arial"/>
                <w:i/>
                <w:iCs/>
                <w:color w:val="000000"/>
                <w:sz w:val="20"/>
                <w:szCs w:val="20"/>
              </w:rPr>
              <w:t>(h) biometric data (as used for ID purposes),</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E3D92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p>
          <w:p w14:paraId="200DE35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sz w:val="24"/>
                <w:szCs w:val="24"/>
              </w:rPr>
            </w:pPr>
            <w:sdt>
              <w:sdtPr>
                <w:tag w:val="goog_rdk_78"/>
                <w:id w:val="-1690752005"/>
              </w:sdtPr>
              <w:sdtContent>
                <w:r>
                  <w:rPr>
                    <w:rFonts w:ascii="Arial Unicode MS" w:eastAsia="Arial Unicode MS" w:hAnsi="Arial Unicode MS" w:cs="Arial Unicode MS"/>
                    <w:b/>
                    <w:bCs/>
                    <w:color w:val="000000"/>
                  </w:rPr>
                  <w:t>☐</w:t>
                </w:r>
              </w:sdtContent>
            </w:sdt>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D843D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p>
          <w:p w14:paraId="36AFA63D"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sz w:val="24"/>
                <w:szCs w:val="24"/>
              </w:rPr>
            </w:pPr>
          </w:p>
        </w:tc>
      </w:tr>
      <w:tr w:rsidR="003B7A74" w14:paraId="4DF2861B" w14:textId="77777777" w:rsidTr="00293DC6">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94F77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16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2E59E3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rPr>
              <w:t>If YES, provide adescription of the special category data and explain why this data needs to be collected:</w:t>
            </w:r>
          </w:p>
        </w:tc>
      </w:tr>
      <w:tr w:rsidR="003B7A74" w14:paraId="2494099E" w14:textId="77777777" w:rsidTr="00293DC6">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vAlign w:val="center"/>
          </w:tcPr>
          <w:p w14:paraId="6C0F9E8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4</w:t>
            </w:r>
          </w:p>
        </w:tc>
        <w:tc>
          <w:tcPr>
            <w:tcW w:w="9161" w:type="dxa"/>
            <w:gridSpan w:val="3"/>
            <w:tcBorders>
              <w:top w:val="single" w:sz="4" w:space="0" w:color="000000"/>
              <w:left w:val="single" w:sz="4" w:space="0" w:color="000000"/>
              <w:bottom w:val="single" w:sz="4" w:space="0" w:color="000000"/>
              <w:right w:val="single" w:sz="4" w:space="0" w:color="000000"/>
            </w:tcBorders>
            <w:vAlign w:val="center"/>
          </w:tcPr>
          <w:p w14:paraId="2E40E63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sz w:val="24"/>
                <w:szCs w:val="24"/>
              </w:rPr>
            </w:pPr>
            <w:r>
              <w:rPr>
                <w:rFonts w:ascii="Arial" w:eastAsia="Arial" w:hAnsi="Arial" w:cs="Arial"/>
                <w:color w:val="00B050"/>
              </w:rPr>
              <w:t>What counts as ‘sensitive’ will differ between cultures. Any information on behaviour that is not in accordance with cultural norms would count as sensitive personal data.</w:t>
            </w:r>
          </w:p>
          <w:p w14:paraId="0ACD026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75E31B1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bl>
    <w:p w14:paraId="5E41C365"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tbl>
      <w:tblPr>
        <w:tblStyle w:val="ab"/>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744"/>
        <w:gridCol w:w="1134"/>
        <w:gridCol w:w="1620"/>
      </w:tblGrid>
      <w:tr w:rsidR="003B7A74" w14:paraId="6195FE84" w14:textId="77777777" w:rsidTr="00293DC6">
        <w:trPr>
          <w:cantSplit/>
          <w:trHeight w:val="439"/>
          <w:tblHeader/>
          <w:jc w:val="center"/>
        </w:trPr>
        <w:tc>
          <w:tcPr>
            <w:tcW w:w="562" w:type="dxa"/>
            <w:shd w:val="clear" w:color="auto" w:fill="F2F2F2"/>
            <w:vAlign w:val="center"/>
          </w:tcPr>
          <w:p w14:paraId="1BF1E11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6744" w:type="dxa"/>
            <w:shd w:val="clear" w:color="auto" w:fill="F2F2F2"/>
          </w:tcPr>
          <w:p w14:paraId="295522A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Will data from the research activity (collected data, drafts of the thesis, or materials for publication) be stored in any of the following ways?</w:t>
            </w:r>
          </w:p>
        </w:tc>
        <w:tc>
          <w:tcPr>
            <w:tcW w:w="1134" w:type="dxa"/>
            <w:shd w:val="clear" w:color="auto" w:fill="F2F2F2"/>
          </w:tcPr>
          <w:p w14:paraId="421FE8D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620" w:type="dxa"/>
            <w:shd w:val="clear" w:color="auto" w:fill="F2F2F2"/>
          </w:tcPr>
          <w:p w14:paraId="5D3551F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480AF022" w14:textId="77777777" w:rsidTr="00293DC6">
        <w:trPr>
          <w:cantSplit/>
          <w:trHeight w:val="439"/>
          <w:tblHeader/>
          <w:jc w:val="center"/>
        </w:trPr>
        <w:tc>
          <w:tcPr>
            <w:tcW w:w="562" w:type="dxa"/>
            <w:shd w:val="clear" w:color="auto" w:fill="F2F2F2"/>
            <w:vAlign w:val="center"/>
          </w:tcPr>
          <w:p w14:paraId="5251F7F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lastRenderedPageBreak/>
              <w:t>5</w:t>
            </w:r>
          </w:p>
        </w:tc>
        <w:tc>
          <w:tcPr>
            <w:tcW w:w="6744" w:type="dxa"/>
            <w:shd w:val="clear" w:color="auto" w:fill="F2F2F2"/>
            <w:vAlign w:val="center"/>
          </w:tcPr>
          <w:p w14:paraId="2DA30C7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Manual files (i.e. in paper form)?</w:t>
            </w:r>
          </w:p>
        </w:tc>
        <w:tc>
          <w:tcPr>
            <w:tcW w:w="1134" w:type="dxa"/>
            <w:shd w:val="clear" w:color="auto" w:fill="BFBFBF"/>
          </w:tcPr>
          <w:p w14:paraId="6322C2A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79"/>
                <w:id w:val="19811021"/>
              </w:sdtPr>
              <w:sdtContent>
                <w:r>
                  <w:rPr>
                    <w:rFonts w:ascii="Arial Unicode MS" w:eastAsia="Arial Unicode MS" w:hAnsi="Arial Unicode MS" w:cs="Arial Unicode MS"/>
                    <w:b/>
                    <w:bCs/>
                    <w:color w:val="000000"/>
                  </w:rPr>
                  <w:t>☐</w:t>
                </w:r>
              </w:sdtContent>
            </w:sdt>
          </w:p>
        </w:tc>
        <w:tc>
          <w:tcPr>
            <w:tcW w:w="1620" w:type="dxa"/>
            <w:shd w:val="clear" w:color="auto" w:fill="BFBFBF"/>
          </w:tcPr>
          <w:p w14:paraId="4792065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0"/>
                <w:id w:val="1322085146"/>
              </w:sdtPr>
              <w:sdtContent>
                <w:r>
                  <w:rPr>
                    <w:rFonts w:ascii="Arial Unicode MS" w:eastAsia="Arial Unicode MS" w:hAnsi="Arial Unicode MS" w:cs="Arial Unicode MS"/>
                    <w:b/>
                    <w:bCs/>
                    <w:color w:val="000000"/>
                  </w:rPr>
                  <w:t>☐</w:t>
                </w:r>
              </w:sdtContent>
            </w:sdt>
          </w:p>
        </w:tc>
      </w:tr>
      <w:tr w:rsidR="003B7A74" w14:paraId="442A917C" w14:textId="77777777" w:rsidTr="00293DC6">
        <w:trPr>
          <w:cantSplit/>
          <w:trHeight w:val="403"/>
          <w:tblHeader/>
          <w:jc w:val="center"/>
        </w:trPr>
        <w:tc>
          <w:tcPr>
            <w:tcW w:w="562" w:type="dxa"/>
            <w:shd w:val="clear" w:color="auto" w:fill="F2F2F2"/>
            <w:vAlign w:val="center"/>
          </w:tcPr>
          <w:p w14:paraId="66AB13B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6</w:t>
            </w:r>
          </w:p>
        </w:tc>
        <w:tc>
          <w:tcPr>
            <w:tcW w:w="6744" w:type="dxa"/>
            <w:shd w:val="clear" w:color="auto" w:fill="F2F2F2"/>
            <w:vAlign w:val="center"/>
          </w:tcPr>
          <w:p w14:paraId="4C20BC6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University computers?</w:t>
            </w:r>
          </w:p>
        </w:tc>
        <w:tc>
          <w:tcPr>
            <w:tcW w:w="1134" w:type="dxa"/>
            <w:shd w:val="clear" w:color="auto" w:fill="BFBFBF"/>
          </w:tcPr>
          <w:p w14:paraId="1EE9BD7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Quattrocento Sans" w:eastAsia="Quattrocento Sans" w:hAnsi="Quattrocento Sans" w:cs="Quattrocento Sans"/>
                <w:b/>
                <w:bCs/>
                <w:color w:val="000000"/>
              </w:rPr>
              <w:t>🗸</w:t>
            </w:r>
          </w:p>
        </w:tc>
        <w:tc>
          <w:tcPr>
            <w:tcW w:w="1620" w:type="dxa"/>
            <w:shd w:val="clear" w:color="auto" w:fill="BFBFBF"/>
          </w:tcPr>
          <w:p w14:paraId="0815B76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1"/>
                <w:id w:val="-170845655"/>
              </w:sdtPr>
              <w:sdtContent>
                <w:r>
                  <w:rPr>
                    <w:rFonts w:ascii="Arial Unicode MS" w:eastAsia="Arial Unicode MS" w:hAnsi="Arial Unicode MS" w:cs="Arial Unicode MS"/>
                    <w:b/>
                    <w:bCs/>
                    <w:color w:val="000000"/>
                  </w:rPr>
                  <w:t>☐</w:t>
                </w:r>
              </w:sdtContent>
            </w:sdt>
          </w:p>
        </w:tc>
      </w:tr>
      <w:tr w:rsidR="003B7A74" w14:paraId="6920F6FF" w14:textId="77777777" w:rsidTr="00293DC6">
        <w:trPr>
          <w:cantSplit/>
          <w:trHeight w:val="439"/>
          <w:tblHeader/>
          <w:jc w:val="center"/>
        </w:trPr>
        <w:tc>
          <w:tcPr>
            <w:tcW w:w="562" w:type="dxa"/>
            <w:shd w:val="clear" w:color="auto" w:fill="F2F2F2"/>
            <w:vAlign w:val="center"/>
          </w:tcPr>
          <w:p w14:paraId="301C276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7</w:t>
            </w:r>
          </w:p>
        </w:tc>
        <w:tc>
          <w:tcPr>
            <w:tcW w:w="6744" w:type="dxa"/>
            <w:shd w:val="clear" w:color="auto" w:fill="F2F2F2"/>
            <w:vAlign w:val="center"/>
          </w:tcPr>
          <w:p w14:paraId="4321513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Private company computers?</w:t>
            </w:r>
          </w:p>
        </w:tc>
        <w:tc>
          <w:tcPr>
            <w:tcW w:w="1134" w:type="dxa"/>
            <w:shd w:val="clear" w:color="auto" w:fill="BFBFBF"/>
          </w:tcPr>
          <w:p w14:paraId="7035BC4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2"/>
                <w:id w:val="253151364"/>
              </w:sdtPr>
              <w:sdtContent>
                <w:r>
                  <w:rPr>
                    <w:rFonts w:ascii="Arial Unicode MS" w:eastAsia="Arial Unicode MS" w:hAnsi="Arial Unicode MS" w:cs="Arial Unicode MS"/>
                    <w:b/>
                    <w:bCs/>
                    <w:color w:val="000000"/>
                  </w:rPr>
                  <w:t>☐</w:t>
                </w:r>
              </w:sdtContent>
            </w:sdt>
          </w:p>
        </w:tc>
        <w:tc>
          <w:tcPr>
            <w:tcW w:w="1620" w:type="dxa"/>
            <w:shd w:val="clear" w:color="auto" w:fill="BFBFBF"/>
          </w:tcPr>
          <w:p w14:paraId="58845E4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3"/>
                <w:id w:val="-396334080"/>
              </w:sdtPr>
              <w:sdtContent>
                <w:r>
                  <w:rPr>
                    <w:rFonts w:ascii="Arial Unicode MS" w:eastAsia="Arial Unicode MS" w:hAnsi="Arial Unicode MS" w:cs="Arial Unicode MS"/>
                    <w:b/>
                    <w:bCs/>
                    <w:color w:val="000000"/>
                  </w:rPr>
                  <w:t>☐</w:t>
                </w:r>
              </w:sdtContent>
            </w:sdt>
          </w:p>
        </w:tc>
      </w:tr>
      <w:tr w:rsidR="003B7A74" w14:paraId="276D419E" w14:textId="77777777" w:rsidTr="00293DC6">
        <w:trPr>
          <w:cantSplit/>
          <w:trHeight w:val="403"/>
          <w:tblHeader/>
          <w:jc w:val="center"/>
        </w:trPr>
        <w:tc>
          <w:tcPr>
            <w:tcW w:w="562" w:type="dxa"/>
            <w:shd w:val="clear" w:color="auto" w:fill="F2F2F2"/>
            <w:vAlign w:val="center"/>
          </w:tcPr>
          <w:p w14:paraId="30B0797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8</w:t>
            </w:r>
          </w:p>
        </w:tc>
        <w:tc>
          <w:tcPr>
            <w:tcW w:w="6744" w:type="dxa"/>
            <w:shd w:val="clear" w:color="auto" w:fill="F2F2F2"/>
            <w:vAlign w:val="center"/>
          </w:tcPr>
          <w:p w14:paraId="7D319CF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Home or other personal computers?</w:t>
            </w:r>
          </w:p>
        </w:tc>
        <w:tc>
          <w:tcPr>
            <w:tcW w:w="1134" w:type="dxa"/>
            <w:shd w:val="clear" w:color="auto" w:fill="BFBFBF"/>
          </w:tcPr>
          <w:p w14:paraId="73602A9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Quattrocento Sans" w:eastAsia="Quattrocento Sans" w:hAnsi="Quattrocento Sans" w:cs="Quattrocento Sans"/>
                <w:b/>
                <w:bCs/>
                <w:color w:val="000000"/>
              </w:rPr>
              <w:t>🗸</w:t>
            </w:r>
          </w:p>
        </w:tc>
        <w:tc>
          <w:tcPr>
            <w:tcW w:w="1620" w:type="dxa"/>
            <w:shd w:val="clear" w:color="auto" w:fill="BFBFBF"/>
          </w:tcPr>
          <w:p w14:paraId="4B4EC1C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4"/>
                <w:id w:val="-696994611"/>
              </w:sdtPr>
              <w:sdtContent>
                <w:r>
                  <w:rPr>
                    <w:rFonts w:ascii="Arial Unicode MS" w:eastAsia="Arial Unicode MS" w:hAnsi="Arial Unicode MS" w:cs="Arial Unicode MS"/>
                    <w:b/>
                    <w:bCs/>
                    <w:color w:val="000000"/>
                  </w:rPr>
                  <w:t>☐</w:t>
                </w:r>
              </w:sdtContent>
            </w:sdt>
          </w:p>
        </w:tc>
      </w:tr>
      <w:tr w:rsidR="003B7A74" w14:paraId="5A376309" w14:textId="77777777" w:rsidTr="00293DC6">
        <w:trPr>
          <w:cantSplit/>
          <w:trHeight w:val="403"/>
          <w:tblHeader/>
          <w:jc w:val="center"/>
        </w:trPr>
        <w:tc>
          <w:tcPr>
            <w:tcW w:w="562" w:type="dxa"/>
            <w:shd w:val="clear" w:color="auto" w:fill="F2F2F2"/>
            <w:vAlign w:val="center"/>
          </w:tcPr>
          <w:p w14:paraId="257B1F1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9</w:t>
            </w:r>
          </w:p>
        </w:tc>
        <w:tc>
          <w:tcPr>
            <w:tcW w:w="6744" w:type="dxa"/>
            <w:shd w:val="clear" w:color="auto" w:fill="F2F2F2"/>
            <w:vAlign w:val="center"/>
          </w:tcPr>
          <w:p w14:paraId="7F63B2C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Laptop computers/ CDs/ Portable disk-drives/ memory sticks?</w:t>
            </w:r>
          </w:p>
        </w:tc>
        <w:tc>
          <w:tcPr>
            <w:tcW w:w="1134" w:type="dxa"/>
            <w:shd w:val="clear" w:color="auto" w:fill="BFBFBF"/>
          </w:tcPr>
          <w:p w14:paraId="2ECD7F5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5"/>
                <w:id w:val="-1770798710"/>
              </w:sdtPr>
              <w:sdtContent>
                <w:r>
                  <w:rPr>
                    <w:rFonts w:ascii="Arial Unicode MS" w:eastAsia="Arial Unicode MS" w:hAnsi="Arial Unicode MS" w:cs="Arial Unicode MS"/>
                    <w:b/>
                    <w:bCs/>
                    <w:color w:val="000000"/>
                  </w:rPr>
                  <w:t>☐</w:t>
                </w:r>
              </w:sdtContent>
            </w:sdt>
          </w:p>
        </w:tc>
        <w:tc>
          <w:tcPr>
            <w:tcW w:w="1620" w:type="dxa"/>
            <w:shd w:val="clear" w:color="auto" w:fill="BFBFBF"/>
          </w:tcPr>
          <w:p w14:paraId="1C99FAC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6"/>
                <w:id w:val="-2119952246"/>
              </w:sdtPr>
              <w:sdtContent>
                <w:r>
                  <w:rPr>
                    <w:rFonts w:ascii="Arial Unicode MS" w:eastAsia="Arial Unicode MS" w:hAnsi="Arial Unicode MS" w:cs="Arial Unicode MS"/>
                    <w:b/>
                    <w:bCs/>
                    <w:color w:val="000000"/>
                  </w:rPr>
                  <w:t>☐</w:t>
                </w:r>
              </w:sdtContent>
            </w:sdt>
          </w:p>
        </w:tc>
      </w:tr>
      <w:tr w:rsidR="003B7A74" w14:paraId="3FE421A8" w14:textId="77777777" w:rsidTr="00293DC6">
        <w:trPr>
          <w:cantSplit/>
          <w:trHeight w:val="403"/>
          <w:tblHeader/>
          <w:jc w:val="center"/>
        </w:trPr>
        <w:tc>
          <w:tcPr>
            <w:tcW w:w="562" w:type="dxa"/>
            <w:shd w:val="clear" w:color="auto" w:fill="F2F2F2"/>
            <w:vAlign w:val="center"/>
          </w:tcPr>
          <w:p w14:paraId="19DF44E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10</w:t>
            </w:r>
          </w:p>
        </w:tc>
        <w:tc>
          <w:tcPr>
            <w:tcW w:w="6744" w:type="dxa"/>
            <w:shd w:val="clear" w:color="auto" w:fill="F2F2F2"/>
            <w:vAlign w:val="center"/>
          </w:tcPr>
          <w:p w14:paraId="2564578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“Cloud” storage or websites?</w:t>
            </w:r>
          </w:p>
        </w:tc>
        <w:tc>
          <w:tcPr>
            <w:tcW w:w="1134" w:type="dxa"/>
            <w:shd w:val="clear" w:color="auto" w:fill="BFBFBF"/>
          </w:tcPr>
          <w:p w14:paraId="157F5DB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7"/>
                <w:id w:val="1611110211"/>
              </w:sdtPr>
              <w:sdtContent>
                <w:r>
                  <w:rPr>
                    <w:rFonts w:ascii="Arial Unicode MS" w:eastAsia="Arial Unicode MS" w:hAnsi="Arial Unicode MS" w:cs="Arial Unicode MS"/>
                    <w:b/>
                    <w:bCs/>
                    <w:color w:val="000000"/>
                  </w:rPr>
                  <w:t>☐</w:t>
                </w:r>
              </w:sdtContent>
            </w:sdt>
          </w:p>
        </w:tc>
        <w:tc>
          <w:tcPr>
            <w:tcW w:w="1620" w:type="dxa"/>
            <w:shd w:val="clear" w:color="auto" w:fill="BFBFBF"/>
          </w:tcPr>
          <w:p w14:paraId="523B16B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8"/>
                <w:id w:val="1773113873"/>
              </w:sdtPr>
              <w:sdtContent>
                <w:r>
                  <w:rPr>
                    <w:rFonts w:ascii="Arial Unicode MS" w:eastAsia="Arial Unicode MS" w:hAnsi="Arial Unicode MS" w:cs="Arial Unicode MS"/>
                    <w:b/>
                    <w:bCs/>
                    <w:color w:val="000000"/>
                  </w:rPr>
                  <w:t>☐</w:t>
                </w:r>
              </w:sdtContent>
            </w:sdt>
          </w:p>
        </w:tc>
      </w:tr>
      <w:tr w:rsidR="003B7A74" w14:paraId="24929C86" w14:textId="77777777" w:rsidTr="00293DC6">
        <w:trPr>
          <w:cantSplit/>
          <w:trHeight w:val="403"/>
          <w:tblHeader/>
          <w:jc w:val="center"/>
        </w:trPr>
        <w:tc>
          <w:tcPr>
            <w:tcW w:w="562" w:type="dxa"/>
            <w:shd w:val="clear" w:color="auto" w:fill="F2F2F2"/>
            <w:vAlign w:val="center"/>
          </w:tcPr>
          <w:p w14:paraId="2DEC116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11</w:t>
            </w:r>
          </w:p>
        </w:tc>
        <w:tc>
          <w:tcPr>
            <w:tcW w:w="6744" w:type="dxa"/>
            <w:shd w:val="clear" w:color="auto" w:fill="F2F2F2"/>
          </w:tcPr>
          <w:p w14:paraId="54659C4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Other – specify:</w:t>
            </w:r>
          </w:p>
          <w:p w14:paraId="5929182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1134" w:type="dxa"/>
            <w:shd w:val="clear" w:color="auto" w:fill="BFBFBF"/>
            <w:vAlign w:val="center"/>
          </w:tcPr>
          <w:p w14:paraId="18913BA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89"/>
                <w:id w:val="-1428195492"/>
              </w:sdtPr>
              <w:sdtContent>
                <w:r>
                  <w:rPr>
                    <w:rFonts w:ascii="Arial Unicode MS" w:eastAsia="Arial Unicode MS" w:hAnsi="Arial Unicode MS" w:cs="Arial Unicode MS"/>
                    <w:b/>
                    <w:bCs/>
                    <w:color w:val="000000"/>
                  </w:rPr>
                  <w:t>☐</w:t>
                </w:r>
              </w:sdtContent>
            </w:sdt>
          </w:p>
        </w:tc>
        <w:tc>
          <w:tcPr>
            <w:tcW w:w="1620" w:type="dxa"/>
            <w:shd w:val="clear" w:color="auto" w:fill="BFBFBF"/>
            <w:vAlign w:val="center"/>
          </w:tcPr>
          <w:p w14:paraId="16AA768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0"/>
                <w:id w:val="-714813832"/>
              </w:sdtPr>
              <w:sdtContent>
                <w:r>
                  <w:rPr>
                    <w:rFonts w:ascii="Arial Unicode MS" w:eastAsia="Arial Unicode MS" w:hAnsi="Arial Unicode MS" w:cs="Arial Unicode MS"/>
                    <w:b/>
                    <w:bCs/>
                    <w:color w:val="000000"/>
                  </w:rPr>
                  <w:t>☐</w:t>
                </w:r>
              </w:sdtContent>
            </w:sdt>
          </w:p>
        </w:tc>
      </w:tr>
      <w:tr w:rsidR="003B7A74" w14:paraId="05F2D515" w14:textId="77777777" w:rsidTr="00293DC6">
        <w:trPr>
          <w:cantSplit/>
          <w:trHeight w:val="403"/>
          <w:tblHeader/>
          <w:jc w:val="center"/>
        </w:trPr>
        <w:tc>
          <w:tcPr>
            <w:tcW w:w="562" w:type="dxa"/>
            <w:shd w:val="clear" w:color="auto" w:fill="F2F2F2"/>
            <w:vAlign w:val="center"/>
          </w:tcPr>
          <w:p w14:paraId="278B74F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12</w:t>
            </w:r>
          </w:p>
        </w:tc>
        <w:tc>
          <w:tcPr>
            <w:tcW w:w="9498" w:type="dxa"/>
            <w:gridSpan w:val="3"/>
            <w:shd w:val="clear" w:color="auto" w:fill="F2F2F2"/>
          </w:tcPr>
          <w:p w14:paraId="2C1392C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color w:val="000000"/>
              </w:rPr>
              <w:t xml:space="preserve">For all stored data, explain the measures in place to ensure the security of the data collected, data confidentiality, including details of backup procedures, </w:t>
            </w:r>
            <w:r>
              <w:rPr>
                <w:rFonts w:ascii="Arial" w:eastAsia="Arial" w:hAnsi="Arial" w:cs="Arial"/>
                <w:color w:val="000000"/>
                <w:shd w:val="clear" w:color="auto" w:fill="F2F2F2"/>
              </w:rPr>
              <w:t>password</w:t>
            </w:r>
            <w:r>
              <w:rPr>
                <w:rFonts w:ascii="Arial" w:eastAsia="Arial" w:hAnsi="Arial" w:cs="Arial"/>
                <w:color w:val="000000"/>
              </w:rPr>
              <w:t xml:space="preserve"> protection, encryption, anonymisation and pseudonymisation:</w:t>
            </w:r>
          </w:p>
        </w:tc>
      </w:tr>
      <w:tr w:rsidR="003B7A74" w14:paraId="597E21DA" w14:textId="77777777" w:rsidTr="00293DC6">
        <w:trPr>
          <w:cantSplit/>
          <w:trHeight w:val="403"/>
          <w:tblHeader/>
          <w:jc w:val="center"/>
        </w:trPr>
        <w:tc>
          <w:tcPr>
            <w:tcW w:w="562" w:type="dxa"/>
            <w:vAlign w:val="center"/>
          </w:tcPr>
          <w:p w14:paraId="4FE5329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498" w:type="dxa"/>
            <w:gridSpan w:val="3"/>
          </w:tcPr>
          <w:p w14:paraId="26D37C6A"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Research documents, notes, records and analysis files will be stored in secured University system with proper password protection. Access will be also limited, with a focus on encrypted backups to reduce risk for data loss or misuse. Due to the use of secondary data only and no involvement with participants, data anonymisation is not required, yet all data will be managed confidentially.</w:t>
            </w:r>
          </w:p>
          <w:p w14:paraId="1A58BE0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p>
        </w:tc>
      </w:tr>
    </w:tbl>
    <w:p w14:paraId="56E57AD7"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sz w:val="20"/>
          <w:szCs w:val="20"/>
        </w:rPr>
      </w:pPr>
    </w:p>
    <w:tbl>
      <w:tblPr>
        <w:tblStyle w:val="ac"/>
        <w:tblW w:w="9999"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311"/>
        <w:gridCol w:w="850"/>
        <w:gridCol w:w="1276"/>
      </w:tblGrid>
      <w:tr w:rsidR="003B7A74" w14:paraId="330CBA50" w14:textId="77777777" w:rsidTr="00293DC6">
        <w:trPr>
          <w:cantSplit/>
          <w:trHeight w:val="439"/>
          <w:tblHeader/>
        </w:trPr>
        <w:tc>
          <w:tcPr>
            <w:tcW w:w="562" w:type="dxa"/>
            <w:shd w:val="clear" w:color="auto" w:fill="F2F2F2"/>
          </w:tcPr>
          <w:p w14:paraId="3CA6715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c>
          <w:tcPr>
            <w:tcW w:w="9437" w:type="dxa"/>
            <w:gridSpan w:val="3"/>
            <w:shd w:val="clear" w:color="auto" w:fill="F2F2F2"/>
            <w:vAlign w:val="center"/>
          </w:tcPr>
          <w:p w14:paraId="5857956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b/>
                <w:bCs/>
                <w:color w:val="000000"/>
              </w:rPr>
              <w:t>Data Protection</w:t>
            </w:r>
          </w:p>
        </w:tc>
      </w:tr>
      <w:tr w:rsidR="003B7A74" w14:paraId="6363F77E" w14:textId="77777777" w:rsidTr="00293DC6">
        <w:trPr>
          <w:cantSplit/>
          <w:trHeight w:val="439"/>
          <w:tblHeader/>
        </w:trPr>
        <w:tc>
          <w:tcPr>
            <w:tcW w:w="562" w:type="dxa"/>
            <w:shd w:val="clear" w:color="auto" w:fill="F2F2F2"/>
            <w:vAlign w:val="center"/>
          </w:tcPr>
          <w:p w14:paraId="0A5453A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7311" w:type="dxa"/>
            <w:shd w:val="clear" w:color="auto" w:fill="F2F2F2"/>
            <w:vAlign w:val="center"/>
          </w:tcPr>
          <w:p w14:paraId="6018DC5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b/>
                <w:bCs/>
                <w:color w:val="000000"/>
              </w:rPr>
            </w:pPr>
            <w:r>
              <w:rPr>
                <w:rFonts w:ascii="Arial" w:eastAsia="Arial" w:hAnsi="Arial" w:cs="Arial"/>
                <w:color w:val="000000"/>
              </w:rPr>
              <w:t>Will the research activity involve any of the following activities:</w:t>
            </w:r>
          </w:p>
        </w:tc>
        <w:tc>
          <w:tcPr>
            <w:tcW w:w="850" w:type="dxa"/>
            <w:shd w:val="clear" w:color="auto" w:fill="F2F2F2"/>
            <w:vAlign w:val="center"/>
          </w:tcPr>
          <w:p w14:paraId="34C8FC4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276" w:type="dxa"/>
            <w:shd w:val="clear" w:color="auto" w:fill="F2F2F2"/>
            <w:vAlign w:val="center"/>
          </w:tcPr>
          <w:p w14:paraId="1D83C68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r>
      <w:tr w:rsidR="003B7A74" w14:paraId="2DF4DE87" w14:textId="77777777" w:rsidTr="00293DC6">
        <w:trPr>
          <w:cantSplit/>
          <w:trHeight w:val="439"/>
          <w:tblHeader/>
        </w:trPr>
        <w:tc>
          <w:tcPr>
            <w:tcW w:w="562" w:type="dxa"/>
            <w:shd w:val="clear" w:color="auto" w:fill="F2F2F2"/>
            <w:vAlign w:val="center"/>
          </w:tcPr>
          <w:p w14:paraId="0D1A7D6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13</w:t>
            </w:r>
          </w:p>
        </w:tc>
        <w:tc>
          <w:tcPr>
            <w:tcW w:w="7311" w:type="dxa"/>
            <w:shd w:val="clear" w:color="auto" w:fill="F2F2F2"/>
            <w:vAlign w:val="center"/>
          </w:tcPr>
          <w:p w14:paraId="4C4ACAF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Electronic transfer of data in any form?</w:t>
            </w:r>
          </w:p>
        </w:tc>
        <w:tc>
          <w:tcPr>
            <w:tcW w:w="850" w:type="dxa"/>
            <w:shd w:val="clear" w:color="auto" w:fill="BFBFBF"/>
            <w:vAlign w:val="center"/>
          </w:tcPr>
          <w:p w14:paraId="6C583B3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1"/>
                <w:id w:val="917500744"/>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0FE3B71F"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557E6981" w14:textId="77777777" w:rsidTr="00293DC6">
        <w:trPr>
          <w:cantSplit/>
          <w:trHeight w:val="403"/>
          <w:tblHeader/>
        </w:trPr>
        <w:tc>
          <w:tcPr>
            <w:tcW w:w="562" w:type="dxa"/>
            <w:shd w:val="clear" w:color="auto" w:fill="F2F2F2"/>
            <w:vAlign w:val="center"/>
          </w:tcPr>
          <w:p w14:paraId="2609B8B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14</w:t>
            </w:r>
          </w:p>
        </w:tc>
        <w:tc>
          <w:tcPr>
            <w:tcW w:w="7311" w:type="dxa"/>
            <w:shd w:val="clear" w:color="auto" w:fill="F2F2F2"/>
            <w:vAlign w:val="center"/>
          </w:tcPr>
          <w:p w14:paraId="5DFFE58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Sharing of data with others at the University outside of the immediate research team?</w:t>
            </w:r>
          </w:p>
        </w:tc>
        <w:tc>
          <w:tcPr>
            <w:tcW w:w="850" w:type="dxa"/>
            <w:shd w:val="clear" w:color="auto" w:fill="BFBFBF"/>
            <w:vAlign w:val="center"/>
          </w:tcPr>
          <w:p w14:paraId="3D15237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2"/>
                <w:id w:val="333096469"/>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6EFF5C22"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64F31DE8" w14:textId="77777777" w:rsidTr="00293DC6">
        <w:trPr>
          <w:cantSplit/>
          <w:trHeight w:val="439"/>
          <w:tblHeader/>
        </w:trPr>
        <w:tc>
          <w:tcPr>
            <w:tcW w:w="562" w:type="dxa"/>
            <w:shd w:val="clear" w:color="auto" w:fill="F2F2F2"/>
            <w:vAlign w:val="center"/>
          </w:tcPr>
          <w:p w14:paraId="6DA25C1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15</w:t>
            </w:r>
          </w:p>
        </w:tc>
        <w:tc>
          <w:tcPr>
            <w:tcW w:w="7311" w:type="dxa"/>
            <w:shd w:val="clear" w:color="auto" w:fill="F2F2F2"/>
            <w:vAlign w:val="center"/>
          </w:tcPr>
          <w:p w14:paraId="08B3E39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Sharing of data with other organisations?</w:t>
            </w:r>
          </w:p>
        </w:tc>
        <w:tc>
          <w:tcPr>
            <w:tcW w:w="850" w:type="dxa"/>
            <w:shd w:val="clear" w:color="auto" w:fill="BFBFBF"/>
            <w:vAlign w:val="center"/>
          </w:tcPr>
          <w:p w14:paraId="782E7D1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3"/>
                <w:id w:val="1220463929"/>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2A825492"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62E56878" w14:textId="77777777" w:rsidTr="00293DC6">
        <w:trPr>
          <w:cantSplit/>
          <w:trHeight w:val="403"/>
          <w:tblHeader/>
        </w:trPr>
        <w:tc>
          <w:tcPr>
            <w:tcW w:w="562" w:type="dxa"/>
            <w:shd w:val="clear" w:color="auto" w:fill="F2F2F2"/>
            <w:vAlign w:val="center"/>
          </w:tcPr>
          <w:p w14:paraId="5DCF485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16</w:t>
            </w:r>
          </w:p>
        </w:tc>
        <w:tc>
          <w:tcPr>
            <w:tcW w:w="7311" w:type="dxa"/>
            <w:shd w:val="clear" w:color="auto" w:fill="F2F2F2"/>
            <w:vAlign w:val="center"/>
          </w:tcPr>
          <w:p w14:paraId="741608A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Export of data outside the UK or importing of data from outside the UK?</w:t>
            </w:r>
          </w:p>
        </w:tc>
        <w:tc>
          <w:tcPr>
            <w:tcW w:w="850" w:type="dxa"/>
            <w:shd w:val="clear" w:color="auto" w:fill="BFBFBF"/>
            <w:vAlign w:val="center"/>
          </w:tcPr>
          <w:p w14:paraId="0C5664C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4"/>
                <w:id w:val="740942182"/>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69650107"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756EAD6B" w14:textId="77777777" w:rsidTr="00293DC6">
        <w:trPr>
          <w:cantSplit/>
          <w:trHeight w:val="403"/>
          <w:tblHeader/>
        </w:trPr>
        <w:tc>
          <w:tcPr>
            <w:tcW w:w="562" w:type="dxa"/>
            <w:shd w:val="clear" w:color="auto" w:fill="F2F2F2"/>
            <w:vAlign w:val="center"/>
          </w:tcPr>
          <w:p w14:paraId="15E5B84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17</w:t>
            </w:r>
          </w:p>
        </w:tc>
        <w:tc>
          <w:tcPr>
            <w:tcW w:w="7311" w:type="dxa"/>
            <w:shd w:val="clear" w:color="auto" w:fill="F2F2F2"/>
            <w:vAlign w:val="center"/>
          </w:tcPr>
          <w:p w14:paraId="28DA8EB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Use of personal addresses, postcodes, faxes, emails or telephone numbers?</w:t>
            </w:r>
          </w:p>
        </w:tc>
        <w:tc>
          <w:tcPr>
            <w:tcW w:w="850" w:type="dxa"/>
            <w:shd w:val="clear" w:color="auto" w:fill="BFBFBF"/>
            <w:vAlign w:val="center"/>
          </w:tcPr>
          <w:p w14:paraId="63A130E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5"/>
                <w:id w:val="1539821111"/>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39DD2F5C"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681B0E25" w14:textId="77777777" w:rsidTr="00293DC6">
        <w:trPr>
          <w:cantSplit/>
          <w:trHeight w:val="403"/>
          <w:tblHeader/>
        </w:trPr>
        <w:tc>
          <w:tcPr>
            <w:tcW w:w="562" w:type="dxa"/>
            <w:shd w:val="clear" w:color="auto" w:fill="F2F2F2"/>
            <w:vAlign w:val="center"/>
          </w:tcPr>
          <w:p w14:paraId="31FFC94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18</w:t>
            </w:r>
          </w:p>
        </w:tc>
        <w:tc>
          <w:tcPr>
            <w:tcW w:w="7311" w:type="dxa"/>
            <w:shd w:val="clear" w:color="auto" w:fill="F2F2F2"/>
            <w:vAlign w:val="center"/>
          </w:tcPr>
          <w:p w14:paraId="3CD94F6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Publication of data that might allow identification of individuals?</w:t>
            </w:r>
          </w:p>
        </w:tc>
        <w:tc>
          <w:tcPr>
            <w:tcW w:w="850" w:type="dxa"/>
            <w:shd w:val="clear" w:color="auto" w:fill="BFBFBF"/>
            <w:vAlign w:val="center"/>
          </w:tcPr>
          <w:p w14:paraId="77C72AF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6"/>
                <w:id w:val="-1808481441"/>
              </w:sdtPr>
              <w:sdtContent>
                <w:r>
                  <w:rPr>
                    <w:rFonts w:ascii="Arial Unicode MS" w:eastAsia="Arial Unicode MS" w:hAnsi="Arial Unicode MS" w:cs="Arial Unicode MS"/>
                    <w:b/>
                    <w:bCs/>
                    <w:color w:val="000000"/>
                  </w:rPr>
                  <w:t>☐</w:t>
                </w:r>
              </w:sdtContent>
            </w:sdt>
          </w:p>
        </w:tc>
        <w:tc>
          <w:tcPr>
            <w:tcW w:w="1276" w:type="dxa"/>
            <w:shd w:val="clear" w:color="auto" w:fill="BFBFBF"/>
            <w:vAlign w:val="center"/>
          </w:tcPr>
          <w:p w14:paraId="2EC8CADB"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753950B1" w14:textId="77777777" w:rsidTr="00293DC6">
        <w:trPr>
          <w:cantSplit/>
          <w:trHeight w:val="403"/>
          <w:tblHeader/>
        </w:trPr>
        <w:tc>
          <w:tcPr>
            <w:tcW w:w="562" w:type="dxa"/>
            <w:shd w:val="clear" w:color="auto" w:fill="F2F2F2"/>
            <w:vAlign w:val="center"/>
          </w:tcPr>
          <w:p w14:paraId="70FA926E" w14:textId="77777777" w:rsidR="003B7A74" w:rsidRDefault="003B7A74" w:rsidP="00293DC6">
            <w:pPr>
              <w:pStyle w:val="Normal1"/>
              <w:pBdr>
                <w:top w:val="nil"/>
                <w:left w:val="nil"/>
                <w:bottom w:val="nil"/>
                <w:right w:val="nil"/>
                <w:between w:val="nil"/>
              </w:pBdr>
              <w:spacing w:before="120" w:after="120" w:line="360" w:lineRule="auto"/>
              <w:jc w:val="center"/>
              <w:rPr>
                <w:rFonts w:ascii="Arial" w:eastAsia="Arial" w:hAnsi="Arial" w:cs="Arial"/>
                <w:color w:val="000000"/>
              </w:rPr>
            </w:pPr>
            <w:r>
              <w:rPr>
                <w:rFonts w:ascii="Arial" w:eastAsia="Arial" w:hAnsi="Arial" w:cs="Arial"/>
                <w:color w:val="000000"/>
              </w:rPr>
              <w:lastRenderedPageBreak/>
              <w:t>19</w:t>
            </w:r>
          </w:p>
        </w:tc>
        <w:tc>
          <w:tcPr>
            <w:tcW w:w="9437" w:type="dxa"/>
            <w:gridSpan w:val="3"/>
            <w:shd w:val="clear" w:color="auto" w:fill="F2F2F2"/>
            <w:vAlign w:val="center"/>
          </w:tcPr>
          <w:p w14:paraId="57D082DE" w14:textId="77777777" w:rsidR="003B7A74" w:rsidRDefault="003B7A74" w:rsidP="00293DC6">
            <w:pPr>
              <w:pStyle w:val="Normal1"/>
              <w:pBdr>
                <w:top w:val="nil"/>
                <w:left w:val="nil"/>
                <w:bottom w:val="nil"/>
                <w:right w:val="nil"/>
                <w:between w:val="nil"/>
              </w:pBdr>
              <w:spacing w:before="120" w:after="120" w:line="360" w:lineRule="auto"/>
              <w:rPr>
                <w:rFonts w:ascii="Arial" w:eastAsia="Arial" w:hAnsi="Arial" w:cs="Arial"/>
                <w:color w:val="000000"/>
              </w:rPr>
            </w:pPr>
            <w:r>
              <w:rPr>
                <w:rFonts w:ascii="Arial" w:eastAsia="Arial" w:hAnsi="Arial" w:cs="Arial"/>
                <w:color w:val="000000"/>
              </w:rPr>
              <w:t>If YESto any question, please provide full details, explaining how this will be conducted in accordance with the GDPR and Data Protection Act (2018) (and/or any international equivalent):</w:t>
            </w:r>
          </w:p>
        </w:tc>
      </w:tr>
      <w:tr w:rsidR="003B7A74" w14:paraId="5816DB20" w14:textId="77777777" w:rsidTr="00293DC6">
        <w:trPr>
          <w:cantSplit/>
          <w:trHeight w:val="403"/>
          <w:tblHeader/>
        </w:trPr>
        <w:tc>
          <w:tcPr>
            <w:tcW w:w="562" w:type="dxa"/>
            <w:vAlign w:val="center"/>
          </w:tcPr>
          <w:p w14:paraId="32D9928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437" w:type="dxa"/>
            <w:gridSpan w:val="3"/>
            <w:vAlign w:val="center"/>
          </w:tcPr>
          <w:p w14:paraId="5FD74B8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rPr>
            </w:pPr>
            <w:r>
              <w:rPr>
                <w:rFonts w:ascii="Arial" w:eastAsia="Arial" w:hAnsi="Arial" w:cs="Arial"/>
                <w:color w:val="00B050"/>
              </w:rPr>
              <w:t>This includes data such as drafts of your thesis as well as experimental or survey data. An example of suitable text is given below.</w:t>
            </w:r>
          </w:p>
          <w:p w14:paraId="6179C8B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18152D2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p w14:paraId="7F721ED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r w:rsidR="003B7A74" w14:paraId="6AE27427" w14:textId="77777777" w:rsidTr="00293DC6">
        <w:trPr>
          <w:cantSplit/>
          <w:trHeight w:val="403"/>
          <w:tblHeader/>
        </w:trPr>
        <w:tc>
          <w:tcPr>
            <w:tcW w:w="562" w:type="dxa"/>
            <w:shd w:val="clear" w:color="auto" w:fill="F2F2F2"/>
            <w:vAlign w:val="center"/>
          </w:tcPr>
          <w:p w14:paraId="7FE1488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20</w:t>
            </w:r>
          </w:p>
        </w:tc>
        <w:tc>
          <w:tcPr>
            <w:tcW w:w="9437" w:type="dxa"/>
            <w:gridSpan w:val="3"/>
            <w:shd w:val="clear" w:color="auto" w:fill="F2F2F2"/>
            <w:vAlign w:val="center"/>
          </w:tcPr>
          <w:p w14:paraId="00A8E83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List all who will have access to the data generated by the research activity:</w:t>
            </w:r>
          </w:p>
        </w:tc>
      </w:tr>
      <w:tr w:rsidR="003B7A74" w14:paraId="769B6329" w14:textId="77777777" w:rsidTr="00293DC6">
        <w:trPr>
          <w:cantSplit/>
          <w:trHeight w:val="403"/>
          <w:tblHeader/>
        </w:trPr>
        <w:tc>
          <w:tcPr>
            <w:tcW w:w="562" w:type="dxa"/>
            <w:vAlign w:val="center"/>
          </w:tcPr>
          <w:p w14:paraId="0C8EF00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437" w:type="dxa"/>
            <w:gridSpan w:val="3"/>
            <w:vAlign w:val="center"/>
          </w:tcPr>
          <w:p w14:paraId="629A5B0F"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Access will be limited to the main researcher and project supervisor. No other individuals will have access to data and data will not be shared with third parties not relevant to the research.</w:t>
            </w:r>
          </w:p>
          <w:p w14:paraId="56A44296" w14:textId="77777777" w:rsidR="003B7A74" w:rsidRDefault="003B7A74" w:rsidP="00293DC6">
            <w:pPr>
              <w:pStyle w:val="Normal1"/>
              <w:spacing w:after="120" w:line="360" w:lineRule="auto"/>
              <w:jc w:val="both"/>
              <w:rPr>
                <w:rFonts w:ascii="Arial" w:eastAsia="Arial" w:hAnsi="Arial" w:cs="Arial"/>
                <w:color w:val="000000"/>
              </w:rPr>
            </w:pPr>
          </w:p>
        </w:tc>
      </w:tr>
      <w:tr w:rsidR="003B7A74" w14:paraId="1D5643A2" w14:textId="77777777" w:rsidTr="00293DC6">
        <w:trPr>
          <w:cantSplit/>
          <w:trHeight w:val="403"/>
          <w:tblHeader/>
        </w:trPr>
        <w:tc>
          <w:tcPr>
            <w:tcW w:w="562" w:type="dxa"/>
            <w:shd w:val="clear" w:color="auto" w:fill="F2F2F2"/>
            <w:vAlign w:val="center"/>
          </w:tcPr>
          <w:p w14:paraId="4238009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21</w:t>
            </w:r>
          </w:p>
        </w:tc>
        <w:tc>
          <w:tcPr>
            <w:tcW w:w="9437" w:type="dxa"/>
            <w:gridSpan w:val="3"/>
            <w:shd w:val="clear" w:color="auto" w:fill="F2F2F2"/>
          </w:tcPr>
          <w:p w14:paraId="797BCC37"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List who will have control of, and act as custodian(s) for, data generated by the research activity:</w:t>
            </w:r>
          </w:p>
        </w:tc>
      </w:tr>
      <w:tr w:rsidR="003B7A74" w14:paraId="52F83E68" w14:textId="77777777" w:rsidTr="00293DC6">
        <w:trPr>
          <w:cantSplit/>
          <w:trHeight w:val="403"/>
          <w:tblHeader/>
        </w:trPr>
        <w:tc>
          <w:tcPr>
            <w:tcW w:w="562" w:type="dxa"/>
            <w:vAlign w:val="center"/>
          </w:tcPr>
          <w:p w14:paraId="116D55D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437" w:type="dxa"/>
            <w:gridSpan w:val="3"/>
          </w:tcPr>
          <w:p w14:paraId="2A824D6E"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The main researcher will have the main control over the research data and will be responsible for organisation, retention, security, and later for disposal of it. Control will be limited to the researcher only, and no other entities will be able to manage the gathered data.</w:t>
            </w:r>
          </w:p>
          <w:p w14:paraId="63E13D4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r>
      <w:tr w:rsidR="003B7A74" w14:paraId="3B1542B7" w14:textId="77777777" w:rsidTr="00293DC6">
        <w:trPr>
          <w:cantSplit/>
          <w:trHeight w:val="403"/>
          <w:tblHeader/>
        </w:trPr>
        <w:tc>
          <w:tcPr>
            <w:tcW w:w="562" w:type="dxa"/>
            <w:shd w:val="clear" w:color="auto" w:fill="F2F2F2"/>
            <w:vAlign w:val="center"/>
          </w:tcPr>
          <w:p w14:paraId="187EFA6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22</w:t>
            </w:r>
          </w:p>
        </w:tc>
        <w:tc>
          <w:tcPr>
            <w:tcW w:w="9437" w:type="dxa"/>
            <w:gridSpan w:val="3"/>
            <w:shd w:val="clear" w:color="auto" w:fill="F2F2F2"/>
          </w:tcPr>
          <w:p w14:paraId="5A599E2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Give details of data storage arrangements, including security measures in place to protect the data, where data will be stored, how long for, and in what form. </w:t>
            </w:r>
          </w:p>
        </w:tc>
      </w:tr>
      <w:tr w:rsidR="003B7A74" w14:paraId="4C953EA8" w14:textId="77777777" w:rsidTr="00293DC6">
        <w:trPr>
          <w:cantSplit/>
          <w:trHeight w:val="403"/>
          <w:tblHeader/>
        </w:trPr>
        <w:tc>
          <w:tcPr>
            <w:tcW w:w="562" w:type="dxa"/>
            <w:vAlign w:val="center"/>
          </w:tcPr>
          <w:p w14:paraId="39AD4CA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437" w:type="dxa"/>
            <w:gridSpan w:val="3"/>
          </w:tcPr>
          <w:p w14:paraId="4863A61F" w14:textId="77777777" w:rsidR="003B7A74" w:rsidRDefault="003B7A74" w:rsidP="00293DC6">
            <w:pPr>
              <w:pStyle w:val="Normal1"/>
              <w:spacing w:after="120" w:line="360" w:lineRule="auto"/>
              <w:jc w:val="both"/>
              <w:rPr>
                <w:rFonts w:ascii="Arial" w:eastAsia="Arial" w:hAnsi="Arial" w:cs="Arial"/>
                <w:color w:val="000000"/>
              </w:rPr>
            </w:pPr>
            <w:r>
              <w:rPr>
                <w:rFonts w:ascii="Arial" w:eastAsia="Arial" w:hAnsi="Arial" w:cs="Arial"/>
                <w:color w:val="000000"/>
              </w:rPr>
              <w:t>All data will be stored electronically in only University-approved storage systems with password protection for access. Data will be retained in digital formats, including PDFs and even Word files, with no use of paper unless highly necessary. The data will be stored only for the time of research conduct and as mentioned in university regulations. After the timeline, all data will be securely disposed of to ensure no mishandling or leaks of data. Materials will not be shared with any unauthorised entities or third parties.</w:t>
            </w:r>
          </w:p>
          <w:p w14:paraId="31E8D738"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p>
        </w:tc>
      </w:tr>
      <w:tr w:rsidR="003B7A74" w14:paraId="381A3672" w14:textId="77777777" w:rsidTr="00293DC6">
        <w:trPr>
          <w:cantSplit/>
          <w:trHeight w:val="600"/>
          <w:tblHeader/>
        </w:trPr>
        <w:tc>
          <w:tcPr>
            <w:tcW w:w="562" w:type="dxa"/>
            <w:shd w:val="clear" w:color="auto" w:fill="F2F2F2"/>
            <w:vAlign w:val="center"/>
          </w:tcPr>
          <w:p w14:paraId="14919F8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22</w:t>
            </w:r>
          </w:p>
        </w:tc>
        <w:tc>
          <w:tcPr>
            <w:tcW w:w="7311" w:type="dxa"/>
            <w:shd w:val="clear" w:color="auto" w:fill="F2F2F2"/>
          </w:tcPr>
          <w:p w14:paraId="31A1D87C"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Confirm that you have read the UWTSD guidance on data management (see </w:t>
            </w:r>
            <w:hyperlink r:id="rId94">
              <w:r>
                <w:rPr>
                  <w:rFonts w:ascii="Arial" w:eastAsia="Arial" w:hAnsi="Arial" w:cs="Arial"/>
                  <w:color w:val="000000"/>
                  <w:u w:val="single"/>
                </w:rPr>
                <w:t>https://www.uwtsd.ac.uk/library/research-data-management/</w:t>
              </w:r>
            </w:hyperlink>
            <w:r>
              <w:rPr>
                <w:rFonts w:ascii="Arial" w:eastAsia="Arial" w:hAnsi="Arial" w:cs="Arial"/>
                <w:color w:val="000000"/>
              </w:rPr>
              <w:t>)</w:t>
            </w:r>
          </w:p>
        </w:tc>
        <w:tc>
          <w:tcPr>
            <w:tcW w:w="2126" w:type="dxa"/>
            <w:gridSpan w:val="2"/>
            <w:vAlign w:val="center"/>
          </w:tcPr>
          <w:p w14:paraId="28FAC9BE"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r w:rsidR="003B7A74" w14:paraId="1D18BE8E" w14:textId="77777777" w:rsidTr="00293DC6">
        <w:trPr>
          <w:cantSplit/>
          <w:trHeight w:val="632"/>
          <w:tblHeader/>
        </w:trPr>
        <w:tc>
          <w:tcPr>
            <w:tcW w:w="562" w:type="dxa"/>
            <w:shd w:val="clear" w:color="auto" w:fill="F2F2F2"/>
            <w:vAlign w:val="center"/>
          </w:tcPr>
          <w:p w14:paraId="60A784A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23</w:t>
            </w:r>
          </w:p>
        </w:tc>
        <w:tc>
          <w:tcPr>
            <w:tcW w:w="7311" w:type="dxa"/>
            <w:shd w:val="clear" w:color="auto" w:fill="F2F2F2"/>
          </w:tcPr>
          <w:p w14:paraId="15983729"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Confirm that you are aware that you need to keep all data until after your research has completed or the end of your funding</w:t>
            </w:r>
          </w:p>
        </w:tc>
        <w:tc>
          <w:tcPr>
            <w:tcW w:w="2126" w:type="dxa"/>
            <w:gridSpan w:val="2"/>
            <w:vAlign w:val="center"/>
          </w:tcPr>
          <w:p w14:paraId="0B88E07C" w14:textId="77777777" w:rsidR="003B7A74" w:rsidRDefault="003B7A74" w:rsidP="00293DC6">
            <w:pPr>
              <w:pStyle w:val="Normal1"/>
              <w:numPr>
                <w:ilvl w:val="0"/>
                <w:numId w:val="9"/>
              </w:numPr>
              <w:pBdr>
                <w:top w:val="nil"/>
                <w:left w:val="nil"/>
                <w:bottom w:val="nil"/>
                <w:right w:val="nil"/>
                <w:between w:val="nil"/>
              </w:pBdr>
              <w:spacing w:after="0" w:line="360" w:lineRule="auto"/>
              <w:rPr>
                <w:color w:val="000000"/>
              </w:rPr>
            </w:pPr>
          </w:p>
        </w:tc>
      </w:tr>
    </w:tbl>
    <w:p w14:paraId="59530854"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p w14:paraId="617367F0"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p>
    <w:p w14:paraId="236751D5"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I: Use of AI tools</w:t>
      </w:r>
    </w:p>
    <w:tbl>
      <w:tblPr>
        <w:tblStyle w:val="ad"/>
        <w:tblW w:w="9721" w:type="dxa"/>
        <w:tblInd w:w="-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193"/>
        <w:gridCol w:w="850"/>
        <w:gridCol w:w="1276"/>
        <w:gridCol w:w="851"/>
      </w:tblGrid>
      <w:tr w:rsidR="003B7A74" w14:paraId="35A5A3FF" w14:textId="77777777" w:rsidTr="00293DC6">
        <w:trPr>
          <w:cantSplit/>
          <w:tblHeader/>
        </w:trPr>
        <w:tc>
          <w:tcPr>
            <w:tcW w:w="6744" w:type="dxa"/>
            <w:gridSpan w:val="2"/>
            <w:shd w:val="clear" w:color="auto" w:fill="F2F2F2"/>
          </w:tcPr>
          <w:p w14:paraId="4DBB2495"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b/>
                <w:bCs/>
                <w:color w:val="000000"/>
              </w:rPr>
            </w:pPr>
            <w:r>
              <w:rPr>
                <w:rFonts w:ascii="Arial" w:eastAsia="Arial" w:hAnsi="Arial" w:cs="Arial"/>
                <w:b/>
                <w:bCs/>
                <w:color w:val="000000"/>
              </w:rPr>
              <w:lastRenderedPageBreak/>
              <w:t>Use of generative AI and other AI-based tools</w:t>
            </w:r>
          </w:p>
          <w:p w14:paraId="1F77378E"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There are a number of ethical issues relating to the use of generative AI and other AI-based tools, including data security, output bias, and output errors. In </w:t>
            </w:r>
            <w:proofErr w:type="gramStart"/>
            <w:r>
              <w:rPr>
                <w:rFonts w:ascii="Arial" w:eastAsia="Arial" w:hAnsi="Arial" w:cs="Arial"/>
                <w:color w:val="000000"/>
              </w:rPr>
              <w:t>general</w:t>
            </w:r>
            <w:proofErr w:type="gramEnd"/>
            <w:r>
              <w:rPr>
                <w:rFonts w:ascii="Arial" w:eastAsia="Arial" w:hAnsi="Arial" w:cs="Arial"/>
                <w:color w:val="000000"/>
              </w:rPr>
              <w:t xml:space="preserve"> you should assume that any generative AI or other AI-based tool that you pay to use is more secure and accurate than one which is free to use.</w:t>
            </w:r>
          </w:p>
          <w:p w14:paraId="3B9B0ABE"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color w:val="000000"/>
              </w:rPr>
            </w:pPr>
          </w:p>
          <w:p w14:paraId="45F7F1CA"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Will the research use AI tools to do any of the following:</w:t>
            </w:r>
          </w:p>
        </w:tc>
        <w:tc>
          <w:tcPr>
            <w:tcW w:w="850" w:type="dxa"/>
            <w:shd w:val="clear" w:color="auto" w:fill="F2F2F2"/>
            <w:vAlign w:val="center"/>
          </w:tcPr>
          <w:p w14:paraId="5403B942"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YES</w:t>
            </w:r>
          </w:p>
        </w:tc>
        <w:tc>
          <w:tcPr>
            <w:tcW w:w="1276" w:type="dxa"/>
            <w:shd w:val="clear" w:color="auto" w:fill="F2F2F2"/>
            <w:vAlign w:val="center"/>
          </w:tcPr>
          <w:p w14:paraId="2DE701E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NO</w:t>
            </w:r>
          </w:p>
        </w:tc>
        <w:tc>
          <w:tcPr>
            <w:tcW w:w="851" w:type="dxa"/>
            <w:shd w:val="clear" w:color="auto" w:fill="F2F2F2"/>
            <w:vAlign w:val="center"/>
          </w:tcPr>
          <w:p w14:paraId="123FD39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b/>
                <w:bCs/>
                <w:color w:val="000000"/>
              </w:rPr>
            </w:pPr>
            <w:r>
              <w:rPr>
                <w:rFonts w:ascii="Arial" w:eastAsia="Arial" w:hAnsi="Arial" w:cs="Arial"/>
                <w:b/>
                <w:bCs/>
                <w:color w:val="000000"/>
              </w:rPr>
              <w:t>N/A</w:t>
            </w:r>
          </w:p>
        </w:tc>
      </w:tr>
      <w:tr w:rsidR="003B7A74" w14:paraId="03C33F3C" w14:textId="77777777" w:rsidTr="00293DC6">
        <w:trPr>
          <w:cantSplit/>
          <w:trHeight w:val="439"/>
          <w:tblHeader/>
        </w:trPr>
        <w:tc>
          <w:tcPr>
            <w:tcW w:w="551" w:type="dxa"/>
            <w:shd w:val="clear" w:color="auto" w:fill="F2F2F2"/>
            <w:vAlign w:val="center"/>
          </w:tcPr>
          <w:p w14:paraId="2E913A71"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w:t>
            </w:r>
          </w:p>
        </w:tc>
        <w:tc>
          <w:tcPr>
            <w:tcW w:w="6193" w:type="dxa"/>
            <w:shd w:val="clear" w:color="auto" w:fill="F2F2F2"/>
            <w:vAlign w:val="center"/>
          </w:tcPr>
          <w:p w14:paraId="147BBB7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Capture data?</w:t>
            </w:r>
          </w:p>
        </w:tc>
        <w:tc>
          <w:tcPr>
            <w:tcW w:w="850" w:type="dxa"/>
            <w:shd w:val="clear" w:color="auto" w:fill="BFBFBF"/>
            <w:vAlign w:val="center"/>
          </w:tcPr>
          <w:p w14:paraId="69D4C4A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7"/>
                <w:id w:val="551096881"/>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228A6DB4"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98"/>
                <w:id w:val="1601685216"/>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339F5D1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99"/>
                <w:id w:val="1874971836"/>
              </w:sdtPr>
              <w:sdtContent>
                <w:r>
                  <w:rPr>
                    <w:rFonts w:ascii="Arial Unicode MS" w:eastAsia="Arial Unicode MS" w:hAnsi="Arial Unicode MS" w:cs="Arial Unicode MS"/>
                    <w:color w:val="000000"/>
                  </w:rPr>
                  <w:t>☐</w:t>
                </w:r>
              </w:sdtContent>
            </w:sdt>
          </w:p>
        </w:tc>
      </w:tr>
      <w:tr w:rsidR="003B7A74" w14:paraId="25247130" w14:textId="77777777" w:rsidTr="00293DC6">
        <w:trPr>
          <w:cantSplit/>
          <w:trHeight w:val="403"/>
          <w:tblHeader/>
        </w:trPr>
        <w:tc>
          <w:tcPr>
            <w:tcW w:w="551" w:type="dxa"/>
            <w:shd w:val="clear" w:color="auto" w:fill="F2F2F2"/>
            <w:vAlign w:val="center"/>
          </w:tcPr>
          <w:p w14:paraId="745D884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w:t>
            </w:r>
          </w:p>
        </w:tc>
        <w:tc>
          <w:tcPr>
            <w:tcW w:w="6193" w:type="dxa"/>
            <w:shd w:val="clear" w:color="auto" w:fill="F2F2F2"/>
            <w:vAlign w:val="center"/>
          </w:tcPr>
          <w:p w14:paraId="434227CB"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and/or edit text?</w:t>
            </w:r>
          </w:p>
        </w:tc>
        <w:tc>
          <w:tcPr>
            <w:tcW w:w="850" w:type="dxa"/>
            <w:shd w:val="clear" w:color="auto" w:fill="BFBFBF"/>
            <w:vAlign w:val="center"/>
          </w:tcPr>
          <w:p w14:paraId="5BFD777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0"/>
                <w:id w:val="-2120209561"/>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25DD7045"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01"/>
                <w:id w:val="-438646764"/>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3B28BE97"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2"/>
                <w:id w:val="-1387578961"/>
              </w:sdtPr>
              <w:sdtContent>
                <w:r>
                  <w:rPr>
                    <w:rFonts w:ascii="Arial Unicode MS" w:eastAsia="Arial Unicode MS" w:hAnsi="Arial Unicode MS" w:cs="Arial Unicode MS"/>
                    <w:color w:val="000000"/>
                  </w:rPr>
                  <w:t>☐</w:t>
                </w:r>
              </w:sdtContent>
            </w:sdt>
          </w:p>
        </w:tc>
      </w:tr>
      <w:tr w:rsidR="003B7A74" w14:paraId="6217D616" w14:textId="77777777" w:rsidTr="00293DC6">
        <w:trPr>
          <w:cantSplit/>
          <w:trHeight w:val="403"/>
          <w:tblHeader/>
        </w:trPr>
        <w:tc>
          <w:tcPr>
            <w:tcW w:w="551" w:type="dxa"/>
            <w:shd w:val="clear" w:color="auto" w:fill="F2F2F2"/>
            <w:vAlign w:val="center"/>
          </w:tcPr>
          <w:p w14:paraId="0216F91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3</w:t>
            </w:r>
          </w:p>
        </w:tc>
        <w:tc>
          <w:tcPr>
            <w:tcW w:w="6193" w:type="dxa"/>
            <w:shd w:val="clear" w:color="auto" w:fill="F2F2F2"/>
            <w:vAlign w:val="center"/>
          </w:tcPr>
          <w:p w14:paraId="465F634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graphics?</w:t>
            </w:r>
          </w:p>
        </w:tc>
        <w:tc>
          <w:tcPr>
            <w:tcW w:w="850" w:type="dxa"/>
            <w:shd w:val="clear" w:color="auto" w:fill="BFBFBF"/>
            <w:vAlign w:val="center"/>
          </w:tcPr>
          <w:p w14:paraId="546FF51B"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3"/>
                <w:id w:val="-2136988080"/>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661AEFA3"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04"/>
                <w:id w:val="-1071947637"/>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3268307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5"/>
                <w:id w:val="1661478652"/>
              </w:sdtPr>
              <w:sdtContent>
                <w:r>
                  <w:rPr>
                    <w:rFonts w:ascii="Arial Unicode MS" w:eastAsia="Arial Unicode MS" w:hAnsi="Arial Unicode MS" w:cs="Arial Unicode MS"/>
                    <w:color w:val="000000"/>
                  </w:rPr>
                  <w:t>☐</w:t>
                </w:r>
              </w:sdtContent>
            </w:sdt>
          </w:p>
        </w:tc>
      </w:tr>
      <w:tr w:rsidR="003B7A74" w14:paraId="0CD3A8F4" w14:textId="77777777" w:rsidTr="00293DC6">
        <w:trPr>
          <w:cantSplit/>
          <w:trHeight w:val="403"/>
          <w:tblHeader/>
        </w:trPr>
        <w:tc>
          <w:tcPr>
            <w:tcW w:w="551" w:type="dxa"/>
            <w:shd w:val="clear" w:color="auto" w:fill="F2F2F2"/>
            <w:vAlign w:val="center"/>
          </w:tcPr>
          <w:p w14:paraId="477D052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4</w:t>
            </w:r>
          </w:p>
        </w:tc>
        <w:tc>
          <w:tcPr>
            <w:tcW w:w="6193" w:type="dxa"/>
            <w:shd w:val="clear" w:color="auto" w:fill="F2F2F2"/>
            <w:vAlign w:val="center"/>
          </w:tcPr>
          <w:p w14:paraId="223C5A8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video?</w:t>
            </w:r>
          </w:p>
        </w:tc>
        <w:tc>
          <w:tcPr>
            <w:tcW w:w="850" w:type="dxa"/>
            <w:shd w:val="clear" w:color="auto" w:fill="BFBFBF"/>
            <w:vAlign w:val="center"/>
          </w:tcPr>
          <w:p w14:paraId="0068C176"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6"/>
                <w:id w:val="-1333882065"/>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4DD280FE"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07"/>
                <w:id w:val="284881403"/>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1FAB61C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8"/>
                <w:id w:val="1364428255"/>
              </w:sdtPr>
              <w:sdtContent>
                <w:r>
                  <w:rPr>
                    <w:rFonts w:ascii="Arial Unicode MS" w:eastAsia="Arial Unicode MS" w:hAnsi="Arial Unicode MS" w:cs="Arial Unicode MS"/>
                    <w:color w:val="000000"/>
                  </w:rPr>
                  <w:t>☐</w:t>
                </w:r>
              </w:sdtContent>
            </w:sdt>
          </w:p>
        </w:tc>
      </w:tr>
      <w:tr w:rsidR="003B7A74" w14:paraId="5002F7FA" w14:textId="77777777" w:rsidTr="00293DC6">
        <w:trPr>
          <w:cantSplit/>
          <w:trHeight w:val="403"/>
          <w:tblHeader/>
        </w:trPr>
        <w:tc>
          <w:tcPr>
            <w:tcW w:w="551" w:type="dxa"/>
            <w:shd w:val="clear" w:color="auto" w:fill="F2F2F2"/>
            <w:vAlign w:val="center"/>
          </w:tcPr>
          <w:p w14:paraId="2F0543F3"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5</w:t>
            </w:r>
          </w:p>
        </w:tc>
        <w:tc>
          <w:tcPr>
            <w:tcW w:w="6193" w:type="dxa"/>
            <w:shd w:val="clear" w:color="auto" w:fill="F2F2F2"/>
            <w:vAlign w:val="center"/>
          </w:tcPr>
          <w:p w14:paraId="780C9AA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sound/music?</w:t>
            </w:r>
          </w:p>
        </w:tc>
        <w:tc>
          <w:tcPr>
            <w:tcW w:w="850" w:type="dxa"/>
            <w:shd w:val="clear" w:color="auto" w:fill="BFBFBF"/>
            <w:vAlign w:val="center"/>
          </w:tcPr>
          <w:p w14:paraId="1696605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09"/>
                <w:id w:val="-267668849"/>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21FB0216"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10"/>
                <w:id w:val="-1571703821"/>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358BD1F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1"/>
                <w:id w:val="2010349795"/>
              </w:sdtPr>
              <w:sdtContent>
                <w:r>
                  <w:rPr>
                    <w:rFonts w:ascii="Arial Unicode MS" w:eastAsia="Arial Unicode MS" w:hAnsi="Arial Unicode MS" w:cs="Arial Unicode MS"/>
                    <w:color w:val="000000"/>
                  </w:rPr>
                  <w:t>☐</w:t>
                </w:r>
              </w:sdtContent>
            </w:sdt>
          </w:p>
        </w:tc>
      </w:tr>
      <w:tr w:rsidR="003B7A74" w14:paraId="31A84E1B" w14:textId="77777777" w:rsidTr="00293DC6">
        <w:trPr>
          <w:cantSplit/>
          <w:trHeight w:val="439"/>
          <w:tblHeader/>
        </w:trPr>
        <w:tc>
          <w:tcPr>
            <w:tcW w:w="551" w:type="dxa"/>
            <w:shd w:val="clear" w:color="auto" w:fill="F2F2F2"/>
            <w:vAlign w:val="center"/>
          </w:tcPr>
          <w:p w14:paraId="1CF0065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6</w:t>
            </w:r>
          </w:p>
        </w:tc>
        <w:tc>
          <w:tcPr>
            <w:tcW w:w="6193" w:type="dxa"/>
            <w:shd w:val="clear" w:color="auto" w:fill="F2F2F2"/>
            <w:vAlign w:val="center"/>
          </w:tcPr>
          <w:p w14:paraId="3F300D40"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code?</w:t>
            </w:r>
          </w:p>
        </w:tc>
        <w:tc>
          <w:tcPr>
            <w:tcW w:w="850" w:type="dxa"/>
            <w:shd w:val="clear" w:color="auto" w:fill="BFBFBF"/>
            <w:vAlign w:val="center"/>
          </w:tcPr>
          <w:p w14:paraId="31791B5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2"/>
                <w:id w:val="-1812836707"/>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0E1A3F82"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13"/>
                <w:id w:val="-1554850238"/>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2003177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4"/>
                <w:id w:val="1356233429"/>
              </w:sdtPr>
              <w:sdtContent>
                <w:r>
                  <w:rPr>
                    <w:rFonts w:ascii="Arial Unicode MS" w:eastAsia="Arial Unicode MS" w:hAnsi="Arial Unicode MS" w:cs="Arial Unicode MS"/>
                    <w:color w:val="000000"/>
                  </w:rPr>
                  <w:t>☐</w:t>
                </w:r>
              </w:sdtContent>
            </w:sdt>
          </w:p>
        </w:tc>
      </w:tr>
      <w:tr w:rsidR="003B7A74" w14:paraId="2E61101F" w14:textId="77777777" w:rsidTr="00293DC6">
        <w:trPr>
          <w:cantSplit/>
          <w:trHeight w:val="403"/>
          <w:tblHeader/>
        </w:trPr>
        <w:tc>
          <w:tcPr>
            <w:tcW w:w="551" w:type="dxa"/>
            <w:shd w:val="clear" w:color="auto" w:fill="F2F2F2"/>
            <w:vAlign w:val="center"/>
          </w:tcPr>
          <w:p w14:paraId="20C930C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7</w:t>
            </w:r>
          </w:p>
        </w:tc>
        <w:tc>
          <w:tcPr>
            <w:tcW w:w="6193" w:type="dxa"/>
            <w:shd w:val="clear" w:color="auto" w:fill="F2F2F2"/>
            <w:vAlign w:val="center"/>
          </w:tcPr>
          <w:p w14:paraId="616153B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Generate synthetic data?</w:t>
            </w:r>
          </w:p>
        </w:tc>
        <w:tc>
          <w:tcPr>
            <w:tcW w:w="850" w:type="dxa"/>
            <w:shd w:val="clear" w:color="auto" w:fill="BFBFBF"/>
            <w:vAlign w:val="center"/>
          </w:tcPr>
          <w:p w14:paraId="6DD5F61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5"/>
                <w:id w:val="1606864157"/>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444DA871"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16"/>
                <w:id w:val="394887336"/>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7243CEC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7"/>
                <w:id w:val="-1599422067"/>
              </w:sdtPr>
              <w:sdtContent>
                <w:r>
                  <w:rPr>
                    <w:rFonts w:ascii="Arial Unicode MS" w:eastAsia="Arial Unicode MS" w:hAnsi="Arial Unicode MS" w:cs="Arial Unicode MS"/>
                    <w:color w:val="000000"/>
                  </w:rPr>
                  <w:t>☐</w:t>
                </w:r>
              </w:sdtContent>
            </w:sdt>
          </w:p>
        </w:tc>
      </w:tr>
      <w:tr w:rsidR="003B7A74" w14:paraId="780C4826" w14:textId="77777777" w:rsidTr="00293DC6">
        <w:trPr>
          <w:cantSplit/>
          <w:trHeight w:val="403"/>
          <w:tblHeader/>
        </w:trPr>
        <w:tc>
          <w:tcPr>
            <w:tcW w:w="551" w:type="dxa"/>
            <w:shd w:val="clear" w:color="auto" w:fill="F2F2F2"/>
            <w:vAlign w:val="center"/>
          </w:tcPr>
          <w:p w14:paraId="5CB44F1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8</w:t>
            </w:r>
          </w:p>
        </w:tc>
        <w:tc>
          <w:tcPr>
            <w:tcW w:w="6193" w:type="dxa"/>
            <w:shd w:val="clear" w:color="auto" w:fill="F2F2F2"/>
            <w:vAlign w:val="center"/>
          </w:tcPr>
          <w:p w14:paraId="0C4B6A1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Analyse data?</w:t>
            </w:r>
          </w:p>
        </w:tc>
        <w:tc>
          <w:tcPr>
            <w:tcW w:w="850" w:type="dxa"/>
            <w:shd w:val="clear" w:color="auto" w:fill="BFBFBF"/>
            <w:vAlign w:val="center"/>
          </w:tcPr>
          <w:p w14:paraId="4432DA4A"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18"/>
                <w:id w:val="742641735"/>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6DED171B"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19"/>
                <w:id w:val="-1401883288"/>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3B9C58E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0"/>
                <w:id w:val="1161692046"/>
              </w:sdtPr>
              <w:sdtContent>
                <w:r>
                  <w:rPr>
                    <w:rFonts w:ascii="Arial Unicode MS" w:eastAsia="Arial Unicode MS" w:hAnsi="Arial Unicode MS" w:cs="Arial Unicode MS"/>
                    <w:color w:val="000000"/>
                  </w:rPr>
                  <w:t>☐</w:t>
                </w:r>
              </w:sdtContent>
            </w:sdt>
          </w:p>
        </w:tc>
      </w:tr>
      <w:tr w:rsidR="003B7A74" w14:paraId="66E1FF00" w14:textId="77777777" w:rsidTr="00293DC6">
        <w:trPr>
          <w:cantSplit/>
          <w:trHeight w:val="403"/>
          <w:tblHeader/>
        </w:trPr>
        <w:tc>
          <w:tcPr>
            <w:tcW w:w="551" w:type="dxa"/>
            <w:shd w:val="clear" w:color="auto" w:fill="F2F2F2"/>
            <w:vAlign w:val="center"/>
          </w:tcPr>
          <w:p w14:paraId="0A38C1A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9</w:t>
            </w:r>
          </w:p>
        </w:tc>
        <w:tc>
          <w:tcPr>
            <w:tcW w:w="6193" w:type="dxa"/>
            <w:shd w:val="clear" w:color="auto" w:fill="F2F2F2"/>
            <w:vAlign w:val="center"/>
          </w:tcPr>
          <w:p w14:paraId="3E6A1A9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Analyse personal or sensitive data?</w:t>
            </w:r>
          </w:p>
        </w:tc>
        <w:tc>
          <w:tcPr>
            <w:tcW w:w="850" w:type="dxa"/>
            <w:shd w:val="clear" w:color="auto" w:fill="BFBFBF"/>
            <w:vAlign w:val="center"/>
          </w:tcPr>
          <w:p w14:paraId="078A83B9"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1"/>
                <w:id w:val="638508292"/>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67EC0F85"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22"/>
                <w:id w:val="1265712045"/>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661C4DD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3"/>
                <w:id w:val="1427359990"/>
              </w:sdtPr>
              <w:sdtContent>
                <w:r>
                  <w:rPr>
                    <w:rFonts w:ascii="Arial Unicode MS" w:eastAsia="Arial Unicode MS" w:hAnsi="Arial Unicode MS" w:cs="Arial Unicode MS"/>
                    <w:color w:val="000000"/>
                  </w:rPr>
                  <w:t>☐</w:t>
                </w:r>
              </w:sdtContent>
            </w:sdt>
          </w:p>
        </w:tc>
      </w:tr>
      <w:tr w:rsidR="003B7A74" w14:paraId="6EC1918A" w14:textId="77777777" w:rsidTr="00293DC6">
        <w:trPr>
          <w:cantSplit/>
          <w:trHeight w:val="439"/>
          <w:tblHeader/>
        </w:trPr>
        <w:tc>
          <w:tcPr>
            <w:tcW w:w="551" w:type="dxa"/>
            <w:shd w:val="clear" w:color="auto" w:fill="F2F2F2"/>
            <w:vAlign w:val="center"/>
          </w:tcPr>
          <w:p w14:paraId="0700860F"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10</w:t>
            </w:r>
          </w:p>
        </w:tc>
        <w:tc>
          <w:tcPr>
            <w:tcW w:w="6193" w:type="dxa"/>
            <w:shd w:val="clear" w:color="auto" w:fill="F2F2F2"/>
            <w:vAlign w:val="center"/>
          </w:tcPr>
          <w:p w14:paraId="3A23A5D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Classify data?</w:t>
            </w:r>
          </w:p>
        </w:tc>
        <w:tc>
          <w:tcPr>
            <w:tcW w:w="850" w:type="dxa"/>
            <w:shd w:val="clear" w:color="auto" w:fill="BFBFBF"/>
            <w:vAlign w:val="center"/>
          </w:tcPr>
          <w:p w14:paraId="049F2D3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4"/>
                <w:id w:val="1066697089"/>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69972CBD"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25"/>
                <w:id w:val="-2065961407"/>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679C359C"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6"/>
                <w:id w:val="1308429722"/>
              </w:sdtPr>
              <w:sdtContent>
                <w:r>
                  <w:rPr>
                    <w:rFonts w:ascii="Arial Unicode MS" w:eastAsia="Arial Unicode MS" w:hAnsi="Arial Unicode MS" w:cs="Arial Unicode MS"/>
                    <w:color w:val="000000"/>
                  </w:rPr>
                  <w:t>☐</w:t>
                </w:r>
              </w:sdtContent>
            </w:sdt>
          </w:p>
        </w:tc>
      </w:tr>
      <w:tr w:rsidR="003B7A74" w14:paraId="76830961" w14:textId="77777777" w:rsidTr="00293DC6">
        <w:trPr>
          <w:cantSplit/>
          <w:trHeight w:val="439"/>
          <w:tblHeader/>
        </w:trPr>
        <w:tc>
          <w:tcPr>
            <w:tcW w:w="551" w:type="dxa"/>
            <w:shd w:val="clear" w:color="auto" w:fill="F2F2F2"/>
            <w:vAlign w:val="center"/>
          </w:tcPr>
          <w:p w14:paraId="12F93C3E"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11</w:t>
            </w:r>
          </w:p>
        </w:tc>
        <w:tc>
          <w:tcPr>
            <w:tcW w:w="6193" w:type="dxa"/>
            <w:shd w:val="clear" w:color="auto" w:fill="F2F2F2"/>
            <w:vAlign w:val="center"/>
          </w:tcPr>
          <w:p w14:paraId="7E88D995"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Do you intend to use the free version of any AI tools?</w:t>
            </w:r>
          </w:p>
        </w:tc>
        <w:tc>
          <w:tcPr>
            <w:tcW w:w="850" w:type="dxa"/>
            <w:shd w:val="clear" w:color="auto" w:fill="BFBFBF"/>
            <w:vAlign w:val="center"/>
          </w:tcPr>
          <w:p w14:paraId="631018C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7"/>
                <w:id w:val="-741186425"/>
              </w:sdtPr>
              <w:sdtContent>
                <w:r>
                  <w:rPr>
                    <w:rFonts w:ascii="Arial Unicode MS" w:eastAsia="Arial Unicode MS" w:hAnsi="Arial Unicode MS" w:cs="Arial Unicode MS"/>
                    <w:color w:val="000000"/>
                  </w:rPr>
                  <w:t>☐</w:t>
                </w:r>
              </w:sdtContent>
            </w:sdt>
          </w:p>
        </w:tc>
        <w:tc>
          <w:tcPr>
            <w:tcW w:w="1276" w:type="dxa"/>
            <w:shd w:val="clear" w:color="auto" w:fill="BFBFBF"/>
            <w:vAlign w:val="center"/>
          </w:tcPr>
          <w:p w14:paraId="7B933047" w14:textId="77777777" w:rsidR="003B7A74" w:rsidRDefault="003B7A74" w:rsidP="00293DC6">
            <w:pPr>
              <w:pStyle w:val="Normal1"/>
              <w:numPr>
                <w:ilvl w:val="0"/>
                <w:numId w:val="9"/>
              </w:numPr>
              <w:pBdr>
                <w:top w:val="nil"/>
                <w:left w:val="nil"/>
                <w:bottom w:val="nil"/>
                <w:right w:val="nil"/>
                <w:between w:val="nil"/>
              </w:pBdr>
              <w:spacing w:after="0" w:line="360" w:lineRule="auto"/>
              <w:jc w:val="center"/>
              <w:rPr>
                <w:color w:val="000000"/>
              </w:rPr>
            </w:pPr>
            <w:sdt>
              <w:sdtPr>
                <w:tag w:val="goog_rdk_128"/>
                <w:id w:val="-2046715885"/>
              </w:sdtPr>
              <w:sdtContent>
                <w:r>
                  <w:rPr>
                    <w:rFonts w:ascii="Arial Unicode MS" w:eastAsia="Arial Unicode MS" w:hAnsi="Arial Unicode MS" w:cs="Arial Unicode MS"/>
                    <w:color w:val="000000"/>
                  </w:rPr>
                  <w:t>☐</w:t>
                </w:r>
              </w:sdtContent>
            </w:sdt>
          </w:p>
        </w:tc>
        <w:tc>
          <w:tcPr>
            <w:tcW w:w="851" w:type="dxa"/>
            <w:shd w:val="clear" w:color="auto" w:fill="BFBFBF"/>
            <w:vAlign w:val="center"/>
          </w:tcPr>
          <w:p w14:paraId="58B0178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sdt>
              <w:sdtPr>
                <w:tag w:val="goog_rdk_129"/>
                <w:id w:val="165205172"/>
              </w:sdtPr>
              <w:sdtContent>
                <w:r>
                  <w:rPr>
                    <w:rFonts w:ascii="Arial Unicode MS" w:eastAsia="Arial Unicode MS" w:hAnsi="Arial Unicode MS" w:cs="Arial Unicode MS"/>
                    <w:color w:val="000000"/>
                  </w:rPr>
                  <w:t>☐</w:t>
                </w:r>
              </w:sdtContent>
            </w:sdt>
          </w:p>
        </w:tc>
      </w:tr>
      <w:tr w:rsidR="003B7A74" w14:paraId="07F9650C" w14:textId="77777777" w:rsidTr="00293DC6">
        <w:trPr>
          <w:cantSplit/>
          <w:trHeight w:val="403"/>
          <w:tblHeader/>
        </w:trPr>
        <w:tc>
          <w:tcPr>
            <w:tcW w:w="9721" w:type="dxa"/>
            <w:gridSpan w:val="5"/>
            <w:shd w:val="clear" w:color="auto" w:fill="F2F2F2"/>
            <w:vAlign w:val="center"/>
          </w:tcPr>
          <w:p w14:paraId="1C0BB3B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If you have answered </w:t>
            </w:r>
            <w:r>
              <w:rPr>
                <w:rFonts w:ascii="Arial" w:eastAsia="Arial" w:hAnsi="Arial" w:cs="Arial"/>
                <w:b/>
                <w:bCs/>
                <w:color w:val="000000"/>
              </w:rPr>
              <w:t>YES</w:t>
            </w:r>
            <w:r>
              <w:rPr>
                <w:rFonts w:ascii="Arial" w:eastAsia="Arial" w:hAnsi="Arial" w:cs="Arial"/>
                <w:color w:val="000000"/>
              </w:rPr>
              <w:t xml:space="preserve"> to any of questions O1-O11, please provide justification detailing why this is necessary for the research.  </w:t>
            </w:r>
          </w:p>
        </w:tc>
      </w:tr>
      <w:tr w:rsidR="003B7A74" w14:paraId="3A478FF4" w14:textId="77777777" w:rsidTr="00293DC6">
        <w:trPr>
          <w:cantSplit/>
          <w:trHeight w:val="403"/>
          <w:tblHeader/>
        </w:trPr>
        <w:tc>
          <w:tcPr>
            <w:tcW w:w="551" w:type="dxa"/>
            <w:vAlign w:val="center"/>
          </w:tcPr>
          <w:p w14:paraId="05A62560"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12</w:t>
            </w:r>
          </w:p>
        </w:tc>
        <w:tc>
          <w:tcPr>
            <w:tcW w:w="9170" w:type="dxa"/>
            <w:gridSpan w:val="4"/>
            <w:vAlign w:val="center"/>
          </w:tcPr>
          <w:p w14:paraId="51F48733"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B050"/>
              </w:rPr>
            </w:pPr>
            <w:r>
              <w:rPr>
                <w:rFonts w:ascii="Arial" w:eastAsia="Arial" w:hAnsi="Arial" w:cs="Arial"/>
                <w:color w:val="00B050"/>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CF399A1"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i/>
                <w:iCs/>
                <w:color w:val="808080"/>
                <w:sz w:val="18"/>
                <w:szCs w:val="18"/>
              </w:rPr>
            </w:pPr>
          </w:p>
          <w:p w14:paraId="185970C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sz w:val="20"/>
                <w:szCs w:val="20"/>
              </w:rPr>
            </w:pPr>
            <w:r>
              <w:rPr>
                <w:rFonts w:ascii="Arial" w:eastAsia="Arial" w:hAnsi="Arial" w:cs="Arial"/>
                <w:i/>
                <w:iCs/>
                <w:color w:val="808080"/>
                <w:sz w:val="18"/>
                <w:szCs w:val="18"/>
              </w:rPr>
              <w:t>(this box should expand as you type)</w:t>
            </w:r>
          </w:p>
        </w:tc>
      </w:tr>
    </w:tbl>
    <w:p w14:paraId="666A566F"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p w14:paraId="1882D584"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b/>
          <w:bCs/>
          <w:color w:val="000000"/>
        </w:rPr>
      </w:pPr>
    </w:p>
    <w:p w14:paraId="6E45DFB9" w14:textId="77777777" w:rsidR="003B7A74" w:rsidRDefault="003B7A74" w:rsidP="003B7A74">
      <w:pPr>
        <w:pStyle w:val="Normal1"/>
        <w:pBdr>
          <w:top w:val="nil"/>
          <w:left w:val="nil"/>
          <w:bottom w:val="nil"/>
          <w:right w:val="nil"/>
          <w:between w:val="nil"/>
        </w:pBdr>
        <w:spacing w:after="240" w:line="360" w:lineRule="auto"/>
        <w:jc w:val="both"/>
        <w:rPr>
          <w:rFonts w:ascii="Arial" w:eastAsia="Arial" w:hAnsi="Arial" w:cs="Arial"/>
          <w:b/>
          <w:bCs/>
          <w:color w:val="000000"/>
        </w:rPr>
      </w:pPr>
      <w:r>
        <w:rPr>
          <w:rFonts w:ascii="Arial" w:eastAsia="Arial" w:hAnsi="Arial" w:cs="Arial"/>
          <w:b/>
          <w:bCs/>
          <w:color w:val="000000"/>
        </w:rPr>
        <w:t>SECTION J: Declaration</w:t>
      </w:r>
    </w:p>
    <w:tbl>
      <w:tblPr>
        <w:tblStyle w:val="ae"/>
        <w:tblW w:w="9843" w:type="dxa"/>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3752"/>
        <w:gridCol w:w="2530"/>
      </w:tblGrid>
      <w:tr w:rsidR="003B7A74" w14:paraId="15BA8465" w14:textId="77777777" w:rsidTr="00293DC6">
        <w:trPr>
          <w:cantSplit/>
          <w:trHeight w:val="1807"/>
          <w:tblHeader/>
        </w:trPr>
        <w:tc>
          <w:tcPr>
            <w:tcW w:w="250" w:type="dxa"/>
          </w:tcPr>
          <w:p w14:paraId="09A4B3F2" w14:textId="77777777" w:rsidR="003B7A74" w:rsidRDefault="003B7A74" w:rsidP="00293DC6">
            <w:pPr>
              <w:pStyle w:val="Normal1"/>
              <w:widowControl w:val="0"/>
              <w:pBdr>
                <w:top w:val="nil"/>
                <w:left w:val="nil"/>
                <w:bottom w:val="nil"/>
                <w:right w:val="nil"/>
                <w:between w:val="nil"/>
              </w:pBdr>
              <w:spacing w:after="0" w:line="360" w:lineRule="auto"/>
              <w:rPr>
                <w:rFonts w:ascii="Arial" w:eastAsia="Arial" w:hAnsi="Arial" w:cs="Arial"/>
                <w:b/>
                <w:bCs/>
                <w:color w:val="000000"/>
              </w:rPr>
            </w:pPr>
          </w:p>
        </w:tc>
        <w:tc>
          <w:tcPr>
            <w:tcW w:w="546" w:type="dxa"/>
            <w:shd w:val="clear" w:color="auto" w:fill="F2F2F2"/>
            <w:vAlign w:val="center"/>
          </w:tcPr>
          <w:p w14:paraId="0E980895"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p>
        </w:tc>
        <w:tc>
          <w:tcPr>
            <w:tcW w:w="9047" w:type="dxa"/>
            <w:gridSpan w:val="3"/>
            <w:shd w:val="clear" w:color="auto" w:fill="F2F2F2"/>
            <w:vAlign w:val="center"/>
          </w:tcPr>
          <w:p w14:paraId="798E0269"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b/>
                <w:bCs/>
                <w:color w:val="000000"/>
              </w:rPr>
            </w:pPr>
            <w:r>
              <w:rPr>
                <w:rFonts w:ascii="Arial" w:eastAsia="Arial" w:hAnsi="Arial" w:cs="Arial"/>
                <w:color w:val="000000"/>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rPr>
              <w:t>.</w:t>
            </w:r>
          </w:p>
          <w:p w14:paraId="57FF5E85"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b/>
                <w:bCs/>
                <w:color w:val="000000"/>
              </w:rPr>
            </w:pPr>
          </w:p>
          <w:p w14:paraId="7AD9EF33" w14:textId="77777777" w:rsidR="003B7A74" w:rsidRDefault="003B7A74" w:rsidP="00293DC6">
            <w:pPr>
              <w:pStyle w:val="Normal1"/>
              <w:pBdr>
                <w:top w:val="nil"/>
                <w:left w:val="nil"/>
                <w:bottom w:val="nil"/>
                <w:right w:val="nil"/>
                <w:between w:val="nil"/>
              </w:pBdr>
              <w:spacing w:after="0" w:line="360" w:lineRule="auto"/>
              <w:jc w:val="both"/>
              <w:rPr>
                <w:rFonts w:ascii="Arial" w:eastAsia="Arial" w:hAnsi="Arial" w:cs="Arial"/>
                <w:color w:val="000080"/>
              </w:rPr>
            </w:pPr>
            <w:r>
              <w:rPr>
                <w:rFonts w:ascii="Arial" w:eastAsia="Arial" w:hAnsi="Arial" w:cs="Arial"/>
                <w:color w:val="000000"/>
              </w:rPr>
              <w:t xml:space="preserve">In submitting this application, I hereby confirm that I undertake to ensure that the above-named research activity will meet the University’s Research Ethics and Integrity Code of Practice which is published on the website: </w:t>
            </w:r>
            <w:hyperlink r:id="rId95">
              <w:r>
                <w:rPr>
                  <w:rFonts w:ascii="Arial" w:eastAsia="Arial" w:hAnsi="Arial" w:cs="Arial"/>
                  <w:color w:val="0000FF"/>
                  <w:u w:val="single"/>
                </w:rPr>
                <w:t>https://www.uwtsd.ac.uk/research/research-ethics/</w:t>
              </w:r>
            </w:hyperlink>
          </w:p>
        </w:tc>
      </w:tr>
      <w:tr w:rsidR="003B7A74" w14:paraId="0B07DCC1" w14:textId="77777777" w:rsidTr="00293DC6">
        <w:trPr>
          <w:cantSplit/>
          <w:trHeight w:val="657"/>
          <w:tblHeader/>
        </w:trPr>
        <w:tc>
          <w:tcPr>
            <w:tcW w:w="250" w:type="dxa"/>
          </w:tcPr>
          <w:p w14:paraId="2F75DCC0" w14:textId="77777777" w:rsidR="003B7A74" w:rsidRDefault="003B7A74" w:rsidP="00293DC6">
            <w:pPr>
              <w:pStyle w:val="Normal1"/>
              <w:widowControl w:val="0"/>
              <w:pBdr>
                <w:top w:val="nil"/>
                <w:left w:val="nil"/>
                <w:bottom w:val="nil"/>
                <w:right w:val="nil"/>
                <w:between w:val="nil"/>
              </w:pBdr>
              <w:spacing w:after="0" w:line="360" w:lineRule="auto"/>
              <w:rPr>
                <w:rFonts w:ascii="Arial" w:eastAsia="Arial" w:hAnsi="Arial" w:cs="Arial"/>
                <w:color w:val="000080"/>
              </w:rPr>
            </w:pPr>
          </w:p>
        </w:tc>
        <w:tc>
          <w:tcPr>
            <w:tcW w:w="5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A28538"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1</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DD9C86"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Signature of applicant:</w:t>
            </w:r>
          </w:p>
        </w:tc>
        <w:tc>
          <w:tcPr>
            <w:tcW w:w="3752" w:type="dxa"/>
            <w:tcBorders>
              <w:left w:val="single" w:sz="4" w:space="0" w:color="000000"/>
            </w:tcBorders>
            <w:vAlign w:val="center"/>
          </w:tcPr>
          <w:p w14:paraId="20CA78BA"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DIPAK MODHAVADIYA</w:t>
            </w:r>
          </w:p>
        </w:tc>
        <w:tc>
          <w:tcPr>
            <w:tcW w:w="2530" w:type="dxa"/>
            <w:vAlign w:val="center"/>
          </w:tcPr>
          <w:p w14:paraId="12864C51" w14:textId="77777777" w:rsidR="003B7A74" w:rsidRDefault="003B7A74" w:rsidP="00293DC6">
            <w:pPr>
              <w:pStyle w:val="Normal1"/>
              <w:pBdr>
                <w:top w:val="nil"/>
                <w:left w:val="nil"/>
                <w:bottom w:val="nil"/>
                <w:right w:val="nil"/>
                <w:between w:val="nil"/>
              </w:pBdr>
              <w:spacing w:after="280" w:line="360" w:lineRule="auto"/>
              <w:rPr>
                <w:rFonts w:ascii="Arial" w:eastAsia="Arial" w:hAnsi="Arial" w:cs="Arial"/>
                <w:b/>
                <w:bCs/>
                <w:color w:val="000000"/>
              </w:rPr>
            </w:pPr>
            <w:r>
              <w:rPr>
                <w:rFonts w:ascii="Arial" w:eastAsia="Arial" w:hAnsi="Arial" w:cs="Arial"/>
                <w:b/>
                <w:bCs/>
                <w:color w:val="000000"/>
              </w:rPr>
              <w:t xml:space="preserve">Date: </w:t>
            </w:r>
            <w:r>
              <w:rPr>
                <w:rFonts w:ascii="Arial" w:eastAsia="Arial" w:hAnsi="Arial" w:cs="Arial"/>
                <w:color w:val="000000"/>
              </w:rPr>
              <w:t>16/07/2026</w:t>
            </w:r>
          </w:p>
          <w:p w14:paraId="452A839C" w14:textId="77777777" w:rsidR="003B7A74" w:rsidRDefault="003B7A74" w:rsidP="00293DC6">
            <w:pPr>
              <w:pStyle w:val="Normal1"/>
              <w:pBdr>
                <w:top w:val="nil"/>
                <w:left w:val="nil"/>
                <w:bottom w:val="nil"/>
                <w:right w:val="nil"/>
                <w:between w:val="nil"/>
              </w:pBdr>
              <w:spacing w:before="280" w:after="0" w:line="360" w:lineRule="auto"/>
              <w:rPr>
                <w:rFonts w:ascii="Arial" w:eastAsia="Arial" w:hAnsi="Arial" w:cs="Arial"/>
                <w:color w:val="000000"/>
              </w:rPr>
            </w:pPr>
          </w:p>
        </w:tc>
      </w:tr>
      <w:tr w:rsidR="003B7A74" w14:paraId="676A533F" w14:textId="77777777" w:rsidTr="00293DC6">
        <w:trPr>
          <w:cantSplit/>
          <w:trHeight w:val="346"/>
          <w:tblHeader/>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7AC8CDD"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2</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A4CF54"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Supervisor:</w:t>
            </w:r>
          </w:p>
        </w:tc>
        <w:tc>
          <w:tcPr>
            <w:tcW w:w="3752" w:type="dxa"/>
            <w:tcBorders>
              <w:top w:val="single" w:sz="4" w:space="0" w:color="000000"/>
              <w:left w:val="single" w:sz="4" w:space="0" w:color="000000"/>
              <w:bottom w:val="single" w:sz="4" w:space="0" w:color="000000"/>
              <w:right w:val="single" w:sz="4" w:space="0" w:color="000000"/>
            </w:tcBorders>
            <w:vAlign w:val="center"/>
          </w:tcPr>
          <w:p w14:paraId="6AB2A99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Shahrukh Irfan</w:t>
            </w:r>
          </w:p>
        </w:tc>
        <w:tc>
          <w:tcPr>
            <w:tcW w:w="2530" w:type="dxa"/>
            <w:vMerge w:val="restart"/>
            <w:tcBorders>
              <w:top w:val="single" w:sz="4" w:space="0" w:color="000000"/>
              <w:left w:val="single" w:sz="4" w:space="0" w:color="000000"/>
              <w:bottom w:val="single" w:sz="4" w:space="0" w:color="000000"/>
              <w:right w:val="single" w:sz="4" w:space="0" w:color="000000"/>
            </w:tcBorders>
          </w:tcPr>
          <w:p w14:paraId="632040FF"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b/>
                <w:bCs/>
                <w:color w:val="000000"/>
              </w:rPr>
              <w:t>Date: 27/07/2026</w:t>
            </w:r>
          </w:p>
        </w:tc>
      </w:tr>
      <w:tr w:rsidR="003B7A74" w14:paraId="2E228D6C" w14:textId="77777777" w:rsidTr="00293DC6">
        <w:trPr>
          <w:cantSplit/>
          <w:trHeight w:val="347"/>
          <w:tblHeader/>
        </w:trPr>
        <w:tc>
          <w:tcPr>
            <w:tcW w:w="796"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5088534" w14:textId="77777777" w:rsidR="003B7A74" w:rsidRDefault="003B7A74" w:rsidP="00293DC6">
            <w:pPr>
              <w:pStyle w:val="Normal1"/>
              <w:pBdr>
                <w:top w:val="nil"/>
                <w:left w:val="nil"/>
                <w:bottom w:val="nil"/>
                <w:right w:val="nil"/>
                <w:between w:val="nil"/>
              </w:pBdr>
              <w:spacing w:after="0" w:line="360" w:lineRule="auto"/>
              <w:jc w:val="center"/>
              <w:rPr>
                <w:rFonts w:ascii="Arial" w:eastAsia="Arial" w:hAnsi="Arial" w:cs="Arial"/>
                <w:color w:val="000000"/>
              </w:rPr>
            </w:pPr>
            <w:r>
              <w:rPr>
                <w:rFonts w:ascii="Arial" w:eastAsia="Arial" w:hAnsi="Arial" w:cs="Arial"/>
                <w:color w:val="000000"/>
              </w:rPr>
              <w:t>3</w:t>
            </w:r>
          </w:p>
        </w:tc>
        <w:tc>
          <w:tcPr>
            <w:tcW w:w="2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EB1C9E"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Signature:</w:t>
            </w:r>
          </w:p>
        </w:tc>
        <w:tc>
          <w:tcPr>
            <w:tcW w:w="3752" w:type="dxa"/>
            <w:tcBorders>
              <w:top w:val="single" w:sz="4" w:space="0" w:color="000000"/>
              <w:left w:val="single" w:sz="4" w:space="0" w:color="000000"/>
              <w:bottom w:val="single" w:sz="4" w:space="0" w:color="000000"/>
              <w:right w:val="single" w:sz="4" w:space="0" w:color="000000"/>
            </w:tcBorders>
            <w:vAlign w:val="center"/>
          </w:tcPr>
          <w:p w14:paraId="70B5B5A2" w14:textId="77777777" w:rsidR="003B7A74" w:rsidRDefault="003B7A74" w:rsidP="00293DC6">
            <w:pPr>
              <w:pStyle w:val="Normal1"/>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noProof/>
                <w:color w:val="000000"/>
              </w:rPr>
              <w:drawing>
                <wp:inline distT="0" distB="0" distL="0" distR="0" wp14:anchorId="090AADF8" wp14:editId="79C0ACC0">
                  <wp:extent cx="838317" cy="695422"/>
                  <wp:effectExtent l="0" t="0" r="0" b="0"/>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6"/>
                          <a:srcRect/>
                          <a:stretch>
                            <a:fillRect/>
                          </a:stretch>
                        </pic:blipFill>
                        <pic:spPr>
                          <a:xfrm>
                            <a:off x="0" y="0"/>
                            <a:ext cx="838317" cy="695422"/>
                          </a:xfrm>
                          <a:prstGeom prst="rect">
                            <a:avLst/>
                          </a:prstGeom>
                          <a:ln/>
                        </pic:spPr>
                      </pic:pic>
                    </a:graphicData>
                  </a:graphic>
                </wp:inline>
              </w:drawing>
            </w:r>
          </w:p>
        </w:tc>
        <w:tc>
          <w:tcPr>
            <w:tcW w:w="2530" w:type="dxa"/>
            <w:vMerge/>
            <w:tcBorders>
              <w:top w:val="single" w:sz="4" w:space="0" w:color="000000"/>
              <w:left w:val="single" w:sz="4" w:space="0" w:color="000000"/>
              <w:bottom w:val="single" w:sz="4" w:space="0" w:color="000000"/>
              <w:right w:val="single" w:sz="4" w:space="0" w:color="000000"/>
            </w:tcBorders>
          </w:tcPr>
          <w:p w14:paraId="0605F8B3" w14:textId="77777777" w:rsidR="003B7A74" w:rsidRDefault="003B7A74" w:rsidP="00293DC6">
            <w:pPr>
              <w:pStyle w:val="Normal1"/>
              <w:widowControl w:val="0"/>
              <w:pBdr>
                <w:top w:val="nil"/>
                <w:left w:val="nil"/>
                <w:bottom w:val="nil"/>
                <w:right w:val="nil"/>
                <w:between w:val="nil"/>
              </w:pBdr>
              <w:spacing w:after="0"/>
              <w:rPr>
                <w:rFonts w:ascii="Arial" w:eastAsia="Arial" w:hAnsi="Arial" w:cs="Arial"/>
                <w:color w:val="000000"/>
              </w:rPr>
            </w:pPr>
          </w:p>
        </w:tc>
      </w:tr>
    </w:tbl>
    <w:p w14:paraId="7E982A05" w14:textId="77777777" w:rsidR="003B7A74" w:rsidRDefault="003B7A74" w:rsidP="003B7A74">
      <w:pPr>
        <w:pStyle w:val="Normal1"/>
        <w:pBdr>
          <w:top w:val="nil"/>
          <w:left w:val="nil"/>
          <w:bottom w:val="nil"/>
          <w:right w:val="nil"/>
          <w:between w:val="nil"/>
        </w:pBdr>
        <w:spacing w:after="0" w:line="360" w:lineRule="auto"/>
        <w:rPr>
          <w:rFonts w:ascii="Arial" w:eastAsia="Arial" w:hAnsi="Arial" w:cs="Arial"/>
          <w:color w:val="000000"/>
        </w:rPr>
      </w:pPr>
    </w:p>
    <w:p w14:paraId="2E90EE17" w14:textId="77777777" w:rsidR="003B7A74" w:rsidRDefault="003B7A74" w:rsidP="003B7A74">
      <w:pPr>
        <w:pStyle w:val="Normal1"/>
        <w:spacing w:line="360" w:lineRule="auto"/>
        <w:jc w:val="both"/>
        <w:rPr>
          <w:rFonts w:ascii="Arial" w:eastAsia="Arial" w:hAnsi="Arial" w:cs="Arial"/>
          <w:sz w:val="24"/>
          <w:szCs w:val="24"/>
        </w:rPr>
      </w:pPr>
    </w:p>
    <w:p w14:paraId="19430B08" w14:textId="5246FA65" w:rsidR="00C26196" w:rsidRDefault="00C26196" w:rsidP="00F76A1F">
      <w:pPr>
        <w:rPr>
          <w:rFonts w:ascii="Arial" w:eastAsia="Arial" w:hAnsi="Arial" w:cs="Arial"/>
          <w:sz w:val="24"/>
          <w:szCs w:val="24"/>
        </w:rPr>
      </w:pPr>
    </w:p>
    <w:p w14:paraId="57E750AB" w14:textId="685E3291" w:rsidR="003B7A74" w:rsidRPr="003B7A74" w:rsidRDefault="003B7A74" w:rsidP="00F76A1F">
      <w:r>
        <w:br w:type="page"/>
      </w:r>
    </w:p>
    <w:p w14:paraId="4A240515" w14:textId="338DBAFC" w:rsidR="001F27A4" w:rsidRPr="001F27A4" w:rsidRDefault="00DB5716" w:rsidP="00F76A1F">
      <w:pPr>
        <w:pStyle w:val="Heading2"/>
        <w:spacing w:line="360" w:lineRule="auto"/>
      </w:pPr>
      <w:bookmarkStart w:id="81" w:name="_Toc240985362"/>
      <w:r>
        <w:lastRenderedPageBreak/>
        <w:t xml:space="preserve">Appendix </w:t>
      </w:r>
      <w:r w:rsidR="001F27A4">
        <w:t>2</w:t>
      </w:r>
      <w:r>
        <w:t>: Thematic table (Self-created</w:t>
      </w:r>
      <w:r w:rsidR="00F76A1F">
        <w:t>)</w:t>
      </w:r>
      <w:bookmarkEnd w:id="81"/>
    </w:p>
    <w:tbl>
      <w:tblPr>
        <w:tblpPr w:leftFromText="181" w:rightFromText="181" w:vertAnchor="page" w:tblpXSpec="center" w:tblpY="2365"/>
        <w:tblOverlap w:val="never"/>
        <w:tblW w:w="5708" w:type="pct"/>
        <w:tblLayout w:type="fixed"/>
        <w:tblLook w:val="0400" w:firstRow="0" w:lastRow="0" w:firstColumn="0" w:lastColumn="0" w:noHBand="0" w:noVBand="1"/>
      </w:tblPr>
      <w:tblGrid>
        <w:gridCol w:w="1660"/>
        <w:gridCol w:w="6378"/>
        <w:gridCol w:w="1108"/>
        <w:gridCol w:w="1386"/>
      </w:tblGrid>
      <w:tr w:rsidR="00F76A1F" w14:paraId="45E81A2A"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C6C03E" w14:textId="77777777" w:rsidR="00F76A1F" w:rsidRDefault="00F76A1F" w:rsidP="00F76A1F">
            <w:pPr>
              <w:pStyle w:val="Normal1"/>
              <w:spacing w:after="0"/>
              <w:jc w:val="both"/>
              <w:rPr>
                <w:rFonts w:ascii="Arial" w:eastAsia="Arial" w:hAnsi="Arial" w:cs="Arial"/>
                <w:sz w:val="24"/>
                <w:szCs w:val="24"/>
              </w:rPr>
            </w:pPr>
            <w:r>
              <w:rPr>
                <w:rFonts w:ascii="Arial" w:eastAsia="Arial" w:hAnsi="Arial" w:cs="Arial"/>
                <w:b/>
                <w:bCs/>
                <w:sz w:val="24"/>
                <w:szCs w:val="24"/>
              </w:rPr>
              <w:t>Name of the articles </w:t>
            </w:r>
          </w:p>
        </w:tc>
        <w:tc>
          <w:tcPr>
            <w:tcW w:w="302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3C9BCA6" w14:textId="77777777" w:rsidR="00F76A1F" w:rsidRDefault="00F76A1F" w:rsidP="00F76A1F">
            <w:pPr>
              <w:pStyle w:val="Normal1"/>
              <w:spacing w:after="0"/>
              <w:jc w:val="both"/>
              <w:rPr>
                <w:rFonts w:ascii="Arial" w:eastAsia="Arial" w:hAnsi="Arial" w:cs="Arial"/>
                <w:sz w:val="24"/>
                <w:szCs w:val="24"/>
              </w:rPr>
            </w:pPr>
            <w:r>
              <w:rPr>
                <w:rFonts w:ascii="Arial" w:eastAsia="Arial" w:hAnsi="Arial" w:cs="Arial"/>
                <w:b/>
                <w:bCs/>
                <w:sz w:val="24"/>
                <w:szCs w:val="24"/>
              </w:rPr>
              <w:t>Original text from the articles</w:t>
            </w:r>
          </w:p>
        </w:tc>
        <w:tc>
          <w:tcPr>
            <w:tcW w:w="526" w:type="pct"/>
            <w:tcBorders>
              <w:top w:val="single" w:sz="8" w:space="0" w:color="000000"/>
              <w:left w:val="single" w:sz="8" w:space="0" w:color="000000"/>
              <w:bottom w:val="single" w:sz="4" w:space="0" w:color="000000"/>
              <w:right w:val="single" w:sz="8" w:space="0" w:color="000000"/>
            </w:tcBorders>
            <w:tcMar>
              <w:top w:w="100" w:type="dxa"/>
              <w:left w:w="100" w:type="dxa"/>
              <w:bottom w:w="100" w:type="dxa"/>
              <w:right w:w="100" w:type="dxa"/>
            </w:tcMar>
            <w:vAlign w:val="center"/>
          </w:tcPr>
          <w:p w14:paraId="4D571A00" w14:textId="77777777" w:rsidR="00F76A1F" w:rsidRDefault="00F76A1F" w:rsidP="00F76A1F">
            <w:pPr>
              <w:pStyle w:val="Normal1"/>
              <w:spacing w:after="0"/>
              <w:jc w:val="both"/>
              <w:rPr>
                <w:rFonts w:ascii="Arial" w:eastAsia="Arial" w:hAnsi="Arial" w:cs="Arial"/>
                <w:sz w:val="24"/>
                <w:szCs w:val="24"/>
              </w:rPr>
            </w:pPr>
            <w:r>
              <w:rPr>
                <w:rFonts w:ascii="Arial" w:eastAsia="Arial" w:hAnsi="Arial" w:cs="Arial"/>
                <w:b/>
                <w:bCs/>
                <w:sz w:val="24"/>
                <w:szCs w:val="24"/>
              </w:rPr>
              <w:t>Summary of the text</w:t>
            </w:r>
          </w:p>
        </w:tc>
        <w:tc>
          <w:tcPr>
            <w:tcW w:w="658" w:type="pct"/>
            <w:tcBorders>
              <w:top w:val="single" w:sz="8" w:space="0" w:color="000000"/>
              <w:left w:val="single" w:sz="8" w:space="0" w:color="000000"/>
              <w:bottom w:val="single" w:sz="4" w:space="0" w:color="000000"/>
              <w:right w:val="single" w:sz="8" w:space="0" w:color="000000"/>
            </w:tcBorders>
            <w:tcMar>
              <w:top w:w="100" w:type="dxa"/>
              <w:left w:w="100" w:type="dxa"/>
              <w:bottom w:w="100" w:type="dxa"/>
              <w:right w:w="100" w:type="dxa"/>
            </w:tcMar>
            <w:vAlign w:val="center"/>
          </w:tcPr>
          <w:p w14:paraId="218D544F" w14:textId="77777777" w:rsidR="00F76A1F" w:rsidRDefault="00F76A1F" w:rsidP="00F76A1F">
            <w:pPr>
              <w:pStyle w:val="Normal1"/>
              <w:spacing w:after="0"/>
              <w:jc w:val="both"/>
              <w:rPr>
                <w:rFonts w:ascii="Arial" w:eastAsia="Arial" w:hAnsi="Arial" w:cs="Arial"/>
                <w:sz w:val="24"/>
                <w:szCs w:val="24"/>
              </w:rPr>
            </w:pPr>
            <w:r>
              <w:rPr>
                <w:rFonts w:ascii="Arial" w:eastAsia="Arial" w:hAnsi="Arial" w:cs="Arial"/>
                <w:b/>
                <w:bCs/>
                <w:sz w:val="24"/>
                <w:szCs w:val="24"/>
              </w:rPr>
              <w:t>Theme developed</w:t>
            </w:r>
          </w:p>
        </w:tc>
      </w:tr>
      <w:tr w:rsidR="00F76A1F" w14:paraId="7192755D"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4409153"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Dalla Pellegrina, L., Di Maio, G., Masciandaro, D. and Saraceno, M., (2023). Are bankers “crying wolf”? type i, type ii errors and deterrence in anti-money laundering: The italian case. </w:t>
            </w:r>
            <w:r>
              <w:rPr>
                <w:rFonts w:ascii="Arial" w:eastAsia="Arial" w:hAnsi="Arial" w:cs="Arial"/>
                <w:i/>
                <w:iCs/>
                <w:color w:val="000000"/>
                <w:sz w:val="24"/>
                <w:szCs w:val="24"/>
              </w:rPr>
              <w:t>Italian Economic Journal</w:t>
            </w:r>
            <w:r>
              <w:rPr>
                <w:rFonts w:ascii="Arial" w:eastAsia="Arial" w:hAnsi="Arial" w:cs="Arial"/>
                <w:color w:val="000000"/>
                <w:sz w:val="24"/>
                <w:szCs w:val="24"/>
              </w:rPr>
              <w:t xml:space="preserve">, </w:t>
            </w:r>
            <w:r>
              <w:rPr>
                <w:rFonts w:ascii="Arial" w:eastAsia="Arial" w:hAnsi="Arial" w:cs="Arial"/>
                <w:i/>
                <w:iCs/>
                <w:color w:val="000000"/>
                <w:sz w:val="24"/>
                <w:szCs w:val="24"/>
              </w:rPr>
              <w:t>9</w:t>
            </w:r>
            <w:r>
              <w:rPr>
                <w:rFonts w:ascii="Arial" w:eastAsia="Arial" w:hAnsi="Arial" w:cs="Arial"/>
                <w:color w:val="000000"/>
                <w:sz w:val="24"/>
                <w:szCs w:val="24"/>
              </w:rPr>
              <w:t>(2), pp.587-615. </w:t>
            </w:r>
          </w:p>
          <w:p w14:paraId="6C1415B6" w14:textId="77777777" w:rsidR="00F76A1F" w:rsidRDefault="00F76A1F" w:rsidP="00F76A1F">
            <w:pPr>
              <w:pStyle w:val="Normal1"/>
              <w:spacing w:after="0"/>
              <w:jc w:val="both"/>
              <w:rPr>
                <w:rFonts w:ascii="Arial" w:eastAsia="Arial" w:hAnsi="Arial" w:cs="Arial"/>
                <w:color w:val="000000"/>
                <w:sz w:val="24"/>
                <w:szCs w:val="24"/>
              </w:rPr>
            </w:pP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5991CAFF"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‘Initially, the AML system followed a rule-based approach. Financial intermediaries and other professionals used a set of standardized criteria (determined by the law and the FIU) to identify suspicious transactions and report them to the FIU. In that system, the role of financial intermediaries and other professionals was relatively passive. A chief problem of the rule-based approach was the high number of STRs erroneously issued by financial intermediaries and professionals. The high incidence of type-I errors (false positives) in the rule-based AML system was considered inefficient because it wasted the FIU’s resources. Moreover, it was ineffective in deterring money laundering and detrimental for intermediaries and professionals (especially from a reputational perspective). However, simply raising the bar by imposing stricter rules and criteria for reporting a transaction as suspicious to the FIU was not a solution. In this regard, false negatives represent an additional problem for AML systems, as decisions to not report potential money-laundering transactions (type-II errors) both dilute deterrence and make the financial system less reliable (Demetis 2010).’ </w:t>
            </w:r>
          </w:p>
          <w:p w14:paraId="4925776C"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“Type-II errors committed on both the first and second levels of the AML system can be detected by the judicial authority. The latter also collects reports on money laundering that come from institutions other than the FIU and from actors other than financial intermediaries and professionals.”</w:t>
            </w:r>
          </w:p>
        </w:tc>
        <w:tc>
          <w:tcPr>
            <w:tcW w:w="526"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D633B75"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AML frameworks feature a combination of risk-based and rule-based controls, with a balance between adaptability and regulatory consistency. Their effectiveness relies on having </w:t>
            </w:r>
            <w:r>
              <w:rPr>
                <w:rFonts w:ascii="Arial" w:eastAsia="Arial" w:hAnsi="Arial" w:cs="Arial"/>
                <w:color w:val="000000"/>
                <w:sz w:val="24"/>
                <w:szCs w:val="24"/>
              </w:rPr>
              <w:lastRenderedPageBreak/>
              <w:t>clear internal procedures in place; however, ongoing problems such as human bias, regulatory issues and poor risk cultures can help to destabilise risk assessments and AML decision-making processes. </w:t>
            </w:r>
          </w:p>
        </w:tc>
        <w:tc>
          <w:tcPr>
            <w:tcW w:w="658"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2ECCD73"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b/>
                <w:bCs/>
                <w:color w:val="000000"/>
                <w:sz w:val="24"/>
                <w:szCs w:val="24"/>
              </w:rPr>
              <w:lastRenderedPageBreak/>
              <w:t>Theme 1</w:t>
            </w:r>
          </w:p>
        </w:tc>
      </w:tr>
      <w:tr w:rsidR="00F76A1F" w14:paraId="64D84202"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AD60A8"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Ogbeide, H., Thomson, M.E., Gonul, M.S., Onkal, D., Bhowmick, S. and Bello, A.U., (2025). Rethinking Experts’ Perceptions in Money Laundering Risk Assessment: H. Ogbeide</w:t>
            </w:r>
            <w:r>
              <w:rPr>
                <w:rFonts w:ascii="Arial" w:eastAsia="Arial" w:hAnsi="Arial" w:cs="Arial"/>
                <w:i/>
                <w:iCs/>
                <w:color w:val="000000"/>
                <w:sz w:val="24"/>
                <w:szCs w:val="24"/>
              </w:rPr>
              <w:t>et al</w:t>
            </w:r>
            <w:r>
              <w:rPr>
                <w:rFonts w:ascii="Arial" w:eastAsia="Arial" w:hAnsi="Arial" w:cs="Arial"/>
                <w:color w:val="000000"/>
                <w:sz w:val="24"/>
                <w:szCs w:val="24"/>
              </w:rPr>
              <w:t xml:space="preserve">. </w:t>
            </w:r>
            <w:r>
              <w:rPr>
                <w:rFonts w:ascii="Arial" w:eastAsia="Arial" w:hAnsi="Arial" w:cs="Arial"/>
                <w:i/>
                <w:iCs/>
                <w:color w:val="000000"/>
                <w:sz w:val="24"/>
                <w:szCs w:val="24"/>
              </w:rPr>
              <w:t>European journal on criminal policy and research</w:t>
            </w:r>
            <w:r>
              <w:rPr>
                <w:rFonts w:ascii="Arial" w:eastAsia="Arial" w:hAnsi="Arial" w:cs="Arial"/>
                <w:color w:val="000000"/>
                <w:sz w:val="24"/>
                <w:szCs w:val="24"/>
              </w:rPr>
              <w:t xml:space="preserve">, </w:t>
            </w:r>
            <w:r>
              <w:rPr>
                <w:rFonts w:ascii="Arial" w:eastAsia="Arial" w:hAnsi="Arial" w:cs="Arial"/>
                <w:i/>
                <w:iCs/>
                <w:color w:val="000000"/>
                <w:sz w:val="24"/>
                <w:szCs w:val="24"/>
              </w:rPr>
              <w:t>31</w:t>
            </w:r>
            <w:r>
              <w:rPr>
                <w:rFonts w:ascii="Arial" w:eastAsia="Arial" w:hAnsi="Arial" w:cs="Arial"/>
                <w:color w:val="000000"/>
                <w:sz w:val="24"/>
                <w:szCs w:val="24"/>
              </w:rPr>
              <w:t>(4), pp.753-777. </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0861C7DB" w14:textId="77777777" w:rsidR="00F76A1F" w:rsidRDefault="00F76A1F" w:rsidP="00F76A1F">
            <w:pPr>
              <w:pStyle w:val="Normal1"/>
              <w:shd w:val="clear" w:color="auto" w:fill="FFFFFF"/>
              <w:spacing w:after="480"/>
              <w:jc w:val="both"/>
              <w:rPr>
                <w:rFonts w:ascii="Arial" w:eastAsia="Arial" w:hAnsi="Arial" w:cs="Arial"/>
                <w:color w:val="000000"/>
                <w:sz w:val="24"/>
                <w:szCs w:val="24"/>
              </w:rPr>
            </w:pPr>
            <w:r>
              <w:rPr>
                <w:rFonts w:ascii="Arial" w:eastAsia="Arial" w:hAnsi="Arial" w:cs="Arial"/>
                <w:color w:val="000000"/>
                <w:sz w:val="24"/>
                <w:szCs w:val="24"/>
              </w:rPr>
              <w:t>‘The literature highlights the pivotal role of internal policies and procedures as control instruments guiding decision-making. For example, research indicates that well-defined and consistently applied policies contribute to standardized decision processes. In practice, many organizations adopt a hybrid approach, integrating both risk-based and rule-based elements to leverage their respective strengths. This strategy allows organizations to be dynamic and adaptable in unpredictable risk environments while maintaining clear rules and procedures in areas requiring consistency and compliance. However, despite the significance of organizational factors in shaping AML experts’ risk estimates, challenges persist. These challenges include addressing human biases, navigating complex regulatory landscapes, and fostering a risk-aware culture.’</w:t>
            </w:r>
          </w:p>
        </w:tc>
        <w:tc>
          <w:tcPr>
            <w:tcW w:w="526"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A3CC03A"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c>
          <w:tcPr>
            <w:tcW w:w="658"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A7363A"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r>
      <w:tr w:rsidR="00F76A1F" w14:paraId="22769A52"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7693924"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Sabareesh, R., Pathak, D.N., Ranjan, R., Prasanna, R.D., Shalini, P. and Bellary, E.K., (2024). AI-driven fraud detection in banking: Enhancing transaction security. </w:t>
            </w:r>
            <w:r>
              <w:rPr>
                <w:rFonts w:ascii="Arial" w:eastAsia="Arial" w:hAnsi="Arial" w:cs="Arial"/>
                <w:i/>
                <w:iCs/>
                <w:color w:val="000000"/>
                <w:sz w:val="24"/>
                <w:szCs w:val="24"/>
              </w:rPr>
              <w:t>Journal of Informatics Education and Research</w:t>
            </w:r>
            <w:r>
              <w:rPr>
                <w:rFonts w:ascii="Arial" w:eastAsia="Arial" w:hAnsi="Arial" w:cs="Arial"/>
                <w:color w:val="000000"/>
                <w:sz w:val="24"/>
                <w:szCs w:val="24"/>
              </w:rPr>
              <w:t xml:space="preserve">, </w:t>
            </w:r>
            <w:r>
              <w:rPr>
                <w:rFonts w:ascii="Arial" w:eastAsia="Arial" w:hAnsi="Arial" w:cs="Arial"/>
                <w:i/>
                <w:iCs/>
                <w:color w:val="000000"/>
                <w:sz w:val="24"/>
                <w:szCs w:val="24"/>
              </w:rPr>
              <w:t>4</w:t>
            </w:r>
            <w:r>
              <w:rPr>
                <w:rFonts w:ascii="Arial" w:eastAsia="Arial" w:hAnsi="Arial" w:cs="Arial"/>
                <w:color w:val="000000"/>
                <w:sz w:val="24"/>
                <w:szCs w:val="24"/>
              </w:rPr>
              <w:t>(3).</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7AC201ED"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“More complex credit risk assessment models are made possible by algorithms that can see patterns in massive datasets that people might miss. When it comes to market and liquidity issues, real-time transaction monitoring is absolutely essential for quick risk mitigation. Automating compliance with regulatory norms is another critical function of AI, which helps to decrease human </w:t>
            </w:r>
            <w:r>
              <w:rPr>
                <w:rFonts w:ascii="Arial" w:eastAsia="Arial" w:hAnsi="Arial" w:cs="Arial"/>
                <w:sz w:val="24"/>
                <w:szCs w:val="24"/>
              </w:rPr>
              <w:t>mistakes</w:t>
            </w:r>
            <w:r>
              <w:rPr>
                <w:rFonts w:ascii="Arial" w:eastAsia="Arial" w:hAnsi="Arial" w:cs="Arial"/>
                <w:color w:val="000000"/>
                <w:sz w:val="24"/>
                <w:szCs w:val="24"/>
              </w:rPr>
              <w:t xml:space="preserve"> and assures quick adaptability to changes in regulations.”</w:t>
            </w:r>
          </w:p>
          <w:p w14:paraId="7FD0D7DB"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“As new technology improvements allow for new </w:t>
            </w:r>
            <w:r>
              <w:rPr>
                <w:rFonts w:ascii="Arial" w:eastAsia="Arial" w:hAnsi="Arial" w:cs="Arial"/>
                <w:sz w:val="24"/>
                <w:szCs w:val="24"/>
              </w:rPr>
              <w:t>risk management</w:t>
            </w:r>
            <w:r>
              <w:rPr>
                <w:rFonts w:ascii="Arial" w:eastAsia="Arial" w:hAnsi="Arial" w:cs="Arial"/>
                <w:color w:val="000000"/>
                <w:sz w:val="24"/>
                <w:szCs w:val="24"/>
              </w:rPr>
              <w:t xml:space="preserve"> tactics, the risk function can make better risk decisions at lower costs. Big data, machine learning, and crowdsourcing are a few examples of potential consequences. A major issue for financial institutions is gaining customer and regulatory support for models that use online behaviour and social data. ”</w:t>
            </w:r>
          </w:p>
        </w:tc>
        <w:tc>
          <w:tcPr>
            <w:tcW w:w="526"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9F5E905"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The chosen articles are showing that AI-based approaches are effective and can be better integrated with organisational systems, The collaborative </w:t>
            </w:r>
            <w:r>
              <w:rPr>
                <w:rFonts w:ascii="Arial" w:eastAsia="Arial" w:hAnsi="Arial" w:cs="Arial"/>
                <w:color w:val="000000"/>
                <w:sz w:val="24"/>
                <w:szCs w:val="24"/>
              </w:rPr>
              <w:lastRenderedPageBreak/>
              <w:t>approach of anomaly detection, behavioural analytics, monitoring and learning ensures better financial crime detection. </w:t>
            </w:r>
          </w:p>
        </w:tc>
        <w:tc>
          <w:tcPr>
            <w:tcW w:w="658"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9F90D0E"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b/>
                <w:bCs/>
                <w:color w:val="000000"/>
                <w:sz w:val="24"/>
                <w:szCs w:val="24"/>
              </w:rPr>
              <w:lastRenderedPageBreak/>
              <w:t>Theme 2</w:t>
            </w:r>
          </w:p>
        </w:tc>
      </w:tr>
      <w:tr w:rsidR="00F76A1F" w14:paraId="5449264A"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B0AF329"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Ghimire, A., (2025). AI-powered anomaly detection for AML compliance in US banking: Enhancing accuracy and reducing false positives. </w:t>
            </w:r>
            <w:r>
              <w:rPr>
                <w:rFonts w:ascii="Arial" w:eastAsia="Arial" w:hAnsi="Arial" w:cs="Arial"/>
                <w:i/>
                <w:iCs/>
                <w:color w:val="000000"/>
                <w:sz w:val="24"/>
                <w:szCs w:val="24"/>
              </w:rPr>
              <w:t>Global Trends in Science and Technology</w:t>
            </w:r>
            <w:r>
              <w:rPr>
                <w:rFonts w:ascii="Arial" w:eastAsia="Arial" w:hAnsi="Arial" w:cs="Arial"/>
                <w:color w:val="000000"/>
                <w:sz w:val="24"/>
                <w:szCs w:val="24"/>
              </w:rPr>
              <w:t xml:space="preserve">, </w:t>
            </w:r>
            <w:r>
              <w:rPr>
                <w:rFonts w:ascii="Arial" w:eastAsia="Arial" w:hAnsi="Arial" w:cs="Arial"/>
                <w:i/>
                <w:iCs/>
                <w:color w:val="000000"/>
                <w:sz w:val="24"/>
                <w:szCs w:val="24"/>
              </w:rPr>
              <w:t>1</w:t>
            </w:r>
            <w:r>
              <w:rPr>
                <w:rFonts w:ascii="Arial" w:eastAsia="Arial" w:hAnsi="Arial" w:cs="Arial"/>
                <w:color w:val="000000"/>
                <w:sz w:val="24"/>
                <w:szCs w:val="24"/>
              </w:rPr>
              <w:t>(1), pp.95-120.</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2E1F4EA7"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“Real-time AI monitoring, predictive analytics, and federated learning for real collaboration without compromise to data privacy are also future trends of AML. With the integration of AI within regulatory compliant frameworks, US banks are able to improve the AML effectiveness, reduce costs and </w:t>
            </w:r>
            <w:r>
              <w:rPr>
                <w:rFonts w:ascii="Arial" w:eastAsia="Arial" w:hAnsi="Arial" w:cs="Arial"/>
                <w:sz w:val="24"/>
                <w:szCs w:val="24"/>
              </w:rPr>
              <w:t>increase financial</w:t>
            </w:r>
            <w:r>
              <w:rPr>
                <w:rFonts w:ascii="Arial" w:eastAsia="Arial" w:hAnsi="Arial" w:cs="Arial"/>
                <w:color w:val="000000"/>
                <w:sz w:val="24"/>
                <w:szCs w:val="24"/>
              </w:rPr>
              <w:t xml:space="preserve"> security. In the banking world, AI powered AML solutions will </w:t>
            </w:r>
            <w:r>
              <w:rPr>
                <w:rFonts w:ascii="Arial" w:eastAsia="Arial" w:hAnsi="Arial" w:cs="Arial"/>
                <w:sz w:val="24"/>
                <w:szCs w:val="24"/>
              </w:rPr>
              <w:t>transform financial</w:t>
            </w:r>
            <w:r>
              <w:rPr>
                <w:rFonts w:ascii="Arial" w:eastAsia="Arial" w:hAnsi="Arial" w:cs="Arial"/>
                <w:color w:val="000000"/>
                <w:sz w:val="24"/>
                <w:szCs w:val="24"/>
              </w:rPr>
              <w:t xml:space="preserve"> crime prevention, ensuring a more secure, efficient, and compliant banking system.”</w:t>
            </w:r>
          </w:p>
          <w:p w14:paraId="02191F95"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“Real-Time Transaction Monitoring and Adaptive Learning: Batch processing for transactions takes place once they occur and become available in AML systems. Through AI, banks are able to monitor real time transactions which helps banks to detect suspicious activities in real time. Key approaches include: Real time analytics analysis of incoming transactions by AI models, identifying anomalies and taking immediate action including freezing funds for further review. These are adaptive learning models: the AI systems learn from new data without using static rules and adjust fraud detection thresholds and hone their accuracy as emerging fraud patterns unfold. It aligns with behavioural profiling in that it monitors customer transaction behaviours over time to detect deviations. Alerts could include wire transfers to offshore accounts that suddenly spike in high value. Real time monitoring helps banks respond quickly to financial criminals and stop illicit fund movements before they gain traction.”</w:t>
            </w:r>
          </w:p>
          <w:p w14:paraId="18DD527A"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“Explain ability and Model Interpretability: The need for AI-driven AML systems to be explainable has been demanded by the regulators, for example, this also translates into ‘model interpretability’, i.e, it should be clearly comprehensible how each transaction monitoring decision was derived. We also take a look at Explainable AI (XAI) techniques (SHapley Additive Explanations (SHAP) and Local Interpretable Model-Agnostic Explanations (LIME)) that assist compliance teams and regulators to understand the way the AI generated risk assessment. While AI contributes </w:t>
            </w:r>
            <w:r>
              <w:rPr>
                <w:rFonts w:ascii="Arial" w:eastAsia="Arial" w:hAnsi="Arial" w:cs="Arial"/>
                <w:sz w:val="24"/>
                <w:szCs w:val="24"/>
              </w:rPr>
              <w:t>to detecting</w:t>
            </w:r>
            <w:r>
              <w:rPr>
                <w:rFonts w:ascii="Arial" w:eastAsia="Arial" w:hAnsi="Arial" w:cs="Arial"/>
                <w:color w:val="000000"/>
                <w:sz w:val="24"/>
                <w:szCs w:val="24"/>
              </w:rPr>
              <w:t xml:space="preserve"> AML, this element should not work independently. Hence, banks must retain HITL models, where the compliance team is to check AI generated alerts and decide upon suspicious transactions.”</w:t>
            </w:r>
          </w:p>
        </w:tc>
        <w:tc>
          <w:tcPr>
            <w:tcW w:w="526"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DB1C066"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c>
          <w:tcPr>
            <w:tcW w:w="658"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72F1519"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r>
      <w:tr w:rsidR="00F76A1F" w14:paraId="1668C7D4"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4EC64B"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Chitimira, H. and Munedzi, S., (2023). An evaluation of customer due diligence and related anti-money laundering measures in the United Kingdom. </w:t>
            </w:r>
            <w:r>
              <w:rPr>
                <w:rFonts w:ascii="Arial" w:eastAsia="Arial" w:hAnsi="Arial" w:cs="Arial"/>
                <w:i/>
                <w:iCs/>
                <w:color w:val="000000"/>
                <w:sz w:val="24"/>
                <w:szCs w:val="24"/>
              </w:rPr>
              <w:t>Journal of Money Laundering Control</w:t>
            </w:r>
            <w:r>
              <w:rPr>
                <w:rFonts w:ascii="Arial" w:eastAsia="Arial" w:hAnsi="Arial" w:cs="Arial"/>
                <w:color w:val="000000"/>
                <w:sz w:val="24"/>
                <w:szCs w:val="24"/>
              </w:rPr>
              <w:t xml:space="preserve">, </w:t>
            </w:r>
            <w:r>
              <w:rPr>
                <w:rFonts w:ascii="Arial" w:eastAsia="Arial" w:hAnsi="Arial" w:cs="Arial"/>
                <w:i/>
                <w:iCs/>
                <w:color w:val="000000"/>
                <w:sz w:val="24"/>
                <w:szCs w:val="24"/>
              </w:rPr>
              <w:t>26</w:t>
            </w:r>
            <w:r>
              <w:rPr>
                <w:rFonts w:ascii="Arial" w:eastAsia="Arial" w:hAnsi="Arial" w:cs="Arial"/>
                <w:color w:val="000000"/>
                <w:sz w:val="24"/>
                <w:szCs w:val="24"/>
              </w:rPr>
              <w:t>(7), pp.127-137. </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0A19E3D2"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“Customer due diligence is at the core of the anti-money laundering measures used internationally. Accordingly, this article discusses the anti-money laundering regulatory approaches that are used to curb money laundering in the UK. The UK adopted a progressive regulatory and enforcement framework to combat money laundering which relies, inter alia, on the use of customer due diligence measures to regulate and curb the occurrence of money laundering activities in its financial institutions and financial markets. However, other regulatory approaches that could have contributed to the effective combating money laundering in the UK will not be explored in detail, as the article is focused on the reliance and use of customer due diligence measures to curb money laundering activities. Accordingly, the strength, flaws and weaknesses of the UK </w:t>
            </w:r>
            <w:r>
              <w:rPr>
                <w:rFonts w:ascii="Arial" w:eastAsia="Arial" w:hAnsi="Arial" w:cs="Arial"/>
                <w:sz w:val="24"/>
                <w:szCs w:val="24"/>
              </w:rPr>
              <w:t>anti-money</w:t>
            </w:r>
            <w:r>
              <w:rPr>
                <w:rFonts w:ascii="Arial" w:eastAsia="Arial" w:hAnsi="Arial" w:cs="Arial"/>
                <w:color w:val="000000"/>
                <w:sz w:val="24"/>
                <w:szCs w:val="24"/>
              </w:rPr>
              <w:t xml:space="preserve"> laundering regulatory and enforcement framework are examined. Lastly, possible recommendations to address such flaws and weaknesses are provided.”</w:t>
            </w:r>
          </w:p>
        </w:tc>
        <w:tc>
          <w:tcPr>
            <w:tcW w:w="526"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E45A816"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The studies emphasize the importance of proportionate controls for effective AML. Although the regulatory definition of money </w:t>
            </w:r>
            <w:r>
              <w:rPr>
                <w:rFonts w:ascii="Arial" w:eastAsia="Arial" w:hAnsi="Arial" w:cs="Arial"/>
                <w:color w:val="000000"/>
                <w:sz w:val="24"/>
                <w:szCs w:val="24"/>
              </w:rPr>
              <w:lastRenderedPageBreak/>
              <w:t>laundering under CDD offers a regulatory framework for identifying and preventing money laundering, transaction monitoring has several difficulties such as false positives, advanced laundering methods, and operational inefficiency. Thus, AML frameworks need to be improved to detect the problem with fewer compliance burdens as well as reducing the customer friction. </w:t>
            </w:r>
          </w:p>
          <w:p w14:paraId="714E21B1" w14:textId="77777777" w:rsidR="00F76A1F" w:rsidRDefault="00F76A1F" w:rsidP="00F76A1F">
            <w:pPr>
              <w:pStyle w:val="Normal1"/>
              <w:spacing w:after="0"/>
              <w:jc w:val="both"/>
              <w:rPr>
                <w:rFonts w:ascii="Arial" w:eastAsia="Arial" w:hAnsi="Arial" w:cs="Arial"/>
                <w:color w:val="000000"/>
                <w:sz w:val="24"/>
                <w:szCs w:val="24"/>
              </w:rPr>
            </w:pPr>
          </w:p>
        </w:tc>
        <w:tc>
          <w:tcPr>
            <w:tcW w:w="658"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D6F6B00"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b/>
                <w:bCs/>
                <w:color w:val="000000"/>
                <w:sz w:val="24"/>
                <w:szCs w:val="24"/>
              </w:rPr>
              <w:lastRenderedPageBreak/>
              <w:t>Theme 3</w:t>
            </w:r>
          </w:p>
        </w:tc>
      </w:tr>
      <w:tr w:rsidR="00F76A1F" w14:paraId="4D1348D6"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CC6C7E9"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Oztas, B., Cetinkaya, D., Adedoyin, F., Budka, M., Aksu, G. and Dogan, H., (2024). Transaction monitoring in anti-money laundering: A qualitative analysis and points of view from industry. </w:t>
            </w:r>
            <w:r>
              <w:rPr>
                <w:rFonts w:ascii="Arial" w:eastAsia="Arial" w:hAnsi="Arial" w:cs="Arial"/>
                <w:i/>
                <w:iCs/>
                <w:color w:val="000000"/>
                <w:sz w:val="24"/>
                <w:szCs w:val="24"/>
              </w:rPr>
              <w:t>Future Generation Computer Systems</w:t>
            </w:r>
            <w:r>
              <w:rPr>
                <w:rFonts w:ascii="Arial" w:eastAsia="Arial" w:hAnsi="Arial" w:cs="Arial"/>
                <w:color w:val="000000"/>
                <w:sz w:val="24"/>
                <w:szCs w:val="24"/>
              </w:rPr>
              <w:t xml:space="preserve">, </w:t>
            </w:r>
            <w:r>
              <w:rPr>
                <w:rFonts w:ascii="Arial" w:eastAsia="Arial" w:hAnsi="Arial" w:cs="Arial"/>
                <w:i/>
                <w:iCs/>
                <w:color w:val="000000"/>
                <w:sz w:val="24"/>
                <w:szCs w:val="24"/>
              </w:rPr>
              <w:t>159</w:t>
            </w:r>
            <w:r>
              <w:rPr>
                <w:rFonts w:ascii="Arial" w:eastAsia="Arial" w:hAnsi="Arial" w:cs="Arial"/>
                <w:color w:val="000000"/>
                <w:sz w:val="24"/>
                <w:szCs w:val="24"/>
              </w:rPr>
              <w:t>, pp.161-171. </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00F022D2"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“A crucial part of anti-money laundering (AML) operations is transaction monitoring, which involves ongoing financial transaction analysis to spot suspicious activity and report it to higher authorities. </w:t>
            </w:r>
            <w:r>
              <w:rPr>
                <w:rFonts w:ascii="Arial" w:eastAsia="Arial" w:hAnsi="Arial" w:cs="Arial"/>
                <w:sz w:val="24"/>
                <w:szCs w:val="24"/>
              </w:rPr>
              <w:t>Financial institutions</w:t>
            </w:r>
            <w:r>
              <w:rPr>
                <w:rFonts w:ascii="Arial" w:eastAsia="Arial" w:hAnsi="Arial" w:cs="Arial"/>
                <w:color w:val="000000"/>
                <w:sz w:val="24"/>
                <w:szCs w:val="24"/>
              </w:rPr>
              <w:t xml:space="preserve"> face many challenges and complexities in transaction monitoring, including high </w:t>
            </w:r>
            <w:r>
              <w:rPr>
                <w:rFonts w:ascii="Arial" w:eastAsia="Arial" w:hAnsi="Arial" w:cs="Arial"/>
                <w:sz w:val="24"/>
                <w:szCs w:val="24"/>
              </w:rPr>
              <w:t>false positive rates</w:t>
            </w:r>
            <w:r>
              <w:rPr>
                <w:rFonts w:ascii="Arial" w:eastAsia="Arial" w:hAnsi="Arial" w:cs="Arial"/>
                <w:color w:val="000000"/>
                <w:sz w:val="24"/>
                <w:szCs w:val="24"/>
              </w:rPr>
              <w:t>, developing money laundering scenarios, and an effective and efficient detection process. Further research is needed to develop enhanced transaction monitoring approaches to prevent crime more efficiently and ease the challenges financial institutions face.”</w:t>
            </w:r>
          </w:p>
        </w:tc>
        <w:tc>
          <w:tcPr>
            <w:tcW w:w="526"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74785B"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c>
          <w:tcPr>
            <w:tcW w:w="658"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A39F906"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r>
      <w:tr w:rsidR="00F76A1F" w14:paraId="5F69FD69"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DE203E"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Shirvanporzour, A., (2025). Artificial intelligence in banking risk management and anti-money laundering: A comprehensive review. </w:t>
            </w:r>
            <w:r>
              <w:rPr>
                <w:rFonts w:ascii="Arial" w:eastAsia="Arial" w:hAnsi="Arial" w:cs="Arial"/>
                <w:i/>
                <w:iCs/>
                <w:color w:val="000000"/>
                <w:sz w:val="24"/>
                <w:szCs w:val="24"/>
              </w:rPr>
              <w:t>Available at SSRN 5161209</w:t>
            </w:r>
            <w:r>
              <w:rPr>
                <w:rFonts w:ascii="Arial" w:eastAsia="Arial" w:hAnsi="Arial" w:cs="Arial"/>
                <w:color w:val="000000"/>
                <w:sz w:val="24"/>
                <w:szCs w:val="24"/>
              </w:rPr>
              <w:t>.</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1F87D6F2"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“The Need for Explainability in AI-driven AML AI-powered AML systems have become increasingly complex, raising concerns about explainability. Traditional rule-based AML systems allowed compliance officers to trace back decisions, but modern AI models, especially deep learning-based models, operate as black boxes, making it difficult to:  Understand why a transaction was flagged as suspicious.  Justify AI-based decisions to financial regulators.  Improve trust in automated compliance solutions. Regulatory Bodies &amp; AI Transparency Regulatory bodies such as:  The European Banking Authority (EBA) The Financial Action Task Force (FATF) Emphasize the need for AI models to be interpretable to ensure compliance with AML laws.”</w:t>
            </w:r>
          </w:p>
          <w:p w14:paraId="394DD576"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“Artificial Intelligence (AI) represents a transformative innovation that has profoundly altered the banking landscape in contemporary times, facilitating the development of architectures that enable banks to detect fraud, monitor transactions, and ensure compliance with regulations in a manner that surpasses human capabilities. This potential is realized through the implementation of advanced machine learning, deep learning, and NLP frameworks, which empower financial institutions with the capacity for instantaneous detection of illicit financial activities, enhanced predictive risk analytics, and cost-efficient compliance mechanisms. Collectively, these advancements serve to refine risk management frameworks by enhancing their accuracy and adaptability.”</w:t>
            </w:r>
          </w:p>
        </w:tc>
        <w:tc>
          <w:tcPr>
            <w:tcW w:w="526"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A02D7A5"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 xml:space="preserve">These chosen articles are highlighting that sustainable AML transformation ended a collaboration of technological innovations and governance maturities. AI can enhance detection capabilities yet proper </w:t>
            </w:r>
            <w:r>
              <w:rPr>
                <w:rFonts w:ascii="Arial" w:eastAsia="Arial" w:hAnsi="Arial" w:cs="Arial"/>
                <w:color w:val="000000"/>
                <w:sz w:val="24"/>
                <w:szCs w:val="24"/>
              </w:rPr>
              <w:lastRenderedPageBreak/>
              <w:t>risk-based governance approaches ensure structures consistency and ethics. </w:t>
            </w:r>
          </w:p>
        </w:tc>
        <w:tc>
          <w:tcPr>
            <w:tcW w:w="658" w:type="pct"/>
            <w:vMerge w:val="restar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A17D598"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b/>
                <w:bCs/>
                <w:color w:val="000000"/>
                <w:sz w:val="24"/>
                <w:szCs w:val="24"/>
              </w:rPr>
              <w:lastRenderedPageBreak/>
              <w:t>Theme 4</w:t>
            </w:r>
          </w:p>
        </w:tc>
      </w:tr>
      <w:tr w:rsidR="00F76A1F" w14:paraId="0A6D4D25" w14:textId="77777777" w:rsidTr="00F76A1F">
        <w:trPr>
          <w:cantSplit/>
          <w:trHeight w:val="20"/>
          <w:tblHeader/>
        </w:trPr>
        <w:tc>
          <w:tcPr>
            <w:tcW w:w="78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2B9325"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lastRenderedPageBreak/>
              <w:t>Majomi, E., (2022). AML compliance frameworks in the age of cyber-enabled laundering: A governance model for detecting digitally disguised financial crime.</w:t>
            </w:r>
          </w:p>
        </w:tc>
        <w:tc>
          <w:tcPr>
            <w:tcW w:w="3028" w:type="pct"/>
            <w:tcBorders>
              <w:top w:val="single" w:sz="8" w:space="0" w:color="000000"/>
              <w:left w:val="single" w:sz="8" w:space="0" w:color="000000"/>
              <w:bottom w:val="single" w:sz="8" w:space="0" w:color="000000"/>
              <w:right w:val="single" w:sz="4" w:space="0" w:color="000000"/>
            </w:tcBorders>
            <w:tcMar>
              <w:top w:w="100" w:type="dxa"/>
              <w:left w:w="100" w:type="dxa"/>
              <w:bottom w:w="100" w:type="dxa"/>
              <w:right w:w="100" w:type="dxa"/>
            </w:tcMar>
            <w:vAlign w:val="center"/>
          </w:tcPr>
          <w:p w14:paraId="22B8986F"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“The establishment of the Financial Action Task Force (FATF) significantly strengthened international AML governance by introducing globally recognised recommendations that promoted regulatory harmonisation, cross-border cooperation, and coordinated enforcement against financial crime. Concurrently, the Basel Committee reinforced prudent banking supervision by emphasising governance, internal controls, and sound risk management practices as essential components of effective AML compliance programmes. These international developments gradually transformed compliance from a legal obligation into a strategic governance function supporting financial integrity and institutional resilience. A major milestone was the adoption of the Risk-Based Approach (RBA), which requires institutions to identify, assess, and mitigate money laundering risks according to customer characteristics, products, delivery channels, and geographical exposure. Consequently, Customer Due Diligence (CDD), Enhanced Due Diligence (EDD), transaction monitoring, and Know Your Customer (KYC) procedures evolved into integrated compliance mechanisms supporting continuous customer verification, beneficial ownership identification, behavioural monitoring, and ongoing risk assessment throughout the customer relationship.”</w:t>
            </w:r>
          </w:p>
          <w:p w14:paraId="1EBC9153" w14:textId="77777777" w:rsidR="00F76A1F" w:rsidRDefault="00F76A1F" w:rsidP="00F76A1F">
            <w:pPr>
              <w:pStyle w:val="Normal1"/>
              <w:spacing w:after="0"/>
              <w:jc w:val="both"/>
              <w:rPr>
                <w:rFonts w:ascii="Arial" w:eastAsia="Arial" w:hAnsi="Arial" w:cs="Arial"/>
                <w:color w:val="000000"/>
                <w:sz w:val="24"/>
                <w:szCs w:val="24"/>
              </w:rPr>
            </w:pPr>
            <w:r>
              <w:rPr>
                <w:rFonts w:ascii="Arial" w:eastAsia="Arial" w:hAnsi="Arial" w:cs="Arial"/>
                <w:color w:val="000000"/>
                <w:sz w:val="24"/>
                <w:szCs w:val="24"/>
              </w:rPr>
              <w:t>“Effective governance provides the institutional foundation for controlling cyber-enabled financial crime by integrating regulatory compliance, technological innovation, and organisational resilience within a coordinated decision-making framework. Corporate Governance Theory assigns strategic responsibility to boards and senior management for overseeing compliance, ethical conduct, and enterprise-wide financial crime risk management. Institutional Theory explains how international regulations, supervisory expectations, and industry norms influence organisational behaviour and encourage convergence towards globally accepted AML standards. Enterprise Risk Management provides structured processes for identifying, assessing, mitigating, and monitoring cyber enabled laundering risks across interconnected business operations.”</w:t>
            </w:r>
          </w:p>
        </w:tc>
        <w:tc>
          <w:tcPr>
            <w:tcW w:w="526"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31FEB74"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c>
          <w:tcPr>
            <w:tcW w:w="658" w:type="pct"/>
            <w:vMerge/>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A9893DD" w14:textId="77777777" w:rsidR="00F76A1F" w:rsidRDefault="00F76A1F" w:rsidP="00F76A1F">
            <w:pPr>
              <w:pStyle w:val="Normal1"/>
              <w:widowControl w:val="0"/>
              <w:pBdr>
                <w:top w:val="nil"/>
                <w:left w:val="nil"/>
                <w:bottom w:val="nil"/>
                <w:right w:val="nil"/>
                <w:between w:val="nil"/>
              </w:pBdr>
              <w:spacing w:after="0"/>
              <w:rPr>
                <w:rFonts w:ascii="Arial" w:eastAsia="Arial" w:hAnsi="Arial" w:cs="Arial"/>
                <w:color w:val="000000"/>
                <w:sz w:val="24"/>
                <w:szCs w:val="24"/>
              </w:rPr>
            </w:pPr>
          </w:p>
        </w:tc>
      </w:tr>
    </w:tbl>
    <w:p w14:paraId="3BE17617" w14:textId="1CED57E1" w:rsidR="000D0697" w:rsidRDefault="000D0697" w:rsidP="00F76A1F">
      <w:pPr>
        <w:pStyle w:val="Normal1"/>
        <w:spacing w:line="360" w:lineRule="auto"/>
        <w:rPr>
          <w:rFonts w:ascii="Arial" w:eastAsia="Arial" w:hAnsi="Arial" w:cs="Arial"/>
          <w:sz w:val="24"/>
          <w:szCs w:val="24"/>
        </w:rPr>
      </w:pPr>
    </w:p>
    <w:sectPr w:rsidR="000D0697" w:rsidSect="000D0697">
      <w:footerReference w:type="default" r:id="rId9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57605" w14:textId="77777777" w:rsidR="00995497" w:rsidRDefault="00995497" w:rsidP="000D0697">
      <w:pPr>
        <w:spacing w:after="0" w:line="240" w:lineRule="auto"/>
      </w:pPr>
      <w:r>
        <w:separator/>
      </w:r>
    </w:p>
  </w:endnote>
  <w:endnote w:type="continuationSeparator" w:id="0">
    <w:p w14:paraId="55E5F54E" w14:textId="77777777" w:rsidR="00995497" w:rsidRDefault="00995497" w:rsidP="000D0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18E29CC2-3A2E-4AFC-9633-56266C7353B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73E2C55D-327E-497C-B650-71F25871CFC9}"/>
    <w:embedBold r:id="rId3" w:fontKey="{C74A2C0F-84D0-45D0-BEF0-46B62A12C9AA}"/>
    <w:embedItalic r:id="rId4" w:fontKey="{751E0CF4-C420-4B9E-AF1D-C9896F972F5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B5E76B4D-BECE-433B-9001-DF8B39EC1F25}"/>
    <w:embedBoldItalic r:id="rId6" w:fontKey="{AC8D4D6D-0F0F-44E1-B34B-21922C1F791D}"/>
  </w:font>
  <w:font w:name="Tahoma">
    <w:panose1 w:val="020B0604030504040204"/>
    <w:charset w:val="00"/>
    <w:family w:val="swiss"/>
    <w:pitch w:val="variable"/>
    <w:sig w:usb0="E1002EFF" w:usb1="C000605B" w:usb2="00000029" w:usb3="00000000" w:csb0="000101FF" w:csb1="00000000"/>
    <w:embedRegular r:id="rId7" w:fontKey="{742E8C2E-6EF1-4DE9-B976-9E0A45348A40}"/>
  </w:font>
  <w:font w:name="Georgia">
    <w:panose1 w:val="02040502050405020303"/>
    <w:charset w:val="00"/>
    <w:family w:val="roman"/>
    <w:pitch w:val="variable"/>
    <w:sig w:usb0="00000287" w:usb1="00000000" w:usb2="00000000" w:usb3="00000000" w:csb0="0000009F" w:csb1="00000000"/>
    <w:embedItalic r:id="rId8" w:fontKey="{D6D4441A-E79F-4D81-B31F-A45033067BAD}"/>
  </w:font>
  <w:font w:name="Arial Unicode MS">
    <w:altName w:val="Yu Gothic"/>
    <w:panose1 w:val="020B0604020202020204"/>
    <w:charset w:val="80"/>
    <w:family w:val="swiss"/>
    <w:pitch w:val="variable"/>
    <w:sig w:usb0="F7FFAFFF" w:usb1="E9DFFFFF" w:usb2="0000003F" w:usb3="00000000" w:csb0="003F01FF" w:csb1="00000000"/>
    <w:embedRegular r:id="rId9" w:subsetted="1" w:fontKey="{F70350C8-C24A-4F5B-AED4-64A982C7964A}"/>
    <w:embedBold r:id="rId10" w:subsetted="1" w:fontKey="{95696FCA-C5F7-460D-A937-01B88A9FC35B}"/>
  </w:font>
  <w:font w:name="Quattrocento Sans">
    <w:charset w:val="00"/>
    <w:family w:val="swiss"/>
    <w:pitch w:val="variable"/>
    <w:sig w:usb0="800000BF" w:usb1="4000005B" w:usb2="00000000" w:usb3="00000000" w:csb0="00000001" w:csb1="00000000"/>
    <w:embedBold r:id="rId11" w:fontKey="{38985EB7-0E19-4A57-95AF-7E937DF542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1794A" w14:textId="77777777" w:rsidR="000D0697" w:rsidRDefault="000D0697">
    <w:pPr>
      <w:pStyle w:val="Normal1"/>
      <w:pBdr>
        <w:top w:val="nil"/>
        <w:left w:val="nil"/>
        <w:bottom w:val="nil"/>
        <w:right w:val="nil"/>
        <w:between w:val="nil"/>
      </w:pBdr>
      <w:tabs>
        <w:tab w:val="center" w:pos="4513"/>
        <w:tab w:val="right" w:pos="9026"/>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sidR="00DB5716">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FF1977">
      <w:rPr>
        <w:rFonts w:ascii="Arial" w:eastAsia="Arial" w:hAnsi="Arial" w:cs="Arial"/>
        <w:noProof/>
        <w:color w:val="000000"/>
        <w:sz w:val="20"/>
        <w:szCs w:val="20"/>
      </w:rPr>
      <w:t>8</w:t>
    </w:r>
    <w:r>
      <w:rPr>
        <w:rFonts w:ascii="Arial" w:eastAsia="Arial" w:hAnsi="Arial" w:cs="Arial"/>
        <w:color w:val="000000"/>
        <w:sz w:val="20"/>
        <w:szCs w:val="20"/>
      </w:rPr>
      <w:fldChar w:fldCharType="end"/>
    </w:r>
  </w:p>
  <w:p w14:paraId="3BE1794B" w14:textId="77777777" w:rsidR="000D0697" w:rsidRDefault="000D0697">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FC161" w14:textId="77777777" w:rsidR="00995497" w:rsidRDefault="00995497" w:rsidP="000D0697">
      <w:pPr>
        <w:spacing w:after="0" w:line="240" w:lineRule="auto"/>
      </w:pPr>
      <w:r>
        <w:separator/>
      </w:r>
    </w:p>
  </w:footnote>
  <w:footnote w:type="continuationSeparator" w:id="0">
    <w:p w14:paraId="79104061" w14:textId="77777777" w:rsidR="00995497" w:rsidRDefault="00995497" w:rsidP="000D0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7A8"/>
    <w:multiLevelType w:val="multilevel"/>
    <w:tmpl w:val="EF3EDE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0863A1"/>
    <w:multiLevelType w:val="multilevel"/>
    <w:tmpl w:val="B3A2C1D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CF64FAE"/>
    <w:multiLevelType w:val="multilevel"/>
    <w:tmpl w:val="17103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1A142E"/>
    <w:multiLevelType w:val="multilevel"/>
    <w:tmpl w:val="BA5A91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644016"/>
    <w:multiLevelType w:val="multilevel"/>
    <w:tmpl w:val="31A2A05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AB60A0"/>
    <w:multiLevelType w:val="multilevel"/>
    <w:tmpl w:val="3D287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130F6C"/>
    <w:multiLevelType w:val="multilevel"/>
    <w:tmpl w:val="964EC9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FE03522"/>
    <w:multiLevelType w:val="multilevel"/>
    <w:tmpl w:val="2B48E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45D5CC1"/>
    <w:multiLevelType w:val="multilevel"/>
    <w:tmpl w:val="F1C4848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0202641">
    <w:abstractNumId w:val="8"/>
  </w:num>
  <w:num w:numId="2" w16cid:durableId="822506667">
    <w:abstractNumId w:val="4"/>
  </w:num>
  <w:num w:numId="3" w16cid:durableId="85274996">
    <w:abstractNumId w:val="2"/>
  </w:num>
  <w:num w:numId="4" w16cid:durableId="1785611661">
    <w:abstractNumId w:val="3"/>
  </w:num>
  <w:num w:numId="5" w16cid:durableId="127361751">
    <w:abstractNumId w:val="5"/>
  </w:num>
  <w:num w:numId="6" w16cid:durableId="1708555357">
    <w:abstractNumId w:val="0"/>
  </w:num>
  <w:num w:numId="7" w16cid:durableId="169375452">
    <w:abstractNumId w:val="7"/>
  </w:num>
  <w:num w:numId="8" w16cid:durableId="1017080655">
    <w:abstractNumId w:val="6"/>
  </w:num>
  <w:num w:numId="9" w16cid:durableId="364720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0697"/>
    <w:rsid w:val="00003E9B"/>
    <w:rsid w:val="000D0697"/>
    <w:rsid w:val="001F27A4"/>
    <w:rsid w:val="002200E6"/>
    <w:rsid w:val="002640AD"/>
    <w:rsid w:val="003B6717"/>
    <w:rsid w:val="003B7A74"/>
    <w:rsid w:val="005C5FB6"/>
    <w:rsid w:val="00775AD5"/>
    <w:rsid w:val="00995497"/>
    <w:rsid w:val="00C26196"/>
    <w:rsid w:val="00DB5716"/>
    <w:rsid w:val="00F76A1F"/>
    <w:rsid w:val="00FD1B06"/>
    <w:rsid w:val="00FF19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1743F"/>
  <w15:docId w15:val="{0E65BAF5-F350-41E3-9F61-3BADBE419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D0697"/>
    <w:pPr>
      <w:keepNext/>
      <w:keepLines/>
      <w:pBdr>
        <w:top w:val="nil"/>
        <w:left w:val="nil"/>
        <w:bottom w:val="nil"/>
        <w:right w:val="nil"/>
        <w:between w:val="nil"/>
      </w:pBdr>
      <w:spacing w:before="480" w:after="0" w:line="360" w:lineRule="auto"/>
      <w:jc w:val="both"/>
      <w:outlineLvl w:val="0"/>
    </w:pPr>
    <w:rPr>
      <w:rFonts w:ascii="Arial" w:eastAsia="Arial" w:hAnsi="Arial" w:cs="Arial"/>
      <w:b/>
      <w:bCs/>
      <w:color w:val="000000"/>
      <w:sz w:val="28"/>
      <w:szCs w:val="28"/>
    </w:rPr>
  </w:style>
  <w:style w:type="paragraph" w:styleId="Heading2">
    <w:name w:val="heading 2"/>
    <w:basedOn w:val="Normal1"/>
    <w:next w:val="Normal1"/>
    <w:rsid w:val="000D0697"/>
    <w:pPr>
      <w:keepNext/>
      <w:keepLines/>
      <w:pBdr>
        <w:top w:val="nil"/>
        <w:left w:val="nil"/>
        <w:bottom w:val="nil"/>
        <w:right w:val="nil"/>
        <w:between w:val="nil"/>
      </w:pBdr>
      <w:spacing w:before="200" w:after="0" w:line="480" w:lineRule="auto"/>
      <w:jc w:val="both"/>
      <w:outlineLvl w:val="1"/>
    </w:pPr>
    <w:rPr>
      <w:rFonts w:ascii="Arial" w:eastAsia="Arial" w:hAnsi="Arial" w:cs="Arial"/>
      <w:b/>
      <w:bCs/>
      <w:color w:val="000000"/>
      <w:sz w:val="24"/>
      <w:szCs w:val="24"/>
    </w:rPr>
  </w:style>
  <w:style w:type="paragraph" w:styleId="Heading3">
    <w:name w:val="heading 3"/>
    <w:basedOn w:val="Normal1"/>
    <w:next w:val="Normal1"/>
    <w:rsid w:val="000D0697"/>
    <w:pPr>
      <w:keepNext/>
      <w:keepLines/>
      <w:spacing w:before="120" w:after="120" w:line="360" w:lineRule="auto"/>
      <w:jc w:val="both"/>
      <w:outlineLvl w:val="2"/>
    </w:pPr>
    <w:rPr>
      <w:rFonts w:ascii="Arial" w:eastAsia="Arial" w:hAnsi="Arial" w:cs="Arial"/>
      <w:b/>
      <w:bCs/>
      <w:i/>
      <w:iCs/>
      <w:sz w:val="24"/>
      <w:szCs w:val="24"/>
    </w:rPr>
  </w:style>
  <w:style w:type="paragraph" w:styleId="Heading4">
    <w:name w:val="heading 4"/>
    <w:basedOn w:val="Normal1"/>
    <w:next w:val="Normal1"/>
    <w:rsid w:val="000D0697"/>
    <w:pPr>
      <w:keepNext/>
      <w:keepLines/>
      <w:pBdr>
        <w:top w:val="nil"/>
        <w:left w:val="nil"/>
        <w:bottom w:val="nil"/>
        <w:right w:val="nil"/>
        <w:between w:val="nil"/>
      </w:pBdr>
      <w:spacing w:before="200" w:after="0"/>
      <w:outlineLvl w:val="3"/>
    </w:pPr>
    <w:rPr>
      <w:rFonts w:ascii="Cambria" w:eastAsia="Cambria" w:hAnsi="Cambria" w:cs="Cambria"/>
      <w:b/>
      <w:bCs/>
      <w:i/>
      <w:iCs/>
      <w:color w:val="4F81BD"/>
    </w:rPr>
  </w:style>
  <w:style w:type="paragraph" w:styleId="Heading5">
    <w:name w:val="heading 5"/>
    <w:basedOn w:val="Normal1"/>
    <w:next w:val="Normal1"/>
    <w:rsid w:val="000D0697"/>
    <w:pPr>
      <w:keepNext/>
      <w:keepLines/>
      <w:pBdr>
        <w:top w:val="nil"/>
        <w:left w:val="nil"/>
        <w:bottom w:val="nil"/>
        <w:right w:val="nil"/>
        <w:between w:val="nil"/>
      </w:pBdr>
      <w:spacing w:before="200" w:after="0" w:line="360" w:lineRule="auto"/>
      <w:jc w:val="center"/>
      <w:outlineLvl w:val="4"/>
    </w:pPr>
    <w:rPr>
      <w:rFonts w:ascii="Times New Roman" w:eastAsia="Times New Roman" w:hAnsi="Times New Roman" w:cs="Times New Roman"/>
      <w:b/>
      <w:bCs/>
      <w:color w:val="000000"/>
      <w:sz w:val="24"/>
      <w:szCs w:val="24"/>
    </w:rPr>
  </w:style>
  <w:style w:type="paragraph" w:styleId="Heading6">
    <w:name w:val="heading 6"/>
    <w:basedOn w:val="Normal1"/>
    <w:next w:val="Normal1"/>
    <w:rsid w:val="000D0697"/>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D0697"/>
    <w:tblPr>
      <w:tblCellMar>
        <w:top w:w="100" w:type="dxa"/>
        <w:left w:w="100" w:type="dxa"/>
        <w:bottom w:w="100" w:type="dxa"/>
        <w:right w:w="100" w:type="dxa"/>
      </w:tblCellMar>
    </w:tblPr>
  </w:style>
  <w:style w:type="paragraph" w:customStyle="1" w:styleId="Normal1">
    <w:name w:val="Normal1"/>
    <w:rsid w:val="000D0697"/>
  </w:style>
  <w:style w:type="paragraph" w:styleId="Title">
    <w:name w:val="Title"/>
    <w:basedOn w:val="Normal1"/>
    <w:next w:val="Normal1"/>
    <w:rsid w:val="000D0697"/>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rsid w:val="00501FB6"/>
    <w:tblPr>
      <w:tblCellMar>
        <w:top w:w="100" w:type="dxa"/>
        <w:left w:w="100" w:type="dxa"/>
        <w:bottom w:w="100" w:type="dxa"/>
        <w:right w:w="100" w:type="dxa"/>
      </w:tblCellMar>
    </w:tblPr>
  </w:style>
  <w:style w:type="table" w:customStyle="1" w:styleId="TableNormal6">
    <w:name w:val="TableNormal6"/>
    <w:rsid w:val="007877B6"/>
    <w:tblPr>
      <w:tblCellMar>
        <w:top w:w="100" w:type="dxa"/>
        <w:left w:w="100" w:type="dxa"/>
        <w:bottom w:w="100" w:type="dxa"/>
        <w:right w:w="100" w:type="dxa"/>
      </w:tblCellMar>
    </w:tblPr>
  </w:style>
  <w:style w:type="table" w:customStyle="1" w:styleId="TableNormal5">
    <w:name w:val="TableNormal5"/>
    <w:rsid w:val="00446260"/>
    <w:tblPr>
      <w:tblCellMar>
        <w:top w:w="100" w:type="dxa"/>
        <w:left w:w="100" w:type="dxa"/>
        <w:bottom w:w="100" w:type="dxa"/>
        <w:right w:w="100" w:type="dxa"/>
      </w:tblCellMar>
    </w:tblPr>
  </w:style>
  <w:style w:type="paragraph" w:customStyle="1" w:styleId="Normal10">
    <w:name w:val="Normal1"/>
    <w:rsid w:val="00446260"/>
  </w:style>
  <w:style w:type="table" w:customStyle="1" w:styleId="TableNormal4">
    <w:name w:val="TableNormal4"/>
    <w:rsid w:val="00446260"/>
    <w:tblPr>
      <w:tblCellMar>
        <w:top w:w="100" w:type="dxa"/>
        <w:left w:w="100" w:type="dxa"/>
        <w:bottom w:w="100" w:type="dxa"/>
        <w:right w:w="100" w:type="dxa"/>
      </w:tblCellMar>
    </w:tblPr>
  </w:style>
  <w:style w:type="paragraph" w:customStyle="1" w:styleId="Normal2">
    <w:name w:val="Normal2"/>
    <w:rsid w:val="00446260"/>
  </w:style>
  <w:style w:type="table" w:customStyle="1" w:styleId="TableNormal3">
    <w:name w:val="TableNormal3"/>
    <w:rsid w:val="00446260"/>
    <w:tblPr>
      <w:tblCellMar>
        <w:top w:w="100" w:type="dxa"/>
        <w:left w:w="100" w:type="dxa"/>
        <w:bottom w:w="100" w:type="dxa"/>
        <w:right w:w="100" w:type="dxa"/>
      </w:tblCellMar>
    </w:tblPr>
  </w:style>
  <w:style w:type="table" w:customStyle="1" w:styleId="TableNormal2">
    <w:name w:val="TableNormal2"/>
    <w:rsid w:val="009F0AE4"/>
    <w:tblPr>
      <w:tblCellMar>
        <w:top w:w="100" w:type="dxa"/>
        <w:left w:w="100" w:type="dxa"/>
        <w:bottom w:w="100" w:type="dxa"/>
        <w:right w:w="100" w:type="dxa"/>
      </w:tblCellMar>
    </w:tblPr>
  </w:style>
  <w:style w:type="paragraph" w:customStyle="1" w:styleId="Normal11">
    <w:name w:val="Normal11"/>
    <w:rsid w:val="009F0AE4"/>
  </w:style>
  <w:style w:type="table" w:customStyle="1" w:styleId="TableNormal10">
    <w:name w:val="TableNormal1"/>
    <w:rsid w:val="009F0AE4"/>
    <w:tblPr>
      <w:tblCellMar>
        <w:top w:w="100" w:type="dxa"/>
        <w:left w:w="100" w:type="dxa"/>
        <w:bottom w:w="100" w:type="dxa"/>
        <w:right w:w="100" w:type="dxa"/>
      </w:tblCellMar>
    </w:tblPr>
  </w:style>
  <w:style w:type="paragraph" w:styleId="TOC1">
    <w:name w:val="toc 1"/>
    <w:basedOn w:val="Normal11"/>
    <w:next w:val="Normal11"/>
    <w:autoRedefine/>
    <w:uiPriority w:val="39"/>
    <w:unhideWhenUsed/>
    <w:rsid w:val="00B30952"/>
    <w:pPr>
      <w:spacing w:after="100"/>
    </w:pPr>
  </w:style>
  <w:style w:type="paragraph" w:styleId="TOC2">
    <w:name w:val="toc 2"/>
    <w:basedOn w:val="Normal11"/>
    <w:next w:val="Normal11"/>
    <w:autoRedefine/>
    <w:uiPriority w:val="39"/>
    <w:unhideWhenUsed/>
    <w:rsid w:val="00B30952"/>
    <w:pPr>
      <w:spacing w:after="100"/>
      <w:ind w:left="220"/>
    </w:pPr>
  </w:style>
  <w:style w:type="character" w:styleId="Hyperlink">
    <w:name w:val="Hyperlink"/>
    <w:basedOn w:val="DefaultParagraphFont"/>
    <w:uiPriority w:val="99"/>
    <w:unhideWhenUsed/>
    <w:rsid w:val="00B30952"/>
    <w:rPr>
      <w:color w:val="0000FF" w:themeColor="hyperlink"/>
      <w:u w:val="single"/>
    </w:rPr>
  </w:style>
  <w:style w:type="paragraph" w:styleId="BalloonText">
    <w:name w:val="Balloon Text"/>
    <w:basedOn w:val="Normal2"/>
    <w:link w:val="BalloonTextChar"/>
    <w:uiPriority w:val="99"/>
    <w:semiHidden/>
    <w:unhideWhenUsed/>
    <w:rsid w:val="00CE7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77B1"/>
    <w:rPr>
      <w:rFonts w:ascii="Tahoma" w:hAnsi="Tahoma" w:cs="Tahoma"/>
      <w:sz w:val="16"/>
      <w:szCs w:val="16"/>
    </w:rPr>
  </w:style>
  <w:style w:type="paragraph" w:styleId="TableofFigures">
    <w:name w:val="table of figures"/>
    <w:basedOn w:val="Normal2"/>
    <w:next w:val="Normal2"/>
    <w:uiPriority w:val="99"/>
    <w:unhideWhenUsed/>
    <w:rsid w:val="00CE77B1"/>
    <w:pPr>
      <w:spacing w:after="0"/>
    </w:pPr>
  </w:style>
  <w:style w:type="paragraph" w:styleId="Header">
    <w:name w:val="header"/>
    <w:basedOn w:val="Normal2"/>
    <w:link w:val="HeaderChar"/>
    <w:uiPriority w:val="99"/>
    <w:unhideWhenUsed/>
    <w:rsid w:val="00E72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216"/>
  </w:style>
  <w:style w:type="paragraph" w:styleId="Footer">
    <w:name w:val="footer"/>
    <w:basedOn w:val="Normal2"/>
    <w:link w:val="FooterChar"/>
    <w:uiPriority w:val="99"/>
    <w:unhideWhenUsed/>
    <w:rsid w:val="00E72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216"/>
  </w:style>
  <w:style w:type="table" w:customStyle="1" w:styleId="18">
    <w:name w:val="18"/>
    <w:basedOn w:val="TableNormal"/>
    <w:rsid w:val="00446260"/>
    <w:tblPr>
      <w:tblStyleRowBandSize w:val="1"/>
      <w:tblStyleColBandSize w:val="1"/>
    </w:tblPr>
  </w:style>
  <w:style w:type="table" w:customStyle="1" w:styleId="17">
    <w:name w:val="17"/>
    <w:basedOn w:val="TableNormal"/>
    <w:rsid w:val="007877B6"/>
    <w:tblPr>
      <w:tblStyleRowBandSize w:val="1"/>
      <w:tblStyleColBandSize w:val="1"/>
      <w:tblCellMar>
        <w:top w:w="15" w:type="dxa"/>
        <w:left w:w="15" w:type="dxa"/>
        <w:bottom w:w="15" w:type="dxa"/>
        <w:right w:w="15" w:type="dxa"/>
      </w:tblCellMar>
    </w:tblPr>
  </w:style>
  <w:style w:type="paragraph" w:styleId="ListParagraph">
    <w:name w:val="List Paragraph"/>
    <w:basedOn w:val="Normal1"/>
    <w:uiPriority w:val="34"/>
    <w:qFormat/>
    <w:rsid w:val="00EE178C"/>
    <w:pPr>
      <w:ind w:left="720"/>
      <w:contextualSpacing/>
    </w:pPr>
  </w:style>
  <w:style w:type="paragraph" w:styleId="TOC3">
    <w:name w:val="toc 3"/>
    <w:basedOn w:val="Normal1"/>
    <w:next w:val="Normal1"/>
    <w:autoRedefine/>
    <w:uiPriority w:val="39"/>
    <w:unhideWhenUsed/>
    <w:rsid w:val="00EE178C"/>
    <w:pPr>
      <w:spacing w:after="100"/>
      <w:ind w:left="440"/>
    </w:pPr>
  </w:style>
  <w:style w:type="paragraph" w:customStyle="1" w:styleId="Normal3">
    <w:name w:val="Normal3"/>
    <w:rsid w:val="005A7C07"/>
    <w:pPr>
      <w:spacing w:after="0"/>
    </w:pPr>
    <w:rPr>
      <w:rFonts w:ascii="Arial" w:eastAsia="Arial" w:hAnsi="Arial" w:cs="Arial"/>
    </w:rPr>
  </w:style>
  <w:style w:type="paragraph" w:styleId="TOC5">
    <w:name w:val="toc 5"/>
    <w:basedOn w:val="Normal1"/>
    <w:next w:val="Normal1"/>
    <w:autoRedefine/>
    <w:uiPriority w:val="39"/>
    <w:unhideWhenUsed/>
    <w:rsid w:val="00D635BA"/>
    <w:pPr>
      <w:spacing w:after="100"/>
      <w:ind w:left="880"/>
    </w:pPr>
  </w:style>
  <w:style w:type="paragraph" w:customStyle="1" w:styleId="Normal4">
    <w:name w:val="Normal4"/>
    <w:rsid w:val="007C1006"/>
    <w:pPr>
      <w:spacing w:after="0"/>
    </w:pPr>
    <w:rPr>
      <w:rFonts w:ascii="Arial" w:eastAsia="Arial" w:hAnsi="Arial" w:cs="Arial"/>
    </w:rPr>
  </w:style>
  <w:style w:type="table" w:customStyle="1" w:styleId="16">
    <w:name w:val="16"/>
    <w:basedOn w:val="TableNormal"/>
    <w:rsid w:val="00501FB6"/>
    <w:tblPr>
      <w:tblStyleRowBandSize w:val="1"/>
      <w:tblStyleColBandSize w:val="1"/>
      <w:tblCellMar>
        <w:top w:w="15" w:type="dxa"/>
        <w:left w:w="15" w:type="dxa"/>
        <w:bottom w:w="15" w:type="dxa"/>
        <w:right w:w="15" w:type="dxa"/>
      </w:tblCellMar>
    </w:tblPr>
  </w:style>
  <w:style w:type="table" w:customStyle="1" w:styleId="15">
    <w:name w:val="15"/>
    <w:basedOn w:val="TableNormal"/>
    <w:rsid w:val="00501FB6"/>
    <w:tblPr>
      <w:tblStyleRowBandSize w:val="1"/>
      <w:tblStyleColBandSize w:val="1"/>
      <w:tblCellMar>
        <w:left w:w="115" w:type="dxa"/>
        <w:right w:w="115" w:type="dxa"/>
      </w:tblCellMar>
    </w:tblPr>
  </w:style>
  <w:style w:type="table" w:customStyle="1" w:styleId="14">
    <w:name w:val="14"/>
    <w:basedOn w:val="TableNormal"/>
    <w:rsid w:val="00501FB6"/>
    <w:tblPr>
      <w:tblStyleRowBandSize w:val="1"/>
      <w:tblStyleColBandSize w:val="1"/>
      <w:tblCellMar>
        <w:left w:w="115" w:type="dxa"/>
        <w:right w:w="115" w:type="dxa"/>
      </w:tblCellMar>
    </w:tblPr>
  </w:style>
  <w:style w:type="table" w:customStyle="1" w:styleId="13">
    <w:name w:val="13"/>
    <w:basedOn w:val="TableNormal"/>
    <w:rsid w:val="00501FB6"/>
    <w:tblPr>
      <w:tblStyleRowBandSize w:val="1"/>
      <w:tblStyleColBandSize w:val="1"/>
      <w:tblCellMar>
        <w:left w:w="115" w:type="dxa"/>
        <w:right w:w="115" w:type="dxa"/>
      </w:tblCellMar>
    </w:tblPr>
  </w:style>
  <w:style w:type="table" w:customStyle="1" w:styleId="12">
    <w:name w:val="12"/>
    <w:basedOn w:val="TableNormal"/>
    <w:rsid w:val="00501FB6"/>
    <w:tblPr>
      <w:tblStyleRowBandSize w:val="1"/>
      <w:tblStyleColBandSize w:val="1"/>
      <w:tblCellMar>
        <w:left w:w="115" w:type="dxa"/>
        <w:right w:w="115" w:type="dxa"/>
      </w:tblCellMar>
    </w:tblPr>
  </w:style>
  <w:style w:type="table" w:customStyle="1" w:styleId="11">
    <w:name w:val="11"/>
    <w:basedOn w:val="TableNormal"/>
    <w:rsid w:val="00501FB6"/>
    <w:tblPr>
      <w:tblStyleRowBandSize w:val="1"/>
      <w:tblStyleColBandSize w:val="1"/>
      <w:tblCellMar>
        <w:left w:w="115" w:type="dxa"/>
        <w:right w:w="115" w:type="dxa"/>
      </w:tblCellMar>
    </w:tblPr>
  </w:style>
  <w:style w:type="table" w:customStyle="1" w:styleId="10">
    <w:name w:val="10"/>
    <w:basedOn w:val="TableNormal"/>
    <w:rsid w:val="00501FB6"/>
    <w:tblPr>
      <w:tblStyleRowBandSize w:val="1"/>
      <w:tblStyleColBandSize w:val="1"/>
      <w:tblCellMar>
        <w:left w:w="115" w:type="dxa"/>
        <w:right w:w="115" w:type="dxa"/>
      </w:tblCellMar>
    </w:tblPr>
  </w:style>
  <w:style w:type="table" w:customStyle="1" w:styleId="9">
    <w:name w:val="9"/>
    <w:basedOn w:val="TableNormal"/>
    <w:rsid w:val="00501FB6"/>
    <w:tblPr>
      <w:tblStyleRowBandSize w:val="1"/>
      <w:tblStyleColBandSize w:val="1"/>
      <w:tblCellMar>
        <w:left w:w="115" w:type="dxa"/>
        <w:right w:w="115" w:type="dxa"/>
      </w:tblCellMar>
    </w:tblPr>
  </w:style>
  <w:style w:type="table" w:customStyle="1" w:styleId="8">
    <w:name w:val="8"/>
    <w:basedOn w:val="TableNormal"/>
    <w:rsid w:val="00501FB6"/>
    <w:tblPr>
      <w:tblStyleRowBandSize w:val="1"/>
      <w:tblStyleColBandSize w:val="1"/>
      <w:tblCellMar>
        <w:left w:w="115" w:type="dxa"/>
        <w:right w:w="115" w:type="dxa"/>
      </w:tblCellMar>
    </w:tblPr>
  </w:style>
  <w:style w:type="table" w:customStyle="1" w:styleId="7">
    <w:name w:val="7"/>
    <w:basedOn w:val="TableNormal"/>
    <w:rsid w:val="00501FB6"/>
    <w:tblPr>
      <w:tblStyleRowBandSize w:val="1"/>
      <w:tblStyleColBandSize w:val="1"/>
      <w:tblCellMar>
        <w:left w:w="115" w:type="dxa"/>
        <w:right w:w="115" w:type="dxa"/>
      </w:tblCellMar>
    </w:tblPr>
  </w:style>
  <w:style w:type="table" w:customStyle="1" w:styleId="6">
    <w:name w:val="6"/>
    <w:basedOn w:val="TableNormal"/>
    <w:rsid w:val="00501FB6"/>
    <w:tblPr>
      <w:tblStyleRowBandSize w:val="1"/>
      <w:tblStyleColBandSize w:val="1"/>
      <w:tblCellMar>
        <w:left w:w="115" w:type="dxa"/>
        <w:right w:w="115" w:type="dxa"/>
      </w:tblCellMar>
    </w:tblPr>
  </w:style>
  <w:style w:type="table" w:customStyle="1" w:styleId="5">
    <w:name w:val="5"/>
    <w:basedOn w:val="TableNormal"/>
    <w:rsid w:val="00501FB6"/>
    <w:tblPr>
      <w:tblStyleRowBandSize w:val="1"/>
      <w:tblStyleColBandSize w:val="1"/>
      <w:tblCellMar>
        <w:left w:w="115" w:type="dxa"/>
        <w:right w:w="115" w:type="dxa"/>
      </w:tblCellMar>
    </w:tblPr>
  </w:style>
  <w:style w:type="table" w:customStyle="1" w:styleId="4">
    <w:name w:val="4"/>
    <w:basedOn w:val="TableNormal"/>
    <w:rsid w:val="00501FB6"/>
    <w:tblPr>
      <w:tblStyleRowBandSize w:val="1"/>
      <w:tblStyleColBandSize w:val="1"/>
      <w:tblCellMar>
        <w:left w:w="115" w:type="dxa"/>
        <w:right w:w="115" w:type="dxa"/>
      </w:tblCellMar>
    </w:tblPr>
  </w:style>
  <w:style w:type="table" w:customStyle="1" w:styleId="3">
    <w:name w:val="3"/>
    <w:basedOn w:val="TableNormal"/>
    <w:rsid w:val="00501FB6"/>
    <w:tblPr>
      <w:tblStyleRowBandSize w:val="1"/>
      <w:tblStyleColBandSize w:val="1"/>
      <w:tblCellMar>
        <w:left w:w="115" w:type="dxa"/>
        <w:right w:w="115" w:type="dxa"/>
      </w:tblCellMar>
    </w:tblPr>
  </w:style>
  <w:style w:type="table" w:customStyle="1" w:styleId="2">
    <w:name w:val="2"/>
    <w:basedOn w:val="TableNormal"/>
    <w:rsid w:val="00501FB6"/>
    <w:tblPr>
      <w:tblStyleRowBandSize w:val="1"/>
      <w:tblStyleColBandSize w:val="1"/>
      <w:tblCellMar>
        <w:left w:w="115" w:type="dxa"/>
        <w:right w:w="115" w:type="dxa"/>
      </w:tblCellMar>
    </w:tblPr>
  </w:style>
  <w:style w:type="table" w:customStyle="1" w:styleId="1">
    <w:name w:val="1"/>
    <w:basedOn w:val="TableNormal"/>
    <w:rsid w:val="00501FB6"/>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B84EF5"/>
    <w:rPr>
      <w:color w:val="605E5C"/>
      <w:shd w:val="clear" w:color="auto" w:fill="E1DFDD"/>
    </w:rPr>
  </w:style>
  <w:style w:type="character" w:customStyle="1" w:styleId="UnresolvedMention2">
    <w:name w:val="Unresolved Mention2"/>
    <w:basedOn w:val="DefaultParagraphFont"/>
    <w:uiPriority w:val="99"/>
    <w:semiHidden/>
    <w:unhideWhenUsed/>
    <w:rsid w:val="004F2BEC"/>
    <w:rPr>
      <w:color w:val="605E5C"/>
      <w:shd w:val="clear" w:color="auto" w:fill="E1DFDD"/>
    </w:rPr>
  </w:style>
  <w:style w:type="paragraph" w:styleId="Subtitle">
    <w:name w:val="Subtitle"/>
    <w:basedOn w:val="Normal1"/>
    <w:next w:val="Normal1"/>
    <w:rsid w:val="000D0697"/>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
    <w:basedOn w:val="TableNormal"/>
    <w:rsid w:val="000D0697"/>
    <w:tblPr>
      <w:tblStyleRowBandSize w:val="1"/>
      <w:tblStyleColBandSize w:val="1"/>
      <w:tblCellMar>
        <w:top w:w="15" w:type="dxa"/>
        <w:left w:w="15" w:type="dxa"/>
        <w:bottom w:w="15" w:type="dxa"/>
        <w:right w:w="15" w:type="dxa"/>
      </w:tblCellMar>
    </w:tblPr>
  </w:style>
  <w:style w:type="table" w:customStyle="1" w:styleId="a0">
    <w:basedOn w:val="TableNormal"/>
    <w:rsid w:val="000D0697"/>
    <w:tblPr>
      <w:tblStyleRowBandSize w:val="1"/>
      <w:tblStyleColBandSize w:val="1"/>
      <w:tblCellMar>
        <w:left w:w="115" w:type="dxa"/>
        <w:right w:w="115" w:type="dxa"/>
      </w:tblCellMar>
    </w:tblPr>
  </w:style>
  <w:style w:type="table" w:customStyle="1" w:styleId="a1">
    <w:basedOn w:val="TableNormal"/>
    <w:rsid w:val="000D0697"/>
    <w:tblPr>
      <w:tblStyleRowBandSize w:val="1"/>
      <w:tblStyleColBandSize w:val="1"/>
      <w:tblCellMar>
        <w:left w:w="115" w:type="dxa"/>
        <w:right w:w="115" w:type="dxa"/>
      </w:tblCellMar>
    </w:tblPr>
  </w:style>
  <w:style w:type="table" w:customStyle="1" w:styleId="a2">
    <w:basedOn w:val="TableNormal"/>
    <w:rsid w:val="000D0697"/>
    <w:tblPr>
      <w:tblStyleRowBandSize w:val="1"/>
      <w:tblStyleColBandSize w:val="1"/>
      <w:tblCellMar>
        <w:left w:w="115" w:type="dxa"/>
        <w:right w:w="115" w:type="dxa"/>
      </w:tblCellMar>
    </w:tblPr>
  </w:style>
  <w:style w:type="table" w:customStyle="1" w:styleId="a3">
    <w:basedOn w:val="TableNormal"/>
    <w:rsid w:val="000D0697"/>
    <w:tblPr>
      <w:tblStyleRowBandSize w:val="1"/>
      <w:tblStyleColBandSize w:val="1"/>
      <w:tblCellMar>
        <w:left w:w="115" w:type="dxa"/>
        <w:right w:w="115" w:type="dxa"/>
      </w:tblCellMar>
    </w:tblPr>
  </w:style>
  <w:style w:type="table" w:customStyle="1" w:styleId="a4">
    <w:basedOn w:val="TableNormal"/>
    <w:rsid w:val="000D0697"/>
    <w:tblPr>
      <w:tblStyleRowBandSize w:val="1"/>
      <w:tblStyleColBandSize w:val="1"/>
      <w:tblCellMar>
        <w:left w:w="115" w:type="dxa"/>
        <w:right w:w="115" w:type="dxa"/>
      </w:tblCellMar>
    </w:tblPr>
  </w:style>
  <w:style w:type="table" w:customStyle="1" w:styleId="a5">
    <w:basedOn w:val="TableNormal"/>
    <w:rsid w:val="000D0697"/>
    <w:tblPr>
      <w:tblStyleRowBandSize w:val="1"/>
      <w:tblStyleColBandSize w:val="1"/>
      <w:tblCellMar>
        <w:left w:w="115" w:type="dxa"/>
        <w:right w:w="115" w:type="dxa"/>
      </w:tblCellMar>
    </w:tblPr>
  </w:style>
  <w:style w:type="table" w:customStyle="1" w:styleId="a6">
    <w:basedOn w:val="TableNormal"/>
    <w:rsid w:val="000D0697"/>
    <w:tblPr>
      <w:tblStyleRowBandSize w:val="1"/>
      <w:tblStyleColBandSize w:val="1"/>
      <w:tblCellMar>
        <w:left w:w="115" w:type="dxa"/>
        <w:right w:w="115" w:type="dxa"/>
      </w:tblCellMar>
    </w:tblPr>
  </w:style>
  <w:style w:type="table" w:customStyle="1" w:styleId="a7">
    <w:basedOn w:val="TableNormal"/>
    <w:rsid w:val="000D0697"/>
    <w:tblPr>
      <w:tblStyleRowBandSize w:val="1"/>
      <w:tblStyleColBandSize w:val="1"/>
      <w:tblCellMar>
        <w:left w:w="115" w:type="dxa"/>
        <w:right w:w="115" w:type="dxa"/>
      </w:tblCellMar>
    </w:tblPr>
  </w:style>
  <w:style w:type="table" w:customStyle="1" w:styleId="a8">
    <w:basedOn w:val="TableNormal"/>
    <w:rsid w:val="000D0697"/>
    <w:tblPr>
      <w:tblStyleRowBandSize w:val="1"/>
      <w:tblStyleColBandSize w:val="1"/>
      <w:tblCellMar>
        <w:left w:w="115" w:type="dxa"/>
        <w:right w:w="115" w:type="dxa"/>
      </w:tblCellMar>
    </w:tblPr>
  </w:style>
  <w:style w:type="table" w:customStyle="1" w:styleId="a9">
    <w:basedOn w:val="TableNormal"/>
    <w:rsid w:val="000D0697"/>
    <w:tblPr>
      <w:tblStyleRowBandSize w:val="1"/>
      <w:tblStyleColBandSize w:val="1"/>
      <w:tblCellMar>
        <w:left w:w="115" w:type="dxa"/>
        <w:right w:w="115" w:type="dxa"/>
      </w:tblCellMar>
    </w:tblPr>
  </w:style>
  <w:style w:type="table" w:customStyle="1" w:styleId="aa">
    <w:basedOn w:val="TableNormal"/>
    <w:rsid w:val="000D0697"/>
    <w:tblPr>
      <w:tblStyleRowBandSize w:val="1"/>
      <w:tblStyleColBandSize w:val="1"/>
      <w:tblCellMar>
        <w:left w:w="115" w:type="dxa"/>
        <w:right w:w="115" w:type="dxa"/>
      </w:tblCellMar>
    </w:tblPr>
  </w:style>
  <w:style w:type="table" w:customStyle="1" w:styleId="ab">
    <w:basedOn w:val="TableNormal"/>
    <w:rsid w:val="000D0697"/>
    <w:tblPr>
      <w:tblStyleRowBandSize w:val="1"/>
      <w:tblStyleColBandSize w:val="1"/>
      <w:tblCellMar>
        <w:left w:w="115" w:type="dxa"/>
        <w:right w:w="115" w:type="dxa"/>
      </w:tblCellMar>
    </w:tblPr>
  </w:style>
  <w:style w:type="table" w:customStyle="1" w:styleId="ac">
    <w:basedOn w:val="TableNormal"/>
    <w:rsid w:val="000D0697"/>
    <w:tblPr>
      <w:tblStyleRowBandSize w:val="1"/>
      <w:tblStyleColBandSize w:val="1"/>
      <w:tblCellMar>
        <w:left w:w="115" w:type="dxa"/>
        <w:right w:w="115" w:type="dxa"/>
      </w:tblCellMar>
    </w:tblPr>
  </w:style>
  <w:style w:type="table" w:customStyle="1" w:styleId="ad">
    <w:basedOn w:val="TableNormal"/>
    <w:rsid w:val="000D0697"/>
    <w:tblPr>
      <w:tblStyleRowBandSize w:val="1"/>
      <w:tblStyleColBandSize w:val="1"/>
      <w:tblCellMar>
        <w:left w:w="115" w:type="dxa"/>
        <w:right w:w="115" w:type="dxa"/>
      </w:tblCellMar>
    </w:tblPr>
  </w:style>
  <w:style w:type="table" w:customStyle="1" w:styleId="ae">
    <w:basedOn w:val="TableNormal"/>
    <w:rsid w:val="000D0697"/>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emerald.com/jmlc/article-pdf/26/7/127/1592236/jmlc-01-2023-0004.pdf" TargetMode="External"/><Relationship Id="rId21" Type="http://schemas.openxmlformats.org/officeDocument/2006/relationships/hyperlink" Target="https://ritha.eu/storage/1296/11_jaes_AnnamalahS.pdf" TargetMode="External"/><Relationship Id="rId42" Type="http://schemas.openxmlformats.org/officeDocument/2006/relationships/hyperlink" Target="https://www.hsbc.com/-/files/hsbc/investors/hsbc-results/2024/annual/pdfs/hsbc-holdings-plc/250219-annual-report-and-accounts-2024.ashx" TargetMode="External"/><Relationship Id="rId47" Type="http://schemas.openxmlformats.org/officeDocument/2006/relationships/hyperlink" Target="https://www.hsbc.com/who-we-are/our-markets" TargetMode="External"/><Relationship Id="rId63" Type="http://schemas.openxmlformats.org/officeDocument/2006/relationships/hyperlink" Target="https://journals.sagepub.com/doi/pdf/10.1177/16094069231205789" TargetMode="External"/><Relationship Id="rId68" Type="http://schemas.openxmlformats.org/officeDocument/2006/relationships/hyperlink" Target="https://link.springer.com/content/pdf/10.1007/s10610-024-09586-w.pdf" TargetMode="External"/><Relationship Id="rId84" Type="http://schemas.openxmlformats.org/officeDocument/2006/relationships/hyperlink" Target="https://www.researchgate.net/profile/Adams-Hex/publication/405916355_Transaction_Monitoring_vs_Trade-Based_Money_Laundering/links/6a20f7fdd551e312d71ef96d/Transaction-Monitoring-vs-Trade-Based-Money-Laundering.pdf" TargetMode="External"/><Relationship Id="rId89" Type="http://schemas.openxmlformats.org/officeDocument/2006/relationships/hyperlink" Target="https://www.wns.com/perspectives/articles/from-compliance-to-intelligence-a-risk-based-approach-to-financial-crime-risk-management" TargetMode="External"/><Relationship Id="rId16" Type="http://schemas.openxmlformats.org/officeDocument/2006/relationships/hyperlink" Target="https://www.agbioforum.org/sobiad.org/menuscript/index.php/ijefs/article/download/1838/564" TargetMode="External"/><Relationship Id="rId11" Type="http://schemas.openxmlformats.org/officeDocument/2006/relationships/image" Target="media/image3.png"/><Relationship Id="rId32" Type="http://schemas.openxmlformats.org/officeDocument/2006/relationships/hyperlink" Target="https://www.sciencedirect.com/science/article/pii/S2666954426000153" TargetMode="External"/><Relationship Id="rId37" Type="http://schemas.openxmlformats.org/officeDocument/2006/relationships/hyperlink" Target="https://www.sciencedirect.com/science/article/pii/S0040162524006310" TargetMode="External"/><Relationship Id="rId53" Type="http://schemas.openxmlformats.org/officeDocument/2006/relationships/hyperlink" Target="https://ieeexplore.ieee.org/iel7/6287639/6514899/10486886.pdf" TargetMode="External"/><Relationship Id="rId58" Type="http://schemas.openxmlformats.org/officeDocument/2006/relationships/hyperlink" Target="https://www.researchgate.net/publication/412092596_AML_compliance_frameworks_in_the_age_of_cyber-enabled_laundering_A_governance_model_for_detecting_digitally_disguised_financial_crime" TargetMode="External"/><Relationship Id="rId74" Type="http://schemas.openxmlformats.org/officeDocument/2006/relationships/hyperlink" Target="https://www.researchgate.net/profile/Priyanka-Ramteke-4/publication/398407260_springer_my_book/links/69340f0706a9ab54f84493a0/springer-my-book.pdf" TargetMode="External"/><Relationship Id="rId79" Type="http://schemas.openxmlformats.org/officeDocument/2006/relationships/hyperlink" Target="https://www.investopedia.com/stock-analysis/2013/investing-news-for-jan-29-hsbcs-money-laundering-scandal-hbc-scbff-ing-cs-rbs0129.aspx" TargetMode="External"/><Relationship Id="rId5" Type="http://schemas.openxmlformats.org/officeDocument/2006/relationships/settings" Target="settings.xml"/><Relationship Id="rId90" Type="http://schemas.openxmlformats.org/officeDocument/2006/relationships/hyperlink" Target="https://www.emerald.com/jfc/article/30/1/97/451995" TargetMode="External"/><Relationship Id="rId95" Type="http://schemas.openxmlformats.org/officeDocument/2006/relationships/hyperlink" Target="https://www.uwtsd.ac.uk/research/research-ethics/" TargetMode="External"/><Relationship Id="rId22" Type="http://schemas.openxmlformats.org/officeDocument/2006/relationships/hyperlink" Target="https://papers.ssrn.com/sol3/Delivery.cfm?abstractid=4789413" TargetMode="External"/><Relationship Id="rId27" Type="http://schemas.openxmlformats.org/officeDocument/2006/relationships/hyperlink" Target="https://chiefaiofficer.com/how-hsbcs-ai-catches-4x-more-financial-criminals-while-cutting-false-alarms-by-60/" TargetMode="External"/><Relationship Id="rId43" Type="http://schemas.openxmlformats.org/officeDocument/2006/relationships/hyperlink" Target="https://www.hsbc.com/who-we-are/esg-and-responsible-business/managing-risk/operational-risk" TargetMode="External"/><Relationship Id="rId48" Type="http://schemas.openxmlformats.org/officeDocument/2006/relationships/hyperlink" Target="https://www.hsbc.com/who-we-are/esg-and-responsible-business/fighting-financial-crime/financial-crime-policy" TargetMode="External"/><Relationship Id="rId64" Type="http://schemas.openxmlformats.org/officeDocument/2006/relationships/hyperlink" Target="https://www.neotas.com/financial-crime-compliance/" TargetMode="External"/><Relationship Id="rId69" Type="http://schemas.openxmlformats.org/officeDocument/2006/relationships/hyperlink" Target="https://www.researchgate.net/publication/386276951_AI-driven_fraud_detection_in_banking_A_systematic_review_of_data_science_approaches_to_enhancing_cybersecurity" TargetMode="External"/><Relationship Id="rId80" Type="http://schemas.openxmlformats.org/officeDocument/2006/relationships/hyperlink" Target="https://www.academia.edu/download/119796927/AI_Driven_Fraud_Detection_in_Banking_Enhancing_Transaction_Security.pdf" TargetMode="External"/><Relationship Id="rId85" Type="http://schemas.openxmlformats.org/officeDocument/2006/relationships/hyperlink" Target="https://www.researchsquare.com/article/rs-10223819/latest.pdf"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researchgate.net/profile/Ishtiaq-Ahmed-15/publication/355145425_Reliability_and_Validity_Importance_in_medical_research/links/61600df90bf51d48175251ee/Reliability-and-Validity-Importance-in-medical-research.pdf" TargetMode="External"/><Relationship Id="rId25" Type="http://schemas.openxmlformats.org/officeDocument/2006/relationships/hyperlink" Target="https://pdfs.semanticscholar.org/dfb2/df8355b76a02f27aceb1af781bdc10a4e38c.pdf" TargetMode="External"/><Relationship Id="rId33" Type="http://schemas.openxmlformats.org/officeDocument/2006/relationships/hyperlink" Target="https://ramlai.com/index.php/ramlai/article/download/5/5" TargetMode="External"/><Relationship Id="rId38" Type="http://schemas.openxmlformats.org/officeDocument/2006/relationships/hyperlink" Target="http://ajeaf.com/index.php/Journal/article/download/114/123" TargetMode="External"/><Relationship Id="rId46" Type="http://schemas.openxmlformats.org/officeDocument/2006/relationships/hyperlink" Target="https://www.hsbc.com/who-we-are/hsbc-and-digital/hsbc-and-ai/transforming-hsbc-with-ai" TargetMode="External"/><Relationship Id="rId59" Type="http://schemas.openxmlformats.org/officeDocument/2006/relationships/hyperlink" Target="https://link.springer.com/content/pdf/10.1007/s11063-025-11732-2.pdf" TargetMode="External"/><Relationship Id="rId67" Type="http://schemas.openxmlformats.org/officeDocument/2006/relationships/hyperlink" Target="https://link.springer.com/content/pdf/10.1007/s11023-024-09688-8.pdf" TargetMode="External"/><Relationship Id="rId20" Type="http://schemas.openxmlformats.org/officeDocument/2006/relationships/hyperlink" Target="https://ritha.eu/storage/1296/11_jaes_AnnamalahS.pdf" TargetMode="External"/><Relationship Id="rId41" Type="http://schemas.openxmlformats.org/officeDocument/2006/relationships/hyperlink" Target="https://www.hsbc.com/who-we-are/esg-and-responsible-business/fighting-financial-crime/technology" TargetMode="External"/><Relationship Id="rId54" Type="http://schemas.openxmlformats.org/officeDocument/2006/relationships/hyperlink" Target="https://pgwritinghub.net/wp-content/uploads/2024/09/Thematic-analysis-of-qualitative-data-AMEE-Guide-No.-131.pdf" TargetMode="External"/><Relationship Id="rId62" Type="http://schemas.openxmlformats.org/officeDocument/2006/relationships/hyperlink" Target="https://www.academia.edu/download/57302424/Article_13_08_2018_final.pdf" TargetMode="External"/><Relationship Id="rId70" Type="http://schemas.openxmlformats.org/officeDocument/2006/relationships/hyperlink" Target="https://ijircce.com/article/artificial-intelligence-for-anti-money-laundering-a-comprehensive-literature-review-of-network-and-behavioural-analysis-approaches-18885" TargetMode="External"/><Relationship Id="rId75" Type="http://schemas.openxmlformats.org/officeDocument/2006/relationships/hyperlink" Target="https://www.researchgate.net/publication/360180378_The_Interpretivist_Research_Paradigm_A_Subjective_Notion_of_a_Social_Context" TargetMode="External"/><Relationship Id="rId83" Type="http://schemas.openxmlformats.org/officeDocument/2006/relationships/hyperlink" Target="https://papers.ssrn.com/sol3/Delivery.cfm?abstractid=5161209" TargetMode="External"/><Relationship Id="rId88" Type="http://schemas.openxmlformats.org/officeDocument/2006/relationships/hyperlink" Target="https://www.researchgate.net/profile/Pli-Wimalaratne/publication/364253873_A_methodology_to_study_the_complexity_of_buildability_in_construction_projects_Phenomenological_research_perspective/links/6341212c2752e45ef69f9f24/A-methodology-to-study-the-complexity-of-buildability-in-construction-projects-Phenomenological-research-perspective.pdf" TargetMode="External"/><Relationship Id="rId91" Type="http://schemas.openxmlformats.org/officeDocument/2006/relationships/hyperlink" Target="https://www.researchgate.net/profile/Mr-Yo/publication/380168755_Combined_Methods_Can_This_Solve_The_Differences_Between_Deductive_and_Inductive_Methods_in_Qualitative_Research/links/662f4e2c06ea3d0b7416851d/Combined-Methods-Can-This-Solve-The-Differences-Between-Deductive-and-Inductive-Methods-in-Qualitative-Research.pdf" TargetMode="External"/><Relationship Id="rId9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heregreview.org/2024/06/02/risk-based-regulatory-regimes/" TargetMode="External"/><Relationship Id="rId28" Type="http://schemas.openxmlformats.org/officeDocument/2006/relationships/hyperlink" Target="https://link.springer.com/content/pdf/10.1007/s40797-022-00195-2.pdf" TargetMode="External"/><Relationship Id="rId36" Type="http://schemas.openxmlformats.org/officeDocument/2006/relationships/hyperlink" Target="https://link.springer.com/chapter/10.1007/978-981-99-2571-1_2" TargetMode="External"/><Relationship Id="rId49" Type="http://schemas.openxmlformats.org/officeDocument/2006/relationships/hyperlink" Target="https://www.hsbc.com/who-we-are/esg-and-responsible-business/fighting-financial-crime/technology" TargetMode="External"/><Relationship Id="rId57" Type="http://schemas.openxmlformats.org/officeDocument/2006/relationships/hyperlink" Target="https://rapidaml.com/articles/what-is-a-risk-based-approach-to-aml/" TargetMode="External"/><Relationship Id="rId10" Type="http://schemas.openxmlformats.org/officeDocument/2006/relationships/image" Target="media/image2.png"/><Relationship Id="rId31" Type="http://schemas.openxmlformats.org/officeDocument/2006/relationships/hyperlink" Target="https://arxiv.org/pdf/2503.10058" TargetMode="External"/><Relationship Id="rId44" Type="http://schemas.openxmlformats.org/officeDocument/2006/relationships/hyperlink" Target="https://www.hsbc.com/who-we-are/esg-and-responsible-business/fighting-financial-crime" TargetMode="External"/><Relationship Id="rId52" Type="http://schemas.openxmlformats.org/officeDocument/2006/relationships/hyperlink" Target="https://www.jpmorgan.com/insights/payments/security-trust/ai-payments-efficiency-fraud-reduction" TargetMode="External"/><Relationship Id="rId60" Type="http://schemas.openxmlformats.org/officeDocument/2006/relationships/hyperlink" Target="https://link.springer.com/content/pdf/10.1007/s44163-026-00944-7.pdf" TargetMode="External"/><Relationship Id="rId65" Type="http://schemas.openxmlformats.org/officeDocument/2006/relationships/hyperlink" Target="https://dl.acm.org/doi/pdf/10.1145/3786484.3786522" TargetMode="External"/><Relationship Id="rId73" Type="http://schemas.openxmlformats.org/officeDocument/2006/relationships/hyperlink" Target="https://www.sciencedirect.com/science/article/pii/S0167739X24002607" TargetMode="External"/><Relationship Id="rId78" Type="http://schemas.openxmlformats.org/officeDocument/2006/relationships/hyperlink" Target="https://papers.ssrn.com/sol3/Delivery.cfm?abstractid=4404932" TargetMode="External"/><Relationship Id="rId81" Type="http://schemas.openxmlformats.org/officeDocument/2006/relationships/hyperlink" Target="https://www.sas.com/en_gb/news/press-releases/2025/february/anti-money-laundering-survey-ai-machine-learning.html" TargetMode="External"/><Relationship Id="rId86" Type="http://schemas.openxmlformats.org/officeDocument/2006/relationships/hyperlink" Target="https://www.unodc.org/roca/en/NEWS/news_2024/november/improving-regional-investigations-on-money-laundering-and-asset-recovery.html" TargetMode="External"/><Relationship Id="rId9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researchgate.net/profile/Samuel-Aidoo-2/publication/393782166_Evaluating_the_Effectiveness_of_AML_Regulations_A_Critical_Review/links/68798de4f312d71d78c81874/Evaluating-the-Effectiveness-of-AML-Regulations-A-Critical-Review.pdf" TargetMode="External"/><Relationship Id="rId39" Type="http://schemas.openxmlformats.org/officeDocument/2006/relationships/hyperlink" Target="https://www.hsbc.com/news-and-views/views/hsbc-views/harnessing-the-power-of-ai-to-fight-financial-crime" TargetMode="External"/><Relationship Id="rId34" Type="http://schemas.openxmlformats.org/officeDocument/2006/relationships/hyperlink" Target="https://www.fluxforce.ai/statistics/false-positive-rates-transaction-monitoring" TargetMode="External"/><Relationship Id="rId50" Type="http://schemas.openxmlformats.org/officeDocument/2006/relationships/hyperlink" Target="https://www.flagright.com/post/network-analysis-in-aml-investigations" TargetMode="External"/><Relationship Id="rId55" Type="http://schemas.openxmlformats.org/officeDocument/2006/relationships/hyperlink" Target="https://worldcometresearchgroup.com/index.php/ijcfde/article/download/822/793" TargetMode="External"/><Relationship Id="rId76" Type="http://schemas.openxmlformats.org/officeDocument/2006/relationships/hyperlink" Target="https://www.researchgate.net/publication/389208026_Evaluating_the_TOE_Framework_for_Technology_Adoption_A_Systematic_Review_of_Its_Strengths_and_Limitations" TargetMode="External"/><Relationship Id="rId9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researchgate.net/profile/Adebunmi-Adewusi/publication/383846326_Ethical_AI_Addressing_bias_in_machine_learning_models_and_software_applications/links/66e620bcdde50b3258745f15/Ethical-AI-Addressing-bias-in-machine-learning-models-and-software-applications.pdf" TargetMode="External"/><Relationship Id="rId92" Type="http://schemas.openxmlformats.org/officeDocument/2006/relationships/hyperlink" Target="https://www.fairobserver.com/american-news/sinaloa-cartel-dea-and-big-pharma-a-lethal-nexus/" TargetMode="External"/><Relationship Id="rId2" Type="http://schemas.openxmlformats.org/officeDocument/2006/relationships/customXml" Target="../customXml/item2.xml"/><Relationship Id="rId29" Type="http://schemas.openxmlformats.org/officeDocument/2006/relationships/hyperlink" Target="https://arxiv.org/pdf/2405.19383" TargetMode="External"/><Relationship Id="rId24" Type="http://schemas.openxmlformats.org/officeDocument/2006/relationships/hyperlink" Target="https://link.springer.com/content/pdf/10.1007/s10940-026-09659-5.pdf" TargetMode="External"/><Relationship Id="rId40" Type="http://schemas.openxmlformats.org/officeDocument/2006/relationships/hyperlink" Target="https://www.hsbc.com/who-we-are/esg-and-responsible-business/fighting-financial-crime/financial-crime-policy" TargetMode="External"/><Relationship Id="rId45" Type="http://schemas.openxmlformats.org/officeDocument/2006/relationships/hyperlink" Target="https://www.hsbc.com/-/files/hsbc/investors/hsbc-results/2025/annual/pdfs/hsbc-uk-bank-plc/260225-pillar-3-disclosures-at-31-december-2025.pdf" TargetMode="External"/><Relationship Id="rId66" Type="http://schemas.openxmlformats.org/officeDocument/2006/relationships/hyperlink" Target="http://dspace.chau.ac.zm:8080/xmlui/bitstream/handle/123456789/235/Types%2Bof%2BPurposive%2BSampling.pdf?sequence=1&amp;isAllowed=y" TargetMode="External"/><Relationship Id="rId87" Type="http://schemas.openxmlformats.org/officeDocument/2006/relationships/hyperlink" Target="https://hal.science/hal-04745107v1/file/AMPPH_2025_81_95.pdf" TargetMode="External"/><Relationship Id="rId61" Type="http://schemas.openxmlformats.org/officeDocument/2006/relationships/hyperlink" Target="https://emerj.com/artificial-intelligence-at-jpmorgan-chase/" TargetMode="External"/><Relationship Id="rId82" Type="http://schemas.openxmlformats.org/officeDocument/2006/relationships/hyperlink" Target="https://dataintelo.com/report/financial-crime-compliance-market" TargetMode="External"/><Relationship Id="rId19" Type="http://schemas.openxmlformats.org/officeDocument/2006/relationships/hyperlink" Target="https://www.researchgate.net/profile/Samuel-Aidoo-2/publication/394046696_The_Use_of_Behavioral_Analytics_in_AML/links/6886a8c000a2407910a4b403/The-Use-of-Behavioral-Analytics-in-AML.pdf" TargetMode="External"/><Relationship Id="rId14" Type="http://schemas.openxmlformats.org/officeDocument/2006/relationships/image" Target="media/image6.png"/><Relationship Id="rId30" Type="http://schemas.openxmlformats.org/officeDocument/2006/relationships/hyperlink" Target="https://papers.ssrn.com/sol3/Delivery.cfm?abstractid=5392389" TargetMode="External"/><Relationship Id="rId35" Type="http://schemas.openxmlformats.org/officeDocument/2006/relationships/hyperlink" Target="https://reference-global.com/download/article/10.2478/ijssis-2024-0024.pdf" TargetMode="External"/><Relationship Id="rId56" Type="http://schemas.openxmlformats.org/officeDocument/2006/relationships/hyperlink" Target="https://www.researchgate.net/publication/396885617_AI-Powered_Fraud_Prevention_in_Digital_Payment_Ecosystems_Leveraging_Machine_Learning_for_Real-Time_Anomaly_Detection_and_Risk_Mitigation" TargetMode="External"/><Relationship Id="rId77" Type="http://schemas.openxmlformats.org/officeDocument/2006/relationships/hyperlink" Target="https://www.researchgate.net/profile/Ravindra-Kushwaha-2/publication/382887467_Ethical_Frameworks_in_Special_Education/links/66b1c2e12361f42f23b572d9/Ethical-Frameworks-in-Special-Education.pdf" TargetMode="External"/><Relationship Id="rId8" Type="http://schemas.openxmlformats.org/officeDocument/2006/relationships/endnotes" Target="endnotes.xml"/><Relationship Id="rId51" Type="http://schemas.openxmlformats.org/officeDocument/2006/relationships/hyperlink" Target="https://www.researchgate.net/publication/405235253_RegTech_Readiness_for_Financial_Institutions_in_the_AI_Governance_era_Emerging_technology_risk_internal_control_and_inclusive_compliance_modernization" TargetMode="External"/><Relationship Id="rId72" Type="http://schemas.openxmlformats.org/officeDocument/2006/relationships/hyperlink" Target="https://qietp.com/index.php/pub/article/download/20/13" TargetMode="External"/><Relationship Id="rId93" Type="http://schemas.openxmlformats.org/officeDocument/2006/relationships/hyperlink" Target="about:blank" TargetMode="External"/><Relationship Id="rId98"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DyGlmWV7115KdMz7CrAu1VrTN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27927EE-FAF8-4473-BDE8-7DC7AC87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95</Pages>
  <Words>28701</Words>
  <Characters>163601</Characters>
  <Application>Microsoft Office Word</Application>
  <DocSecurity>0</DocSecurity>
  <Lines>1363</Lines>
  <Paragraphs>383</Paragraphs>
  <ScaleCrop>false</ScaleCrop>
  <Company/>
  <LinksUpToDate>false</LinksUpToDate>
  <CharactersWithSpaces>191919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Sourav Chattopadhyay</cp:lastModifiedBy>
  <cp:revision>12</cp:revision>
  <dcterms:created xsi:type="dcterms:W3CDTF">2026-09-22T06:03:00Z</dcterms:created>
  <dcterms:modified xsi:type="dcterms:W3CDTF">2026-09-22T10:31:00Z</dcterms:modified>
</cp:coreProperties>
</file>