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62476295"/>
        <w:docPartObj>
          <w:docPartGallery w:val="Cover Pages"/>
          <w:docPartUnique/>
        </w:docPartObj>
      </w:sdtPr>
      <w:sdtEndPr>
        <w:rPr>
          <w:rFonts w:ascii="Arial" w:eastAsiaTheme="minorHAnsi" w:hAnsi="Arial" w:cs="Arial"/>
          <w:color w:val="auto"/>
          <w:sz w:val="24"/>
          <w:szCs w:val="24"/>
          <w:shd w:val="clear" w:color="auto" w:fill="FFFFFF"/>
          <w:lang w:val="en-GB"/>
        </w:rPr>
      </w:sdtEndPr>
      <w:sdtContent>
        <w:p w14:paraId="0AE5ADFE" w14:textId="233D2107" w:rsidR="006D72C5" w:rsidRDefault="006D72C5">
          <w:pPr>
            <w:pStyle w:val="NoSpacing"/>
            <w:spacing w:before="1540" w:after="240"/>
            <w:jc w:val="center"/>
            <w:rPr>
              <w:color w:val="4472C4" w:themeColor="accent1"/>
            </w:rPr>
          </w:pPr>
          <w:r>
            <w:rPr>
              <w:noProof/>
              <w:color w:val="4472C4" w:themeColor="accent1"/>
            </w:rPr>
            <w:drawing>
              <wp:inline distT="0" distB="0" distL="0" distR="0" wp14:anchorId="5D1F1507" wp14:editId="0C7686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7227677A43D34CCF9FF4EB2348A9F5C5"/>
            </w:placeholder>
            <w:dataBinding w:prefixMappings="xmlns:ns0='http://purl.org/dc/elements/1.1/' xmlns:ns1='http://schemas.openxmlformats.org/package/2006/metadata/core-properties' " w:xpath="/ns1:coreProperties[1]/ns0:title[1]" w:storeItemID="{6C3C8BC8-F283-45AE-878A-BAB7291924A1}"/>
            <w:text/>
          </w:sdtPr>
          <w:sdtContent>
            <w:p w14:paraId="28508E97" w14:textId="1FCE1DDF" w:rsidR="006D72C5" w:rsidRPr="006D72C5" w:rsidRDefault="006D72C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6D72C5">
                <w:rPr>
                  <w:rFonts w:asciiTheme="majorHAnsi" w:eastAsiaTheme="majorEastAsia" w:hAnsiTheme="majorHAnsi" w:cstheme="majorBidi"/>
                  <w:caps/>
                  <w:color w:val="4472C4" w:themeColor="accent1"/>
                  <w:sz w:val="36"/>
                  <w:szCs w:val="36"/>
                </w:rPr>
                <w:t>evaluate the legislation regarding the age of criminal liability and discuss whether 10 years is the correct AGE.</w:t>
              </w:r>
            </w:p>
          </w:sdtContent>
        </w:sdt>
        <w:sdt>
          <w:sdtPr>
            <w:rPr>
              <w:color w:val="4472C4" w:themeColor="accent1"/>
              <w:sz w:val="28"/>
              <w:szCs w:val="28"/>
            </w:rPr>
            <w:alias w:val="Subtitle"/>
            <w:tag w:val=""/>
            <w:id w:val="328029620"/>
            <w:placeholder>
              <w:docPart w:val="2384F044BF6D40608FB369A5A741BF61"/>
            </w:placeholder>
            <w:dataBinding w:prefixMappings="xmlns:ns0='http://purl.org/dc/elements/1.1/' xmlns:ns1='http://schemas.openxmlformats.org/package/2006/metadata/core-properties' " w:xpath="/ns1:coreProperties[1]/ns0:subject[1]" w:storeItemID="{6C3C8BC8-F283-45AE-878A-BAB7291924A1}"/>
            <w:text/>
          </w:sdtPr>
          <w:sdtContent>
            <w:p w14:paraId="357AFBDE" w14:textId="12886CC4" w:rsidR="006D72C5" w:rsidRDefault="006D72C5">
              <w:pPr>
                <w:pStyle w:val="NoSpacing"/>
                <w:jc w:val="center"/>
                <w:rPr>
                  <w:color w:val="4472C4" w:themeColor="accent1"/>
                  <w:sz w:val="28"/>
                  <w:szCs w:val="28"/>
                </w:rPr>
              </w:pPr>
              <w:r>
                <w:rPr>
                  <w:color w:val="4472C4" w:themeColor="accent1"/>
                  <w:sz w:val="28"/>
                  <w:szCs w:val="28"/>
                </w:rPr>
                <w:t>By Hannah Albrighton.</w:t>
              </w:r>
            </w:p>
          </w:sdtContent>
        </w:sdt>
        <w:p w14:paraId="4A1D324A" w14:textId="1BC65D2E" w:rsidR="004C29CB" w:rsidRDefault="006D72C5">
          <w:pPr>
            <w:pStyle w:val="NoSpacing"/>
            <w:spacing w:before="480"/>
            <w:jc w:val="center"/>
            <w:rPr>
              <w:color w:val="4472C4" w:themeColor="accent1"/>
            </w:rPr>
          </w:pPr>
          <w:r>
            <w:rPr>
              <w:noProof/>
              <w:color w:val="4472C4" w:themeColor="accent1"/>
            </w:rPr>
            <w:drawing>
              <wp:inline distT="0" distB="0" distL="0" distR="0" wp14:anchorId="3E599EB1" wp14:editId="377451B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7323EB" w14:textId="7BDBB7FD" w:rsidR="004C29CB" w:rsidRDefault="004C29CB">
          <w:pPr>
            <w:rPr>
              <w:color w:val="4472C4" w:themeColor="accent1"/>
            </w:rPr>
          </w:pPr>
          <w:r>
            <w:rPr>
              <w:color w:val="4472C4" w:themeColor="accent1"/>
            </w:rPr>
            <w:br w:type="page"/>
          </w:r>
        </w:p>
        <w:p w14:paraId="372E5B4C" w14:textId="2864CD47" w:rsidR="004C29CB" w:rsidRDefault="006C5F76" w:rsidP="004C29CB">
          <w:pPr>
            <w:rPr>
              <w:rFonts w:eastAsiaTheme="minorEastAsia"/>
              <w:color w:val="4472C4" w:themeColor="accent1"/>
              <w:lang w:val="en-US"/>
            </w:rPr>
          </w:pPr>
          <w:r>
            <w:rPr>
              <w:rFonts w:eastAsiaTheme="minorEastAsia"/>
              <w:color w:val="4472C4" w:themeColor="accent1"/>
              <w:lang w:val="en-US"/>
            </w:rPr>
            <w:lastRenderedPageBreak/>
            <w:t>Introduction……………………………………………………………………</w:t>
          </w:r>
          <w:proofErr w:type="gramStart"/>
          <w:r>
            <w:rPr>
              <w:rFonts w:eastAsiaTheme="minorEastAsia"/>
              <w:color w:val="4472C4" w:themeColor="accent1"/>
              <w:lang w:val="en-US"/>
            </w:rPr>
            <w:t>….page</w:t>
          </w:r>
          <w:proofErr w:type="gramEnd"/>
          <w:r>
            <w:rPr>
              <w:rFonts w:eastAsiaTheme="minorEastAsia"/>
              <w:color w:val="4472C4" w:themeColor="accent1"/>
              <w:lang w:val="en-US"/>
            </w:rPr>
            <w:t xml:space="preserve"> 2</w:t>
          </w:r>
        </w:p>
        <w:p w14:paraId="3E23F18A" w14:textId="05AFBB41" w:rsidR="006C5F76" w:rsidRDefault="006C5F76" w:rsidP="004C29CB">
          <w:pPr>
            <w:rPr>
              <w:rFonts w:eastAsiaTheme="minorEastAsia"/>
              <w:color w:val="4472C4" w:themeColor="accent1"/>
              <w:lang w:val="en-US"/>
            </w:rPr>
          </w:pPr>
          <w:r>
            <w:rPr>
              <w:rFonts w:eastAsiaTheme="minorEastAsia"/>
              <w:color w:val="4472C4" w:themeColor="accent1"/>
              <w:lang w:val="en-US"/>
            </w:rPr>
            <w:t>Main Findings…………………………………………………………………</w:t>
          </w:r>
          <w:proofErr w:type="gramStart"/>
          <w:r>
            <w:rPr>
              <w:rFonts w:eastAsiaTheme="minorEastAsia"/>
              <w:color w:val="4472C4" w:themeColor="accent1"/>
              <w:lang w:val="en-US"/>
            </w:rPr>
            <w:t>….page</w:t>
          </w:r>
          <w:proofErr w:type="gramEnd"/>
          <w:r>
            <w:rPr>
              <w:rFonts w:eastAsiaTheme="minorEastAsia"/>
              <w:color w:val="4472C4" w:themeColor="accent1"/>
              <w:lang w:val="en-US"/>
            </w:rPr>
            <w:t xml:space="preserve"> 3 – 4</w:t>
          </w:r>
        </w:p>
        <w:p w14:paraId="0443A646" w14:textId="64B39D86" w:rsidR="006C5F76" w:rsidRDefault="006C5F76" w:rsidP="004C29CB">
          <w:pPr>
            <w:rPr>
              <w:rFonts w:eastAsiaTheme="minorEastAsia"/>
              <w:color w:val="4472C4" w:themeColor="accent1"/>
              <w:lang w:val="en-US"/>
            </w:rPr>
          </w:pPr>
          <w:r>
            <w:rPr>
              <w:rFonts w:eastAsiaTheme="minorEastAsia"/>
              <w:color w:val="4472C4" w:themeColor="accent1"/>
              <w:lang w:val="en-US"/>
            </w:rPr>
            <w:t>Conclusion………………………………………………………………………</w:t>
          </w:r>
          <w:proofErr w:type="gramStart"/>
          <w:r>
            <w:rPr>
              <w:rFonts w:eastAsiaTheme="minorEastAsia"/>
              <w:color w:val="4472C4" w:themeColor="accent1"/>
              <w:lang w:val="en-US"/>
            </w:rPr>
            <w:t>….page</w:t>
          </w:r>
          <w:proofErr w:type="gramEnd"/>
          <w:r>
            <w:rPr>
              <w:rFonts w:eastAsiaTheme="minorEastAsia"/>
              <w:color w:val="4472C4" w:themeColor="accent1"/>
              <w:lang w:val="en-US"/>
            </w:rPr>
            <w:t xml:space="preserve"> 5</w:t>
          </w:r>
        </w:p>
        <w:p w14:paraId="59AEFCEA" w14:textId="72F55736" w:rsidR="006C5F76" w:rsidRPr="004C29CB" w:rsidRDefault="006C5F76" w:rsidP="004C29CB">
          <w:pPr>
            <w:rPr>
              <w:rFonts w:eastAsiaTheme="minorEastAsia"/>
              <w:color w:val="4472C4" w:themeColor="accent1"/>
              <w:lang w:val="en-US"/>
            </w:rPr>
          </w:pPr>
          <w:r>
            <w:rPr>
              <w:rFonts w:eastAsiaTheme="minorEastAsia"/>
              <w:color w:val="4472C4" w:themeColor="accent1"/>
              <w:lang w:val="en-US"/>
            </w:rPr>
            <w:t>References…………………………………………………………………………page 6 - 7</w:t>
          </w:r>
        </w:p>
        <w:p w14:paraId="6A6E263D" w14:textId="3770DA4A" w:rsidR="006D72C5" w:rsidRPr="004C29CB" w:rsidRDefault="006D72C5">
          <w:r>
            <w:rPr>
              <w:rFonts w:ascii="Arial" w:hAnsi="Arial" w:cs="Arial"/>
              <w:sz w:val="24"/>
              <w:szCs w:val="24"/>
              <w:shd w:val="clear" w:color="auto" w:fill="FFFFFF"/>
            </w:rPr>
            <w:br w:type="page"/>
          </w:r>
        </w:p>
      </w:sdtContent>
    </w:sdt>
    <w:p w14:paraId="298E6ADD" w14:textId="4757B0C0" w:rsidR="00040BE6" w:rsidRPr="00806F3C" w:rsidRDefault="00806F3C" w:rsidP="007B2C80">
      <w:pPr>
        <w:rPr>
          <w:rFonts w:ascii="Arial" w:hAnsi="Arial" w:cs="Arial"/>
          <w:sz w:val="24"/>
          <w:szCs w:val="24"/>
          <w:u w:val="single"/>
        </w:rPr>
      </w:pPr>
      <w:r w:rsidRPr="00806F3C">
        <w:rPr>
          <w:rFonts w:ascii="Arial" w:hAnsi="Arial" w:cs="Arial"/>
          <w:sz w:val="24"/>
          <w:szCs w:val="24"/>
          <w:u w:val="single"/>
        </w:rPr>
        <w:lastRenderedPageBreak/>
        <w:t>Introduction</w:t>
      </w:r>
    </w:p>
    <w:p w14:paraId="461A4D59" w14:textId="77CA5BD3" w:rsidR="00040BE6" w:rsidRDefault="00396E8E" w:rsidP="004C29CB">
      <w:pPr>
        <w:spacing w:line="480" w:lineRule="auto"/>
        <w:jc w:val="both"/>
        <w:rPr>
          <w:rFonts w:ascii="Arial" w:hAnsi="Arial" w:cs="Arial"/>
          <w:sz w:val="24"/>
          <w:szCs w:val="24"/>
        </w:rPr>
      </w:pPr>
      <w:r w:rsidRPr="00040BE6">
        <w:rPr>
          <w:rFonts w:ascii="Arial" w:hAnsi="Arial" w:cs="Arial"/>
          <w:sz w:val="24"/>
          <w:szCs w:val="24"/>
        </w:rPr>
        <w:t>According to Section 50 of the Children and Young Persons Act 1933, no child under the age of ten years old can be found guilty of any offence (legislation.gov.uk).</w:t>
      </w:r>
      <w:r>
        <w:rPr>
          <w:rFonts w:ascii="Arial" w:hAnsi="Arial" w:cs="Arial"/>
          <w:sz w:val="24"/>
          <w:szCs w:val="24"/>
        </w:rPr>
        <w:t xml:space="preserve"> </w:t>
      </w:r>
      <w:r>
        <w:rPr>
          <w:rFonts w:ascii="Arial" w:hAnsi="Arial" w:cs="Arial"/>
          <w:sz w:val="24"/>
          <w:szCs w:val="24"/>
        </w:rPr>
        <w:t>This statement has created t</w:t>
      </w:r>
      <w:r>
        <w:rPr>
          <w:rFonts w:ascii="Arial" w:hAnsi="Arial" w:cs="Arial"/>
          <w:sz w:val="24"/>
          <w:szCs w:val="24"/>
        </w:rPr>
        <w:t xml:space="preserve">he objective </w:t>
      </w:r>
      <w:r>
        <w:rPr>
          <w:rFonts w:ascii="Arial" w:hAnsi="Arial" w:cs="Arial"/>
          <w:sz w:val="24"/>
          <w:szCs w:val="24"/>
        </w:rPr>
        <w:t>for</w:t>
      </w:r>
      <w:r>
        <w:rPr>
          <w:rFonts w:ascii="Arial" w:hAnsi="Arial" w:cs="Arial"/>
          <w:sz w:val="24"/>
          <w:szCs w:val="24"/>
        </w:rPr>
        <w:t xml:space="preserve"> this report</w:t>
      </w:r>
      <w:r>
        <w:rPr>
          <w:rFonts w:ascii="Arial" w:hAnsi="Arial" w:cs="Arial"/>
          <w:sz w:val="24"/>
          <w:szCs w:val="24"/>
        </w:rPr>
        <w:t>, which</w:t>
      </w:r>
      <w:r>
        <w:rPr>
          <w:rFonts w:ascii="Arial" w:hAnsi="Arial" w:cs="Arial"/>
          <w:sz w:val="24"/>
          <w:szCs w:val="24"/>
        </w:rPr>
        <w:t xml:space="preserve"> is to gain a clear understanding of the current l</w:t>
      </w:r>
      <w:r>
        <w:rPr>
          <w:rFonts w:ascii="Arial" w:hAnsi="Arial" w:cs="Arial"/>
          <w:sz w:val="24"/>
          <w:szCs w:val="24"/>
        </w:rPr>
        <w:t xml:space="preserve">egislation </w:t>
      </w:r>
      <w:r>
        <w:rPr>
          <w:rFonts w:ascii="Arial" w:hAnsi="Arial" w:cs="Arial"/>
          <w:sz w:val="24"/>
          <w:szCs w:val="24"/>
        </w:rPr>
        <w:t xml:space="preserve">on the age of criminal liability, and </w:t>
      </w:r>
      <w:r>
        <w:rPr>
          <w:rFonts w:ascii="Arial" w:hAnsi="Arial" w:cs="Arial"/>
          <w:sz w:val="24"/>
          <w:szCs w:val="24"/>
        </w:rPr>
        <w:t>whether</w:t>
      </w:r>
      <w:r>
        <w:rPr>
          <w:rFonts w:ascii="Arial" w:hAnsi="Arial" w:cs="Arial"/>
          <w:sz w:val="24"/>
          <w:szCs w:val="24"/>
        </w:rPr>
        <w:t xml:space="preserve"> it should be increased or decreased to a different age.</w:t>
      </w:r>
    </w:p>
    <w:p w14:paraId="3A48E723" w14:textId="19D7F9BE" w:rsidR="00806F3C" w:rsidRDefault="00806F3C" w:rsidP="007B2C80">
      <w:pPr>
        <w:rPr>
          <w:rFonts w:ascii="Arial" w:hAnsi="Arial" w:cs="Arial"/>
          <w:sz w:val="24"/>
          <w:szCs w:val="24"/>
        </w:rPr>
      </w:pPr>
    </w:p>
    <w:p w14:paraId="18B8F8EB" w14:textId="77777777" w:rsidR="00B44426" w:rsidRDefault="008763CE">
      <w:pPr>
        <w:rPr>
          <w:rFonts w:ascii="Arial" w:hAnsi="Arial" w:cs="Arial"/>
          <w:sz w:val="24"/>
          <w:szCs w:val="24"/>
          <w:u w:val="single"/>
        </w:rPr>
      </w:pPr>
      <w:r>
        <w:rPr>
          <w:rFonts w:ascii="Arial" w:hAnsi="Arial" w:cs="Arial"/>
          <w:sz w:val="24"/>
          <w:szCs w:val="24"/>
          <w:u w:val="single"/>
        </w:rPr>
        <w:br w:type="page"/>
      </w:r>
    </w:p>
    <w:p w14:paraId="0D94A134" w14:textId="778ABFE1" w:rsidR="00806F3C" w:rsidRDefault="00806F3C" w:rsidP="007B2C80">
      <w:pPr>
        <w:rPr>
          <w:rFonts w:ascii="Arial" w:hAnsi="Arial" w:cs="Arial"/>
          <w:sz w:val="24"/>
          <w:szCs w:val="24"/>
          <w:u w:val="single"/>
        </w:rPr>
      </w:pPr>
      <w:r>
        <w:rPr>
          <w:rFonts w:ascii="Arial" w:hAnsi="Arial" w:cs="Arial"/>
          <w:sz w:val="24"/>
          <w:szCs w:val="24"/>
          <w:u w:val="single"/>
        </w:rPr>
        <w:lastRenderedPageBreak/>
        <w:t xml:space="preserve">Main </w:t>
      </w:r>
      <w:r w:rsidR="006C5F76">
        <w:rPr>
          <w:rFonts w:ascii="Arial" w:hAnsi="Arial" w:cs="Arial"/>
          <w:sz w:val="24"/>
          <w:szCs w:val="24"/>
          <w:u w:val="single"/>
        </w:rPr>
        <w:t>Findings</w:t>
      </w:r>
    </w:p>
    <w:p w14:paraId="155DA459" w14:textId="77777777" w:rsidR="00B44426" w:rsidRDefault="00B44426" w:rsidP="004C29CB">
      <w:pPr>
        <w:spacing w:line="480" w:lineRule="auto"/>
        <w:jc w:val="both"/>
        <w:rPr>
          <w:rFonts w:ascii="Segoe UI" w:hAnsi="Segoe UI" w:cs="Segoe UI"/>
          <w:color w:val="212529"/>
          <w:shd w:val="clear" w:color="auto" w:fill="FFFFFF"/>
        </w:rPr>
      </w:pPr>
      <w:r w:rsidRPr="00F71120">
        <w:rPr>
          <w:rFonts w:ascii="Arial" w:hAnsi="Arial" w:cs="Arial"/>
          <w:sz w:val="24"/>
          <w:szCs w:val="24"/>
          <w:shd w:val="clear" w:color="auto" w:fill="FFFFFF"/>
        </w:rPr>
        <w:t>In Europe there are divided views on the age of criminal liability. The first view is to reduce the age of criminal liability, and to punish children for their actions (</w:t>
      </w:r>
      <w:proofErr w:type="spellStart"/>
      <w:r w:rsidRPr="000441B7">
        <w:rPr>
          <w:rFonts w:ascii="Arial" w:hAnsi="Arial" w:cs="Arial"/>
          <w:sz w:val="24"/>
          <w:szCs w:val="24"/>
        </w:rPr>
        <w:t>Tonry</w:t>
      </w:r>
      <w:proofErr w:type="spellEnd"/>
      <w:r>
        <w:rPr>
          <w:rFonts w:ascii="Arial" w:hAnsi="Arial" w:cs="Arial"/>
          <w:sz w:val="24"/>
          <w:szCs w:val="24"/>
        </w:rPr>
        <w:t>, M.</w:t>
      </w:r>
      <w:r w:rsidRPr="000441B7">
        <w:rPr>
          <w:rFonts w:ascii="Arial" w:hAnsi="Arial" w:cs="Arial"/>
          <w:sz w:val="24"/>
          <w:szCs w:val="24"/>
        </w:rPr>
        <w:t xml:space="preserve"> and </w:t>
      </w:r>
      <w:proofErr w:type="spellStart"/>
      <w:r w:rsidRPr="000441B7">
        <w:rPr>
          <w:rFonts w:ascii="Arial" w:hAnsi="Arial" w:cs="Arial"/>
          <w:sz w:val="24"/>
          <w:szCs w:val="24"/>
        </w:rPr>
        <w:t>Doob</w:t>
      </w:r>
      <w:proofErr w:type="spellEnd"/>
      <w:r>
        <w:rPr>
          <w:rFonts w:ascii="Arial" w:hAnsi="Arial" w:cs="Arial"/>
          <w:sz w:val="24"/>
          <w:szCs w:val="24"/>
        </w:rPr>
        <w:t>, A. 2004</w:t>
      </w:r>
      <w:r w:rsidRPr="000441B7">
        <w:rPr>
          <w:rFonts w:ascii="Arial" w:hAnsi="Arial" w:cs="Arial"/>
          <w:sz w:val="24"/>
          <w:szCs w:val="24"/>
        </w:rPr>
        <w:t>)</w:t>
      </w:r>
      <w:r w:rsidRPr="00F71120">
        <w:rPr>
          <w:rFonts w:ascii="Arial" w:hAnsi="Arial" w:cs="Arial"/>
          <w:sz w:val="24"/>
          <w:szCs w:val="24"/>
          <w:shd w:val="clear" w:color="auto" w:fill="FFFFFF"/>
        </w:rPr>
        <w:t>. Subsequently, in the eyes of the UN Convention on the Rights of the Child, it would be best to avoid any criminalisation and to look at family-based or other social alternatives to imprisonment (</w:t>
      </w:r>
      <w:r w:rsidRPr="006D72C5">
        <w:rPr>
          <w:rFonts w:ascii="Arial" w:hAnsi="Arial" w:cs="Arial"/>
          <w:sz w:val="24"/>
          <w:szCs w:val="24"/>
          <w:shd w:val="clear" w:color="auto" w:fill="FFFFFF"/>
        </w:rPr>
        <w:t>unicef.org.uk</w:t>
      </w:r>
      <w:r>
        <w:rPr>
          <w:rFonts w:ascii="Arial" w:hAnsi="Arial" w:cs="Arial"/>
          <w:sz w:val="24"/>
          <w:szCs w:val="24"/>
          <w:shd w:val="clear" w:color="auto" w:fill="FFFFFF"/>
        </w:rPr>
        <w:t>, 2010</w:t>
      </w:r>
      <w:r w:rsidRPr="00F71120">
        <w:rPr>
          <w:rFonts w:ascii="Arial" w:hAnsi="Arial" w:cs="Arial"/>
          <w:sz w:val="24"/>
          <w:szCs w:val="24"/>
          <w:shd w:val="clear" w:color="auto" w:fill="FFFFFF"/>
        </w:rPr>
        <w:t xml:space="preserve">). Within in the UK, there is an ongoing debate as to whether the age of criminal liability should be increased, as currently </w:t>
      </w:r>
      <w:r w:rsidRPr="007B2C80">
        <w:rPr>
          <w:rFonts w:ascii="Arial" w:hAnsi="Arial" w:cs="Arial"/>
          <w:sz w:val="24"/>
          <w:szCs w:val="24"/>
        </w:rPr>
        <w:t xml:space="preserve">a child is deemed responsible at </w:t>
      </w:r>
      <w:r>
        <w:rPr>
          <w:rFonts w:ascii="Arial" w:hAnsi="Arial" w:cs="Arial"/>
          <w:sz w:val="24"/>
          <w:szCs w:val="24"/>
        </w:rPr>
        <w:t>10</w:t>
      </w:r>
      <w:r w:rsidRPr="007B2C80">
        <w:rPr>
          <w:rFonts w:ascii="Arial" w:hAnsi="Arial" w:cs="Arial"/>
          <w:sz w:val="24"/>
          <w:szCs w:val="24"/>
        </w:rPr>
        <w:t xml:space="preserve"> years old</w:t>
      </w:r>
      <w:r>
        <w:rPr>
          <w:rFonts w:ascii="Arial" w:hAnsi="Arial" w:cs="Arial"/>
          <w:sz w:val="24"/>
          <w:szCs w:val="24"/>
        </w:rPr>
        <w:t xml:space="preserve"> (</w:t>
      </w:r>
      <w:r w:rsidRPr="003052C3">
        <w:rPr>
          <w:rFonts w:ascii="Arial" w:hAnsi="Arial" w:cs="Arial"/>
          <w:sz w:val="24"/>
          <w:szCs w:val="24"/>
        </w:rPr>
        <w:t>Goldson, B. 2013)</w:t>
      </w:r>
      <w:r>
        <w:rPr>
          <w:rFonts w:ascii="Arial" w:hAnsi="Arial" w:cs="Arial"/>
          <w:sz w:val="24"/>
          <w:szCs w:val="24"/>
        </w:rPr>
        <w:t xml:space="preserve"> </w:t>
      </w:r>
      <w:r w:rsidRPr="00F71120">
        <w:rPr>
          <w:rFonts w:ascii="Arial" w:hAnsi="Arial" w:cs="Arial"/>
          <w:sz w:val="24"/>
          <w:szCs w:val="24"/>
          <w:shd w:val="clear" w:color="auto" w:fill="FFFFFF"/>
        </w:rPr>
        <w:t>in England, Wales, and Northern Ireland. However, in Scotland the age of criminal liability has</w:t>
      </w:r>
      <w:r>
        <w:rPr>
          <w:rFonts w:ascii="Arial" w:hAnsi="Arial" w:cs="Arial"/>
          <w:sz w:val="24"/>
          <w:szCs w:val="24"/>
          <w:shd w:val="clear" w:color="auto" w:fill="FFFFFF"/>
        </w:rPr>
        <w:t xml:space="preserve"> now</w:t>
      </w:r>
      <w:r w:rsidRPr="00F71120">
        <w:rPr>
          <w:rFonts w:ascii="Arial" w:hAnsi="Arial" w:cs="Arial"/>
          <w:sz w:val="24"/>
          <w:szCs w:val="24"/>
          <w:shd w:val="clear" w:color="auto" w:fill="FFFFFF"/>
        </w:rPr>
        <w:t xml:space="preserve"> been increased to 12 years old</w:t>
      </w:r>
      <w:r>
        <w:rPr>
          <w:rFonts w:ascii="Arial" w:hAnsi="Arial" w:cs="Arial"/>
          <w:sz w:val="24"/>
          <w:szCs w:val="24"/>
          <w:shd w:val="clear" w:color="auto" w:fill="FFFFFF"/>
        </w:rPr>
        <w:t xml:space="preserve"> (</w:t>
      </w:r>
      <w:proofErr w:type="gramStart"/>
      <w:r w:rsidRPr="007B2C80">
        <w:rPr>
          <w:rFonts w:ascii="Arial" w:hAnsi="Arial" w:cs="Arial"/>
          <w:sz w:val="24"/>
          <w:szCs w:val="24"/>
        </w:rPr>
        <w:t>news.gov.scot</w:t>
      </w:r>
      <w:proofErr w:type="gramEnd"/>
      <w:r w:rsidRPr="007B2C80">
        <w:rPr>
          <w:rFonts w:ascii="Arial" w:hAnsi="Arial" w:cs="Arial"/>
          <w:sz w:val="24"/>
          <w:szCs w:val="24"/>
        </w:rPr>
        <w:t>, 2019</w:t>
      </w:r>
      <w:r>
        <w:rPr>
          <w:rFonts w:ascii="Arial" w:hAnsi="Arial" w:cs="Arial"/>
          <w:sz w:val="24"/>
          <w:szCs w:val="24"/>
        </w:rPr>
        <w:t>). This was</w:t>
      </w:r>
      <w:r w:rsidRPr="00F71120">
        <w:rPr>
          <w:rFonts w:ascii="Arial" w:hAnsi="Arial" w:cs="Arial"/>
          <w:sz w:val="24"/>
          <w:szCs w:val="24"/>
          <w:shd w:val="clear" w:color="auto" w:fill="FFFFFF"/>
        </w:rPr>
        <w:t xml:space="preserve"> after a recent Bill by Lord Dholakia was proposed in the House of Lords</w:t>
      </w:r>
      <w:r>
        <w:rPr>
          <w:rFonts w:ascii="Arial" w:hAnsi="Arial" w:cs="Arial"/>
          <w:sz w:val="24"/>
          <w:szCs w:val="24"/>
          <w:shd w:val="clear" w:color="auto" w:fill="FFFFFF"/>
        </w:rPr>
        <w:t xml:space="preserve"> (Paul, S. 2017</w:t>
      </w:r>
      <w:r>
        <w:rPr>
          <w:rFonts w:ascii="Segoe UI" w:hAnsi="Segoe UI" w:cs="Segoe UI"/>
          <w:color w:val="212529"/>
          <w:shd w:val="clear" w:color="auto" w:fill="FFFFFF"/>
        </w:rPr>
        <w:t>).</w:t>
      </w:r>
    </w:p>
    <w:p w14:paraId="334D4D68" w14:textId="7E3F37F5" w:rsidR="00396E8E" w:rsidRDefault="00396E8E" w:rsidP="004C29CB">
      <w:pPr>
        <w:spacing w:line="480" w:lineRule="auto"/>
        <w:jc w:val="both"/>
        <w:rPr>
          <w:rFonts w:ascii="Arial" w:hAnsi="Arial" w:cs="Arial"/>
          <w:sz w:val="24"/>
          <w:szCs w:val="24"/>
        </w:rPr>
      </w:pPr>
      <w:r w:rsidRPr="00BE1264">
        <w:rPr>
          <w:rFonts w:ascii="Arial" w:hAnsi="Arial" w:cs="Arial"/>
          <w:sz w:val="24"/>
          <w:szCs w:val="24"/>
        </w:rPr>
        <w:t xml:space="preserve">Children below the </w:t>
      </w:r>
      <w:r>
        <w:rPr>
          <w:rFonts w:ascii="Arial" w:hAnsi="Arial" w:cs="Arial"/>
          <w:sz w:val="24"/>
          <w:szCs w:val="24"/>
        </w:rPr>
        <w:t xml:space="preserve">age of 10, or 12 in Scotland, </w:t>
      </w:r>
      <w:r w:rsidRPr="00256000">
        <w:rPr>
          <w:rFonts w:ascii="Arial" w:hAnsi="Arial" w:cs="Arial"/>
          <w:sz w:val="24"/>
          <w:szCs w:val="24"/>
          <w:shd w:val="clear" w:color="auto" w:fill="FFFFFF"/>
        </w:rPr>
        <w:t xml:space="preserve">are presumed to be </w:t>
      </w:r>
      <w:proofErr w:type="spellStart"/>
      <w:r w:rsidRPr="00256000">
        <w:rPr>
          <w:rFonts w:ascii="Arial" w:hAnsi="Arial" w:cs="Arial"/>
          <w:sz w:val="24"/>
          <w:szCs w:val="24"/>
          <w:shd w:val="clear" w:color="auto" w:fill="FFFFFF"/>
        </w:rPr>
        <w:t>doli</w:t>
      </w:r>
      <w:proofErr w:type="spellEnd"/>
      <w:r w:rsidRPr="00256000">
        <w:rPr>
          <w:rFonts w:ascii="Arial" w:hAnsi="Arial" w:cs="Arial"/>
          <w:sz w:val="24"/>
          <w:szCs w:val="24"/>
          <w:shd w:val="clear" w:color="auto" w:fill="FFFFFF"/>
        </w:rPr>
        <w:t xml:space="preserve"> incapax</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Bandalli</w:t>
      </w:r>
      <w:proofErr w:type="spellEnd"/>
      <w:r>
        <w:rPr>
          <w:rFonts w:ascii="Arial" w:hAnsi="Arial" w:cs="Arial"/>
          <w:sz w:val="24"/>
          <w:szCs w:val="24"/>
          <w:shd w:val="clear" w:color="auto" w:fill="FFFFFF"/>
        </w:rPr>
        <w:t>, S. 2018). Therefore, they</w:t>
      </w:r>
      <w:r w:rsidRPr="00256000">
        <w:rPr>
          <w:rFonts w:ascii="Segoe UI" w:hAnsi="Segoe UI" w:cs="Segoe UI"/>
          <w:shd w:val="clear" w:color="auto" w:fill="FFFFFF"/>
        </w:rPr>
        <w:t xml:space="preserve"> </w:t>
      </w:r>
      <w:r w:rsidRPr="00256000">
        <w:rPr>
          <w:rFonts w:ascii="Arial" w:hAnsi="Arial" w:cs="Arial"/>
          <w:sz w:val="24"/>
          <w:szCs w:val="24"/>
        </w:rPr>
        <w:t>cannot</w:t>
      </w:r>
      <w:r w:rsidRPr="00BE1264">
        <w:rPr>
          <w:rFonts w:ascii="Arial" w:hAnsi="Arial" w:cs="Arial"/>
          <w:sz w:val="24"/>
          <w:szCs w:val="24"/>
        </w:rPr>
        <w:t xml:space="preserve"> be arrested or charged, but those above are presumed to be sufficiently mature to stand trial</w:t>
      </w:r>
      <w:r>
        <w:rPr>
          <w:rFonts w:ascii="Arial" w:hAnsi="Arial" w:cs="Arial"/>
          <w:sz w:val="24"/>
          <w:szCs w:val="24"/>
        </w:rPr>
        <w:t xml:space="preserve"> and are held </w:t>
      </w:r>
      <w:r w:rsidRPr="00BE1264">
        <w:rPr>
          <w:rFonts w:ascii="Arial" w:hAnsi="Arial" w:cs="Arial"/>
          <w:sz w:val="24"/>
          <w:szCs w:val="24"/>
        </w:rPr>
        <w:t>accountable as adults</w:t>
      </w:r>
      <w:r>
        <w:rPr>
          <w:rFonts w:ascii="Arial" w:hAnsi="Arial" w:cs="Arial"/>
          <w:sz w:val="24"/>
          <w:szCs w:val="24"/>
        </w:rPr>
        <w:t xml:space="preserve"> (Ask the Police, 2019). Although,</w:t>
      </w:r>
      <w:r w:rsidRPr="00BE1264">
        <w:rPr>
          <w:rFonts w:ascii="Arial" w:hAnsi="Arial" w:cs="Arial"/>
          <w:sz w:val="24"/>
          <w:szCs w:val="24"/>
        </w:rPr>
        <w:t xml:space="preserve"> </w:t>
      </w:r>
      <w:r>
        <w:rPr>
          <w:rFonts w:ascii="Arial" w:hAnsi="Arial" w:cs="Arial"/>
          <w:sz w:val="24"/>
          <w:szCs w:val="24"/>
        </w:rPr>
        <w:t>with c</w:t>
      </w:r>
      <w:r w:rsidRPr="00BE1264">
        <w:rPr>
          <w:rFonts w:ascii="Arial" w:hAnsi="Arial" w:cs="Arial"/>
          <w:sz w:val="24"/>
          <w:szCs w:val="24"/>
        </w:rPr>
        <w:t>onsider</w:t>
      </w:r>
      <w:r>
        <w:rPr>
          <w:rFonts w:ascii="Arial" w:hAnsi="Arial" w:cs="Arial"/>
          <w:sz w:val="24"/>
          <w:szCs w:val="24"/>
        </w:rPr>
        <w:t xml:space="preserve">ation to </w:t>
      </w:r>
      <w:r w:rsidRPr="00BE1264">
        <w:rPr>
          <w:rFonts w:ascii="Arial" w:hAnsi="Arial" w:cs="Arial"/>
          <w:sz w:val="24"/>
          <w:szCs w:val="24"/>
        </w:rPr>
        <w:t>recent understanding of brain and behavioural development in childhood</w:t>
      </w:r>
      <w:r>
        <w:rPr>
          <w:rFonts w:ascii="Arial" w:hAnsi="Arial" w:cs="Arial"/>
          <w:sz w:val="24"/>
          <w:szCs w:val="24"/>
        </w:rPr>
        <w:t>, these assumptions have been questioned (</w:t>
      </w:r>
      <w:r w:rsidRPr="00BE1264">
        <w:rPr>
          <w:rFonts w:ascii="Arial" w:hAnsi="Arial" w:cs="Arial"/>
          <w:sz w:val="24"/>
          <w:szCs w:val="24"/>
        </w:rPr>
        <w:t>Bateman, T.</w:t>
      </w:r>
      <w:r>
        <w:rPr>
          <w:rFonts w:ascii="Arial" w:hAnsi="Arial" w:cs="Arial"/>
          <w:sz w:val="24"/>
          <w:szCs w:val="24"/>
        </w:rPr>
        <w:t xml:space="preserve"> </w:t>
      </w:r>
      <w:r w:rsidRPr="00BE1264">
        <w:rPr>
          <w:rFonts w:ascii="Arial" w:hAnsi="Arial" w:cs="Arial"/>
          <w:sz w:val="24"/>
          <w:szCs w:val="24"/>
        </w:rPr>
        <w:t>2014)</w:t>
      </w:r>
      <w:r>
        <w:rPr>
          <w:rFonts w:ascii="Arial" w:hAnsi="Arial" w:cs="Arial"/>
          <w:sz w:val="24"/>
          <w:szCs w:val="24"/>
        </w:rPr>
        <w:t>.</w:t>
      </w:r>
    </w:p>
    <w:p w14:paraId="5C0FE59B" w14:textId="7491CD40" w:rsidR="00806F3C" w:rsidRDefault="00806F3C" w:rsidP="004C29CB">
      <w:pPr>
        <w:spacing w:line="480" w:lineRule="auto"/>
        <w:jc w:val="both"/>
        <w:rPr>
          <w:rFonts w:ascii="Arial" w:hAnsi="Arial" w:cs="Arial"/>
          <w:sz w:val="24"/>
          <w:szCs w:val="24"/>
        </w:rPr>
      </w:pPr>
      <w:r>
        <w:rPr>
          <w:rFonts w:ascii="Arial" w:hAnsi="Arial" w:cs="Arial"/>
          <w:sz w:val="24"/>
          <w:szCs w:val="24"/>
        </w:rPr>
        <w:t>During the last 10 years, t</w:t>
      </w:r>
      <w:r w:rsidRPr="00806F3C">
        <w:rPr>
          <w:rFonts w:ascii="Arial" w:hAnsi="Arial" w:cs="Arial"/>
          <w:sz w:val="24"/>
          <w:szCs w:val="24"/>
        </w:rPr>
        <w:t xml:space="preserve">he number of children arrested, charged and convicted has reduced </w:t>
      </w:r>
      <w:r>
        <w:rPr>
          <w:rFonts w:ascii="Arial" w:hAnsi="Arial" w:cs="Arial"/>
          <w:sz w:val="24"/>
          <w:szCs w:val="24"/>
        </w:rPr>
        <w:t>significantly. Over 200,000 children were previously arrested in England and Wales, and 2,</w:t>
      </w:r>
      <w:r w:rsidR="00FE2B64">
        <w:rPr>
          <w:rFonts w:ascii="Arial" w:hAnsi="Arial" w:cs="Arial"/>
          <w:sz w:val="24"/>
          <w:szCs w:val="24"/>
        </w:rPr>
        <w:t>0</w:t>
      </w:r>
      <w:r>
        <w:rPr>
          <w:rFonts w:ascii="Arial" w:hAnsi="Arial" w:cs="Arial"/>
          <w:sz w:val="24"/>
          <w:szCs w:val="24"/>
        </w:rPr>
        <w:t>00 of those children were 10-11 years old</w:t>
      </w:r>
      <w:r w:rsidR="004C29CB">
        <w:rPr>
          <w:rFonts w:ascii="Arial" w:hAnsi="Arial" w:cs="Arial"/>
          <w:sz w:val="24"/>
          <w:szCs w:val="24"/>
        </w:rPr>
        <w:t xml:space="preserve">. </w:t>
      </w:r>
      <w:r w:rsidR="00FE2B64">
        <w:rPr>
          <w:rFonts w:ascii="Arial" w:hAnsi="Arial" w:cs="Arial"/>
          <w:sz w:val="24"/>
          <w:szCs w:val="24"/>
        </w:rPr>
        <w:t>(</w:t>
      </w:r>
      <w:r w:rsidR="00FE2B64" w:rsidRPr="00410DB1">
        <w:rPr>
          <w:rFonts w:ascii="Arial" w:hAnsi="Arial" w:cs="Arial"/>
          <w:sz w:val="24"/>
          <w:szCs w:val="24"/>
        </w:rPr>
        <w:t>Howard League for Penal Reform</w:t>
      </w:r>
      <w:r w:rsidR="00FE2B64">
        <w:rPr>
          <w:rFonts w:ascii="Arial" w:hAnsi="Arial" w:cs="Arial"/>
          <w:sz w:val="24"/>
          <w:szCs w:val="24"/>
        </w:rPr>
        <w:t xml:space="preserve">, </w:t>
      </w:r>
      <w:r w:rsidR="00FE2B64" w:rsidRPr="00410DB1">
        <w:rPr>
          <w:rFonts w:ascii="Arial" w:hAnsi="Arial" w:cs="Arial"/>
          <w:sz w:val="24"/>
          <w:szCs w:val="24"/>
        </w:rPr>
        <w:t>2013)</w:t>
      </w:r>
      <w:r w:rsidR="00FE2B64">
        <w:rPr>
          <w:rFonts w:ascii="Arial" w:hAnsi="Arial" w:cs="Arial"/>
          <w:sz w:val="24"/>
          <w:szCs w:val="24"/>
        </w:rPr>
        <w:t>.</w:t>
      </w:r>
      <w:r w:rsidR="008432B8">
        <w:rPr>
          <w:rFonts w:ascii="Arial" w:hAnsi="Arial" w:cs="Arial"/>
          <w:sz w:val="24"/>
          <w:szCs w:val="24"/>
        </w:rPr>
        <w:t xml:space="preserve"> This is in comparison to 2016 where the figures decreased to 87,525 and 703</w:t>
      </w:r>
      <w:r w:rsidR="004C29CB">
        <w:rPr>
          <w:rFonts w:ascii="Arial" w:hAnsi="Arial" w:cs="Arial"/>
          <w:sz w:val="24"/>
          <w:szCs w:val="24"/>
        </w:rPr>
        <w:t xml:space="preserve">. </w:t>
      </w:r>
      <w:r w:rsidR="00191F80">
        <w:rPr>
          <w:rFonts w:ascii="Arial" w:hAnsi="Arial" w:cs="Arial"/>
          <w:sz w:val="24"/>
          <w:szCs w:val="24"/>
        </w:rPr>
        <w:t>(</w:t>
      </w:r>
      <w:r w:rsidR="00191F80" w:rsidRPr="00410DB1">
        <w:rPr>
          <w:rFonts w:ascii="Arial" w:hAnsi="Arial" w:cs="Arial"/>
          <w:sz w:val="24"/>
          <w:szCs w:val="24"/>
        </w:rPr>
        <w:t>Howard League for Penal Reform</w:t>
      </w:r>
      <w:r w:rsidR="00191F80">
        <w:rPr>
          <w:rFonts w:ascii="Arial" w:hAnsi="Arial" w:cs="Arial"/>
          <w:sz w:val="24"/>
          <w:szCs w:val="24"/>
        </w:rPr>
        <w:t xml:space="preserve">, </w:t>
      </w:r>
      <w:r w:rsidR="00191F80" w:rsidRPr="00410DB1">
        <w:rPr>
          <w:rFonts w:ascii="Arial" w:hAnsi="Arial" w:cs="Arial"/>
          <w:sz w:val="24"/>
          <w:szCs w:val="24"/>
        </w:rPr>
        <w:t>2013</w:t>
      </w:r>
      <w:r w:rsidR="00191F80">
        <w:rPr>
          <w:rFonts w:ascii="Arial" w:hAnsi="Arial" w:cs="Arial"/>
          <w:sz w:val="24"/>
          <w:szCs w:val="24"/>
        </w:rPr>
        <w:t xml:space="preserve">). </w:t>
      </w:r>
    </w:p>
    <w:p w14:paraId="15C362C4" w14:textId="6E58F3BF" w:rsidR="00E60856" w:rsidRDefault="00E60856" w:rsidP="004C29CB">
      <w:pPr>
        <w:spacing w:line="480" w:lineRule="auto"/>
        <w:jc w:val="both"/>
        <w:rPr>
          <w:rFonts w:ascii="Arial" w:hAnsi="Arial" w:cs="Arial"/>
          <w:sz w:val="24"/>
          <w:szCs w:val="24"/>
        </w:rPr>
      </w:pPr>
      <w:r>
        <w:rPr>
          <w:rFonts w:ascii="Arial" w:hAnsi="Arial" w:cs="Arial"/>
          <w:sz w:val="24"/>
          <w:szCs w:val="24"/>
        </w:rPr>
        <w:t xml:space="preserve">It could be argued that the decrease is because of changes within police practices which targets to reduce </w:t>
      </w:r>
      <w:r w:rsidRPr="00270F36">
        <w:rPr>
          <w:rFonts w:ascii="Arial" w:hAnsi="Arial" w:cs="Arial"/>
          <w:sz w:val="24"/>
          <w:szCs w:val="24"/>
        </w:rPr>
        <w:t>first time entrants into the Criminal Justice System</w:t>
      </w:r>
      <w:r>
        <w:rPr>
          <w:rFonts w:ascii="Arial" w:hAnsi="Arial" w:cs="Arial"/>
          <w:sz w:val="24"/>
          <w:szCs w:val="24"/>
        </w:rPr>
        <w:t>, as opposed to a change in children’s behaviour (</w:t>
      </w:r>
      <w:r w:rsidR="009678CD">
        <w:rPr>
          <w:rFonts w:ascii="Arial" w:hAnsi="Arial" w:cs="Arial"/>
          <w:sz w:val="24"/>
          <w:szCs w:val="24"/>
        </w:rPr>
        <w:t>Ministry of Justice, 2016</w:t>
      </w:r>
      <w:r>
        <w:rPr>
          <w:rFonts w:ascii="Arial" w:hAnsi="Arial" w:cs="Arial"/>
          <w:sz w:val="24"/>
          <w:szCs w:val="24"/>
        </w:rPr>
        <w:t>).</w:t>
      </w:r>
    </w:p>
    <w:p w14:paraId="07E161A0" w14:textId="2932761F" w:rsidR="000332EA" w:rsidRDefault="000332EA" w:rsidP="004C29CB">
      <w:pPr>
        <w:spacing w:line="480" w:lineRule="auto"/>
        <w:jc w:val="both"/>
        <w:rPr>
          <w:rFonts w:ascii="Arial" w:hAnsi="Arial" w:cs="Arial"/>
          <w:sz w:val="24"/>
          <w:szCs w:val="24"/>
        </w:rPr>
      </w:pPr>
      <w:r w:rsidRPr="00270F36">
        <w:rPr>
          <w:rFonts w:ascii="Arial" w:hAnsi="Arial" w:cs="Arial"/>
          <w:sz w:val="24"/>
          <w:szCs w:val="24"/>
        </w:rPr>
        <w:lastRenderedPageBreak/>
        <w:t>The police are increasingly using discretion as to whether a child goes into the CJS or whether other agencies are more suitable</w:t>
      </w:r>
      <w:r>
        <w:rPr>
          <w:rFonts w:ascii="Arial" w:hAnsi="Arial" w:cs="Arial"/>
          <w:sz w:val="24"/>
          <w:szCs w:val="24"/>
        </w:rPr>
        <w:t xml:space="preserve"> (</w:t>
      </w:r>
      <w:r w:rsidR="001E3100">
        <w:rPr>
          <w:rFonts w:ascii="Arial" w:hAnsi="Arial" w:cs="Arial"/>
          <w:sz w:val="24"/>
          <w:szCs w:val="24"/>
        </w:rPr>
        <w:t>Ministry of Justice, 2016</w:t>
      </w:r>
      <w:r>
        <w:rPr>
          <w:rFonts w:ascii="Arial" w:hAnsi="Arial" w:cs="Arial"/>
          <w:sz w:val="24"/>
          <w:szCs w:val="24"/>
        </w:rPr>
        <w:t>).</w:t>
      </w:r>
      <w:r w:rsidRPr="00270F36">
        <w:rPr>
          <w:rFonts w:ascii="Arial" w:hAnsi="Arial" w:cs="Arial"/>
          <w:sz w:val="24"/>
          <w:szCs w:val="24"/>
        </w:rPr>
        <w:t xml:space="preserve">  Many children who </w:t>
      </w:r>
      <w:r w:rsidRPr="00270F36">
        <w:rPr>
          <w:rFonts w:ascii="Arial" w:hAnsi="Arial" w:cs="Arial"/>
          <w:sz w:val="24"/>
          <w:szCs w:val="24"/>
        </w:rPr>
        <w:t>encounter</w:t>
      </w:r>
      <w:r w:rsidRPr="00270F36">
        <w:rPr>
          <w:rFonts w:ascii="Arial" w:hAnsi="Arial" w:cs="Arial"/>
          <w:sz w:val="24"/>
          <w:szCs w:val="24"/>
        </w:rPr>
        <w:t xml:space="preserve"> the CJS come from ethnic minority backgrounds, have grown up in care or disadvantaged families, and are often the victims of crime themselves.</w:t>
      </w:r>
      <w:r>
        <w:rPr>
          <w:rFonts w:ascii="Arial" w:hAnsi="Arial" w:cs="Arial"/>
          <w:sz w:val="24"/>
          <w:szCs w:val="24"/>
        </w:rPr>
        <w:t xml:space="preserve"> (</w:t>
      </w:r>
      <w:r w:rsidR="001E3100" w:rsidRPr="00A27301">
        <w:rPr>
          <w:rFonts w:ascii="Arial" w:hAnsi="Arial" w:cs="Arial"/>
          <w:sz w:val="24"/>
          <w:szCs w:val="24"/>
        </w:rPr>
        <w:t xml:space="preserve">Goldson, B. </w:t>
      </w:r>
      <w:r w:rsidR="001E3100">
        <w:rPr>
          <w:rFonts w:ascii="Arial" w:hAnsi="Arial" w:cs="Arial"/>
          <w:sz w:val="24"/>
          <w:szCs w:val="24"/>
        </w:rPr>
        <w:t>2001).</w:t>
      </w:r>
      <w:r w:rsidRPr="00270F36">
        <w:rPr>
          <w:rFonts w:ascii="Arial" w:hAnsi="Arial" w:cs="Arial"/>
          <w:sz w:val="24"/>
          <w:szCs w:val="24"/>
        </w:rPr>
        <w:t xml:space="preserve"> There are high rates of mental illness and substance misuse amongst children who offend</w:t>
      </w:r>
      <w:r>
        <w:rPr>
          <w:rFonts w:ascii="Arial" w:hAnsi="Arial" w:cs="Arial"/>
          <w:sz w:val="24"/>
          <w:szCs w:val="24"/>
        </w:rPr>
        <w:t xml:space="preserve"> </w:t>
      </w:r>
      <w:r>
        <w:rPr>
          <w:rFonts w:ascii="Arial" w:hAnsi="Arial" w:cs="Arial"/>
          <w:sz w:val="24"/>
          <w:szCs w:val="24"/>
        </w:rPr>
        <w:t>(</w:t>
      </w:r>
      <w:r w:rsidR="001E3100" w:rsidRPr="00A27301">
        <w:rPr>
          <w:rFonts w:ascii="Arial" w:hAnsi="Arial" w:cs="Arial"/>
          <w:sz w:val="24"/>
          <w:szCs w:val="24"/>
        </w:rPr>
        <w:t>Baldry, E., Briggs, D., Goldson, B. and Russell, S. 2018</w:t>
      </w:r>
      <w:r>
        <w:rPr>
          <w:rFonts w:ascii="Arial" w:hAnsi="Arial" w:cs="Arial"/>
          <w:sz w:val="24"/>
          <w:szCs w:val="24"/>
        </w:rPr>
        <w:t>)</w:t>
      </w:r>
      <w:r>
        <w:rPr>
          <w:rFonts w:ascii="Arial" w:hAnsi="Arial" w:cs="Arial"/>
          <w:sz w:val="24"/>
          <w:szCs w:val="24"/>
        </w:rPr>
        <w:t>.</w:t>
      </w:r>
      <w:r>
        <w:rPr>
          <w:rFonts w:ascii="Arial" w:hAnsi="Arial" w:cs="Arial"/>
          <w:sz w:val="24"/>
          <w:szCs w:val="24"/>
        </w:rPr>
        <w:t xml:space="preserve"> </w:t>
      </w:r>
      <w:r w:rsidRPr="00270F36">
        <w:rPr>
          <w:rFonts w:ascii="Arial" w:hAnsi="Arial" w:cs="Arial"/>
          <w:sz w:val="24"/>
          <w:szCs w:val="24"/>
        </w:rPr>
        <w:t>Many have learning disabilities (23–32%), communication difficulties (60–90%), and neuro-developmental disorders such as autism spectrum disorders and attention deficit hyperactivity disorder (ADHD) (15% and 11–18% respectively). This raises additional concerns about their ability to participate in criminal proceedings.</w:t>
      </w:r>
    </w:p>
    <w:p w14:paraId="34EA4859" w14:textId="20F01FBD" w:rsidR="00BC1BD9" w:rsidRDefault="00BC1BD9" w:rsidP="004C29CB">
      <w:pPr>
        <w:spacing w:line="480" w:lineRule="auto"/>
        <w:jc w:val="both"/>
        <w:rPr>
          <w:rFonts w:ascii="Arial" w:hAnsi="Arial" w:cs="Arial"/>
          <w:sz w:val="24"/>
          <w:szCs w:val="24"/>
          <w:shd w:val="clear" w:color="auto" w:fill="FFFFFF"/>
        </w:rPr>
      </w:pPr>
      <w:r w:rsidRPr="00BC1BD9">
        <w:rPr>
          <w:rFonts w:ascii="Arial" w:hAnsi="Arial" w:cs="Arial"/>
          <w:sz w:val="24"/>
          <w:szCs w:val="24"/>
        </w:rPr>
        <w:t xml:space="preserve">The Criminal Justice Act 1998 abrogated the </w:t>
      </w:r>
      <w:proofErr w:type="spellStart"/>
      <w:r w:rsidRPr="00BC1BD9">
        <w:rPr>
          <w:rFonts w:ascii="Arial" w:hAnsi="Arial" w:cs="Arial"/>
          <w:sz w:val="24"/>
          <w:szCs w:val="24"/>
        </w:rPr>
        <w:t>doli</w:t>
      </w:r>
      <w:proofErr w:type="spellEnd"/>
      <w:r w:rsidRPr="00BC1BD9">
        <w:rPr>
          <w:rFonts w:ascii="Arial" w:hAnsi="Arial" w:cs="Arial"/>
          <w:sz w:val="24"/>
          <w:szCs w:val="24"/>
        </w:rPr>
        <w:t xml:space="preserve"> incapax which expanded the propensity to regard children as though they were adults. This can be seen in the James Bulger case of 1993, where John Venables and Robert Thompson were tried in an adult court. Although a 10 year old may comprehend right from wrong,</w:t>
      </w:r>
      <w:r>
        <w:rPr>
          <w:rFonts w:ascii="Arial" w:hAnsi="Arial" w:cs="Arial"/>
          <w:sz w:val="24"/>
          <w:szCs w:val="24"/>
        </w:rPr>
        <w:t xml:space="preserve"> </w:t>
      </w:r>
      <w:r w:rsidRPr="00BC1BD9">
        <w:rPr>
          <w:rFonts w:ascii="Arial" w:hAnsi="Arial" w:cs="Arial"/>
          <w:sz w:val="24"/>
          <w:szCs w:val="24"/>
        </w:rPr>
        <w:t>they do not comprehend the ramifications of what they have done and what must be as a result of those actions. Whilst capacity and competence relate to age comprehension and development ought to be considered in any preliminary in which a child is a defendant (</w:t>
      </w:r>
      <w:proofErr w:type="spellStart"/>
      <w:r w:rsidRPr="00BC1BD9">
        <w:rPr>
          <w:rFonts w:ascii="Arial" w:hAnsi="Arial" w:cs="Arial"/>
          <w:sz w:val="24"/>
          <w:szCs w:val="24"/>
        </w:rPr>
        <w:t>MaMahon</w:t>
      </w:r>
      <w:proofErr w:type="spellEnd"/>
      <w:r w:rsidRPr="00BC1BD9">
        <w:rPr>
          <w:rFonts w:ascii="Arial" w:hAnsi="Arial" w:cs="Arial"/>
          <w:sz w:val="24"/>
          <w:szCs w:val="24"/>
        </w:rPr>
        <w:t xml:space="preserve">, Payne, 2001). Britain has one of the </w:t>
      </w:r>
      <w:r>
        <w:rPr>
          <w:rFonts w:ascii="Arial" w:hAnsi="Arial" w:cs="Arial"/>
          <w:sz w:val="24"/>
          <w:szCs w:val="24"/>
        </w:rPr>
        <w:t>highest</w:t>
      </w:r>
      <w:r w:rsidRPr="00BC1BD9">
        <w:rPr>
          <w:rFonts w:ascii="Arial" w:hAnsi="Arial" w:cs="Arial"/>
          <w:sz w:val="24"/>
          <w:szCs w:val="24"/>
        </w:rPr>
        <w:t xml:space="preserve"> conviction rates for </w:t>
      </w:r>
      <w:r>
        <w:rPr>
          <w:rFonts w:ascii="Arial" w:hAnsi="Arial" w:cs="Arial"/>
          <w:sz w:val="24"/>
          <w:szCs w:val="24"/>
        </w:rPr>
        <w:t xml:space="preserve">young offenders; </w:t>
      </w:r>
      <w:r w:rsidRPr="007D2EA0">
        <w:rPr>
          <w:rFonts w:ascii="Arial" w:hAnsi="Arial" w:cs="Arial"/>
          <w:sz w:val="24"/>
          <w:szCs w:val="24"/>
          <w:shd w:val="clear" w:color="auto" w:fill="FFFFFF"/>
        </w:rPr>
        <w:t>this may be due to the low age of criminal responsibility or the fact that we have a punitive state. Whereas in contrast Belgium on the other hand have a high criminal responsibility age with only a f</w:t>
      </w:r>
      <w:r w:rsidR="00A64D1A">
        <w:rPr>
          <w:rFonts w:ascii="Arial" w:hAnsi="Arial" w:cs="Arial"/>
          <w:sz w:val="24"/>
          <w:szCs w:val="24"/>
          <w:shd w:val="clear" w:color="auto" w:fill="FFFFFF"/>
        </w:rPr>
        <w:t>r</w:t>
      </w:r>
      <w:r w:rsidRPr="007D2EA0">
        <w:rPr>
          <w:rFonts w:ascii="Arial" w:hAnsi="Arial" w:cs="Arial"/>
          <w:sz w:val="24"/>
          <w:szCs w:val="24"/>
          <w:shd w:val="clear" w:color="auto" w:fill="FFFFFF"/>
        </w:rPr>
        <w:t>action on youth offenders in custody (</w:t>
      </w:r>
      <w:bookmarkStart w:id="0" w:name="_Hlk22221696"/>
      <w:r w:rsidR="00A86F01">
        <w:rPr>
          <w:rFonts w:ascii="Arial" w:hAnsi="Arial" w:cs="Arial"/>
          <w:sz w:val="24"/>
          <w:szCs w:val="24"/>
          <w:shd w:val="clear" w:color="auto" w:fill="FFFFFF"/>
        </w:rPr>
        <w:t>The Guardian, 2019</w:t>
      </w:r>
      <w:bookmarkEnd w:id="0"/>
      <w:r w:rsidRPr="007D2EA0">
        <w:rPr>
          <w:rFonts w:ascii="Arial" w:hAnsi="Arial" w:cs="Arial"/>
          <w:sz w:val="24"/>
          <w:szCs w:val="24"/>
          <w:shd w:val="clear" w:color="auto" w:fill="FFFFFF"/>
        </w:rPr>
        <w:t>)</w:t>
      </w:r>
      <w:r>
        <w:rPr>
          <w:rFonts w:ascii="Arial" w:hAnsi="Arial" w:cs="Arial"/>
          <w:sz w:val="24"/>
          <w:szCs w:val="24"/>
          <w:shd w:val="clear" w:color="auto" w:fill="FFFFFF"/>
        </w:rPr>
        <w:t>.</w:t>
      </w:r>
    </w:p>
    <w:p w14:paraId="36FE5906" w14:textId="56A9F9F8" w:rsidR="006C5F76" w:rsidRDefault="006C5F76" w:rsidP="004C29CB">
      <w:pPr>
        <w:spacing w:line="480" w:lineRule="auto"/>
        <w:jc w:val="both"/>
        <w:rPr>
          <w:rFonts w:ascii="Arial" w:hAnsi="Arial" w:cs="Arial"/>
          <w:sz w:val="24"/>
          <w:szCs w:val="24"/>
          <w:shd w:val="clear" w:color="auto" w:fill="FFFFFF"/>
        </w:rPr>
      </w:pPr>
    </w:p>
    <w:p w14:paraId="51E7812D" w14:textId="39536C45" w:rsidR="006C5F76" w:rsidRDefault="006C5F76" w:rsidP="004C29CB">
      <w:pPr>
        <w:spacing w:line="480" w:lineRule="auto"/>
        <w:jc w:val="both"/>
        <w:rPr>
          <w:rFonts w:ascii="Arial" w:hAnsi="Arial" w:cs="Arial"/>
          <w:sz w:val="24"/>
          <w:szCs w:val="24"/>
          <w:shd w:val="clear" w:color="auto" w:fill="FFFFFF"/>
        </w:rPr>
      </w:pPr>
    </w:p>
    <w:p w14:paraId="7672BD68" w14:textId="21EBA8B7" w:rsidR="006C5F76" w:rsidRPr="006C5F76" w:rsidRDefault="006C5F76" w:rsidP="004C29CB">
      <w:pPr>
        <w:spacing w:line="480" w:lineRule="auto"/>
        <w:jc w:val="both"/>
        <w:rPr>
          <w:rFonts w:ascii="Arial" w:hAnsi="Arial" w:cs="Arial"/>
          <w:sz w:val="24"/>
          <w:szCs w:val="24"/>
          <w:u w:val="single"/>
        </w:rPr>
      </w:pPr>
      <w:r w:rsidRPr="006C5F76">
        <w:rPr>
          <w:rFonts w:ascii="Arial" w:hAnsi="Arial" w:cs="Arial"/>
          <w:sz w:val="24"/>
          <w:szCs w:val="24"/>
          <w:u w:val="single"/>
          <w:shd w:val="clear" w:color="auto" w:fill="FFFFFF"/>
        </w:rPr>
        <w:lastRenderedPageBreak/>
        <w:t>Conclusion</w:t>
      </w:r>
    </w:p>
    <w:p w14:paraId="277D965D" w14:textId="0FF759E8" w:rsidR="00F20600" w:rsidRDefault="00D077E0" w:rsidP="004C29CB">
      <w:pPr>
        <w:spacing w:line="480" w:lineRule="auto"/>
        <w:jc w:val="both"/>
        <w:rPr>
          <w:rFonts w:ascii="Arial" w:hAnsi="Arial" w:cs="Arial"/>
          <w:sz w:val="24"/>
          <w:szCs w:val="24"/>
        </w:rPr>
      </w:pPr>
      <w:r>
        <w:rPr>
          <w:rFonts w:ascii="Arial" w:hAnsi="Arial" w:cs="Arial"/>
          <w:sz w:val="24"/>
          <w:szCs w:val="24"/>
        </w:rPr>
        <w:t>In conclusion, it would be that of the</w:t>
      </w:r>
      <w:r w:rsidR="00A64D1A" w:rsidRPr="00A64D1A">
        <w:rPr>
          <w:rFonts w:ascii="Arial" w:hAnsi="Arial" w:cs="Arial"/>
          <w:sz w:val="24"/>
          <w:szCs w:val="24"/>
        </w:rPr>
        <w:t xml:space="preserve"> </w:t>
      </w:r>
      <w:r w:rsidRPr="00A64D1A">
        <w:rPr>
          <w:rFonts w:ascii="Arial" w:hAnsi="Arial" w:cs="Arial"/>
          <w:sz w:val="24"/>
          <w:szCs w:val="24"/>
        </w:rPr>
        <w:t>victim</w:t>
      </w:r>
      <w:r>
        <w:rPr>
          <w:rFonts w:ascii="Arial" w:hAnsi="Arial" w:cs="Arial"/>
          <w:sz w:val="24"/>
          <w:szCs w:val="24"/>
        </w:rPr>
        <w:t>’s</w:t>
      </w:r>
      <w:r w:rsidR="00A64D1A" w:rsidRPr="00A64D1A">
        <w:rPr>
          <w:rFonts w:ascii="Arial" w:hAnsi="Arial" w:cs="Arial"/>
          <w:sz w:val="24"/>
          <w:szCs w:val="24"/>
        </w:rPr>
        <w:t xml:space="preserve"> perspective</w:t>
      </w:r>
      <w:r>
        <w:rPr>
          <w:rFonts w:ascii="Arial" w:hAnsi="Arial" w:cs="Arial"/>
          <w:sz w:val="24"/>
          <w:szCs w:val="24"/>
        </w:rPr>
        <w:t xml:space="preserve"> that</w:t>
      </w:r>
      <w:r w:rsidR="00A64D1A" w:rsidRPr="00A64D1A">
        <w:rPr>
          <w:rFonts w:ascii="Arial" w:hAnsi="Arial" w:cs="Arial"/>
          <w:sz w:val="24"/>
          <w:szCs w:val="24"/>
        </w:rPr>
        <w:t xml:space="preserve"> needs </w:t>
      </w:r>
      <w:r w:rsidRPr="00A64D1A">
        <w:rPr>
          <w:rFonts w:ascii="Arial" w:hAnsi="Arial" w:cs="Arial"/>
          <w:sz w:val="24"/>
          <w:szCs w:val="24"/>
        </w:rPr>
        <w:t>attention</w:t>
      </w:r>
      <w:r w:rsidR="00A64D1A" w:rsidRPr="00A64D1A">
        <w:rPr>
          <w:rFonts w:ascii="Arial" w:hAnsi="Arial" w:cs="Arial"/>
          <w:sz w:val="24"/>
          <w:szCs w:val="24"/>
        </w:rPr>
        <w:t xml:space="preserve"> if </w:t>
      </w:r>
      <w:r>
        <w:rPr>
          <w:rFonts w:ascii="Arial" w:hAnsi="Arial" w:cs="Arial"/>
          <w:sz w:val="24"/>
          <w:szCs w:val="24"/>
        </w:rPr>
        <w:t>there were to be a</w:t>
      </w:r>
      <w:r w:rsidR="00A64D1A" w:rsidRPr="00A64D1A">
        <w:rPr>
          <w:rFonts w:ascii="Arial" w:hAnsi="Arial" w:cs="Arial"/>
          <w:sz w:val="24"/>
          <w:szCs w:val="24"/>
        </w:rPr>
        <w:t xml:space="preserve">ny change to the </w:t>
      </w:r>
      <w:r>
        <w:rPr>
          <w:rFonts w:ascii="Arial" w:hAnsi="Arial" w:cs="Arial"/>
          <w:sz w:val="24"/>
          <w:szCs w:val="24"/>
        </w:rPr>
        <w:t>age of criminal liability (</w:t>
      </w:r>
      <w:r w:rsidRPr="00AB3B60">
        <w:rPr>
          <w:rFonts w:ascii="Arial" w:hAnsi="Arial" w:cs="Arial"/>
          <w:sz w:val="24"/>
          <w:szCs w:val="24"/>
        </w:rPr>
        <w:t>Scottish Law Commission</w:t>
      </w:r>
      <w:r>
        <w:rPr>
          <w:rFonts w:ascii="Arial" w:hAnsi="Arial" w:cs="Arial"/>
          <w:sz w:val="24"/>
          <w:szCs w:val="24"/>
        </w:rPr>
        <w:t>,</w:t>
      </w:r>
      <w:r>
        <w:rPr>
          <w:rFonts w:ascii="Arial" w:hAnsi="Arial" w:cs="Arial"/>
          <w:sz w:val="24"/>
          <w:szCs w:val="24"/>
        </w:rPr>
        <w:t>2016</w:t>
      </w:r>
      <w:r>
        <w:rPr>
          <w:rFonts w:ascii="Arial" w:hAnsi="Arial" w:cs="Arial"/>
          <w:sz w:val="24"/>
          <w:szCs w:val="24"/>
        </w:rPr>
        <w:t xml:space="preserve">). </w:t>
      </w:r>
      <w:r w:rsidR="00A64D1A" w:rsidRPr="00A64D1A">
        <w:rPr>
          <w:rFonts w:ascii="Arial" w:hAnsi="Arial" w:cs="Arial"/>
          <w:sz w:val="24"/>
          <w:szCs w:val="24"/>
        </w:rPr>
        <w:t>There has been</w:t>
      </w:r>
      <w:r>
        <w:rPr>
          <w:rFonts w:ascii="Arial" w:hAnsi="Arial" w:cs="Arial"/>
          <w:sz w:val="24"/>
          <w:szCs w:val="24"/>
        </w:rPr>
        <w:t xml:space="preserve"> very</w:t>
      </w:r>
      <w:r w:rsidR="00A64D1A" w:rsidRPr="00A64D1A">
        <w:rPr>
          <w:rFonts w:ascii="Arial" w:hAnsi="Arial" w:cs="Arial"/>
          <w:sz w:val="24"/>
          <w:szCs w:val="24"/>
        </w:rPr>
        <w:t xml:space="preserve"> little analysis of this to date although</w:t>
      </w:r>
      <w:r>
        <w:rPr>
          <w:rFonts w:ascii="Arial" w:hAnsi="Arial" w:cs="Arial"/>
          <w:sz w:val="24"/>
          <w:szCs w:val="24"/>
        </w:rPr>
        <w:t xml:space="preserve"> the proposal to increase the age of criminal liability </w:t>
      </w:r>
      <w:r w:rsidR="00A64D1A" w:rsidRPr="00A64D1A">
        <w:rPr>
          <w:rFonts w:ascii="Arial" w:hAnsi="Arial" w:cs="Arial"/>
          <w:sz w:val="24"/>
          <w:szCs w:val="24"/>
        </w:rPr>
        <w:t>in Scotland were broadly welcomed by victim groups due to the close link between childhood victimisation and offending</w:t>
      </w:r>
      <w:r>
        <w:rPr>
          <w:rFonts w:ascii="Arial" w:hAnsi="Arial" w:cs="Arial"/>
          <w:sz w:val="24"/>
          <w:szCs w:val="24"/>
        </w:rPr>
        <w:t xml:space="preserve"> (Victim Support, 2019).</w:t>
      </w:r>
      <w:r w:rsidR="004C29CB">
        <w:rPr>
          <w:rFonts w:ascii="Arial" w:hAnsi="Arial" w:cs="Arial"/>
          <w:sz w:val="24"/>
          <w:szCs w:val="24"/>
        </w:rPr>
        <w:t xml:space="preserve"> Although, children regardless of their age should be held accountable for their actions, in order to fully acknowledge right from wrong.</w:t>
      </w:r>
    </w:p>
    <w:p w14:paraId="79E889EF" w14:textId="3B6891F7" w:rsidR="00A46D12" w:rsidRDefault="00A46D12">
      <w:pPr>
        <w:rPr>
          <w:sz w:val="24"/>
          <w:szCs w:val="24"/>
        </w:rPr>
      </w:pPr>
    </w:p>
    <w:p w14:paraId="35B47524" w14:textId="66FEB9B2" w:rsidR="004C29CB" w:rsidRDefault="004C29CB">
      <w:pPr>
        <w:rPr>
          <w:sz w:val="24"/>
          <w:szCs w:val="24"/>
        </w:rPr>
      </w:pPr>
    </w:p>
    <w:p w14:paraId="5526D6C7" w14:textId="4E0A6676" w:rsidR="004C29CB" w:rsidRDefault="004C29CB">
      <w:pPr>
        <w:rPr>
          <w:sz w:val="24"/>
          <w:szCs w:val="24"/>
        </w:rPr>
      </w:pPr>
      <w:r>
        <w:rPr>
          <w:sz w:val="24"/>
          <w:szCs w:val="24"/>
        </w:rPr>
        <w:br w:type="page"/>
      </w:r>
    </w:p>
    <w:p w14:paraId="0A40B6EE" w14:textId="77777777" w:rsidR="004C29CB" w:rsidRPr="00683753" w:rsidRDefault="004C29CB" w:rsidP="004C29CB">
      <w:pPr>
        <w:rPr>
          <w:sz w:val="28"/>
          <w:szCs w:val="28"/>
          <w:u w:val="single"/>
        </w:rPr>
      </w:pPr>
      <w:r w:rsidRPr="006E2802">
        <w:rPr>
          <w:sz w:val="28"/>
          <w:szCs w:val="28"/>
          <w:u w:val="single"/>
        </w:rPr>
        <w:lastRenderedPageBreak/>
        <w:t>Reference List</w:t>
      </w:r>
    </w:p>
    <w:p w14:paraId="6FB68454" w14:textId="77777777" w:rsidR="004C29CB" w:rsidRPr="000441B7" w:rsidRDefault="004C29CB" w:rsidP="004C29CB">
      <w:pPr>
        <w:spacing w:after="0" w:line="0" w:lineRule="auto"/>
        <w:rPr>
          <w:rFonts w:ascii="ff2" w:eastAsia="Times New Roman" w:hAnsi="ff2" w:cs="Times New Roman"/>
          <w:color w:val="000000"/>
          <w:sz w:val="48"/>
          <w:szCs w:val="48"/>
          <w:lang w:eastAsia="en-GB"/>
        </w:rPr>
      </w:pPr>
      <w:r w:rsidRPr="000441B7">
        <w:rPr>
          <w:rFonts w:ascii="ff2" w:eastAsia="Times New Roman" w:hAnsi="ff2" w:cs="Times New Roman"/>
          <w:color w:val="000000"/>
          <w:sz w:val="48"/>
          <w:szCs w:val="48"/>
          <w:lang w:eastAsia="en-GB"/>
        </w:rPr>
        <w:t xml:space="preserve">(University </w:t>
      </w:r>
      <w:proofErr w:type="gramStart"/>
      <w:r w:rsidRPr="000441B7">
        <w:rPr>
          <w:rFonts w:ascii="ff2" w:eastAsia="Times New Roman" w:hAnsi="ff2" w:cs="Times New Roman"/>
          <w:color w:val="000000"/>
          <w:sz w:val="48"/>
          <w:szCs w:val="48"/>
          <w:lang w:eastAsia="en-GB"/>
        </w:rPr>
        <w:t>of  Chicago</w:t>
      </w:r>
      <w:proofErr w:type="gramEnd"/>
      <w:r w:rsidRPr="000441B7">
        <w:rPr>
          <w:rFonts w:ascii="ff2" w:eastAsia="Times New Roman" w:hAnsi="ff2" w:cs="Times New Roman"/>
          <w:color w:val="000000"/>
          <w:sz w:val="48"/>
          <w:szCs w:val="48"/>
          <w:lang w:eastAsia="en-GB"/>
        </w:rPr>
        <w:t xml:space="preserve"> Press 2004)</w:t>
      </w:r>
    </w:p>
    <w:p w14:paraId="47FF7708" w14:textId="77777777" w:rsidR="004C29CB" w:rsidRPr="000441B7" w:rsidRDefault="004C29CB" w:rsidP="004C29CB">
      <w:pPr>
        <w:spacing w:after="0" w:line="0" w:lineRule="auto"/>
        <w:rPr>
          <w:rFonts w:ascii="ff2" w:eastAsia="Times New Roman" w:hAnsi="ff2" w:cs="Times New Roman"/>
          <w:color w:val="000000"/>
          <w:sz w:val="48"/>
          <w:szCs w:val="48"/>
          <w:lang w:eastAsia="en-GB"/>
        </w:rPr>
      </w:pPr>
      <w:r w:rsidRPr="000441B7">
        <w:rPr>
          <w:rFonts w:ascii="ff2" w:eastAsia="Times New Roman" w:hAnsi="ff2" w:cs="Times New Roman"/>
          <w:color w:val="000000"/>
          <w:sz w:val="48"/>
          <w:szCs w:val="48"/>
          <w:lang w:eastAsia="en-GB"/>
        </w:rPr>
        <w:t xml:space="preserve">(University </w:t>
      </w:r>
      <w:proofErr w:type="gramStart"/>
      <w:r w:rsidRPr="000441B7">
        <w:rPr>
          <w:rFonts w:ascii="ff2" w:eastAsia="Times New Roman" w:hAnsi="ff2" w:cs="Times New Roman"/>
          <w:color w:val="000000"/>
          <w:sz w:val="48"/>
          <w:szCs w:val="48"/>
          <w:lang w:eastAsia="en-GB"/>
        </w:rPr>
        <w:t>of  Chicago</w:t>
      </w:r>
      <w:proofErr w:type="gramEnd"/>
      <w:r w:rsidRPr="000441B7">
        <w:rPr>
          <w:rFonts w:ascii="ff2" w:eastAsia="Times New Roman" w:hAnsi="ff2" w:cs="Times New Roman"/>
          <w:color w:val="000000"/>
          <w:sz w:val="48"/>
          <w:szCs w:val="48"/>
          <w:lang w:eastAsia="en-GB"/>
        </w:rPr>
        <w:t xml:space="preserve"> Press 2004)</w:t>
      </w:r>
    </w:p>
    <w:p w14:paraId="2E86408E" w14:textId="77777777" w:rsidR="004C29CB" w:rsidRPr="000441B7" w:rsidRDefault="004C29CB" w:rsidP="004C29CB">
      <w:pPr>
        <w:spacing w:after="0" w:line="0" w:lineRule="auto"/>
        <w:rPr>
          <w:rFonts w:ascii="ff2" w:eastAsia="Times New Roman" w:hAnsi="ff2" w:cs="Times New Roman"/>
          <w:color w:val="000000"/>
          <w:sz w:val="48"/>
          <w:szCs w:val="48"/>
          <w:lang w:eastAsia="en-GB"/>
        </w:rPr>
      </w:pPr>
      <w:r w:rsidRPr="000441B7">
        <w:rPr>
          <w:rFonts w:ascii="ff2" w:eastAsia="Times New Roman" w:hAnsi="ff2" w:cs="Times New Roman"/>
          <w:color w:val="000000"/>
          <w:sz w:val="48"/>
          <w:szCs w:val="48"/>
          <w:lang w:eastAsia="en-GB"/>
        </w:rPr>
        <w:t xml:space="preserve">(University </w:t>
      </w:r>
      <w:proofErr w:type="gramStart"/>
      <w:r w:rsidRPr="000441B7">
        <w:rPr>
          <w:rFonts w:ascii="ff2" w:eastAsia="Times New Roman" w:hAnsi="ff2" w:cs="Times New Roman"/>
          <w:color w:val="000000"/>
          <w:sz w:val="48"/>
          <w:szCs w:val="48"/>
          <w:lang w:eastAsia="en-GB"/>
        </w:rPr>
        <w:t>of  Chicago</w:t>
      </w:r>
      <w:proofErr w:type="gramEnd"/>
      <w:r w:rsidRPr="000441B7">
        <w:rPr>
          <w:rFonts w:ascii="ff2" w:eastAsia="Times New Roman" w:hAnsi="ff2" w:cs="Times New Roman"/>
          <w:color w:val="000000"/>
          <w:sz w:val="48"/>
          <w:szCs w:val="48"/>
          <w:lang w:eastAsia="en-GB"/>
        </w:rPr>
        <w:t xml:space="preserve"> Press 2004)</w:t>
      </w:r>
    </w:p>
    <w:p w14:paraId="6F674879" w14:textId="77777777" w:rsidR="004C29CB" w:rsidRPr="000441B7" w:rsidRDefault="004C29CB" w:rsidP="004C29CB">
      <w:pPr>
        <w:spacing w:after="0" w:line="0" w:lineRule="auto"/>
        <w:rPr>
          <w:rFonts w:ascii="ff2" w:eastAsia="Times New Roman" w:hAnsi="ff2" w:cs="Times New Roman"/>
          <w:color w:val="000000"/>
          <w:sz w:val="48"/>
          <w:szCs w:val="48"/>
          <w:lang w:eastAsia="en-GB"/>
        </w:rPr>
      </w:pPr>
      <w:r w:rsidRPr="000441B7">
        <w:rPr>
          <w:rFonts w:ascii="ff2" w:eastAsia="Times New Roman" w:hAnsi="ff2" w:cs="Times New Roman"/>
          <w:color w:val="000000"/>
          <w:sz w:val="48"/>
          <w:szCs w:val="48"/>
          <w:lang w:eastAsia="en-GB"/>
        </w:rPr>
        <w:t xml:space="preserve">(University </w:t>
      </w:r>
      <w:proofErr w:type="gramStart"/>
      <w:r w:rsidRPr="000441B7">
        <w:rPr>
          <w:rFonts w:ascii="ff2" w:eastAsia="Times New Roman" w:hAnsi="ff2" w:cs="Times New Roman"/>
          <w:color w:val="000000"/>
          <w:sz w:val="48"/>
          <w:szCs w:val="48"/>
          <w:lang w:eastAsia="en-GB"/>
        </w:rPr>
        <w:t>of  Chicago</w:t>
      </w:r>
      <w:proofErr w:type="gramEnd"/>
      <w:r w:rsidRPr="000441B7">
        <w:rPr>
          <w:rFonts w:ascii="ff2" w:eastAsia="Times New Roman" w:hAnsi="ff2" w:cs="Times New Roman"/>
          <w:color w:val="000000"/>
          <w:sz w:val="48"/>
          <w:szCs w:val="48"/>
          <w:lang w:eastAsia="en-GB"/>
        </w:rPr>
        <w:t xml:space="preserve"> Press 2004)</w:t>
      </w:r>
    </w:p>
    <w:p w14:paraId="68542F55" w14:textId="77777777" w:rsidR="004C29CB" w:rsidRPr="00683753" w:rsidRDefault="004C29CB" w:rsidP="004C29CB">
      <w:pPr>
        <w:pStyle w:val="Heading1"/>
        <w:spacing w:before="0" w:line="240" w:lineRule="auto"/>
        <w:rPr>
          <w:rFonts w:ascii="Arial" w:hAnsi="Arial" w:cs="Arial"/>
          <w:sz w:val="24"/>
          <w:szCs w:val="24"/>
        </w:rPr>
      </w:pPr>
    </w:p>
    <w:p w14:paraId="00A8C6F2" w14:textId="77777777" w:rsidR="004C29CB" w:rsidRPr="004C29CB" w:rsidRDefault="004C29CB" w:rsidP="004C29CB">
      <w:pPr>
        <w:jc w:val="both"/>
        <w:rPr>
          <w:rFonts w:ascii="Arial" w:hAnsi="Arial" w:cs="Arial"/>
          <w:sz w:val="24"/>
          <w:szCs w:val="24"/>
          <w:shd w:val="clear" w:color="auto" w:fill="FFFFFF"/>
        </w:rPr>
      </w:pPr>
      <w:r w:rsidRPr="004C29CB">
        <w:rPr>
          <w:rFonts w:ascii="Arial" w:hAnsi="Arial" w:cs="Arial"/>
          <w:sz w:val="24"/>
          <w:szCs w:val="24"/>
        </w:rPr>
        <w:t xml:space="preserve">Ask the Police (2019) </w:t>
      </w:r>
      <w:r w:rsidRPr="004C29CB">
        <w:rPr>
          <w:rFonts w:ascii="Arial" w:hAnsi="Arial" w:cs="Arial"/>
          <w:i/>
          <w:iCs/>
          <w:sz w:val="24"/>
          <w:szCs w:val="24"/>
          <w:shd w:val="clear" w:color="auto" w:fill="FFFFFF"/>
        </w:rPr>
        <w:t>Q346: Ages - when are you old enough?</w:t>
      </w:r>
      <w:r w:rsidRPr="004C29CB">
        <w:rPr>
          <w:rFonts w:ascii="Arial" w:hAnsi="Arial" w:cs="Arial"/>
          <w:sz w:val="24"/>
          <w:szCs w:val="24"/>
          <w:shd w:val="clear" w:color="auto" w:fill="FFFFFF"/>
        </w:rPr>
        <w:t xml:space="preserve"> [Online] Available at: </w:t>
      </w:r>
      <w:hyperlink r:id="rId9" w:history="1">
        <w:r w:rsidRPr="004C29CB">
          <w:rPr>
            <w:rStyle w:val="Hyperlink"/>
            <w:rFonts w:ascii="Arial" w:hAnsi="Arial" w:cs="Arial"/>
            <w:color w:val="auto"/>
            <w:sz w:val="24"/>
            <w:szCs w:val="24"/>
            <w:u w:val="none"/>
            <w:shd w:val="clear" w:color="auto" w:fill="FFFFFF"/>
          </w:rPr>
          <w:t>https://www.askthe.police.uk/content/Q346.htm</w:t>
        </w:r>
      </w:hyperlink>
      <w:r w:rsidRPr="004C29CB">
        <w:rPr>
          <w:rFonts w:ascii="Arial" w:hAnsi="Arial" w:cs="Arial"/>
          <w:sz w:val="24"/>
          <w:szCs w:val="24"/>
          <w:shd w:val="clear" w:color="auto" w:fill="FFFFFF"/>
        </w:rPr>
        <w:t xml:space="preserve"> (Accessed 7th October 2019).</w:t>
      </w:r>
    </w:p>
    <w:p w14:paraId="65E4D714"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Baldry, E., Briggs, D., Goldson, B. and Russell, S. (2018) ‘</w:t>
      </w:r>
      <w:r w:rsidRPr="004C29CB">
        <w:rPr>
          <w:rFonts w:ascii="Arial" w:hAnsi="Arial" w:cs="Arial"/>
          <w:i/>
          <w:iCs/>
          <w:sz w:val="24"/>
          <w:szCs w:val="24"/>
        </w:rPr>
        <w:t xml:space="preserve">“Cruel and unusual punishment”: </w:t>
      </w:r>
      <w:r w:rsidRPr="004C29CB">
        <w:rPr>
          <w:rFonts w:ascii="Arial" w:hAnsi="Arial" w:cs="Arial"/>
          <w:sz w:val="24"/>
          <w:szCs w:val="24"/>
        </w:rPr>
        <w:t>an inter-jurisdictional study of the criminalisation of young people with complex support needs’, Journal of Youth Studies, 21 (5) pp 636-652.</w:t>
      </w:r>
    </w:p>
    <w:p w14:paraId="171BF7B5" w14:textId="77777777" w:rsidR="004C29CB" w:rsidRPr="004C29CB" w:rsidRDefault="004C29CB" w:rsidP="004C29CB">
      <w:pPr>
        <w:pStyle w:val="Heading1"/>
        <w:spacing w:before="0"/>
        <w:jc w:val="both"/>
        <w:rPr>
          <w:rFonts w:ascii="Arial" w:hAnsi="Arial" w:cs="Arial"/>
          <w:sz w:val="24"/>
          <w:szCs w:val="24"/>
        </w:rPr>
      </w:pPr>
      <w:bookmarkStart w:id="1" w:name="_Toc22223473"/>
      <w:proofErr w:type="spellStart"/>
      <w:r w:rsidRPr="004C29CB">
        <w:rPr>
          <w:rFonts w:ascii="Arial" w:hAnsi="Arial" w:cs="Arial"/>
          <w:color w:val="auto"/>
          <w:sz w:val="24"/>
          <w:szCs w:val="24"/>
          <w:shd w:val="clear" w:color="auto" w:fill="FFFFFF"/>
        </w:rPr>
        <w:t>Bandalli</w:t>
      </w:r>
      <w:proofErr w:type="spellEnd"/>
      <w:r w:rsidRPr="004C29CB">
        <w:rPr>
          <w:rFonts w:ascii="Arial" w:hAnsi="Arial" w:cs="Arial"/>
          <w:color w:val="auto"/>
          <w:sz w:val="24"/>
          <w:szCs w:val="24"/>
          <w:shd w:val="clear" w:color="auto" w:fill="FFFFFF"/>
        </w:rPr>
        <w:t xml:space="preserve">, S. (2018) </w:t>
      </w:r>
      <w:hyperlink r:id="rId10" w:tooltip="The Howard Journal of Criminal Justice homepage" w:history="1">
        <w:r w:rsidRPr="004C29CB">
          <w:rPr>
            <w:rStyle w:val="Hyperlink"/>
            <w:rFonts w:ascii="Arial" w:hAnsi="Arial" w:cs="Arial"/>
            <w:color w:val="auto"/>
            <w:sz w:val="24"/>
            <w:szCs w:val="24"/>
            <w:u w:val="none"/>
          </w:rPr>
          <w:t>The Howard Journal of Criminal Justice</w:t>
        </w:r>
      </w:hyperlink>
      <w:r w:rsidRPr="004C29CB">
        <w:rPr>
          <w:rFonts w:ascii="Arial" w:hAnsi="Arial" w:cs="Arial"/>
          <w:color w:val="auto"/>
          <w:sz w:val="24"/>
          <w:szCs w:val="24"/>
        </w:rPr>
        <w:t xml:space="preserve"> - Abolition of the</w:t>
      </w:r>
      <w:r w:rsidRPr="004C29CB">
        <w:rPr>
          <w:rFonts w:ascii="Arial" w:hAnsi="Arial" w:cs="Arial"/>
          <w:sz w:val="24"/>
          <w:szCs w:val="24"/>
        </w:rPr>
        <w:t xml:space="preserve"> </w:t>
      </w:r>
      <w:r w:rsidRPr="004C29CB">
        <w:rPr>
          <w:rFonts w:ascii="Arial" w:hAnsi="Arial" w:cs="Arial"/>
          <w:color w:val="auto"/>
          <w:sz w:val="24"/>
          <w:szCs w:val="24"/>
        </w:rPr>
        <w:t xml:space="preserve">Presumption of </w:t>
      </w:r>
      <w:proofErr w:type="spellStart"/>
      <w:r w:rsidRPr="004C29CB">
        <w:rPr>
          <w:rFonts w:ascii="Arial" w:hAnsi="Arial" w:cs="Arial"/>
          <w:i/>
          <w:iCs/>
          <w:color w:val="auto"/>
          <w:sz w:val="24"/>
          <w:szCs w:val="24"/>
        </w:rPr>
        <w:t>Doli</w:t>
      </w:r>
      <w:proofErr w:type="spellEnd"/>
      <w:r w:rsidRPr="004C29CB">
        <w:rPr>
          <w:rFonts w:ascii="Arial" w:hAnsi="Arial" w:cs="Arial"/>
          <w:i/>
          <w:iCs/>
          <w:color w:val="auto"/>
          <w:sz w:val="24"/>
          <w:szCs w:val="24"/>
        </w:rPr>
        <w:t xml:space="preserve"> Incapax</w:t>
      </w:r>
      <w:r w:rsidRPr="004C29CB">
        <w:rPr>
          <w:rFonts w:ascii="Arial" w:hAnsi="Arial" w:cs="Arial"/>
          <w:color w:val="auto"/>
          <w:sz w:val="24"/>
          <w:szCs w:val="24"/>
        </w:rPr>
        <w:t xml:space="preserve"> and the Criminalisation of Children</w:t>
      </w:r>
      <w:r w:rsidRPr="004C29CB">
        <w:rPr>
          <w:rFonts w:ascii="Arial" w:hAnsi="Arial" w:cs="Arial"/>
          <w:sz w:val="24"/>
          <w:szCs w:val="24"/>
        </w:rPr>
        <w:t xml:space="preserve">, </w:t>
      </w:r>
      <w:r w:rsidRPr="004C29CB">
        <w:rPr>
          <w:rFonts w:ascii="Arial" w:hAnsi="Arial" w:cs="Arial"/>
          <w:color w:val="auto"/>
          <w:sz w:val="24"/>
          <w:szCs w:val="24"/>
        </w:rPr>
        <w:t>37 (2) pp 114-123.</w:t>
      </w:r>
      <w:bookmarkEnd w:id="1"/>
    </w:p>
    <w:p w14:paraId="26FA86BD"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Bateman, T. (2014) </w:t>
      </w:r>
      <w:r w:rsidRPr="004C29CB">
        <w:rPr>
          <w:rFonts w:ascii="Arial" w:hAnsi="Arial" w:cs="Arial"/>
          <w:i/>
          <w:iCs/>
          <w:sz w:val="24"/>
          <w:szCs w:val="24"/>
        </w:rPr>
        <w:t>Catching them young- some reflections on the meaning of the age of criminal responsibility in England and Wales</w:t>
      </w:r>
      <w:r w:rsidRPr="004C29CB">
        <w:rPr>
          <w:rFonts w:ascii="Arial" w:hAnsi="Arial" w:cs="Arial"/>
          <w:sz w:val="24"/>
          <w:szCs w:val="24"/>
        </w:rPr>
        <w:t>. Safer Communities, 13 (3) pp 133-142</w:t>
      </w:r>
    </w:p>
    <w:p w14:paraId="740FCC09" w14:textId="77777777" w:rsidR="004C29CB" w:rsidRPr="004C29CB" w:rsidRDefault="004C29CB" w:rsidP="004C29CB">
      <w:pPr>
        <w:jc w:val="both"/>
        <w:rPr>
          <w:rFonts w:ascii="Arial" w:hAnsi="Arial" w:cs="Arial"/>
          <w:sz w:val="24"/>
          <w:szCs w:val="24"/>
        </w:rPr>
      </w:pPr>
      <w:proofErr w:type="spellStart"/>
      <w:r w:rsidRPr="004C29CB">
        <w:rPr>
          <w:rFonts w:ascii="Arial" w:hAnsi="Arial" w:cs="Arial"/>
          <w:sz w:val="24"/>
          <w:szCs w:val="24"/>
        </w:rPr>
        <w:t>Crimeandinvestigation</w:t>
      </w:r>
      <w:proofErr w:type="spellEnd"/>
      <w:r w:rsidRPr="004C29CB">
        <w:rPr>
          <w:rFonts w:ascii="Arial" w:hAnsi="Arial" w:cs="Arial"/>
          <w:sz w:val="24"/>
          <w:szCs w:val="24"/>
        </w:rPr>
        <w:t xml:space="preserve"> (2018) </w:t>
      </w:r>
      <w:r w:rsidRPr="004C29CB">
        <w:rPr>
          <w:rFonts w:ascii="Arial" w:hAnsi="Arial" w:cs="Arial"/>
          <w:i/>
          <w:iCs/>
          <w:sz w:val="24"/>
          <w:szCs w:val="24"/>
        </w:rPr>
        <w:t>The James Bulger Case</w:t>
      </w:r>
      <w:r w:rsidRPr="004C29CB">
        <w:rPr>
          <w:rFonts w:ascii="Arial" w:hAnsi="Arial" w:cs="Arial"/>
          <w:sz w:val="24"/>
          <w:szCs w:val="24"/>
        </w:rPr>
        <w:t xml:space="preserve"> [Online] Available at: </w:t>
      </w:r>
      <w:hyperlink r:id="rId11" w:history="1">
        <w:r w:rsidRPr="004C29CB">
          <w:rPr>
            <w:rStyle w:val="Hyperlink"/>
            <w:rFonts w:ascii="Arial" w:hAnsi="Arial" w:cs="Arial"/>
            <w:color w:val="auto"/>
            <w:sz w:val="24"/>
            <w:szCs w:val="24"/>
            <w:u w:val="none"/>
          </w:rPr>
          <w:t>https://www.crimeandinvestigation.co.uk/crime-files/james-bulger/trial</w:t>
        </w:r>
      </w:hyperlink>
      <w:r w:rsidRPr="004C29CB">
        <w:rPr>
          <w:rFonts w:ascii="Arial" w:hAnsi="Arial" w:cs="Arial"/>
          <w:sz w:val="24"/>
          <w:szCs w:val="24"/>
        </w:rPr>
        <w:t xml:space="preserve"> (Accessed 12th October 2019).</w:t>
      </w:r>
    </w:p>
    <w:p w14:paraId="1D136B22"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Goldson, B. (2001) </w:t>
      </w:r>
      <w:r w:rsidRPr="004C29CB">
        <w:rPr>
          <w:rFonts w:ascii="Arial" w:hAnsi="Arial" w:cs="Arial"/>
          <w:i/>
          <w:iCs/>
          <w:sz w:val="24"/>
          <w:szCs w:val="24"/>
        </w:rPr>
        <w:t>‘“Children in Need” or “Young Offenders”?</w:t>
      </w:r>
      <w:r w:rsidRPr="004C29CB">
        <w:rPr>
          <w:rFonts w:ascii="Arial" w:hAnsi="Arial" w:cs="Arial"/>
          <w:sz w:val="24"/>
          <w:szCs w:val="24"/>
        </w:rPr>
        <w:t xml:space="preserve"> Hardening ideology, organisational change and new challenges for social work with children in trouble, Child and Family Social Work, 5 (3) pp 255-265.</w:t>
      </w:r>
    </w:p>
    <w:p w14:paraId="0D01C68E" w14:textId="77777777" w:rsidR="004C29CB" w:rsidRPr="004C29CB" w:rsidRDefault="004C29CB" w:rsidP="004C29CB">
      <w:pPr>
        <w:jc w:val="both"/>
        <w:rPr>
          <w:rFonts w:ascii="Arial" w:hAnsi="Arial" w:cs="Arial"/>
          <w:sz w:val="24"/>
          <w:szCs w:val="24"/>
          <w:shd w:val="clear" w:color="auto" w:fill="FFFFFF"/>
        </w:rPr>
      </w:pPr>
      <w:r w:rsidRPr="004C29CB">
        <w:rPr>
          <w:rFonts w:ascii="Arial" w:hAnsi="Arial" w:cs="Arial"/>
          <w:sz w:val="24"/>
          <w:szCs w:val="24"/>
          <w:shd w:val="clear" w:color="auto" w:fill="FFFFFF"/>
        </w:rPr>
        <w:t xml:space="preserve">Goldson, B. (2013) </w:t>
      </w:r>
      <w:r w:rsidRPr="004C29CB">
        <w:rPr>
          <w:rFonts w:ascii="Arial" w:hAnsi="Arial" w:cs="Arial"/>
          <w:i/>
          <w:iCs/>
          <w:sz w:val="24"/>
          <w:szCs w:val="24"/>
          <w:shd w:val="clear" w:color="auto" w:fill="FFFFFF"/>
        </w:rPr>
        <w:t>Unsafe, unjust and harmful to wider society: grounds for raising the age of criminal responsibility in England and Wales.</w:t>
      </w:r>
      <w:r w:rsidRPr="004C29CB">
        <w:rPr>
          <w:rFonts w:ascii="Arial" w:hAnsi="Arial" w:cs="Arial"/>
          <w:sz w:val="24"/>
          <w:szCs w:val="24"/>
          <w:shd w:val="clear" w:color="auto" w:fill="FFFFFF"/>
        </w:rPr>
        <w:t xml:space="preserve"> Youth Justice, 13 (2) 111-130.</w:t>
      </w:r>
    </w:p>
    <w:p w14:paraId="182AE8D7" w14:textId="77777777" w:rsidR="004C29CB" w:rsidRPr="004C29CB" w:rsidRDefault="004C29CB" w:rsidP="004C29CB">
      <w:pPr>
        <w:pStyle w:val="Heading1"/>
        <w:spacing w:before="0"/>
        <w:jc w:val="both"/>
        <w:rPr>
          <w:rFonts w:ascii="Arial" w:hAnsi="Arial" w:cs="Arial"/>
          <w:sz w:val="24"/>
          <w:szCs w:val="24"/>
        </w:rPr>
      </w:pPr>
      <w:bookmarkStart w:id="2" w:name="_Toc22223474"/>
      <w:r w:rsidRPr="004C29CB">
        <w:rPr>
          <w:rFonts w:ascii="Arial" w:hAnsi="Arial" w:cs="Arial"/>
          <w:color w:val="auto"/>
          <w:sz w:val="24"/>
          <w:szCs w:val="24"/>
        </w:rPr>
        <w:t xml:space="preserve">Howard League for Penal Reform (2013) </w:t>
      </w:r>
      <w:r w:rsidRPr="004C29CB">
        <w:rPr>
          <w:rFonts w:ascii="Arial" w:hAnsi="Arial" w:cs="Arial"/>
          <w:i/>
          <w:iCs/>
          <w:color w:val="auto"/>
          <w:sz w:val="24"/>
          <w:szCs w:val="24"/>
        </w:rPr>
        <w:t>Child arrests in England and Wales 2008-2011</w:t>
      </w:r>
      <w:r w:rsidRPr="004C29CB">
        <w:rPr>
          <w:rFonts w:ascii="Arial" w:hAnsi="Arial" w:cs="Arial"/>
          <w:color w:val="auto"/>
          <w:sz w:val="24"/>
          <w:szCs w:val="24"/>
        </w:rPr>
        <w:t xml:space="preserve">: Research Briefing [Online] Available at: </w:t>
      </w:r>
      <w:hyperlink r:id="rId12" w:history="1">
        <w:r w:rsidRPr="004C29CB">
          <w:rPr>
            <w:rStyle w:val="Hyperlink"/>
            <w:rFonts w:ascii="Arial" w:hAnsi="Arial" w:cs="Arial"/>
            <w:color w:val="auto"/>
            <w:sz w:val="24"/>
            <w:szCs w:val="24"/>
            <w:u w:val="none"/>
          </w:rPr>
          <w:t>https://howardleague.org/wp-content/uploads/2016/05/child-arrests.pdf</w:t>
        </w:r>
      </w:hyperlink>
      <w:r w:rsidRPr="004C29CB">
        <w:rPr>
          <w:rFonts w:ascii="Arial" w:hAnsi="Arial" w:cs="Arial"/>
          <w:color w:val="auto"/>
          <w:sz w:val="24"/>
          <w:szCs w:val="24"/>
        </w:rPr>
        <w:t xml:space="preserve"> (Accessed 10th October 2019).</w:t>
      </w:r>
      <w:bookmarkEnd w:id="2"/>
    </w:p>
    <w:p w14:paraId="41333CDF" w14:textId="77777777" w:rsidR="004C29CB" w:rsidRPr="004C29CB" w:rsidRDefault="004C29CB" w:rsidP="004C29CB">
      <w:pPr>
        <w:jc w:val="both"/>
        <w:rPr>
          <w:rFonts w:ascii="Arial" w:hAnsi="Arial" w:cs="Arial"/>
          <w:sz w:val="24"/>
          <w:szCs w:val="24"/>
          <w:shd w:val="clear" w:color="auto" w:fill="FFFFFF"/>
        </w:rPr>
      </w:pPr>
      <w:r w:rsidRPr="004C29CB">
        <w:rPr>
          <w:rFonts w:ascii="Arial" w:hAnsi="Arial" w:cs="Arial"/>
          <w:sz w:val="24"/>
          <w:szCs w:val="24"/>
        </w:rPr>
        <w:t xml:space="preserve">legislation.gov.uk (2019) </w:t>
      </w:r>
      <w:r w:rsidRPr="004C29CB">
        <w:rPr>
          <w:rFonts w:ascii="Arial" w:hAnsi="Arial" w:cs="Arial"/>
          <w:i/>
          <w:iCs/>
          <w:sz w:val="24"/>
          <w:szCs w:val="24"/>
          <w:shd w:val="clear" w:color="auto" w:fill="FFFFFF"/>
        </w:rPr>
        <w:t>Children and Young Persons Act 1933</w:t>
      </w:r>
      <w:r w:rsidRPr="004C29CB">
        <w:rPr>
          <w:rFonts w:ascii="Arial" w:hAnsi="Arial" w:cs="Arial"/>
          <w:sz w:val="24"/>
          <w:szCs w:val="24"/>
          <w:shd w:val="clear" w:color="auto" w:fill="FFFFFF"/>
        </w:rPr>
        <w:t xml:space="preserve"> [Online] Available at:</w:t>
      </w:r>
      <w:r w:rsidRPr="004C29CB">
        <w:rPr>
          <w:rFonts w:ascii="Arial" w:hAnsi="Arial" w:cs="Arial"/>
          <w:sz w:val="24"/>
          <w:szCs w:val="24"/>
        </w:rPr>
        <w:t xml:space="preserve"> </w:t>
      </w:r>
      <w:hyperlink r:id="rId13" w:history="1">
        <w:r w:rsidRPr="004C29CB">
          <w:rPr>
            <w:rStyle w:val="Hyperlink"/>
            <w:rFonts w:ascii="Arial" w:hAnsi="Arial" w:cs="Arial"/>
            <w:color w:val="auto"/>
            <w:sz w:val="24"/>
            <w:szCs w:val="24"/>
            <w:u w:val="none"/>
            <w:shd w:val="clear" w:color="auto" w:fill="FFFFFF"/>
          </w:rPr>
          <w:t>http://www.legislation.gov.uk/ukpga/Geo5/23-24/12/section/50</w:t>
        </w:r>
      </w:hyperlink>
      <w:r w:rsidRPr="004C29CB">
        <w:rPr>
          <w:rFonts w:ascii="Arial" w:hAnsi="Arial" w:cs="Arial"/>
          <w:sz w:val="24"/>
          <w:szCs w:val="24"/>
          <w:shd w:val="clear" w:color="auto" w:fill="FFFFFF"/>
        </w:rPr>
        <w:t xml:space="preserve"> (Accessed 9th October 2019).</w:t>
      </w:r>
    </w:p>
    <w:p w14:paraId="65B31CC3" w14:textId="77777777" w:rsidR="004C29CB" w:rsidRPr="004C29CB" w:rsidRDefault="004C29CB" w:rsidP="004C29CB">
      <w:pPr>
        <w:jc w:val="both"/>
        <w:rPr>
          <w:rFonts w:ascii="Arial" w:hAnsi="Arial" w:cs="Arial"/>
          <w:sz w:val="24"/>
          <w:szCs w:val="24"/>
        </w:rPr>
      </w:pPr>
      <w:proofErr w:type="spellStart"/>
      <w:r w:rsidRPr="004C29CB">
        <w:rPr>
          <w:rFonts w:ascii="Arial" w:hAnsi="Arial" w:cs="Arial"/>
          <w:sz w:val="24"/>
          <w:szCs w:val="24"/>
        </w:rPr>
        <w:t>MaMahon</w:t>
      </w:r>
      <w:proofErr w:type="spellEnd"/>
      <w:r w:rsidRPr="004C29CB">
        <w:rPr>
          <w:rFonts w:ascii="Arial" w:hAnsi="Arial" w:cs="Arial"/>
          <w:sz w:val="24"/>
          <w:szCs w:val="24"/>
        </w:rPr>
        <w:t xml:space="preserve">. W, and Payne. L, (2001). </w:t>
      </w:r>
      <w:r w:rsidRPr="004C29CB">
        <w:rPr>
          <w:rFonts w:ascii="Arial" w:hAnsi="Arial" w:cs="Arial"/>
          <w:i/>
          <w:iCs/>
          <w:sz w:val="24"/>
          <w:szCs w:val="24"/>
        </w:rPr>
        <w:t>Lessons from the Bulger Case</w:t>
      </w:r>
      <w:r w:rsidRPr="004C29CB">
        <w:rPr>
          <w:rFonts w:ascii="Arial" w:hAnsi="Arial" w:cs="Arial"/>
          <w:sz w:val="24"/>
          <w:szCs w:val="24"/>
        </w:rPr>
        <w:t>, Wiley Online Library, 15 (4) pp 272-274.</w:t>
      </w:r>
    </w:p>
    <w:p w14:paraId="2363584E" w14:textId="77777777" w:rsidR="004C29CB" w:rsidRPr="000441B7" w:rsidRDefault="004C29CB" w:rsidP="004C29CB">
      <w:pPr>
        <w:spacing w:after="0" w:line="0" w:lineRule="auto"/>
        <w:jc w:val="both"/>
        <w:rPr>
          <w:rFonts w:ascii="Arial" w:eastAsia="Times New Roman" w:hAnsi="Arial" w:cs="Arial"/>
          <w:color w:val="000000"/>
          <w:spacing w:val="25"/>
          <w:sz w:val="24"/>
          <w:szCs w:val="24"/>
          <w:lang w:eastAsia="en-GB"/>
        </w:rPr>
      </w:pPr>
      <w:r w:rsidRPr="000441B7">
        <w:rPr>
          <w:rFonts w:ascii="Arial" w:eastAsia="Times New Roman" w:hAnsi="Arial" w:cs="Arial"/>
          <w:color w:val="000000"/>
          <w:sz w:val="24"/>
          <w:szCs w:val="24"/>
          <w:lang w:eastAsia="en-GB"/>
        </w:rPr>
        <w:t xml:space="preserve">Michael </w:t>
      </w:r>
      <w:proofErr w:type="spellStart"/>
      <w:r w:rsidRPr="000441B7">
        <w:rPr>
          <w:rFonts w:ascii="Arial" w:eastAsia="Times New Roman" w:hAnsi="Arial" w:cs="Arial"/>
          <w:color w:val="000000"/>
          <w:sz w:val="24"/>
          <w:szCs w:val="24"/>
          <w:lang w:eastAsia="en-GB"/>
        </w:rPr>
        <w:t>Tonry</w:t>
      </w:r>
      <w:proofErr w:type="spellEnd"/>
      <w:r w:rsidRPr="000441B7">
        <w:rPr>
          <w:rFonts w:ascii="Arial" w:eastAsia="Times New Roman" w:hAnsi="Arial" w:cs="Arial"/>
          <w:color w:val="000000"/>
          <w:sz w:val="24"/>
          <w:szCs w:val="24"/>
          <w:lang w:eastAsia="en-GB"/>
        </w:rPr>
        <w:t xml:space="preserve"> and Anthony </w:t>
      </w:r>
      <w:proofErr w:type="spellStart"/>
      <w:r w:rsidRPr="000441B7">
        <w:rPr>
          <w:rFonts w:ascii="Arial" w:eastAsia="Times New Roman" w:hAnsi="Arial" w:cs="Arial"/>
          <w:color w:val="000000"/>
          <w:sz w:val="24"/>
          <w:szCs w:val="24"/>
          <w:lang w:eastAsia="en-GB"/>
        </w:rPr>
        <w:t>Doob</w:t>
      </w:r>
      <w:proofErr w:type="spellEnd"/>
      <w:r w:rsidRPr="000441B7">
        <w:rPr>
          <w:rFonts w:ascii="Arial" w:eastAsia="Times New Roman" w:hAnsi="Arial" w:cs="Arial"/>
          <w:color w:val="000000"/>
          <w:sz w:val="24"/>
          <w:szCs w:val="24"/>
          <w:lang w:eastAsia="en-GB"/>
        </w:rPr>
        <w:t xml:space="preserve"> (eds), Youth Crime and Youth Justice: Comparative and Cross-National Perspectives</w:t>
      </w:r>
    </w:p>
    <w:p w14:paraId="353F7EA8" w14:textId="77777777" w:rsidR="004C29CB" w:rsidRPr="000441B7" w:rsidRDefault="004C29CB" w:rsidP="004C29CB">
      <w:pPr>
        <w:spacing w:after="0" w:line="0" w:lineRule="auto"/>
        <w:jc w:val="both"/>
        <w:rPr>
          <w:rFonts w:ascii="Arial" w:eastAsia="Times New Roman" w:hAnsi="Arial" w:cs="Arial"/>
          <w:color w:val="000000"/>
          <w:spacing w:val="25"/>
          <w:sz w:val="24"/>
          <w:szCs w:val="24"/>
          <w:lang w:eastAsia="en-GB"/>
        </w:rPr>
      </w:pPr>
      <w:r w:rsidRPr="000441B7">
        <w:rPr>
          <w:rFonts w:ascii="Arial" w:eastAsia="Times New Roman" w:hAnsi="Arial" w:cs="Arial"/>
          <w:color w:val="000000"/>
          <w:sz w:val="24"/>
          <w:szCs w:val="24"/>
          <w:lang w:eastAsia="en-GB"/>
        </w:rPr>
        <w:t xml:space="preserve">Michael </w:t>
      </w:r>
      <w:proofErr w:type="spellStart"/>
      <w:r w:rsidRPr="000441B7">
        <w:rPr>
          <w:rFonts w:ascii="Arial" w:eastAsia="Times New Roman" w:hAnsi="Arial" w:cs="Arial"/>
          <w:color w:val="000000"/>
          <w:sz w:val="24"/>
          <w:szCs w:val="24"/>
          <w:lang w:eastAsia="en-GB"/>
        </w:rPr>
        <w:t>Tonry</w:t>
      </w:r>
      <w:proofErr w:type="spellEnd"/>
      <w:r w:rsidRPr="000441B7">
        <w:rPr>
          <w:rFonts w:ascii="Arial" w:eastAsia="Times New Roman" w:hAnsi="Arial" w:cs="Arial"/>
          <w:color w:val="000000"/>
          <w:sz w:val="24"/>
          <w:szCs w:val="24"/>
          <w:lang w:eastAsia="en-GB"/>
        </w:rPr>
        <w:t xml:space="preserve"> and Anthony </w:t>
      </w:r>
      <w:proofErr w:type="spellStart"/>
      <w:r w:rsidRPr="000441B7">
        <w:rPr>
          <w:rFonts w:ascii="Arial" w:eastAsia="Times New Roman" w:hAnsi="Arial" w:cs="Arial"/>
          <w:color w:val="000000"/>
          <w:sz w:val="24"/>
          <w:szCs w:val="24"/>
          <w:lang w:eastAsia="en-GB"/>
        </w:rPr>
        <w:t>Doob</w:t>
      </w:r>
      <w:proofErr w:type="spellEnd"/>
      <w:r w:rsidRPr="000441B7">
        <w:rPr>
          <w:rFonts w:ascii="Arial" w:eastAsia="Times New Roman" w:hAnsi="Arial" w:cs="Arial"/>
          <w:color w:val="000000"/>
          <w:sz w:val="24"/>
          <w:szCs w:val="24"/>
          <w:lang w:eastAsia="en-GB"/>
        </w:rPr>
        <w:t xml:space="preserve"> (eds), Youth Crime and Youth Justice: Comparative and Cross-National Perspectives</w:t>
      </w:r>
    </w:p>
    <w:p w14:paraId="5FEAB019" w14:textId="77777777" w:rsidR="004C29CB" w:rsidRPr="000441B7" w:rsidRDefault="004C29CB" w:rsidP="004C29CB">
      <w:pPr>
        <w:spacing w:after="0" w:line="0" w:lineRule="auto"/>
        <w:jc w:val="both"/>
        <w:rPr>
          <w:rFonts w:ascii="Arial" w:eastAsia="Times New Roman" w:hAnsi="Arial" w:cs="Arial"/>
          <w:color w:val="000000"/>
          <w:spacing w:val="25"/>
          <w:sz w:val="24"/>
          <w:szCs w:val="24"/>
          <w:lang w:eastAsia="en-GB"/>
        </w:rPr>
      </w:pPr>
      <w:r w:rsidRPr="000441B7">
        <w:rPr>
          <w:rFonts w:ascii="Arial" w:eastAsia="Times New Roman" w:hAnsi="Arial" w:cs="Arial"/>
          <w:color w:val="000000"/>
          <w:sz w:val="24"/>
          <w:szCs w:val="24"/>
          <w:lang w:eastAsia="en-GB"/>
        </w:rPr>
        <w:t xml:space="preserve">Michael </w:t>
      </w:r>
      <w:proofErr w:type="spellStart"/>
      <w:r w:rsidRPr="000441B7">
        <w:rPr>
          <w:rFonts w:ascii="Arial" w:eastAsia="Times New Roman" w:hAnsi="Arial" w:cs="Arial"/>
          <w:color w:val="000000"/>
          <w:sz w:val="24"/>
          <w:szCs w:val="24"/>
          <w:lang w:eastAsia="en-GB"/>
        </w:rPr>
        <w:t>Tonry</w:t>
      </w:r>
      <w:proofErr w:type="spellEnd"/>
      <w:r w:rsidRPr="000441B7">
        <w:rPr>
          <w:rFonts w:ascii="Arial" w:eastAsia="Times New Roman" w:hAnsi="Arial" w:cs="Arial"/>
          <w:color w:val="000000"/>
          <w:sz w:val="24"/>
          <w:szCs w:val="24"/>
          <w:lang w:eastAsia="en-GB"/>
        </w:rPr>
        <w:t xml:space="preserve"> and Anthony </w:t>
      </w:r>
      <w:proofErr w:type="spellStart"/>
      <w:r w:rsidRPr="000441B7">
        <w:rPr>
          <w:rFonts w:ascii="Arial" w:eastAsia="Times New Roman" w:hAnsi="Arial" w:cs="Arial"/>
          <w:color w:val="000000"/>
          <w:sz w:val="24"/>
          <w:szCs w:val="24"/>
          <w:lang w:eastAsia="en-GB"/>
        </w:rPr>
        <w:t>Doob</w:t>
      </w:r>
      <w:proofErr w:type="spellEnd"/>
      <w:r w:rsidRPr="000441B7">
        <w:rPr>
          <w:rFonts w:ascii="Arial" w:eastAsia="Times New Roman" w:hAnsi="Arial" w:cs="Arial"/>
          <w:color w:val="000000"/>
          <w:sz w:val="24"/>
          <w:szCs w:val="24"/>
          <w:lang w:eastAsia="en-GB"/>
        </w:rPr>
        <w:t xml:space="preserve"> (eds), Youth Crime and Youth Justice: Comparative and Cross-National Perspectives</w:t>
      </w:r>
    </w:p>
    <w:p w14:paraId="49728A58" w14:textId="77777777" w:rsidR="004C29CB" w:rsidRPr="000441B7" w:rsidRDefault="004C29CB" w:rsidP="004C29CB">
      <w:pPr>
        <w:spacing w:after="0" w:line="0" w:lineRule="auto"/>
        <w:jc w:val="both"/>
        <w:rPr>
          <w:rFonts w:ascii="Arial" w:eastAsia="Times New Roman" w:hAnsi="Arial" w:cs="Arial"/>
          <w:color w:val="000000"/>
          <w:spacing w:val="25"/>
          <w:sz w:val="24"/>
          <w:szCs w:val="24"/>
          <w:lang w:eastAsia="en-GB"/>
        </w:rPr>
      </w:pPr>
      <w:r w:rsidRPr="000441B7">
        <w:rPr>
          <w:rFonts w:ascii="Arial" w:eastAsia="Times New Roman" w:hAnsi="Arial" w:cs="Arial"/>
          <w:color w:val="000000"/>
          <w:sz w:val="24"/>
          <w:szCs w:val="24"/>
          <w:lang w:eastAsia="en-GB"/>
        </w:rPr>
        <w:t xml:space="preserve">Michael </w:t>
      </w:r>
      <w:proofErr w:type="spellStart"/>
      <w:r w:rsidRPr="000441B7">
        <w:rPr>
          <w:rFonts w:ascii="Arial" w:eastAsia="Times New Roman" w:hAnsi="Arial" w:cs="Arial"/>
          <w:color w:val="000000"/>
          <w:sz w:val="24"/>
          <w:szCs w:val="24"/>
          <w:lang w:eastAsia="en-GB"/>
        </w:rPr>
        <w:t>Tonry</w:t>
      </w:r>
      <w:proofErr w:type="spellEnd"/>
      <w:r w:rsidRPr="000441B7">
        <w:rPr>
          <w:rFonts w:ascii="Arial" w:eastAsia="Times New Roman" w:hAnsi="Arial" w:cs="Arial"/>
          <w:color w:val="000000"/>
          <w:sz w:val="24"/>
          <w:szCs w:val="24"/>
          <w:lang w:eastAsia="en-GB"/>
        </w:rPr>
        <w:t xml:space="preserve"> and Anthony </w:t>
      </w:r>
      <w:proofErr w:type="spellStart"/>
      <w:r w:rsidRPr="000441B7">
        <w:rPr>
          <w:rFonts w:ascii="Arial" w:eastAsia="Times New Roman" w:hAnsi="Arial" w:cs="Arial"/>
          <w:color w:val="000000"/>
          <w:sz w:val="24"/>
          <w:szCs w:val="24"/>
          <w:lang w:eastAsia="en-GB"/>
        </w:rPr>
        <w:t>Doob</w:t>
      </w:r>
      <w:proofErr w:type="spellEnd"/>
      <w:r w:rsidRPr="000441B7">
        <w:rPr>
          <w:rFonts w:ascii="Arial" w:eastAsia="Times New Roman" w:hAnsi="Arial" w:cs="Arial"/>
          <w:color w:val="000000"/>
          <w:sz w:val="24"/>
          <w:szCs w:val="24"/>
          <w:lang w:eastAsia="en-GB"/>
        </w:rPr>
        <w:t xml:space="preserve"> (eds), Youth Crime and Youth Justice: Comparative and Cross-National Perspectives</w:t>
      </w:r>
    </w:p>
    <w:p w14:paraId="4A3234F3"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Ministry of Justice, (2016) </w:t>
      </w:r>
      <w:r w:rsidRPr="004C29CB">
        <w:rPr>
          <w:rFonts w:ascii="Arial" w:hAnsi="Arial" w:cs="Arial"/>
          <w:i/>
          <w:iCs/>
          <w:sz w:val="24"/>
          <w:szCs w:val="24"/>
        </w:rPr>
        <w:t>Review of the youth justice system in England and Wales</w:t>
      </w:r>
      <w:r w:rsidRPr="004C29CB">
        <w:rPr>
          <w:rFonts w:ascii="Arial" w:hAnsi="Arial" w:cs="Arial"/>
          <w:sz w:val="24"/>
          <w:szCs w:val="24"/>
        </w:rPr>
        <w:t xml:space="preserve"> [Online] Available at: </w:t>
      </w:r>
      <w:hyperlink r:id="rId14" w:history="1">
        <w:r w:rsidRPr="004C29CB">
          <w:rPr>
            <w:rStyle w:val="Hyperlink"/>
            <w:rFonts w:ascii="Arial" w:hAnsi="Arial" w:cs="Arial"/>
            <w:color w:val="auto"/>
            <w:sz w:val="24"/>
            <w:szCs w:val="24"/>
            <w:u w:val="none"/>
          </w:rPr>
          <w:t>https://assets.publishing.service.gov.uk/government/uploads/system/uploads/attachment_data/file/577105/youth-justice-review-final-report-print.pdf</w:t>
        </w:r>
      </w:hyperlink>
      <w:r w:rsidRPr="004C29CB">
        <w:rPr>
          <w:rFonts w:ascii="Arial" w:hAnsi="Arial" w:cs="Arial"/>
          <w:sz w:val="24"/>
          <w:szCs w:val="24"/>
        </w:rPr>
        <w:t xml:space="preserve"> (Accessed 12th October 2019).</w:t>
      </w:r>
    </w:p>
    <w:p w14:paraId="03262619"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Ministry of Justice, (2016) </w:t>
      </w:r>
      <w:r w:rsidRPr="004C29CB">
        <w:rPr>
          <w:rFonts w:ascii="Arial" w:hAnsi="Arial" w:cs="Arial"/>
          <w:i/>
          <w:iCs/>
          <w:sz w:val="24"/>
          <w:szCs w:val="24"/>
        </w:rPr>
        <w:t>Review of the youth justice system in England and Wales</w:t>
      </w:r>
      <w:r w:rsidRPr="004C29CB">
        <w:rPr>
          <w:rFonts w:ascii="Arial" w:hAnsi="Arial" w:cs="Arial"/>
          <w:sz w:val="24"/>
          <w:szCs w:val="24"/>
        </w:rPr>
        <w:t xml:space="preserve"> [Online] Available at: </w:t>
      </w:r>
      <w:hyperlink r:id="rId15" w:history="1">
        <w:r w:rsidRPr="004C29CB">
          <w:rPr>
            <w:rStyle w:val="Hyperlink"/>
            <w:rFonts w:ascii="Arial" w:hAnsi="Arial" w:cs="Arial"/>
            <w:color w:val="auto"/>
            <w:sz w:val="24"/>
            <w:szCs w:val="24"/>
            <w:u w:val="none"/>
          </w:rPr>
          <w:t>https://assets.publishing.service.gov.uk/government/uploads/system/uploads/attachment_data/file/577105/youth-justice-review-final-report-print.pdf</w:t>
        </w:r>
      </w:hyperlink>
      <w:r w:rsidRPr="004C29CB">
        <w:rPr>
          <w:rFonts w:ascii="Arial" w:hAnsi="Arial" w:cs="Arial"/>
          <w:sz w:val="24"/>
          <w:szCs w:val="24"/>
        </w:rPr>
        <w:t xml:space="preserve"> (Accessed 12th October 2019).</w:t>
      </w:r>
    </w:p>
    <w:p w14:paraId="69903C0F" w14:textId="77777777" w:rsidR="004C29CB" w:rsidRPr="004C29CB" w:rsidRDefault="004C29CB" w:rsidP="004C29CB">
      <w:pPr>
        <w:jc w:val="both"/>
        <w:rPr>
          <w:rFonts w:ascii="Arial" w:hAnsi="Arial" w:cs="Arial"/>
          <w:sz w:val="24"/>
          <w:szCs w:val="24"/>
          <w:shd w:val="clear" w:color="auto" w:fill="FFFFFF"/>
        </w:rPr>
      </w:pPr>
      <w:r w:rsidRPr="004C29CB">
        <w:rPr>
          <w:rFonts w:ascii="Arial" w:hAnsi="Arial" w:cs="Arial"/>
          <w:sz w:val="24"/>
          <w:szCs w:val="24"/>
        </w:rPr>
        <w:lastRenderedPageBreak/>
        <w:t xml:space="preserve">news.gov.scot (2019) </w:t>
      </w:r>
      <w:r w:rsidRPr="004C29CB">
        <w:rPr>
          <w:rFonts w:ascii="Arial" w:hAnsi="Arial" w:cs="Arial"/>
          <w:i/>
          <w:iCs/>
          <w:sz w:val="24"/>
          <w:szCs w:val="24"/>
          <w:shd w:val="clear" w:color="auto" w:fill="FFFFFF"/>
        </w:rPr>
        <w:t xml:space="preserve">Age of Criminal Responsibility Bill passed </w:t>
      </w:r>
      <w:r w:rsidRPr="004C29CB">
        <w:rPr>
          <w:rFonts w:ascii="Arial" w:hAnsi="Arial" w:cs="Arial"/>
          <w:sz w:val="24"/>
          <w:szCs w:val="24"/>
          <w:shd w:val="clear" w:color="auto" w:fill="FFFFFF"/>
        </w:rPr>
        <w:t xml:space="preserve">[Online] Available at: </w:t>
      </w:r>
      <w:hyperlink r:id="rId16" w:history="1">
        <w:r w:rsidRPr="004C29CB">
          <w:rPr>
            <w:rStyle w:val="Hyperlink"/>
            <w:rFonts w:ascii="Arial" w:hAnsi="Arial" w:cs="Arial"/>
            <w:color w:val="auto"/>
            <w:sz w:val="24"/>
            <w:szCs w:val="24"/>
            <w:u w:val="none"/>
            <w:shd w:val="clear" w:color="auto" w:fill="FFFFFF"/>
          </w:rPr>
          <w:t>https://news.gov.scot/news/age-of-criminal-responsibility-bill-passed</w:t>
        </w:r>
      </w:hyperlink>
      <w:r w:rsidRPr="004C29CB">
        <w:rPr>
          <w:rFonts w:ascii="Arial" w:hAnsi="Arial" w:cs="Arial"/>
          <w:sz w:val="24"/>
          <w:szCs w:val="24"/>
          <w:shd w:val="clear" w:color="auto" w:fill="FFFFFF"/>
        </w:rPr>
        <w:t xml:space="preserve"> (Accessed 9th October 2019).</w:t>
      </w:r>
    </w:p>
    <w:p w14:paraId="5D5D0762"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Paul, S. (2017) </w:t>
      </w:r>
      <w:r w:rsidRPr="004C29CB">
        <w:rPr>
          <w:rFonts w:ascii="Arial" w:hAnsi="Arial" w:cs="Arial"/>
          <w:i/>
          <w:iCs/>
          <w:sz w:val="24"/>
          <w:szCs w:val="24"/>
        </w:rPr>
        <w:t>Youth Justice: Time to change the age of criminal responsibility?</w:t>
      </w:r>
      <w:r w:rsidRPr="004C29CB">
        <w:rPr>
          <w:rFonts w:ascii="Arial" w:hAnsi="Arial" w:cs="Arial"/>
          <w:sz w:val="24"/>
          <w:szCs w:val="24"/>
        </w:rPr>
        <w:t xml:space="preserve"> [Online] Available at: </w:t>
      </w:r>
      <w:hyperlink r:id="rId17" w:history="1">
        <w:r w:rsidRPr="004C29CB">
          <w:rPr>
            <w:rStyle w:val="Hyperlink"/>
            <w:rFonts w:ascii="Arial" w:hAnsi="Arial" w:cs="Arial"/>
            <w:color w:val="auto"/>
            <w:sz w:val="24"/>
            <w:szCs w:val="24"/>
            <w:u w:val="none"/>
          </w:rPr>
          <w:t>https://www.kingsleynapley.co.uk/insights/blogs/criminal-law-blog/youth-justice-time-to-change-the-age-of-criminal-responsibility</w:t>
        </w:r>
      </w:hyperlink>
      <w:r w:rsidRPr="004C29CB">
        <w:rPr>
          <w:rFonts w:ascii="Arial" w:hAnsi="Arial" w:cs="Arial"/>
          <w:sz w:val="24"/>
          <w:szCs w:val="24"/>
        </w:rPr>
        <w:t xml:space="preserve"> (Accessed 10th October 2019).</w:t>
      </w:r>
    </w:p>
    <w:p w14:paraId="54F115B7"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Scottish Law Commission (2016). </w:t>
      </w:r>
      <w:r w:rsidRPr="004C29CB">
        <w:rPr>
          <w:rFonts w:ascii="Arial" w:hAnsi="Arial" w:cs="Arial"/>
          <w:i/>
          <w:iCs/>
          <w:sz w:val="24"/>
          <w:szCs w:val="24"/>
        </w:rPr>
        <w:t>Report on Age of Criminal Responsibility</w:t>
      </w:r>
      <w:r w:rsidRPr="004C29CB">
        <w:rPr>
          <w:rFonts w:ascii="Arial" w:hAnsi="Arial" w:cs="Arial"/>
          <w:sz w:val="24"/>
          <w:szCs w:val="24"/>
        </w:rPr>
        <w:t xml:space="preserve"> [Online] Available at: </w:t>
      </w:r>
      <w:hyperlink r:id="rId18" w:history="1">
        <w:r w:rsidRPr="004C29CB">
          <w:rPr>
            <w:rStyle w:val="Hyperlink"/>
            <w:rFonts w:ascii="Arial" w:hAnsi="Arial" w:cs="Arial"/>
            <w:color w:val="auto"/>
            <w:sz w:val="24"/>
            <w:szCs w:val="24"/>
            <w:u w:val="none"/>
          </w:rPr>
          <w:t>https://www.scotlawcom.gov.uk/files/5312/7989/6663/rep185.pdf</w:t>
        </w:r>
      </w:hyperlink>
      <w:r w:rsidRPr="004C29CB">
        <w:rPr>
          <w:rFonts w:ascii="Arial" w:hAnsi="Arial" w:cs="Arial"/>
          <w:sz w:val="24"/>
          <w:szCs w:val="24"/>
        </w:rPr>
        <w:t xml:space="preserve"> (Accessed 14th October 2019).</w:t>
      </w:r>
    </w:p>
    <w:p w14:paraId="3FDAE286" w14:textId="77777777" w:rsidR="004C29CB" w:rsidRPr="004C29CB" w:rsidRDefault="004C29CB" w:rsidP="004C29CB">
      <w:pPr>
        <w:pStyle w:val="Heading1"/>
        <w:spacing w:before="0"/>
        <w:jc w:val="both"/>
        <w:rPr>
          <w:rFonts w:ascii="&amp;quot" w:hAnsi="&amp;quot"/>
          <w:color w:val="auto"/>
        </w:rPr>
      </w:pPr>
      <w:bookmarkStart w:id="3" w:name="_Toc22223475"/>
      <w:r w:rsidRPr="004C29CB">
        <w:rPr>
          <w:rFonts w:ascii="Arial" w:hAnsi="Arial" w:cs="Arial"/>
          <w:color w:val="auto"/>
          <w:sz w:val="24"/>
          <w:szCs w:val="24"/>
          <w:shd w:val="clear" w:color="auto" w:fill="FFFFFF"/>
        </w:rPr>
        <w:t xml:space="preserve">The Guardian, (2019) </w:t>
      </w:r>
      <w:r w:rsidRPr="004C29CB">
        <w:rPr>
          <w:rFonts w:ascii="Arial" w:hAnsi="Arial" w:cs="Arial"/>
          <w:i/>
          <w:iCs/>
          <w:color w:val="auto"/>
          <w:sz w:val="24"/>
          <w:szCs w:val="24"/>
        </w:rPr>
        <w:t>Street cameras defended despite limited effect claim</w:t>
      </w:r>
      <w:r w:rsidRPr="004C29CB">
        <w:rPr>
          <w:rFonts w:ascii="Arial" w:hAnsi="Arial" w:cs="Arial"/>
          <w:color w:val="auto"/>
          <w:sz w:val="24"/>
          <w:szCs w:val="24"/>
        </w:rPr>
        <w:t xml:space="preserve"> [Online] Available at: </w:t>
      </w:r>
      <w:hyperlink r:id="rId19" w:history="1">
        <w:r w:rsidRPr="004C29CB">
          <w:rPr>
            <w:rStyle w:val="Hyperlink"/>
            <w:rFonts w:ascii="Arial" w:hAnsi="Arial" w:cs="Arial"/>
            <w:color w:val="auto"/>
            <w:sz w:val="24"/>
            <w:szCs w:val="24"/>
            <w:u w:val="none"/>
          </w:rPr>
          <w:t>https://www.theguardian.com/uk/2002/jun/29/ukcrime.immigrationpolicy</w:t>
        </w:r>
      </w:hyperlink>
      <w:r w:rsidRPr="004C29CB">
        <w:rPr>
          <w:rFonts w:ascii="Arial" w:hAnsi="Arial" w:cs="Arial"/>
          <w:color w:val="auto"/>
          <w:sz w:val="24"/>
          <w:szCs w:val="24"/>
        </w:rPr>
        <w:t xml:space="preserve"> (</w:t>
      </w:r>
      <w:proofErr w:type="spellStart"/>
      <w:r w:rsidRPr="004C29CB">
        <w:rPr>
          <w:rFonts w:ascii="Arial" w:hAnsi="Arial" w:cs="Arial"/>
          <w:color w:val="auto"/>
          <w:sz w:val="24"/>
          <w:szCs w:val="24"/>
        </w:rPr>
        <w:t>Acces</w:t>
      </w:r>
      <w:proofErr w:type="spellEnd"/>
      <w:r w:rsidRPr="004C29CB">
        <w:rPr>
          <w:rFonts w:ascii="Arial" w:hAnsi="Arial" w:cs="Arial"/>
          <w:color w:val="auto"/>
          <w:sz w:val="24"/>
          <w:szCs w:val="24"/>
        </w:rPr>
        <w:t xml:space="preserve"> 14th October 2019).</w:t>
      </w:r>
      <w:bookmarkEnd w:id="3"/>
    </w:p>
    <w:p w14:paraId="4B310EBD" w14:textId="77777777" w:rsidR="004C29CB" w:rsidRPr="004C29CB" w:rsidRDefault="004C29CB" w:rsidP="004C29CB">
      <w:pPr>
        <w:jc w:val="both"/>
        <w:rPr>
          <w:rFonts w:ascii="Arial" w:hAnsi="Arial" w:cs="Arial"/>
          <w:sz w:val="24"/>
          <w:szCs w:val="24"/>
        </w:rPr>
      </w:pPr>
      <w:proofErr w:type="spellStart"/>
      <w:r w:rsidRPr="004C29CB">
        <w:rPr>
          <w:rFonts w:ascii="Arial" w:hAnsi="Arial" w:cs="Arial"/>
          <w:sz w:val="24"/>
          <w:szCs w:val="24"/>
        </w:rPr>
        <w:t>Tonry</w:t>
      </w:r>
      <w:proofErr w:type="spellEnd"/>
      <w:r w:rsidRPr="004C29CB">
        <w:rPr>
          <w:rFonts w:ascii="Arial" w:hAnsi="Arial" w:cs="Arial"/>
          <w:sz w:val="24"/>
          <w:szCs w:val="24"/>
        </w:rPr>
        <w:t xml:space="preserve">, M. and </w:t>
      </w:r>
      <w:proofErr w:type="spellStart"/>
      <w:r w:rsidRPr="004C29CB">
        <w:rPr>
          <w:rFonts w:ascii="Arial" w:hAnsi="Arial" w:cs="Arial"/>
          <w:sz w:val="24"/>
          <w:szCs w:val="24"/>
        </w:rPr>
        <w:t>Doob</w:t>
      </w:r>
      <w:proofErr w:type="spellEnd"/>
      <w:r w:rsidRPr="004C29CB">
        <w:rPr>
          <w:rFonts w:ascii="Arial" w:hAnsi="Arial" w:cs="Arial"/>
          <w:sz w:val="24"/>
          <w:szCs w:val="24"/>
        </w:rPr>
        <w:t xml:space="preserve">, A. (2004), </w:t>
      </w:r>
      <w:r w:rsidRPr="004C29CB">
        <w:rPr>
          <w:rFonts w:ascii="Arial" w:hAnsi="Arial" w:cs="Arial"/>
          <w:i/>
          <w:iCs/>
          <w:sz w:val="24"/>
          <w:szCs w:val="24"/>
        </w:rPr>
        <w:t>Youth Crime and Youth Justice: Comparative and Cross-National Perspectives</w:t>
      </w:r>
      <w:r w:rsidRPr="004C29CB">
        <w:rPr>
          <w:rFonts w:ascii="Arial" w:hAnsi="Arial" w:cs="Arial"/>
          <w:sz w:val="24"/>
          <w:szCs w:val="24"/>
        </w:rPr>
        <w:t>:</w:t>
      </w:r>
      <w:r w:rsidRPr="004C29CB">
        <w:rPr>
          <w:rFonts w:ascii="Arial" w:hAnsi="Arial" w:cs="Arial"/>
          <w:i/>
          <w:iCs/>
          <w:sz w:val="24"/>
          <w:szCs w:val="24"/>
        </w:rPr>
        <w:t xml:space="preserve"> </w:t>
      </w:r>
      <w:r w:rsidRPr="004C29CB">
        <w:rPr>
          <w:rFonts w:ascii="Arial" w:hAnsi="Arial" w:cs="Arial"/>
          <w:sz w:val="24"/>
          <w:szCs w:val="24"/>
        </w:rPr>
        <w:t>University of Chicago Press 2004.</w:t>
      </w:r>
    </w:p>
    <w:p w14:paraId="340F3D41"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unicef.org.uk (2010) </w:t>
      </w:r>
      <w:r w:rsidRPr="004C29CB">
        <w:rPr>
          <w:rFonts w:ascii="Arial" w:hAnsi="Arial" w:cs="Arial"/>
          <w:i/>
          <w:iCs/>
          <w:sz w:val="24"/>
          <w:szCs w:val="24"/>
        </w:rPr>
        <w:t>A summary of the UN convention on the rights of the child</w:t>
      </w:r>
      <w:r w:rsidRPr="004C29CB">
        <w:rPr>
          <w:rFonts w:ascii="Arial" w:hAnsi="Arial" w:cs="Arial"/>
          <w:sz w:val="24"/>
          <w:szCs w:val="24"/>
        </w:rPr>
        <w:t xml:space="preserve"> [Online] Available at: </w:t>
      </w:r>
      <w:hyperlink r:id="rId20" w:history="1">
        <w:r w:rsidRPr="004C29CB">
          <w:rPr>
            <w:rStyle w:val="Hyperlink"/>
            <w:rFonts w:ascii="Arial" w:hAnsi="Arial" w:cs="Arial"/>
            <w:color w:val="auto"/>
            <w:sz w:val="24"/>
            <w:szCs w:val="24"/>
            <w:u w:val="none"/>
          </w:rPr>
          <w:t>https://www.unicef.org.uk/wp-content/uploads/2010/05/UNCRC_summary-1.pdf</w:t>
        </w:r>
      </w:hyperlink>
      <w:r w:rsidRPr="004C29CB">
        <w:rPr>
          <w:rFonts w:ascii="Arial" w:hAnsi="Arial" w:cs="Arial"/>
          <w:sz w:val="24"/>
          <w:szCs w:val="24"/>
        </w:rPr>
        <w:t xml:space="preserve"> (Accessed 10th October 2019).</w:t>
      </w:r>
    </w:p>
    <w:p w14:paraId="47ADC339" w14:textId="77777777" w:rsidR="004C29CB" w:rsidRPr="004C29CB" w:rsidRDefault="004C29CB" w:rsidP="004C29CB">
      <w:pPr>
        <w:jc w:val="both"/>
        <w:rPr>
          <w:rFonts w:ascii="Arial" w:hAnsi="Arial" w:cs="Arial"/>
          <w:sz w:val="24"/>
          <w:szCs w:val="24"/>
        </w:rPr>
      </w:pPr>
      <w:r w:rsidRPr="004C29CB">
        <w:rPr>
          <w:rFonts w:ascii="Arial" w:hAnsi="Arial" w:cs="Arial"/>
          <w:sz w:val="24"/>
          <w:szCs w:val="24"/>
        </w:rPr>
        <w:t xml:space="preserve">Victim Support Scotland (2019) </w:t>
      </w:r>
      <w:r w:rsidRPr="004C29CB">
        <w:rPr>
          <w:rFonts w:ascii="Arial" w:hAnsi="Arial" w:cs="Arial"/>
          <w:i/>
          <w:iCs/>
          <w:sz w:val="24"/>
          <w:szCs w:val="24"/>
        </w:rPr>
        <w:t>News: Minimum Age of Criminal Responsibility Report Published</w:t>
      </w:r>
      <w:r w:rsidRPr="004C29CB">
        <w:rPr>
          <w:rFonts w:ascii="Arial" w:hAnsi="Arial" w:cs="Arial"/>
          <w:sz w:val="24"/>
          <w:szCs w:val="24"/>
        </w:rPr>
        <w:t xml:space="preserve"> [Online] Available at: </w:t>
      </w:r>
      <w:hyperlink r:id="rId21" w:history="1">
        <w:r w:rsidRPr="004C29CB">
          <w:rPr>
            <w:rStyle w:val="Hyperlink"/>
            <w:rFonts w:ascii="Arial" w:hAnsi="Arial" w:cs="Arial"/>
            <w:color w:val="auto"/>
            <w:sz w:val="24"/>
            <w:szCs w:val="24"/>
            <w:u w:val="none"/>
          </w:rPr>
          <w:t>https://www.victimsupportsco.org.uk/about-us/news/report-minimum-age-criminal-responsibility-published/</w:t>
        </w:r>
      </w:hyperlink>
      <w:r w:rsidRPr="004C29CB">
        <w:rPr>
          <w:rFonts w:ascii="Arial" w:hAnsi="Arial" w:cs="Arial"/>
          <w:sz w:val="24"/>
          <w:szCs w:val="24"/>
        </w:rPr>
        <w:t xml:space="preserve"> (Accessed 14</w:t>
      </w:r>
      <w:r w:rsidRPr="004C29CB">
        <w:rPr>
          <w:rFonts w:ascii="Arial" w:hAnsi="Arial" w:cs="Arial"/>
          <w:sz w:val="24"/>
          <w:szCs w:val="24"/>
          <w:vertAlign w:val="superscript"/>
        </w:rPr>
        <w:t>th</w:t>
      </w:r>
      <w:r w:rsidRPr="004C29CB">
        <w:rPr>
          <w:rFonts w:ascii="Arial" w:hAnsi="Arial" w:cs="Arial"/>
          <w:sz w:val="24"/>
          <w:szCs w:val="24"/>
        </w:rPr>
        <w:t xml:space="preserve"> October 2019).</w:t>
      </w:r>
    </w:p>
    <w:p w14:paraId="0009925D" w14:textId="77777777" w:rsidR="004C29CB" w:rsidRDefault="004C29CB">
      <w:pPr>
        <w:rPr>
          <w:sz w:val="24"/>
          <w:szCs w:val="24"/>
        </w:rPr>
      </w:pPr>
    </w:p>
    <w:p w14:paraId="57FB3712" w14:textId="5B7C8B59" w:rsidR="00A46D12" w:rsidRDefault="00A46D12">
      <w:pPr>
        <w:rPr>
          <w:sz w:val="24"/>
          <w:szCs w:val="24"/>
        </w:rPr>
      </w:pPr>
    </w:p>
    <w:p w14:paraId="53FABF0E" w14:textId="2FC578F8" w:rsidR="00A46D12" w:rsidRPr="002F450D" w:rsidRDefault="00A46D12">
      <w:pPr>
        <w:rPr>
          <w:sz w:val="24"/>
          <w:szCs w:val="24"/>
        </w:rPr>
      </w:pPr>
    </w:p>
    <w:sectPr w:rsidR="00A46D12" w:rsidRPr="002F450D" w:rsidSect="006D72C5">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78DC66" w14:textId="77777777" w:rsidR="005E206D" w:rsidRDefault="005E206D" w:rsidP="00281656">
      <w:pPr>
        <w:spacing w:after="0" w:line="240" w:lineRule="auto"/>
      </w:pPr>
      <w:r>
        <w:separator/>
      </w:r>
    </w:p>
  </w:endnote>
  <w:endnote w:type="continuationSeparator" w:id="0">
    <w:p w14:paraId="52D5A399" w14:textId="77777777" w:rsidR="005E206D" w:rsidRDefault="005E206D" w:rsidP="00281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2531320"/>
      <w:docPartObj>
        <w:docPartGallery w:val="Page Numbers (Bottom of Page)"/>
        <w:docPartUnique/>
      </w:docPartObj>
    </w:sdtPr>
    <w:sdtEndPr>
      <w:rPr>
        <w:noProof/>
      </w:rPr>
    </w:sdtEndPr>
    <w:sdtContent>
      <w:p w14:paraId="47790C95" w14:textId="1E1251D7" w:rsidR="00256000" w:rsidRDefault="00256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EE3A7" w14:textId="77777777" w:rsidR="00256000" w:rsidRDefault="00256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FBD17" w14:textId="77777777" w:rsidR="005E206D" w:rsidRDefault="005E206D" w:rsidP="00281656">
      <w:pPr>
        <w:spacing w:after="0" w:line="240" w:lineRule="auto"/>
      </w:pPr>
      <w:r>
        <w:separator/>
      </w:r>
    </w:p>
  </w:footnote>
  <w:footnote w:type="continuationSeparator" w:id="0">
    <w:p w14:paraId="7C6AF6A7" w14:textId="77777777" w:rsidR="005E206D" w:rsidRDefault="005E206D" w:rsidP="002816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22C4A" w14:textId="26AF5E8F" w:rsidR="00256000" w:rsidRDefault="00256000">
    <w:pPr>
      <w:pStyle w:val="Header"/>
    </w:pPr>
    <w:r>
      <w:t xml:space="preserve">Hannah Albrighton </w:t>
    </w:r>
  </w:p>
  <w:p w14:paraId="5841310C" w14:textId="77777777" w:rsidR="00256000" w:rsidRDefault="00256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50D"/>
    <w:rsid w:val="000332EA"/>
    <w:rsid w:val="00040BE6"/>
    <w:rsid w:val="000C213C"/>
    <w:rsid w:val="000E50AC"/>
    <w:rsid w:val="00191F80"/>
    <w:rsid w:val="001E3100"/>
    <w:rsid w:val="00256000"/>
    <w:rsid w:val="00270F36"/>
    <w:rsid w:val="00281656"/>
    <w:rsid w:val="002F450D"/>
    <w:rsid w:val="003052C3"/>
    <w:rsid w:val="00396E8E"/>
    <w:rsid w:val="003D26E7"/>
    <w:rsid w:val="004C29CB"/>
    <w:rsid w:val="004E034F"/>
    <w:rsid w:val="00555AEE"/>
    <w:rsid w:val="00567FA0"/>
    <w:rsid w:val="005C0088"/>
    <w:rsid w:val="005E206D"/>
    <w:rsid w:val="006C5F76"/>
    <w:rsid w:val="006D72C5"/>
    <w:rsid w:val="007B2C80"/>
    <w:rsid w:val="007D2EA0"/>
    <w:rsid w:val="00806F3C"/>
    <w:rsid w:val="008432B8"/>
    <w:rsid w:val="00874A90"/>
    <w:rsid w:val="008763CE"/>
    <w:rsid w:val="009678CD"/>
    <w:rsid w:val="00A46D12"/>
    <w:rsid w:val="00A64D1A"/>
    <w:rsid w:val="00A86F01"/>
    <w:rsid w:val="00B44426"/>
    <w:rsid w:val="00BC1BD9"/>
    <w:rsid w:val="00BE1264"/>
    <w:rsid w:val="00D077E0"/>
    <w:rsid w:val="00D24FB3"/>
    <w:rsid w:val="00DE256D"/>
    <w:rsid w:val="00E60856"/>
    <w:rsid w:val="00F20600"/>
    <w:rsid w:val="00F47594"/>
    <w:rsid w:val="00F71120"/>
    <w:rsid w:val="00FE2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8A12"/>
  <w15:chartTrackingRefBased/>
  <w15:docId w15:val="{84DCB5BD-767C-4E41-958E-7DAFEE05E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4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16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656"/>
  </w:style>
  <w:style w:type="paragraph" w:styleId="Footer">
    <w:name w:val="footer"/>
    <w:basedOn w:val="Normal"/>
    <w:link w:val="FooterChar"/>
    <w:uiPriority w:val="99"/>
    <w:unhideWhenUsed/>
    <w:rsid w:val="002816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656"/>
  </w:style>
  <w:style w:type="paragraph" w:styleId="NoSpacing">
    <w:name w:val="No Spacing"/>
    <w:link w:val="NoSpacingChar"/>
    <w:uiPriority w:val="1"/>
    <w:qFormat/>
    <w:rsid w:val="006D72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72C5"/>
    <w:rPr>
      <w:rFonts w:eastAsiaTheme="minorEastAsia"/>
      <w:lang w:val="en-US"/>
    </w:rPr>
  </w:style>
  <w:style w:type="character" w:customStyle="1" w:styleId="Heading1Char">
    <w:name w:val="Heading 1 Char"/>
    <w:basedOn w:val="DefaultParagraphFont"/>
    <w:link w:val="Heading1"/>
    <w:uiPriority w:val="9"/>
    <w:rsid w:val="00B444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4426"/>
    <w:pPr>
      <w:outlineLvl w:val="9"/>
    </w:pPr>
    <w:rPr>
      <w:lang w:val="en-US"/>
    </w:rPr>
  </w:style>
  <w:style w:type="paragraph" w:styleId="NormalWeb">
    <w:name w:val="Normal (Web)"/>
    <w:basedOn w:val="Normal"/>
    <w:uiPriority w:val="99"/>
    <w:unhideWhenUsed/>
    <w:rsid w:val="00A64D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29CB"/>
    <w:rPr>
      <w:color w:val="0563C1" w:themeColor="hyperlink"/>
      <w:u w:val="single"/>
    </w:rPr>
  </w:style>
  <w:style w:type="paragraph" w:styleId="TOC1">
    <w:name w:val="toc 1"/>
    <w:basedOn w:val="Normal"/>
    <w:next w:val="Normal"/>
    <w:autoRedefine/>
    <w:uiPriority w:val="39"/>
    <w:unhideWhenUsed/>
    <w:rsid w:val="004C29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085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legislation.gov.uk/ukpga/Geo5/23-24/12/section/50" TargetMode="External"/><Relationship Id="rId18" Type="http://schemas.openxmlformats.org/officeDocument/2006/relationships/hyperlink" Target="https://www.scotlawcom.gov.uk/files/5312/7989/6663/rep185.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ictimsupportsco.org.uk/about-us/news/report-minimum-age-criminal-responsibility-published/" TargetMode="External"/><Relationship Id="rId7" Type="http://schemas.openxmlformats.org/officeDocument/2006/relationships/image" Target="media/image1.png"/><Relationship Id="rId12" Type="http://schemas.openxmlformats.org/officeDocument/2006/relationships/hyperlink" Target="https://howardleague.org/wp-content/uploads/2016/05/child-arrests.pdf" TargetMode="External"/><Relationship Id="rId17" Type="http://schemas.openxmlformats.org/officeDocument/2006/relationships/hyperlink" Target="https://www.kingsleynapley.co.uk/insights/blogs/criminal-law-blog/youth-justice-time-to-change-the-age-of-criminal-responsibility"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news.gov.scot/news/age-of-criminal-responsibility-bill-passed" TargetMode="External"/><Relationship Id="rId20" Type="http://schemas.openxmlformats.org/officeDocument/2006/relationships/hyperlink" Target="https://www.unicef.org.uk/wp-content/uploads/2010/05/UNCRC_summary-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rimeandinvestigation.co.uk/crime-files/james-bulger/tria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577105/youth-justice-review-final-report-print.pdf" TargetMode="External"/><Relationship Id="rId23" Type="http://schemas.openxmlformats.org/officeDocument/2006/relationships/footer" Target="footer1.xml"/><Relationship Id="rId10" Type="http://schemas.openxmlformats.org/officeDocument/2006/relationships/hyperlink" Target="https://onlinelibrary.wiley.com/journal/14682311" TargetMode="External"/><Relationship Id="rId19" Type="http://schemas.openxmlformats.org/officeDocument/2006/relationships/hyperlink" Target="https://www.theguardian.com/uk/2002/jun/29/ukcrime.immigrationpolicy" TargetMode="External"/><Relationship Id="rId4" Type="http://schemas.openxmlformats.org/officeDocument/2006/relationships/webSettings" Target="webSettings.xml"/><Relationship Id="rId9" Type="http://schemas.openxmlformats.org/officeDocument/2006/relationships/hyperlink" Target="https://www.askthe.police.uk/content/Q346.htm" TargetMode="External"/><Relationship Id="rId14" Type="http://schemas.openxmlformats.org/officeDocument/2006/relationships/hyperlink" Target="https://assets.publishing.service.gov.uk/government/uploads/system/uploads/attachment_data/file/577105/youth-justice-review-final-report-print.pdf"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227677A43D34CCF9FF4EB2348A9F5C5"/>
        <w:category>
          <w:name w:val="General"/>
          <w:gallery w:val="placeholder"/>
        </w:category>
        <w:types>
          <w:type w:val="bbPlcHdr"/>
        </w:types>
        <w:behaviors>
          <w:behavior w:val="content"/>
        </w:behaviors>
        <w:guid w:val="{C6D7C0DA-9C73-461D-AFE8-CB21726B5C29}"/>
      </w:docPartPr>
      <w:docPartBody>
        <w:p w:rsidR="00000000" w:rsidRDefault="009C3B66" w:rsidP="009C3B66">
          <w:pPr>
            <w:pStyle w:val="7227677A43D34CCF9FF4EB2348A9F5C5"/>
          </w:pPr>
          <w:r>
            <w:rPr>
              <w:rFonts w:asciiTheme="majorHAnsi" w:eastAsiaTheme="majorEastAsia" w:hAnsiTheme="majorHAnsi" w:cstheme="majorBidi"/>
              <w:caps/>
              <w:color w:val="4472C4" w:themeColor="accent1"/>
              <w:sz w:val="80"/>
              <w:szCs w:val="80"/>
            </w:rPr>
            <w:t>[Document title]</w:t>
          </w:r>
        </w:p>
      </w:docPartBody>
    </w:docPart>
    <w:docPart>
      <w:docPartPr>
        <w:name w:val="2384F044BF6D40608FB369A5A741BF61"/>
        <w:category>
          <w:name w:val="General"/>
          <w:gallery w:val="placeholder"/>
        </w:category>
        <w:types>
          <w:type w:val="bbPlcHdr"/>
        </w:types>
        <w:behaviors>
          <w:behavior w:val="content"/>
        </w:behaviors>
        <w:guid w:val="{64BBFB64-F276-4070-908B-AB45F2FFBC66}"/>
      </w:docPartPr>
      <w:docPartBody>
        <w:p w:rsidR="00000000" w:rsidRDefault="009C3B66" w:rsidP="009C3B66">
          <w:pPr>
            <w:pStyle w:val="2384F044BF6D40608FB369A5A741BF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B66"/>
    <w:rsid w:val="009C3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BC0D846132490388E4229198046286">
    <w:name w:val="F6BC0D846132490388E4229198046286"/>
    <w:rsid w:val="009C3B66"/>
  </w:style>
  <w:style w:type="paragraph" w:customStyle="1" w:styleId="7227677A43D34CCF9FF4EB2348A9F5C5">
    <w:name w:val="7227677A43D34CCF9FF4EB2348A9F5C5"/>
    <w:rsid w:val="009C3B66"/>
  </w:style>
  <w:style w:type="paragraph" w:customStyle="1" w:styleId="2384F044BF6D40608FB369A5A741BF61">
    <w:name w:val="2384F044BF6D40608FB369A5A741BF61"/>
    <w:rsid w:val="009C3B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FD266-04EA-42B7-9CB0-7E185A46B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1608</Words>
  <Characters>9168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evaluate the legislation regarding the age of criminal liability and discuss whether 10 years is the correct AGE.</vt:lpstr>
    </vt:vector>
  </TitlesOfParts>
  <Company/>
  <LinksUpToDate>false</LinksUpToDate>
  <CharactersWithSpaces>10755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legislation regarding the age of criminal liability and discuss whether 10 years is the correct AGE.</dc:title>
  <dc:subject>By Hannah Albrighton.</dc:subject>
  <dc:creator>Hannah Albrighton (1904509)</dc:creator>
  <cp:keywords/>
  <dc:description/>
  <cp:lastModifiedBy>Hannah Albrighton (1904509)</cp:lastModifiedBy>
  <cp:revision>2</cp:revision>
  <dcterms:created xsi:type="dcterms:W3CDTF">2019-10-17T16:14:00Z</dcterms:created>
  <dcterms:modified xsi:type="dcterms:W3CDTF">2019-10-17T16:14:00Z</dcterms:modified>
</cp:coreProperties>
</file>