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DB93B" w14:textId="77777777" w:rsidR="0044110D" w:rsidRDefault="0044110D" w:rsidP="0044110D">
      <w:pPr>
        <w:spacing w:line="259" w:lineRule="auto"/>
        <w:jc w:val="center"/>
      </w:pPr>
      <w:r>
        <w:rPr>
          <w:noProof/>
        </w:rPr>
        <w:drawing>
          <wp:inline distT="0" distB="0" distL="0" distR="0" wp14:anchorId="3D2DA172" wp14:editId="1A975BB2">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16BCE9E" w14:textId="77777777" w:rsidR="0044110D" w:rsidRDefault="0044110D" w:rsidP="0044110D">
      <w:pPr>
        <w:spacing w:line="259" w:lineRule="auto"/>
        <w:jc w:val="center"/>
      </w:pPr>
    </w:p>
    <w:p w14:paraId="19E081AE" w14:textId="77777777" w:rsidR="0044110D" w:rsidRDefault="0044110D" w:rsidP="0044110D">
      <w:pPr>
        <w:spacing w:line="259" w:lineRule="auto"/>
        <w:jc w:val="center"/>
      </w:pPr>
    </w:p>
    <w:p w14:paraId="7F8E5B32" w14:textId="77777777" w:rsidR="0044110D" w:rsidRDefault="0044110D" w:rsidP="0044110D">
      <w:pPr>
        <w:spacing w:line="259" w:lineRule="auto"/>
        <w:jc w:val="center"/>
      </w:pPr>
    </w:p>
    <w:p w14:paraId="203DEC05" w14:textId="77777777" w:rsidR="0044110D" w:rsidRDefault="0044110D" w:rsidP="0044110D">
      <w:pPr>
        <w:spacing w:line="259" w:lineRule="auto"/>
        <w:jc w:val="center"/>
      </w:pPr>
    </w:p>
    <w:p w14:paraId="0B28D156" w14:textId="24CB010B" w:rsidR="0044110D" w:rsidRPr="0044110D" w:rsidRDefault="0044110D" w:rsidP="0044110D">
      <w:pPr>
        <w:spacing w:line="259" w:lineRule="auto"/>
        <w:jc w:val="center"/>
        <w:rPr>
          <w:rFonts w:ascii="Arial" w:hAnsi="Arial" w:cs="Arial"/>
          <w:b/>
          <w:sz w:val="48"/>
          <w:szCs w:val="48"/>
        </w:rPr>
      </w:pPr>
      <w:r w:rsidRPr="0044110D">
        <w:rPr>
          <w:rFonts w:ascii="Arial" w:hAnsi="Arial" w:cs="Arial"/>
          <w:b/>
          <w:sz w:val="48"/>
          <w:szCs w:val="48"/>
        </w:rPr>
        <w:t>Public Services Portfolio</w:t>
      </w:r>
    </w:p>
    <w:p w14:paraId="17BEFE9E" w14:textId="153AC1DA" w:rsidR="0044110D" w:rsidRPr="0044110D" w:rsidRDefault="0044110D" w:rsidP="0044110D">
      <w:pPr>
        <w:spacing w:line="259" w:lineRule="auto"/>
        <w:jc w:val="center"/>
        <w:rPr>
          <w:rFonts w:ascii="Arial" w:hAnsi="Arial" w:cs="Arial"/>
          <w:b/>
          <w:sz w:val="48"/>
          <w:szCs w:val="48"/>
        </w:rPr>
      </w:pPr>
      <w:r w:rsidRPr="0044110D">
        <w:rPr>
          <w:rFonts w:ascii="Arial" w:hAnsi="Arial" w:cs="Arial"/>
          <w:b/>
          <w:sz w:val="48"/>
          <w:szCs w:val="48"/>
        </w:rPr>
        <w:t>Criminal law</w:t>
      </w:r>
    </w:p>
    <w:p w14:paraId="2DB18BBA" w14:textId="0F4A2A1A" w:rsidR="0044110D" w:rsidRDefault="0044110D" w:rsidP="0044110D">
      <w:pPr>
        <w:spacing w:line="259" w:lineRule="auto"/>
        <w:jc w:val="center"/>
        <w:rPr>
          <w:rFonts w:ascii="Arial" w:hAnsi="Arial" w:cs="Arial"/>
          <w:b/>
          <w:sz w:val="48"/>
          <w:szCs w:val="48"/>
        </w:rPr>
      </w:pPr>
      <w:r w:rsidRPr="0044110D">
        <w:rPr>
          <w:rFonts w:ascii="Arial" w:hAnsi="Arial" w:cs="Arial"/>
          <w:b/>
          <w:sz w:val="48"/>
          <w:szCs w:val="48"/>
        </w:rPr>
        <w:t>BMPL4009</w:t>
      </w:r>
    </w:p>
    <w:p w14:paraId="0C3FE6E4" w14:textId="77777777" w:rsidR="0044110D" w:rsidRDefault="0044110D" w:rsidP="0044110D">
      <w:pPr>
        <w:spacing w:line="259" w:lineRule="auto"/>
        <w:jc w:val="center"/>
        <w:rPr>
          <w:rFonts w:ascii="Arial" w:hAnsi="Arial" w:cs="Arial"/>
          <w:b/>
          <w:sz w:val="48"/>
          <w:szCs w:val="48"/>
        </w:rPr>
      </w:pPr>
    </w:p>
    <w:p w14:paraId="58235170" w14:textId="77777777" w:rsidR="0044110D" w:rsidRDefault="0044110D" w:rsidP="0044110D">
      <w:pPr>
        <w:spacing w:line="259" w:lineRule="auto"/>
        <w:jc w:val="center"/>
        <w:rPr>
          <w:rFonts w:ascii="Arial" w:hAnsi="Arial" w:cs="Arial"/>
          <w:b/>
          <w:sz w:val="48"/>
          <w:szCs w:val="48"/>
        </w:rPr>
      </w:pPr>
    </w:p>
    <w:p w14:paraId="0F65A018" w14:textId="77777777" w:rsidR="0044110D" w:rsidRDefault="0044110D" w:rsidP="0044110D">
      <w:pPr>
        <w:spacing w:line="259" w:lineRule="auto"/>
        <w:jc w:val="center"/>
        <w:rPr>
          <w:rFonts w:ascii="Arial" w:hAnsi="Arial" w:cs="Arial"/>
          <w:b/>
          <w:sz w:val="48"/>
          <w:szCs w:val="48"/>
        </w:rPr>
      </w:pPr>
    </w:p>
    <w:p w14:paraId="5AD35915" w14:textId="77777777" w:rsidR="0044110D" w:rsidRDefault="0044110D" w:rsidP="0044110D">
      <w:pPr>
        <w:spacing w:line="259" w:lineRule="auto"/>
        <w:jc w:val="center"/>
        <w:rPr>
          <w:rFonts w:ascii="Arial" w:hAnsi="Arial" w:cs="Arial"/>
          <w:b/>
          <w:sz w:val="48"/>
          <w:szCs w:val="48"/>
        </w:rPr>
      </w:pPr>
    </w:p>
    <w:p w14:paraId="11CCD5FB" w14:textId="77777777" w:rsidR="0044110D" w:rsidRDefault="0044110D" w:rsidP="0044110D">
      <w:pPr>
        <w:spacing w:line="259" w:lineRule="auto"/>
        <w:jc w:val="center"/>
        <w:rPr>
          <w:rFonts w:ascii="Arial" w:hAnsi="Arial" w:cs="Arial"/>
          <w:b/>
          <w:sz w:val="48"/>
          <w:szCs w:val="48"/>
        </w:rPr>
      </w:pPr>
    </w:p>
    <w:p w14:paraId="659DBA20" w14:textId="77777777" w:rsidR="0044110D" w:rsidRDefault="0044110D" w:rsidP="0044110D">
      <w:pPr>
        <w:spacing w:line="259" w:lineRule="auto"/>
        <w:jc w:val="center"/>
        <w:rPr>
          <w:rFonts w:ascii="Arial" w:hAnsi="Arial" w:cs="Arial"/>
          <w:b/>
          <w:sz w:val="48"/>
          <w:szCs w:val="48"/>
        </w:rPr>
      </w:pPr>
    </w:p>
    <w:p w14:paraId="143E9C9A" w14:textId="2BA081CE" w:rsidR="0044110D" w:rsidRPr="0044110D" w:rsidRDefault="0044110D" w:rsidP="0044110D">
      <w:pPr>
        <w:spacing w:line="259" w:lineRule="auto"/>
        <w:jc w:val="center"/>
        <w:rPr>
          <w:rFonts w:ascii="Arial" w:hAnsi="Arial" w:cs="Arial"/>
          <w:b/>
          <w:sz w:val="28"/>
          <w:szCs w:val="28"/>
        </w:rPr>
      </w:pPr>
      <w:r w:rsidRPr="0044110D">
        <w:rPr>
          <w:rFonts w:ascii="Arial" w:hAnsi="Arial" w:cs="Arial"/>
          <w:b/>
          <w:sz w:val="28"/>
          <w:szCs w:val="28"/>
        </w:rPr>
        <w:t>Student Name:</w:t>
      </w:r>
      <w:r w:rsidR="00DC6EA3">
        <w:rPr>
          <w:rFonts w:ascii="Arial" w:hAnsi="Arial" w:cs="Arial"/>
          <w:b/>
          <w:sz w:val="28"/>
          <w:szCs w:val="28"/>
        </w:rPr>
        <w:t xml:space="preserve"> Madalina Ghiorghi</w:t>
      </w:r>
    </w:p>
    <w:p w14:paraId="345FC3AC" w14:textId="4AD5551C" w:rsidR="0044110D" w:rsidRPr="0044110D" w:rsidRDefault="0044110D" w:rsidP="0044110D">
      <w:pPr>
        <w:spacing w:line="259" w:lineRule="auto"/>
        <w:jc w:val="center"/>
        <w:rPr>
          <w:sz w:val="32"/>
          <w:szCs w:val="28"/>
        </w:rPr>
      </w:pPr>
      <w:r w:rsidRPr="0044110D">
        <w:rPr>
          <w:rFonts w:ascii="Arial" w:hAnsi="Arial" w:cs="Arial"/>
          <w:b/>
          <w:sz w:val="28"/>
          <w:szCs w:val="28"/>
        </w:rPr>
        <w:t>Student ID:</w:t>
      </w:r>
      <w:r w:rsidR="00DC6EA3">
        <w:rPr>
          <w:rFonts w:ascii="Arial" w:hAnsi="Arial" w:cs="Arial"/>
          <w:b/>
          <w:sz w:val="28"/>
          <w:szCs w:val="28"/>
        </w:rPr>
        <w:t xml:space="preserve"> 2215490</w:t>
      </w:r>
    </w:p>
    <w:p w14:paraId="204C77E1" w14:textId="54DBB12C" w:rsidR="0044110D" w:rsidRDefault="0044110D" w:rsidP="0044110D">
      <w:pPr>
        <w:spacing w:line="259" w:lineRule="auto"/>
        <w:jc w:val="center"/>
        <w:rPr>
          <w:rFonts w:eastAsiaTheme="majorEastAsia" w:cstheme="majorBidi"/>
          <w:b/>
          <w:sz w:val="36"/>
          <w:szCs w:val="32"/>
        </w:rPr>
      </w:pPr>
      <w:r>
        <w:br w:type="page"/>
      </w:r>
    </w:p>
    <w:sdt>
      <w:sdtPr>
        <w:rPr>
          <w:rFonts w:ascii="Times New Roman" w:eastAsiaTheme="minorHAnsi" w:hAnsi="Times New Roman" w:cstheme="minorBidi"/>
          <w:color w:val="auto"/>
          <w:kern w:val="2"/>
          <w:sz w:val="24"/>
          <w:szCs w:val="22"/>
          <w:lang w:val="en-IN"/>
        </w:rPr>
        <w:id w:val="1163973258"/>
        <w:docPartObj>
          <w:docPartGallery w:val="Table of Contents"/>
          <w:docPartUnique/>
        </w:docPartObj>
      </w:sdtPr>
      <w:sdtEndPr>
        <w:rPr>
          <w:b/>
          <w:bCs/>
          <w:noProof/>
        </w:rPr>
      </w:sdtEndPr>
      <w:sdtContent>
        <w:p w14:paraId="179B266F" w14:textId="27026A30" w:rsidR="0044110D" w:rsidRPr="0044110D" w:rsidRDefault="0044110D">
          <w:pPr>
            <w:pStyle w:val="TOCHeading"/>
            <w:rPr>
              <w:b/>
              <w:bCs/>
              <w:color w:val="auto"/>
            </w:rPr>
          </w:pPr>
          <w:r w:rsidRPr="0044110D">
            <w:rPr>
              <w:b/>
              <w:bCs/>
              <w:color w:val="auto"/>
            </w:rPr>
            <w:t>Table of Contents</w:t>
          </w:r>
        </w:p>
        <w:p w14:paraId="004C2F41" w14:textId="5F24D8A3" w:rsidR="003C7483" w:rsidRDefault="0044110D">
          <w:pPr>
            <w:pStyle w:val="TOC1"/>
            <w:tabs>
              <w:tab w:val="right" w:leader="dot" w:pos="9016"/>
            </w:tabs>
            <w:rPr>
              <w:rFonts w:asciiTheme="minorHAnsi" w:eastAsiaTheme="minorEastAsia" w:hAnsiTheme="minorHAnsi"/>
              <w:noProof/>
              <w:kern w:val="0"/>
              <w:sz w:val="22"/>
              <w:lang w:eastAsia="en-IN"/>
              <w14:ligatures w14:val="none"/>
            </w:rPr>
          </w:pPr>
          <w:r>
            <w:fldChar w:fldCharType="begin"/>
          </w:r>
          <w:r>
            <w:instrText xml:space="preserve"> TOC \o "1-3" \h \z \u </w:instrText>
          </w:r>
          <w:r>
            <w:fldChar w:fldCharType="separate"/>
          </w:r>
          <w:hyperlink w:anchor="_Toc155882696" w:history="1">
            <w:r w:rsidR="003C7483" w:rsidRPr="0095664B">
              <w:rPr>
                <w:rStyle w:val="Hyperlink"/>
                <w:noProof/>
              </w:rPr>
              <w:t>Introduction</w:t>
            </w:r>
            <w:r w:rsidR="003C7483">
              <w:rPr>
                <w:noProof/>
                <w:webHidden/>
              </w:rPr>
              <w:tab/>
            </w:r>
            <w:r w:rsidR="003C7483">
              <w:rPr>
                <w:noProof/>
                <w:webHidden/>
              </w:rPr>
              <w:fldChar w:fldCharType="begin"/>
            </w:r>
            <w:r w:rsidR="003C7483">
              <w:rPr>
                <w:noProof/>
                <w:webHidden/>
              </w:rPr>
              <w:instrText xml:space="preserve"> PAGEREF _Toc155882696 \h </w:instrText>
            </w:r>
            <w:r w:rsidR="003C7483">
              <w:rPr>
                <w:noProof/>
                <w:webHidden/>
              </w:rPr>
            </w:r>
            <w:r w:rsidR="003C7483">
              <w:rPr>
                <w:noProof/>
                <w:webHidden/>
              </w:rPr>
              <w:fldChar w:fldCharType="separate"/>
            </w:r>
            <w:r w:rsidR="003C7483">
              <w:rPr>
                <w:noProof/>
                <w:webHidden/>
              </w:rPr>
              <w:t>3</w:t>
            </w:r>
            <w:r w:rsidR="003C7483">
              <w:rPr>
                <w:noProof/>
                <w:webHidden/>
              </w:rPr>
              <w:fldChar w:fldCharType="end"/>
            </w:r>
          </w:hyperlink>
        </w:p>
        <w:p w14:paraId="05BD8E22" w14:textId="29AE38E5" w:rsidR="003C7483"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55882697" w:history="1">
            <w:r w:rsidR="003C7483" w:rsidRPr="0095664B">
              <w:rPr>
                <w:rStyle w:val="Hyperlink"/>
                <w:noProof/>
              </w:rPr>
              <w:t>Offense</w:t>
            </w:r>
            <w:r w:rsidR="003C7483">
              <w:rPr>
                <w:noProof/>
                <w:webHidden/>
              </w:rPr>
              <w:tab/>
            </w:r>
            <w:r w:rsidR="003C7483">
              <w:rPr>
                <w:noProof/>
                <w:webHidden/>
              </w:rPr>
              <w:fldChar w:fldCharType="begin"/>
            </w:r>
            <w:r w:rsidR="003C7483">
              <w:rPr>
                <w:noProof/>
                <w:webHidden/>
              </w:rPr>
              <w:instrText xml:space="preserve"> PAGEREF _Toc155882697 \h </w:instrText>
            </w:r>
            <w:r w:rsidR="003C7483">
              <w:rPr>
                <w:noProof/>
                <w:webHidden/>
              </w:rPr>
            </w:r>
            <w:r w:rsidR="003C7483">
              <w:rPr>
                <w:noProof/>
                <w:webHidden/>
              </w:rPr>
              <w:fldChar w:fldCharType="separate"/>
            </w:r>
            <w:r w:rsidR="003C7483">
              <w:rPr>
                <w:noProof/>
                <w:webHidden/>
              </w:rPr>
              <w:t>4</w:t>
            </w:r>
            <w:r w:rsidR="003C7483">
              <w:rPr>
                <w:noProof/>
                <w:webHidden/>
              </w:rPr>
              <w:fldChar w:fldCharType="end"/>
            </w:r>
          </w:hyperlink>
        </w:p>
        <w:p w14:paraId="540266B3" w14:textId="4E88267F" w:rsidR="003C7483"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55882698" w:history="1">
            <w:r w:rsidR="003C7483" w:rsidRPr="0095664B">
              <w:rPr>
                <w:rStyle w:val="Hyperlink"/>
                <w:noProof/>
              </w:rPr>
              <w:t>Relevant Case Law and Legislation</w:t>
            </w:r>
            <w:r w:rsidR="003C7483">
              <w:rPr>
                <w:noProof/>
                <w:webHidden/>
              </w:rPr>
              <w:tab/>
            </w:r>
            <w:r w:rsidR="003C7483">
              <w:rPr>
                <w:noProof/>
                <w:webHidden/>
              </w:rPr>
              <w:fldChar w:fldCharType="begin"/>
            </w:r>
            <w:r w:rsidR="003C7483">
              <w:rPr>
                <w:noProof/>
                <w:webHidden/>
              </w:rPr>
              <w:instrText xml:space="preserve"> PAGEREF _Toc155882698 \h </w:instrText>
            </w:r>
            <w:r w:rsidR="003C7483">
              <w:rPr>
                <w:noProof/>
                <w:webHidden/>
              </w:rPr>
            </w:r>
            <w:r w:rsidR="003C7483">
              <w:rPr>
                <w:noProof/>
                <w:webHidden/>
              </w:rPr>
              <w:fldChar w:fldCharType="separate"/>
            </w:r>
            <w:r w:rsidR="003C7483">
              <w:rPr>
                <w:noProof/>
                <w:webHidden/>
              </w:rPr>
              <w:t>4</w:t>
            </w:r>
            <w:r w:rsidR="003C7483">
              <w:rPr>
                <w:noProof/>
                <w:webHidden/>
              </w:rPr>
              <w:fldChar w:fldCharType="end"/>
            </w:r>
          </w:hyperlink>
        </w:p>
        <w:p w14:paraId="7B2AB9A6" w14:textId="08D15EB3" w:rsidR="003C7483"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55882699" w:history="1">
            <w:r w:rsidR="003C7483" w:rsidRPr="0095664B">
              <w:rPr>
                <w:rStyle w:val="Hyperlink"/>
                <w:noProof/>
              </w:rPr>
              <w:t>Potential Defences</w:t>
            </w:r>
            <w:r w:rsidR="003C7483">
              <w:rPr>
                <w:noProof/>
                <w:webHidden/>
              </w:rPr>
              <w:tab/>
            </w:r>
            <w:r w:rsidR="003C7483">
              <w:rPr>
                <w:noProof/>
                <w:webHidden/>
              </w:rPr>
              <w:fldChar w:fldCharType="begin"/>
            </w:r>
            <w:r w:rsidR="003C7483">
              <w:rPr>
                <w:noProof/>
                <w:webHidden/>
              </w:rPr>
              <w:instrText xml:space="preserve"> PAGEREF _Toc155882699 \h </w:instrText>
            </w:r>
            <w:r w:rsidR="003C7483">
              <w:rPr>
                <w:noProof/>
                <w:webHidden/>
              </w:rPr>
            </w:r>
            <w:r w:rsidR="003C7483">
              <w:rPr>
                <w:noProof/>
                <w:webHidden/>
              </w:rPr>
              <w:fldChar w:fldCharType="separate"/>
            </w:r>
            <w:r w:rsidR="003C7483">
              <w:rPr>
                <w:noProof/>
                <w:webHidden/>
              </w:rPr>
              <w:t>6</w:t>
            </w:r>
            <w:r w:rsidR="003C7483">
              <w:rPr>
                <w:noProof/>
                <w:webHidden/>
              </w:rPr>
              <w:fldChar w:fldCharType="end"/>
            </w:r>
          </w:hyperlink>
        </w:p>
        <w:p w14:paraId="31212073" w14:textId="08541443" w:rsidR="003C7483"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55882700" w:history="1">
            <w:r w:rsidR="003C7483" w:rsidRPr="0095664B">
              <w:rPr>
                <w:rStyle w:val="Hyperlink"/>
                <w:noProof/>
              </w:rPr>
              <w:t>Carla's Emotional State</w:t>
            </w:r>
            <w:r w:rsidR="003C7483">
              <w:rPr>
                <w:noProof/>
                <w:webHidden/>
              </w:rPr>
              <w:tab/>
            </w:r>
            <w:r w:rsidR="003C7483">
              <w:rPr>
                <w:noProof/>
                <w:webHidden/>
              </w:rPr>
              <w:fldChar w:fldCharType="begin"/>
            </w:r>
            <w:r w:rsidR="003C7483">
              <w:rPr>
                <w:noProof/>
                <w:webHidden/>
              </w:rPr>
              <w:instrText xml:space="preserve"> PAGEREF _Toc155882700 \h </w:instrText>
            </w:r>
            <w:r w:rsidR="003C7483">
              <w:rPr>
                <w:noProof/>
                <w:webHidden/>
              </w:rPr>
            </w:r>
            <w:r w:rsidR="003C7483">
              <w:rPr>
                <w:noProof/>
                <w:webHidden/>
              </w:rPr>
              <w:fldChar w:fldCharType="separate"/>
            </w:r>
            <w:r w:rsidR="003C7483">
              <w:rPr>
                <w:noProof/>
                <w:webHidden/>
              </w:rPr>
              <w:t>6</w:t>
            </w:r>
            <w:r w:rsidR="003C7483">
              <w:rPr>
                <w:noProof/>
                <w:webHidden/>
              </w:rPr>
              <w:fldChar w:fldCharType="end"/>
            </w:r>
          </w:hyperlink>
        </w:p>
        <w:p w14:paraId="5EE69B17" w14:textId="442B1132" w:rsidR="003C7483"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55882701" w:history="1">
            <w:r w:rsidR="003C7483" w:rsidRPr="0095664B">
              <w:rPr>
                <w:rStyle w:val="Hyperlink"/>
                <w:noProof/>
              </w:rPr>
              <w:t>Jamie's Confession</w:t>
            </w:r>
            <w:r w:rsidR="003C7483">
              <w:rPr>
                <w:noProof/>
                <w:webHidden/>
              </w:rPr>
              <w:tab/>
            </w:r>
            <w:r w:rsidR="003C7483">
              <w:rPr>
                <w:noProof/>
                <w:webHidden/>
              </w:rPr>
              <w:fldChar w:fldCharType="begin"/>
            </w:r>
            <w:r w:rsidR="003C7483">
              <w:rPr>
                <w:noProof/>
                <w:webHidden/>
              </w:rPr>
              <w:instrText xml:space="preserve"> PAGEREF _Toc155882701 \h </w:instrText>
            </w:r>
            <w:r w:rsidR="003C7483">
              <w:rPr>
                <w:noProof/>
                <w:webHidden/>
              </w:rPr>
            </w:r>
            <w:r w:rsidR="003C7483">
              <w:rPr>
                <w:noProof/>
                <w:webHidden/>
              </w:rPr>
              <w:fldChar w:fldCharType="separate"/>
            </w:r>
            <w:r w:rsidR="003C7483">
              <w:rPr>
                <w:noProof/>
                <w:webHidden/>
              </w:rPr>
              <w:t>7</w:t>
            </w:r>
            <w:r w:rsidR="003C7483">
              <w:rPr>
                <w:noProof/>
                <w:webHidden/>
              </w:rPr>
              <w:fldChar w:fldCharType="end"/>
            </w:r>
          </w:hyperlink>
        </w:p>
        <w:p w14:paraId="4FD8ADDA" w14:textId="205E3356" w:rsidR="003C7483"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55882702" w:history="1">
            <w:r w:rsidR="003C7483" w:rsidRPr="0095664B">
              <w:rPr>
                <w:rStyle w:val="Hyperlink"/>
                <w:noProof/>
              </w:rPr>
              <w:t>Conclusion</w:t>
            </w:r>
            <w:r w:rsidR="003C7483">
              <w:rPr>
                <w:noProof/>
                <w:webHidden/>
              </w:rPr>
              <w:tab/>
            </w:r>
            <w:r w:rsidR="003C7483">
              <w:rPr>
                <w:noProof/>
                <w:webHidden/>
              </w:rPr>
              <w:fldChar w:fldCharType="begin"/>
            </w:r>
            <w:r w:rsidR="003C7483">
              <w:rPr>
                <w:noProof/>
                <w:webHidden/>
              </w:rPr>
              <w:instrText xml:space="preserve"> PAGEREF _Toc155882702 \h </w:instrText>
            </w:r>
            <w:r w:rsidR="003C7483">
              <w:rPr>
                <w:noProof/>
                <w:webHidden/>
              </w:rPr>
            </w:r>
            <w:r w:rsidR="003C7483">
              <w:rPr>
                <w:noProof/>
                <w:webHidden/>
              </w:rPr>
              <w:fldChar w:fldCharType="separate"/>
            </w:r>
            <w:r w:rsidR="003C7483">
              <w:rPr>
                <w:noProof/>
                <w:webHidden/>
              </w:rPr>
              <w:t>8</w:t>
            </w:r>
            <w:r w:rsidR="003C7483">
              <w:rPr>
                <w:noProof/>
                <w:webHidden/>
              </w:rPr>
              <w:fldChar w:fldCharType="end"/>
            </w:r>
          </w:hyperlink>
        </w:p>
        <w:p w14:paraId="46925EA2" w14:textId="10AF9A6A" w:rsidR="003C7483"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55882703" w:history="1">
            <w:r w:rsidR="003C7483" w:rsidRPr="0095664B">
              <w:rPr>
                <w:rStyle w:val="Hyperlink"/>
                <w:noProof/>
              </w:rPr>
              <w:t>References</w:t>
            </w:r>
            <w:r w:rsidR="003C7483">
              <w:rPr>
                <w:noProof/>
                <w:webHidden/>
              </w:rPr>
              <w:tab/>
            </w:r>
            <w:r w:rsidR="003C7483">
              <w:rPr>
                <w:noProof/>
                <w:webHidden/>
              </w:rPr>
              <w:fldChar w:fldCharType="begin"/>
            </w:r>
            <w:r w:rsidR="003C7483">
              <w:rPr>
                <w:noProof/>
                <w:webHidden/>
              </w:rPr>
              <w:instrText xml:space="preserve"> PAGEREF _Toc155882703 \h </w:instrText>
            </w:r>
            <w:r w:rsidR="003C7483">
              <w:rPr>
                <w:noProof/>
                <w:webHidden/>
              </w:rPr>
            </w:r>
            <w:r w:rsidR="003C7483">
              <w:rPr>
                <w:noProof/>
                <w:webHidden/>
              </w:rPr>
              <w:fldChar w:fldCharType="separate"/>
            </w:r>
            <w:r w:rsidR="003C7483">
              <w:rPr>
                <w:noProof/>
                <w:webHidden/>
              </w:rPr>
              <w:t>9</w:t>
            </w:r>
            <w:r w:rsidR="003C7483">
              <w:rPr>
                <w:noProof/>
                <w:webHidden/>
              </w:rPr>
              <w:fldChar w:fldCharType="end"/>
            </w:r>
          </w:hyperlink>
        </w:p>
        <w:p w14:paraId="361E2320" w14:textId="78454FE7" w:rsidR="0044110D" w:rsidRDefault="0044110D">
          <w:r>
            <w:rPr>
              <w:b/>
              <w:bCs/>
              <w:noProof/>
            </w:rPr>
            <w:fldChar w:fldCharType="end"/>
          </w:r>
        </w:p>
      </w:sdtContent>
    </w:sdt>
    <w:p w14:paraId="159263D4" w14:textId="77777777" w:rsidR="0044110D" w:rsidRDefault="0044110D">
      <w:pPr>
        <w:spacing w:line="259" w:lineRule="auto"/>
        <w:jc w:val="left"/>
        <w:rPr>
          <w:rFonts w:eastAsiaTheme="majorEastAsia" w:cstheme="majorBidi"/>
          <w:b/>
          <w:sz w:val="36"/>
          <w:szCs w:val="32"/>
        </w:rPr>
      </w:pPr>
      <w:r>
        <w:br w:type="page"/>
      </w:r>
    </w:p>
    <w:p w14:paraId="75A7852F" w14:textId="6EFA5B6D" w:rsidR="00360248" w:rsidRDefault="00360248" w:rsidP="00360248">
      <w:pPr>
        <w:pStyle w:val="Heading1"/>
      </w:pPr>
      <w:bookmarkStart w:id="0" w:name="_Toc155882696"/>
      <w:r>
        <w:lastRenderedPageBreak/>
        <w:t>Introduction</w:t>
      </w:r>
      <w:bookmarkEnd w:id="0"/>
    </w:p>
    <w:p w14:paraId="53E5E35C" w14:textId="11122B7D" w:rsidR="00360248" w:rsidRDefault="004A6A7A" w:rsidP="0083329C">
      <w:r>
        <w:t>In the confused interaction of feelings, private history, and criminal duties, the case of Carla and Jamie unfolds as a significant narrative of a wedding strained to its breaking point. The evening in question, marked by Jamie's inebriation and a tumultuous confrontation, transcends the world of marital discord into the field of criminal genuine responsibility. Carla, grappling with extensive standing marital problems, is confronted with a revelation of treachery via her husband, Jamie. The ensuing warmed argument culminates in Carla's impulsive and violent demonstration - stabbing Jamie with a kitchen cutting edge, causing severe accidents. This case required a thorough assessment of Carla's criminal history, as well as research into the trouble of outbreak or pulled murder rights. The look navigates genuine ideas, alluding to sizable case law including R v Cunningham and legislative frameworks, all at the same time as considering Carla's close-to-home space and Jamie's confession. As we unravel the criminal fabric that surrounds this model, we are constrained to find the limits of criminal responsibility and the tipping point of improved situations that could characterise Carla's criminal future</w:t>
      </w:r>
      <w:r w:rsidR="006A0B33">
        <w:t>.</w:t>
      </w:r>
      <w:r w:rsidR="00360248">
        <w:br w:type="page"/>
      </w:r>
    </w:p>
    <w:p w14:paraId="2F0325B9" w14:textId="73F6BFFF" w:rsidR="00314D2D" w:rsidRDefault="00535497" w:rsidP="00535497">
      <w:pPr>
        <w:pStyle w:val="Heading1"/>
      </w:pPr>
      <w:bookmarkStart w:id="1" w:name="_Toc155882697"/>
      <w:r>
        <w:lastRenderedPageBreak/>
        <w:t>Offense</w:t>
      </w:r>
      <w:bookmarkEnd w:id="1"/>
    </w:p>
    <w:p w14:paraId="2B6CD6FD" w14:textId="52A6A876" w:rsidR="00535497" w:rsidRPr="006C63AF" w:rsidRDefault="00535497" w:rsidP="006C63AF">
      <w:pPr>
        <w:rPr>
          <w:b/>
          <w:bCs/>
        </w:rPr>
      </w:pPr>
      <w:r w:rsidRPr="006C63AF">
        <w:rPr>
          <w:b/>
          <w:bCs/>
        </w:rPr>
        <w:t>Assault</w:t>
      </w:r>
    </w:p>
    <w:p w14:paraId="42CEDC6C" w14:textId="6B802A0D" w:rsidR="00535497" w:rsidRDefault="00535497" w:rsidP="00535497">
      <w:r w:rsidRPr="00535497">
        <w:t xml:space="preserve">Assault, </w:t>
      </w:r>
      <w:r>
        <w:t>an</w:t>
      </w:r>
      <w:r w:rsidRPr="00535497">
        <w:t xml:space="preserve"> essential offence underneath c</w:t>
      </w:r>
      <w:r>
        <w:t>riminal</w:t>
      </w:r>
      <w:r w:rsidRPr="00535497">
        <w:t xml:space="preserve"> law, is the functional or careless instillation of worry of instant harm or the usage of force in opposition to every other person without criminal justification. The idea consists of actual damage and instilling an appropriate worry of such harm. The performing reus, or bodily act, is a visible motion that </w:t>
      </w:r>
      <w:r>
        <w:t>causes</w:t>
      </w:r>
      <w:r w:rsidRPr="00535497">
        <w:t xml:space="preserve"> fear of damage. A men’s rea, </w:t>
      </w:r>
      <w:r>
        <w:t>that is</w:t>
      </w:r>
      <w:r w:rsidRPr="00535497">
        <w:t xml:space="preserve"> a mental detail, involves both malicious motive or reckless disregard for the act's outcomes. Case law, together with R v Cunningham (1957) and R v Vickers (1957), emphasises the necessity of figuring out whether or not the defendant </w:t>
      </w:r>
      <w:r>
        <w:t xml:space="preserve">was </w:t>
      </w:r>
      <w:r w:rsidRPr="00535497">
        <w:t xml:space="preserve">supposed to motive damage or became heedless about the feasible harm. In the case of an attack, the pressure employed does now not need to be significant; even a small contact is probably taken into consideration </w:t>
      </w:r>
      <w:r>
        <w:t xml:space="preserve">as </w:t>
      </w:r>
      <w:r w:rsidRPr="00535497">
        <w:t>an attack if finished with the necessary motive</w:t>
      </w:r>
      <w:r w:rsidR="0044110D">
        <w:t xml:space="preserve"> (</w:t>
      </w:r>
      <w:r w:rsidR="0044110D" w:rsidRPr="0044110D">
        <w:t>Heinze,</w:t>
      </w:r>
      <w:r w:rsidR="0044110D">
        <w:t xml:space="preserve"> et al., 2016)</w:t>
      </w:r>
      <w:r w:rsidRPr="00535497">
        <w:t>.</w:t>
      </w:r>
    </w:p>
    <w:p w14:paraId="19F6D2AE" w14:textId="2AD50539" w:rsidR="00535497" w:rsidRPr="006C63AF" w:rsidRDefault="00535497" w:rsidP="006C63AF">
      <w:pPr>
        <w:rPr>
          <w:b/>
          <w:bCs/>
        </w:rPr>
      </w:pPr>
      <w:r w:rsidRPr="006C63AF">
        <w:rPr>
          <w:b/>
          <w:bCs/>
        </w:rPr>
        <w:t>Attempted Murder</w:t>
      </w:r>
    </w:p>
    <w:p w14:paraId="606944FD" w14:textId="6ECA7771" w:rsidR="006C63AF" w:rsidRDefault="006C63AF" w:rsidP="00535497">
      <w:r w:rsidRPr="006C63AF">
        <w:t xml:space="preserve">Attempted murder is a more serious crime that includes the unlawful, functional try to kill every other character. It necessitates a specific rationale to kill in addition to a great step toward finishing the offence. The actus reus involves activities that, if finished, could bring about the sufferer's loss of life, while the men's rea requires </w:t>
      </w:r>
      <w:r>
        <w:t>an</w:t>
      </w:r>
      <w:r w:rsidRPr="006C63AF">
        <w:t xml:space="preserve"> aware want to cease the lifestyles of some other. A sizeable step implies that the accuser should move past easy training and show actual willpower to </w:t>
      </w:r>
      <w:r>
        <w:t>carry</w:t>
      </w:r>
      <w:r w:rsidRPr="006C63AF">
        <w:t xml:space="preserve"> via the conduct. Attempted homicide accusations are distinguished from lesser counts that include assault or even strive manslaughter via the accused's apparent rationale to reason dying. In jurisdictions that comply with commonplace regulation concepts, </w:t>
      </w:r>
      <w:r>
        <w:t>regulations</w:t>
      </w:r>
      <w:r w:rsidRPr="006C63AF">
        <w:t xml:space="preserve"> such as The Offences Against the Person Act 1861 frequently </w:t>
      </w:r>
      <w:r>
        <w:t>offer</w:t>
      </w:r>
      <w:r w:rsidRPr="006C63AF">
        <w:t xml:space="preserve"> the statutory foundation for determining the components of attempted murder</w:t>
      </w:r>
      <w:r w:rsidR="0044110D" w:rsidRPr="0044110D">
        <w:t xml:space="preserve"> </w:t>
      </w:r>
      <w:r w:rsidR="0044110D">
        <w:t>(</w:t>
      </w:r>
      <w:r w:rsidR="0044110D" w:rsidRPr="0044110D">
        <w:t>Baglivio and Wolff, 2017</w:t>
      </w:r>
      <w:r w:rsidR="0044110D">
        <w:t>)</w:t>
      </w:r>
      <w:r w:rsidRPr="006C63AF">
        <w:t>.</w:t>
      </w:r>
    </w:p>
    <w:p w14:paraId="3C0F839B" w14:textId="56114B6D" w:rsidR="006C63AF" w:rsidRDefault="006C63AF" w:rsidP="006C63AF">
      <w:pPr>
        <w:pStyle w:val="Heading1"/>
      </w:pPr>
      <w:bookmarkStart w:id="2" w:name="_Toc155882698"/>
      <w:r w:rsidRPr="006C63AF">
        <w:t>Relevant Case Law and Legislation</w:t>
      </w:r>
      <w:bookmarkEnd w:id="2"/>
    </w:p>
    <w:p w14:paraId="590F89F8" w14:textId="08CDB36B" w:rsidR="006C63AF" w:rsidRPr="006C63AF" w:rsidRDefault="006C63AF" w:rsidP="006C63AF">
      <w:pPr>
        <w:rPr>
          <w:b/>
          <w:bCs/>
        </w:rPr>
      </w:pPr>
      <w:r w:rsidRPr="006C63AF">
        <w:rPr>
          <w:b/>
          <w:bCs/>
        </w:rPr>
        <w:t>Case Law</w:t>
      </w:r>
    </w:p>
    <w:p w14:paraId="05B3F1EC" w14:textId="3610AC3D" w:rsidR="006C63AF" w:rsidRDefault="006C63AF" w:rsidP="006C63AF">
      <w:r w:rsidRPr="006C63AF">
        <w:t>Case law is important in knowledge and enforcing felony standards in criminal law. R v Cunningham (1957) and R v Vickers (1957) are two seminal times explaining the men’s rea factors for assault.</w:t>
      </w:r>
    </w:p>
    <w:p w14:paraId="5E1AD2FA" w14:textId="3B65ECB7" w:rsidR="008D737C" w:rsidRPr="0044110D" w:rsidRDefault="008D737C" w:rsidP="0044110D">
      <w:pPr>
        <w:spacing w:line="259" w:lineRule="auto"/>
        <w:jc w:val="left"/>
      </w:pPr>
      <w:r>
        <w:br w:type="page"/>
      </w:r>
      <w:r w:rsidRPr="008D737C">
        <w:rPr>
          <w:b/>
          <w:bCs/>
        </w:rPr>
        <w:lastRenderedPageBreak/>
        <w:t>R v Cunningham</w:t>
      </w:r>
      <w:r w:rsidR="0044110D">
        <w:rPr>
          <w:b/>
          <w:bCs/>
        </w:rPr>
        <w:t>-</w:t>
      </w:r>
      <w:r w:rsidRPr="008D737C">
        <w:rPr>
          <w:b/>
          <w:bCs/>
        </w:rPr>
        <w:t>1957</w:t>
      </w:r>
    </w:p>
    <w:p w14:paraId="4DCDB0CE" w14:textId="076C11C6" w:rsidR="008D737C" w:rsidRDefault="008D737C" w:rsidP="006C63AF">
      <w:r w:rsidRPr="008D737C">
        <w:t xml:space="preserve">The court clarified the men’s rea or mental element required for an assault rate </w:t>
      </w:r>
      <w:r>
        <w:t>in</w:t>
      </w:r>
      <w:r w:rsidRPr="008D737C">
        <w:t xml:space="preserve"> the case of </w:t>
      </w:r>
      <w:r>
        <w:t>“</w:t>
      </w:r>
      <w:r w:rsidRPr="008D737C">
        <w:t>R v Cunningham</w:t>
      </w:r>
      <w:r w:rsidR="0044110D">
        <w:t>-</w:t>
      </w:r>
      <w:r w:rsidRPr="008D737C">
        <w:t>1957</w:t>
      </w:r>
      <w:r>
        <w:t>”</w:t>
      </w:r>
      <w:r w:rsidRPr="008D737C">
        <w:t xml:space="preserve">. Cunningham proved that recklessness, where the culprit is in the know to the chance however </w:t>
      </w:r>
      <w:r>
        <w:t>act</w:t>
      </w:r>
      <w:r w:rsidRPr="008D737C">
        <w:t>, is sufficient to set up the needful motive for assault. This ruling expanded the scope of men's rea beyond direct motive, recognising that actions concerned about reckless meeting aside for the ability damage they will reason might be legally answerable</w:t>
      </w:r>
      <w:r w:rsidR="0044110D" w:rsidRPr="0044110D">
        <w:t xml:space="preserve"> </w:t>
      </w:r>
      <w:r w:rsidR="0044110D">
        <w:t>(</w:t>
      </w:r>
      <w:r w:rsidR="0044110D" w:rsidRPr="0044110D">
        <w:t>Lawresources</w:t>
      </w:r>
      <w:r w:rsidR="0044110D">
        <w:t xml:space="preserve">, </w:t>
      </w:r>
      <w:r w:rsidR="0044110D" w:rsidRPr="0044110D">
        <w:t>2023)</w:t>
      </w:r>
      <w:r w:rsidRPr="008D737C">
        <w:t>.</w:t>
      </w:r>
    </w:p>
    <w:p w14:paraId="6941162D" w14:textId="708D6C40" w:rsidR="008D737C" w:rsidRPr="008D737C" w:rsidRDefault="008D737C" w:rsidP="006C63AF">
      <w:pPr>
        <w:rPr>
          <w:b/>
          <w:bCs/>
        </w:rPr>
      </w:pPr>
      <w:r w:rsidRPr="008D737C">
        <w:rPr>
          <w:b/>
          <w:bCs/>
        </w:rPr>
        <w:t>R v Vickers</w:t>
      </w:r>
      <w:r w:rsidR="0044110D">
        <w:rPr>
          <w:b/>
          <w:bCs/>
        </w:rPr>
        <w:t>-</w:t>
      </w:r>
      <w:r w:rsidRPr="008D737C">
        <w:rPr>
          <w:b/>
          <w:bCs/>
        </w:rPr>
        <w:t>1957</w:t>
      </w:r>
    </w:p>
    <w:p w14:paraId="4E09287E" w14:textId="27E91E90" w:rsidR="006C63AF" w:rsidRDefault="008D737C" w:rsidP="008D737C">
      <w:r>
        <w:t>“</w:t>
      </w:r>
      <w:r w:rsidRPr="008D737C">
        <w:t>R v Vickers</w:t>
      </w:r>
      <w:r w:rsidR="0044110D">
        <w:t>-</w:t>
      </w:r>
      <w:r w:rsidRPr="008D737C">
        <w:t>1957</w:t>
      </w:r>
      <w:r>
        <w:t>”</w:t>
      </w:r>
      <w:r w:rsidRPr="008D737C">
        <w:t xml:space="preserve"> adds to our understanding of men’s rea in attack cases. This case underlined that if you want to be charged with </w:t>
      </w:r>
      <w:r w:rsidR="003B6F87">
        <w:t xml:space="preserve">the </w:t>
      </w:r>
      <w:r w:rsidRPr="008D737C">
        <w:t xml:space="preserve">attack, a defendant has </w:t>
      </w:r>
      <w:r w:rsidR="003B6F87">
        <w:t>to intend either</w:t>
      </w:r>
      <w:r w:rsidRPr="008D737C">
        <w:t xml:space="preserve"> to reason harm or expect at least a </w:t>
      </w:r>
      <w:r>
        <w:t>little</w:t>
      </w:r>
      <w:r w:rsidRPr="008D737C">
        <w:t xml:space="preserve"> harm due to their acts. Victims explained that </w:t>
      </w:r>
      <w:r>
        <w:t>even though</w:t>
      </w:r>
      <w:r w:rsidRPr="008D737C">
        <w:t xml:space="preserve"> the defendant did no longer need to cause damage if it changed into foreseeable and but took place, they might be observed criminally liable for </w:t>
      </w:r>
      <w:r>
        <w:t xml:space="preserve">the </w:t>
      </w:r>
      <w:r w:rsidRPr="008D737C">
        <w:t xml:space="preserve">attack. These instances show the nuances of guy’s rea in assault fees, recognising each useful and reckless </w:t>
      </w:r>
      <w:r>
        <w:t>state</w:t>
      </w:r>
      <w:r w:rsidRPr="008D737C">
        <w:t xml:space="preserve"> of mind as grounds for criminal liability</w:t>
      </w:r>
      <w:r w:rsidR="0044110D" w:rsidRPr="0044110D">
        <w:t xml:space="preserve"> </w:t>
      </w:r>
      <w:r w:rsidR="0044110D">
        <w:t>(</w:t>
      </w:r>
      <w:r w:rsidR="0044110D" w:rsidRPr="0044110D">
        <w:t>IPSA LOQUITUR</w:t>
      </w:r>
      <w:r w:rsidR="0044110D">
        <w:t xml:space="preserve">, </w:t>
      </w:r>
      <w:r w:rsidR="0044110D" w:rsidRPr="0044110D">
        <w:t>2022)</w:t>
      </w:r>
      <w:r w:rsidRPr="008D737C">
        <w:t>.</w:t>
      </w:r>
    </w:p>
    <w:p w14:paraId="4F0676B5" w14:textId="18F635FB" w:rsidR="008D737C" w:rsidRDefault="008D737C" w:rsidP="008D737C">
      <w:pPr>
        <w:rPr>
          <w:b/>
          <w:bCs/>
        </w:rPr>
      </w:pPr>
      <w:r w:rsidRPr="008D737C">
        <w:rPr>
          <w:b/>
          <w:bCs/>
        </w:rPr>
        <w:t>Legislation</w:t>
      </w:r>
    </w:p>
    <w:p w14:paraId="7D9E3B83" w14:textId="3A5E0840" w:rsidR="008D737C" w:rsidRPr="008D737C" w:rsidRDefault="008D737C" w:rsidP="008D737C">
      <w:pPr>
        <w:rPr>
          <w:b/>
          <w:bCs/>
        </w:rPr>
      </w:pPr>
      <w:r w:rsidRPr="008D737C">
        <w:rPr>
          <w:b/>
          <w:bCs/>
        </w:rPr>
        <w:t>The Offences Against the Person Act 1861</w:t>
      </w:r>
    </w:p>
    <w:p w14:paraId="3606D966" w14:textId="277C49B8" w:rsidR="008D737C" w:rsidRDefault="003B6F87" w:rsidP="003B6F87">
      <w:r w:rsidRPr="003B6F87">
        <w:t>Legislation, which supplements judicial decisions, is the essential aspect of cr</w:t>
      </w:r>
      <w:r>
        <w:t>iminal</w:t>
      </w:r>
      <w:r w:rsidRPr="003B6F87">
        <w:t xml:space="preserve"> law, imparting an administrative shape to control offence strategies. The Offences Against the Person Act 1861 (or the relevant jurisdiction's statute) is vital in this example. This regulation consists of rules protecting offences regarding non-public harm, which includes attack and tried murder. The Act defines the factors of those offences, defining the standards that have to be met for a person to be charged or convicted. It is a crucial reference factor for felony practitioners, </w:t>
      </w:r>
      <w:r>
        <w:t>ensuring</w:t>
      </w:r>
      <w:r w:rsidRPr="003B6F87">
        <w:t xml:space="preserve"> uniformity and clarity within the application of criminal law to acts against the person. The interplay of case law and law gives a thorough grasp of the crime panorama surrounding attack charges, combining judicial interpretation with legislative course to define the limits of cr</w:t>
      </w:r>
      <w:r>
        <w:t>iminal</w:t>
      </w:r>
      <w:r w:rsidRPr="003B6F87">
        <w:t xml:space="preserve"> responsibility</w:t>
      </w:r>
      <w:r w:rsidR="0044110D">
        <w:t xml:space="preserve"> (</w:t>
      </w:r>
      <w:r w:rsidR="0044110D" w:rsidRPr="0044110D">
        <w:t>Morgan,</w:t>
      </w:r>
      <w:r w:rsidR="0044110D">
        <w:t xml:space="preserve"> </w:t>
      </w:r>
      <w:r w:rsidR="0044110D" w:rsidRPr="0044110D">
        <w:t>2018</w:t>
      </w:r>
      <w:r w:rsidR="0044110D">
        <w:t>)</w:t>
      </w:r>
      <w:r w:rsidRPr="003B6F87">
        <w:t>.</w:t>
      </w:r>
    </w:p>
    <w:p w14:paraId="66A825FF" w14:textId="77777777" w:rsidR="0044110D" w:rsidRDefault="0044110D">
      <w:pPr>
        <w:spacing w:line="259" w:lineRule="auto"/>
        <w:jc w:val="left"/>
        <w:rPr>
          <w:rFonts w:eastAsiaTheme="majorEastAsia" w:cstheme="majorBidi"/>
          <w:b/>
          <w:sz w:val="36"/>
          <w:szCs w:val="32"/>
        </w:rPr>
      </w:pPr>
      <w:r>
        <w:br w:type="page"/>
      </w:r>
    </w:p>
    <w:p w14:paraId="2D352066" w14:textId="505BA3CF" w:rsidR="003B6F87" w:rsidRDefault="0044110D" w:rsidP="0044110D">
      <w:pPr>
        <w:pStyle w:val="Heading1"/>
      </w:pPr>
      <w:bookmarkStart w:id="3" w:name="_Toc155882699"/>
      <w:r>
        <w:lastRenderedPageBreak/>
        <w:t>Potential Defences</w:t>
      </w:r>
      <w:bookmarkEnd w:id="3"/>
    </w:p>
    <w:p w14:paraId="70F61D3C" w14:textId="2E7B6EEF" w:rsidR="0044110D" w:rsidRPr="0044110D" w:rsidRDefault="0044110D" w:rsidP="0044110D">
      <w:pPr>
        <w:rPr>
          <w:b/>
          <w:bCs/>
        </w:rPr>
      </w:pPr>
      <w:r w:rsidRPr="0044110D">
        <w:rPr>
          <w:b/>
          <w:bCs/>
        </w:rPr>
        <w:t>Self-Défense</w:t>
      </w:r>
    </w:p>
    <w:p w14:paraId="3485B365" w14:textId="53FD6EAC" w:rsidR="0044110D" w:rsidRDefault="0044110D" w:rsidP="003B6F87">
      <w:r w:rsidRPr="0044110D">
        <w:t xml:space="preserve">Carla may additionally claim self-defence, claiming that her actions were important in response to an instantaneous hazard of harm. Carla has to show that she had </w:t>
      </w:r>
      <w:r>
        <w:t>an</w:t>
      </w:r>
      <w:r w:rsidRPr="0044110D">
        <w:t xml:space="preserve"> actual notion that she was in instantaneous hazard and that her use of violence changed into both fair and proportional to the real danger to efficaciously assert self-defence. The reasonableness criterion necessitates figuring out whether or not a reasonable individual in similar instances might have perceived the need to use force for protection. Furthermore, the pressure used </w:t>
      </w:r>
      <w:r>
        <w:t>has</w:t>
      </w:r>
      <w:r w:rsidRPr="0044110D">
        <w:t xml:space="preserve"> to not be </w:t>
      </w:r>
      <w:r>
        <w:t>more</w:t>
      </w:r>
      <w:r w:rsidRPr="0044110D">
        <w:t xml:space="preserve"> than what may be expected to resist the threat. If Carla knew that Jamie constituted a danger to her protection and her response became proportionate to the alleged hazard, self-defence might be enough defence against cr</w:t>
      </w:r>
      <w:r>
        <w:t>iminal</w:t>
      </w:r>
      <w:r w:rsidRPr="0044110D">
        <w:t xml:space="preserve"> culpability </w:t>
      </w:r>
      <w:r>
        <w:t>(</w:t>
      </w:r>
      <w:r w:rsidRPr="0044110D">
        <w:t>Owaydhah, 2018</w:t>
      </w:r>
      <w:r>
        <w:t>)</w:t>
      </w:r>
      <w:r w:rsidRPr="0044110D">
        <w:t>.</w:t>
      </w:r>
    </w:p>
    <w:p w14:paraId="1581151E" w14:textId="5C51430A" w:rsidR="0044110D" w:rsidRDefault="0044110D" w:rsidP="003B6F87">
      <w:pPr>
        <w:rPr>
          <w:b/>
          <w:bCs/>
        </w:rPr>
      </w:pPr>
      <w:r w:rsidRPr="0044110D">
        <w:rPr>
          <w:b/>
          <w:bCs/>
        </w:rPr>
        <w:t>Provocation</w:t>
      </w:r>
    </w:p>
    <w:p w14:paraId="49218324" w14:textId="697B9BF7" w:rsidR="0044110D" w:rsidRDefault="0044110D" w:rsidP="0044110D">
      <w:r w:rsidRPr="0044110D">
        <w:t xml:space="preserve">Carla may contemplate the usage of provocation as a defence in light of Jamie's confession of </w:t>
      </w:r>
      <w:r>
        <w:t>dishonesty</w:t>
      </w:r>
      <w:r w:rsidRPr="0044110D">
        <w:t xml:space="preserve"> at some stage in the ensuing combat. If efficaciously argued, provocation might potentially lessen a murder penalty to manslaughter. It is important to recall, that provocation often happens </w:t>
      </w:r>
      <w:r>
        <w:t>when</w:t>
      </w:r>
      <w:r w:rsidRPr="0044110D">
        <w:t xml:space="preserve"> there is a brief and short-term lack of </w:t>
      </w:r>
      <w:r>
        <w:t>management</w:t>
      </w:r>
      <w:r w:rsidRPr="0044110D">
        <w:t xml:space="preserve"> because of provocative conduct. The court may hear Carla's case if the disclosure of Jamie's affair became seen as a motive to supply a brief, powerful emotional reaction to the stabbing. This argument, </w:t>
      </w:r>
      <w:r>
        <w:t>however</w:t>
      </w:r>
      <w:r w:rsidRPr="0044110D">
        <w:t xml:space="preserve">, has boundaries as it frequently needs a direct link </w:t>
      </w:r>
      <w:r>
        <w:t>between</w:t>
      </w:r>
      <w:r w:rsidRPr="0044110D">
        <w:t xml:space="preserve"> the insult and the impulsive act. If the attack </w:t>
      </w:r>
      <w:r>
        <w:t>change</w:t>
      </w:r>
      <w:r w:rsidRPr="0044110D">
        <w:t xml:space="preserve"> seemed unprovoked or disproportionately high, the provocation defence can be much less applicable </w:t>
      </w:r>
      <w:r>
        <w:t>(</w:t>
      </w:r>
      <w:r w:rsidRPr="0044110D">
        <w:t>Webb, 2019</w:t>
      </w:r>
      <w:r>
        <w:t>)</w:t>
      </w:r>
      <w:r w:rsidRPr="0044110D">
        <w:t>.</w:t>
      </w:r>
    </w:p>
    <w:p w14:paraId="195DCD6C" w14:textId="596B0497" w:rsidR="0044110D" w:rsidRDefault="0044110D" w:rsidP="0044110D">
      <w:pPr>
        <w:pStyle w:val="Heading1"/>
      </w:pPr>
      <w:bookmarkStart w:id="4" w:name="_Toc155882700"/>
      <w:r>
        <w:t>Carla's Emotional State</w:t>
      </w:r>
      <w:bookmarkEnd w:id="4"/>
    </w:p>
    <w:p w14:paraId="2896033A" w14:textId="549F64A8" w:rsidR="0044110D" w:rsidRDefault="0044110D" w:rsidP="0044110D">
      <w:r w:rsidRPr="0044110D">
        <w:t xml:space="preserve">Carla's emotional state </w:t>
      </w:r>
      <w:r>
        <w:t>at</w:t>
      </w:r>
      <w:r w:rsidRPr="0044110D">
        <w:t xml:space="preserve"> the time of the incident is crucial in figuring out her crook responsibility. Carla's emotional soreness became probably vital in the unfolding occasions, as she became </w:t>
      </w:r>
      <w:r w:rsidR="004A6A7A">
        <w:t>conquered</w:t>
      </w:r>
      <w:r w:rsidRPr="0044110D">
        <w:t xml:space="preserve"> through the information of Jamie's </w:t>
      </w:r>
      <w:r>
        <w:t>dishonesty</w:t>
      </w:r>
      <w:r w:rsidRPr="0044110D">
        <w:t xml:space="preserve"> and the result of lengthy-status marital problems. When figuring out cr</w:t>
      </w:r>
      <w:r>
        <w:t>iminal</w:t>
      </w:r>
      <w:r w:rsidRPr="0044110D">
        <w:t xml:space="preserve"> guilt, courts frequently take into account a person's intellectual health as a reducing issue, specifically in instances </w:t>
      </w:r>
      <w:r>
        <w:t>where</w:t>
      </w:r>
      <w:r w:rsidRPr="0044110D">
        <w:t xml:space="preserve"> severe feelings might also impair judgment. If Carla's sports have been motivated by a surprising and severe emotional reaction, the degree of reason assigned to her acts can be impacted. Individuals may act rapidly beneath the effect of excessive emotions, which may have an effect on the exam of charges and the evaluation of defences inclusive of provoked or dwindled culpability, </w:t>
      </w:r>
      <w:r w:rsidRPr="0044110D">
        <w:lastRenderedPageBreak/>
        <w:t xml:space="preserve">according to the law. As a result, a radical exam of Carla's mental kingdom throughout the dispute is required to determine the ideal </w:t>
      </w:r>
      <w:r>
        <w:t>legal</w:t>
      </w:r>
      <w:r w:rsidRPr="0044110D">
        <w:t xml:space="preserve"> effects and capacity factors in her case.</w:t>
      </w:r>
    </w:p>
    <w:p w14:paraId="5FCEFA3B" w14:textId="2EEB89CF" w:rsidR="0044110D" w:rsidRDefault="0044110D" w:rsidP="0044110D">
      <w:pPr>
        <w:pStyle w:val="Heading1"/>
      </w:pPr>
      <w:bookmarkStart w:id="5" w:name="_Toc155882701"/>
      <w:r w:rsidRPr="0044110D">
        <w:t>Jamie's Confession</w:t>
      </w:r>
      <w:bookmarkEnd w:id="5"/>
    </w:p>
    <w:p w14:paraId="55CD07AC" w14:textId="7B22EB41" w:rsidR="0044110D" w:rsidRDefault="0044110D" w:rsidP="000F453E">
      <w:r w:rsidRPr="0044110D">
        <w:t xml:space="preserve">Jamie's admission during the heated dispute with Carla of having a brief </w:t>
      </w:r>
      <w:r>
        <w:t>date</w:t>
      </w:r>
      <w:r w:rsidRPr="0044110D">
        <w:t xml:space="preserve"> with a coworker, Emma, is widespread in figuring out the history of the prevalence. His admission now not simplest exposes a breach of </w:t>
      </w:r>
      <w:r>
        <w:t>belief</w:t>
      </w:r>
      <w:r w:rsidRPr="0044110D">
        <w:t xml:space="preserve"> but may upload to Carla's expanded emotional situation. In a felony putting, Jamie's confession might be critical to provocation issues, thereby impacting Carla's crook responsibility. </w:t>
      </w:r>
      <w:r w:rsidR="000F453E" w:rsidRPr="000F453E">
        <w:t xml:space="preserve">The court agenda may moreover remember the impact of this discovery on Carla's mental condition, conceding its suitable contribution in encouraging impulsive way of behaving. The prison implications, at the same time, can be chosen through </w:t>
      </w:r>
      <w:r w:rsidR="000F453E">
        <w:t xml:space="preserve">the </w:t>
      </w:r>
      <w:r w:rsidR="000F453E" w:rsidRPr="000F453E">
        <w:t>way of the jurisdiction's regulation and the court's view.</w:t>
      </w:r>
      <w:r>
        <w:br w:type="page"/>
      </w:r>
    </w:p>
    <w:p w14:paraId="5816B438" w14:textId="1AA509A8" w:rsidR="0044110D" w:rsidRDefault="0044110D" w:rsidP="0044110D">
      <w:pPr>
        <w:pStyle w:val="Heading1"/>
      </w:pPr>
      <w:bookmarkStart w:id="6" w:name="_Toc155882702"/>
      <w:r>
        <w:lastRenderedPageBreak/>
        <w:t>Conclusion</w:t>
      </w:r>
      <w:bookmarkEnd w:id="6"/>
    </w:p>
    <w:p w14:paraId="733714D5" w14:textId="0C52A8E1" w:rsidR="0044110D" w:rsidRDefault="000F453E" w:rsidP="000F453E">
      <w:r w:rsidRPr="000F453E">
        <w:t xml:space="preserve">In this situation, Carla's possibly hoodlum obligation for stabbing Jamie entails a cautious consideration of lawful thoughts, historical past elements, and accessible defences. Depending </w:t>
      </w:r>
      <w:r>
        <w:t>on</w:t>
      </w:r>
      <w:r w:rsidRPr="000F453E">
        <w:t xml:space="preserve"> the severity of Jamie's accidents and Carla's reasoning, assault or tried manslaughter fees might be made. Case guideline, similar </w:t>
      </w:r>
      <w:r>
        <w:t>to</w:t>
      </w:r>
      <w:r w:rsidRPr="000F453E">
        <w:t xml:space="preserve"> R v Cunningham and R v Vickers, elucidates the men's rea expected for the assault, coordinating Carla's </w:t>
      </w:r>
      <w:r w:rsidR="00397069" w:rsidRPr="000F453E">
        <w:t>guilt</w:t>
      </w:r>
      <w:r w:rsidRPr="000F453E">
        <w:t xml:space="preserve"> strength of psyche. The Offenses Against the Person Act 1861, </w:t>
      </w:r>
      <w:r>
        <w:t>especially</w:t>
      </w:r>
      <w:r w:rsidRPr="000F453E">
        <w:t xml:space="preserve">, establishes the real start line for such </w:t>
      </w:r>
      <w:r>
        <w:t>offences</w:t>
      </w:r>
      <w:r w:rsidRPr="000F453E">
        <w:t xml:space="preserve">. Carla's ability </w:t>
      </w:r>
      <w:r>
        <w:t>defences</w:t>
      </w:r>
      <w:r w:rsidRPr="000F453E">
        <w:t xml:space="preserve">, which incorporate self-insurance and incitement, gift obfuscated criminal problems that can be interlaced along with her thoughts and Jamie's confession. The interrelationships of those elements feature the problems of evildoer </w:t>
      </w:r>
      <w:r>
        <w:t>guidelines</w:t>
      </w:r>
      <w:r w:rsidRPr="000F453E">
        <w:t xml:space="preserve">, featuring the significance of careful request in distinguishing Carla's crime destiny. At staying, the </w:t>
      </w:r>
      <w:r>
        <w:t>end</w:t>
      </w:r>
      <w:r w:rsidRPr="000F453E">
        <w:t xml:space="preserve"> of this scenario is dependent </w:t>
      </w:r>
      <w:r>
        <w:t>on</w:t>
      </w:r>
      <w:r w:rsidRPr="000F453E">
        <w:t xml:space="preserve"> the court agenda schedule's assessment of the troubles inside the real </w:t>
      </w:r>
      <w:r>
        <w:t>setting</w:t>
      </w:r>
      <w:r w:rsidRPr="000F453E">
        <w:t>.</w:t>
      </w:r>
      <w:r w:rsidR="0044110D">
        <w:br w:type="page"/>
      </w:r>
    </w:p>
    <w:p w14:paraId="1CE53456" w14:textId="45EABF18" w:rsidR="0044110D" w:rsidRDefault="0044110D" w:rsidP="0044110D">
      <w:pPr>
        <w:pStyle w:val="Heading1"/>
      </w:pPr>
      <w:bookmarkStart w:id="7" w:name="_Toc155882703"/>
      <w:r>
        <w:lastRenderedPageBreak/>
        <w:t>References</w:t>
      </w:r>
      <w:bookmarkEnd w:id="7"/>
    </w:p>
    <w:p w14:paraId="6DACA388" w14:textId="77777777" w:rsidR="0044110D" w:rsidRDefault="0044110D" w:rsidP="0044110D">
      <w:r w:rsidRPr="0044110D">
        <w:t xml:space="preserve">Baglivio, M.T. and Wolff, K.T., </w:t>
      </w:r>
      <w:r>
        <w:t>(</w:t>
      </w:r>
      <w:r w:rsidRPr="0044110D">
        <w:t>2017</w:t>
      </w:r>
      <w:r>
        <w:t>)</w:t>
      </w:r>
      <w:r w:rsidRPr="0044110D">
        <w:t>. Prospective prediction of juvenile homicide/attempted homicide among early-onset juvenile offenders. International journal of environmental research and public health, 14(2), p.197.</w:t>
      </w:r>
    </w:p>
    <w:p w14:paraId="130A813C" w14:textId="77777777" w:rsidR="0044110D" w:rsidRDefault="0044110D" w:rsidP="0044110D">
      <w:r w:rsidRPr="0044110D">
        <w:t xml:space="preserve">Heinze, J.E., Reischl, T.M., Bai, M., Roche, J.S., Morrel-Samuels, S., Cunningham, R.M. and Zimmerman, M.A., </w:t>
      </w:r>
      <w:r>
        <w:t>(</w:t>
      </w:r>
      <w:r w:rsidRPr="0044110D">
        <w:t>2016</w:t>
      </w:r>
      <w:r>
        <w:t>)</w:t>
      </w:r>
      <w:r w:rsidRPr="0044110D">
        <w:t>. A comprehensive prevention approach to reducing assault offenses and assault injuries among youth. Prevention science, 17, pp.167-176.</w:t>
      </w:r>
    </w:p>
    <w:p w14:paraId="150C92C5" w14:textId="77777777" w:rsidR="0044110D" w:rsidRDefault="0044110D" w:rsidP="0044110D">
      <w:r w:rsidRPr="0044110D">
        <w:t>IPSA LOQUITUR (2022) R v vickers – case summary, IPSA LOQUITUR. Available at: https://ipsaloquitur.com/criminal-law/cases/r-v-vickers/ (Accessed: 11 January 2024).</w:t>
      </w:r>
    </w:p>
    <w:p w14:paraId="1E675D58" w14:textId="77777777" w:rsidR="0044110D" w:rsidRDefault="0044110D" w:rsidP="0044110D">
      <w:r w:rsidRPr="0044110D">
        <w:t>Lawresources (2023) R v Cunningham. Available at: https://e-lawresources.co.uk/R-v-Cunningham.php (Accessed: 11 January 2024).</w:t>
      </w:r>
    </w:p>
    <w:p w14:paraId="7E74C145" w14:textId="77777777" w:rsidR="0044110D" w:rsidRDefault="0044110D" w:rsidP="0044110D">
      <w:r w:rsidRPr="0044110D">
        <w:t xml:space="preserve">Morgan, J., </w:t>
      </w:r>
      <w:r>
        <w:t>(</w:t>
      </w:r>
      <w:r w:rsidRPr="0044110D">
        <w:t>2018</w:t>
      </w:r>
      <w:r>
        <w:t>)</w:t>
      </w:r>
      <w:r w:rsidRPr="0044110D">
        <w:t>. Offences against the Person and Sexually Transmitted Diseases: Aubrey v the Queen (2017) 260 CLR 305. Adel. L. Rev., 39, p.207.</w:t>
      </w:r>
    </w:p>
    <w:p w14:paraId="60277F22" w14:textId="77777777" w:rsidR="0044110D" w:rsidRDefault="0044110D" w:rsidP="0044110D">
      <w:r w:rsidRPr="0044110D">
        <w:t xml:space="preserve">Owaydhah, K., </w:t>
      </w:r>
      <w:r>
        <w:t>(</w:t>
      </w:r>
      <w:r w:rsidRPr="0044110D">
        <w:t>2018</w:t>
      </w:r>
      <w:r>
        <w:t>)</w:t>
      </w:r>
      <w:r w:rsidRPr="0044110D">
        <w:t>. The Legal Dimensions of Self Defence Under Islamic Jurisprudence (Doctoral dissertation, Flinders University, College of Business, Government and Law.).</w:t>
      </w:r>
    </w:p>
    <w:p w14:paraId="664519FC" w14:textId="2EDE0E20" w:rsidR="0044110D" w:rsidRPr="0044110D" w:rsidRDefault="0044110D" w:rsidP="0044110D">
      <w:r w:rsidRPr="0044110D">
        <w:t xml:space="preserve">Webb, J., </w:t>
      </w:r>
      <w:r>
        <w:t>(</w:t>
      </w:r>
      <w:r w:rsidRPr="0044110D">
        <w:t>2019</w:t>
      </w:r>
      <w:r>
        <w:t>)</w:t>
      </w:r>
      <w:r w:rsidRPr="0044110D">
        <w:t>. Information technology and the future of legal education: a provocation. Griffith Journal of Law &amp; Human Dignity, pp.72-104</w:t>
      </w:r>
      <w:r w:rsidR="003C7483">
        <w:t>.</w:t>
      </w:r>
    </w:p>
    <w:sectPr w:rsidR="0044110D" w:rsidRPr="0044110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C0622" w14:textId="77777777" w:rsidR="004651A9" w:rsidRDefault="004651A9" w:rsidP="0044110D">
      <w:pPr>
        <w:spacing w:after="0" w:line="240" w:lineRule="auto"/>
      </w:pPr>
      <w:r>
        <w:separator/>
      </w:r>
    </w:p>
  </w:endnote>
  <w:endnote w:type="continuationSeparator" w:id="0">
    <w:p w14:paraId="00829ACE" w14:textId="77777777" w:rsidR="004651A9" w:rsidRDefault="004651A9" w:rsidP="00441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567965"/>
      <w:docPartObj>
        <w:docPartGallery w:val="Page Numbers (Bottom of Page)"/>
        <w:docPartUnique/>
      </w:docPartObj>
    </w:sdtPr>
    <w:sdtEndPr>
      <w:rPr>
        <w:noProof/>
      </w:rPr>
    </w:sdtEndPr>
    <w:sdtContent>
      <w:p w14:paraId="023A38E0" w14:textId="5E838D73" w:rsidR="0044110D" w:rsidRDefault="004411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AD1EF9" w14:textId="77777777" w:rsidR="0044110D" w:rsidRDefault="00441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3F4EA" w14:textId="77777777" w:rsidR="004651A9" w:rsidRDefault="004651A9" w:rsidP="0044110D">
      <w:pPr>
        <w:spacing w:after="0" w:line="240" w:lineRule="auto"/>
      </w:pPr>
      <w:r>
        <w:separator/>
      </w:r>
    </w:p>
  </w:footnote>
  <w:footnote w:type="continuationSeparator" w:id="0">
    <w:p w14:paraId="087FC2E6" w14:textId="77777777" w:rsidR="004651A9" w:rsidRDefault="004651A9" w:rsidP="004411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248"/>
    <w:rsid w:val="00040AFF"/>
    <w:rsid w:val="000F453E"/>
    <w:rsid w:val="002F7BB6"/>
    <w:rsid w:val="003138BB"/>
    <w:rsid w:val="00314D2D"/>
    <w:rsid w:val="00360248"/>
    <w:rsid w:val="00380554"/>
    <w:rsid w:val="00397069"/>
    <w:rsid w:val="003B6F87"/>
    <w:rsid w:val="003C7483"/>
    <w:rsid w:val="003E4DA8"/>
    <w:rsid w:val="0044110D"/>
    <w:rsid w:val="00453307"/>
    <w:rsid w:val="004651A9"/>
    <w:rsid w:val="004A6A7A"/>
    <w:rsid w:val="004B610C"/>
    <w:rsid w:val="00525D9B"/>
    <w:rsid w:val="00535497"/>
    <w:rsid w:val="005E752E"/>
    <w:rsid w:val="006A0B33"/>
    <w:rsid w:val="006C63AF"/>
    <w:rsid w:val="0083329C"/>
    <w:rsid w:val="008D737C"/>
    <w:rsid w:val="00CB4808"/>
    <w:rsid w:val="00CC56A0"/>
    <w:rsid w:val="00D00976"/>
    <w:rsid w:val="00D369F4"/>
    <w:rsid w:val="00DC6EA3"/>
    <w:rsid w:val="00DD582D"/>
    <w:rsid w:val="00F40C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05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55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80554"/>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380554"/>
    <w:pPr>
      <w:keepNext/>
      <w:keepLines/>
      <w:spacing w:before="40" w:after="0"/>
      <w:outlineLvl w:val="1"/>
    </w:pPr>
    <w:rPr>
      <w:rFonts w:eastAsiaTheme="majorEastAsia" w:cs="Arial"/>
      <w:b/>
      <w:color w:val="1F1F1F"/>
      <w:sz w:val="32"/>
      <w:szCs w:val="28"/>
      <w:shd w:val="clear" w:color="auto" w:fill="FFFFFF"/>
    </w:rPr>
  </w:style>
  <w:style w:type="paragraph" w:styleId="Heading3">
    <w:name w:val="heading 3"/>
    <w:basedOn w:val="Normal"/>
    <w:next w:val="Normal"/>
    <w:link w:val="Heading3Char"/>
    <w:uiPriority w:val="9"/>
    <w:unhideWhenUsed/>
    <w:qFormat/>
    <w:rsid w:val="00453307"/>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554"/>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380554"/>
    <w:rPr>
      <w:rFonts w:ascii="Times New Roman" w:eastAsiaTheme="majorEastAsia" w:hAnsi="Times New Roman" w:cs="Arial"/>
      <w:b/>
      <w:color w:val="1F1F1F"/>
      <w:sz w:val="32"/>
      <w:szCs w:val="28"/>
    </w:rPr>
  </w:style>
  <w:style w:type="character" w:customStyle="1" w:styleId="Heading3Char">
    <w:name w:val="Heading 3 Char"/>
    <w:basedOn w:val="DefaultParagraphFont"/>
    <w:link w:val="Heading3"/>
    <w:uiPriority w:val="9"/>
    <w:rsid w:val="00453307"/>
    <w:rPr>
      <w:rFonts w:ascii="Times New Roman" w:eastAsiaTheme="majorEastAsia" w:hAnsi="Times New Roman" w:cstheme="majorBidi"/>
      <w:b/>
      <w:sz w:val="28"/>
      <w:szCs w:val="24"/>
    </w:rPr>
  </w:style>
  <w:style w:type="character" w:styleId="CommentReference">
    <w:name w:val="annotation reference"/>
    <w:basedOn w:val="DefaultParagraphFont"/>
    <w:uiPriority w:val="99"/>
    <w:semiHidden/>
    <w:unhideWhenUsed/>
    <w:rsid w:val="0044110D"/>
    <w:rPr>
      <w:sz w:val="16"/>
      <w:szCs w:val="16"/>
    </w:rPr>
  </w:style>
  <w:style w:type="paragraph" w:styleId="CommentText">
    <w:name w:val="annotation text"/>
    <w:basedOn w:val="Normal"/>
    <w:link w:val="CommentTextChar"/>
    <w:uiPriority w:val="99"/>
    <w:semiHidden/>
    <w:unhideWhenUsed/>
    <w:rsid w:val="0044110D"/>
    <w:pPr>
      <w:spacing w:line="240" w:lineRule="auto"/>
    </w:pPr>
    <w:rPr>
      <w:sz w:val="20"/>
      <w:szCs w:val="20"/>
    </w:rPr>
  </w:style>
  <w:style w:type="character" w:customStyle="1" w:styleId="CommentTextChar">
    <w:name w:val="Comment Text Char"/>
    <w:basedOn w:val="DefaultParagraphFont"/>
    <w:link w:val="CommentText"/>
    <w:uiPriority w:val="99"/>
    <w:semiHidden/>
    <w:rsid w:val="0044110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4110D"/>
    <w:rPr>
      <w:b/>
      <w:bCs/>
    </w:rPr>
  </w:style>
  <w:style w:type="character" w:customStyle="1" w:styleId="CommentSubjectChar">
    <w:name w:val="Comment Subject Char"/>
    <w:basedOn w:val="CommentTextChar"/>
    <w:link w:val="CommentSubject"/>
    <w:uiPriority w:val="99"/>
    <w:semiHidden/>
    <w:rsid w:val="0044110D"/>
    <w:rPr>
      <w:rFonts w:ascii="Times New Roman" w:hAnsi="Times New Roman"/>
      <w:b/>
      <w:bCs/>
      <w:sz w:val="20"/>
      <w:szCs w:val="20"/>
    </w:rPr>
  </w:style>
  <w:style w:type="paragraph" w:styleId="Header">
    <w:name w:val="header"/>
    <w:basedOn w:val="Normal"/>
    <w:link w:val="HeaderChar"/>
    <w:uiPriority w:val="99"/>
    <w:unhideWhenUsed/>
    <w:rsid w:val="00441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10D"/>
    <w:rPr>
      <w:rFonts w:ascii="Times New Roman" w:hAnsi="Times New Roman"/>
      <w:sz w:val="24"/>
    </w:rPr>
  </w:style>
  <w:style w:type="paragraph" w:styleId="Footer">
    <w:name w:val="footer"/>
    <w:basedOn w:val="Normal"/>
    <w:link w:val="FooterChar"/>
    <w:uiPriority w:val="99"/>
    <w:unhideWhenUsed/>
    <w:rsid w:val="00441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10D"/>
    <w:rPr>
      <w:rFonts w:ascii="Times New Roman" w:hAnsi="Times New Roman"/>
      <w:sz w:val="24"/>
    </w:rPr>
  </w:style>
  <w:style w:type="paragraph" w:styleId="TOCHeading">
    <w:name w:val="TOC Heading"/>
    <w:basedOn w:val="Heading1"/>
    <w:next w:val="Normal"/>
    <w:uiPriority w:val="39"/>
    <w:unhideWhenUsed/>
    <w:qFormat/>
    <w:rsid w:val="0044110D"/>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44110D"/>
    <w:pPr>
      <w:spacing w:after="100"/>
    </w:pPr>
  </w:style>
  <w:style w:type="character" w:styleId="Hyperlink">
    <w:name w:val="Hyperlink"/>
    <w:basedOn w:val="DefaultParagraphFont"/>
    <w:uiPriority w:val="99"/>
    <w:unhideWhenUsed/>
    <w:rsid w:val="004411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391156">
      <w:bodyDiv w:val="1"/>
      <w:marLeft w:val="0"/>
      <w:marRight w:val="0"/>
      <w:marTop w:val="0"/>
      <w:marBottom w:val="0"/>
      <w:divBdr>
        <w:top w:val="none" w:sz="0" w:space="0" w:color="auto"/>
        <w:left w:val="none" w:sz="0" w:space="0" w:color="auto"/>
        <w:bottom w:val="none" w:sz="0" w:space="0" w:color="auto"/>
        <w:right w:val="none" w:sz="0" w:space="0" w:color="auto"/>
      </w:divBdr>
    </w:div>
    <w:div w:id="1024863843">
      <w:bodyDiv w:val="1"/>
      <w:marLeft w:val="0"/>
      <w:marRight w:val="0"/>
      <w:marTop w:val="0"/>
      <w:marBottom w:val="0"/>
      <w:divBdr>
        <w:top w:val="none" w:sz="0" w:space="0" w:color="auto"/>
        <w:left w:val="none" w:sz="0" w:space="0" w:color="auto"/>
        <w:bottom w:val="none" w:sz="0" w:space="0" w:color="auto"/>
        <w:right w:val="none" w:sz="0" w:space="0" w:color="auto"/>
      </w:divBdr>
    </w:div>
    <w:div w:id="1403067574">
      <w:bodyDiv w:val="1"/>
      <w:marLeft w:val="0"/>
      <w:marRight w:val="0"/>
      <w:marTop w:val="0"/>
      <w:marBottom w:val="0"/>
      <w:divBdr>
        <w:top w:val="none" w:sz="0" w:space="0" w:color="auto"/>
        <w:left w:val="none" w:sz="0" w:space="0" w:color="auto"/>
        <w:bottom w:val="none" w:sz="0" w:space="0" w:color="auto"/>
        <w:right w:val="none" w:sz="0" w:space="0" w:color="auto"/>
      </w:divBdr>
    </w:div>
    <w:div w:id="1627394341">
      <w:bodyDiv w:val="1"/>
      <w:marLeft w:val="0"/>
      <w:marRight w:val="0"/>
      <w:marTop w:val="0"/>
      <w:marBottom w:val="0"/>
      <w:divBdr>
        <w:top w:val="none" w:sz="0" w:space="0" w:color="auto"/>
        <w:left w:val="none" w:sz="0" w:space="0" w:color="auto"/>
        <w:bottom w:val="none" w:sz="0" w:space="0" w:color="auto"/>
        <w:right w:val="none" w:sz="0" w:space="0" w:color="auto"/>
      </w:divBdr>
    </w:div>
    <w:div w:id="1852792084">
      <w:bodyDiv w:val="1"/>
      <w:marLeft w:val="0"/>
      <w:marRight w:val="0"/>
      <w:marTop w:val="0"/>
      <w:marBottom w:val="0"/>
      <w:divBdr>
        <w:top w:val="none" w:sz="0" w:space="0" w:color="auto"/>
        <w:left w:val="none" w:sz="0" w:space="0" w:color="auto"/>
        <w:bottom w:val="none" w:sz="0" w:space="0" w:color="auto"/>
        <w:right w:val="none" w:sz="0" w:space="0" w:color="auto"/>
      </w:divBdr>
    </w:div>
    <w:div w:id="2094164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E6FF7-70B2-4320-8EF1-97885AE1C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1794</Words>
  <Characters>10229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2024-01-11T09:11:00Z</dcterms:created>
  <dcterms:modified xsi:type="dcterms:W3CDTF">2024-01-11T16:44:00Z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e53d3384c74291ab9b6e92f7f7a4edff414459d14840ef8890306f7e4e6a71a0</vt:lpwstr>
  </property>
</Properties>
</file>