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2FFB7" w14:textId="77777777" w:rsidR="00ED1015" w:rsidRDefault="00ED1015" w:rsidP="00DE02B7">
      <w:pPr>
        <w:spacing w:line="480" w:lineRule="auto"/>
        <w:jc w:val="center"/>
        <w:rPr>
          <w:rFonts w:ascii="Times New Roman" w:hAnsi="Times New Roman" w:cs="Times New Roman"/>
          <w:sz w:val="36"/>
          <w:szCs w:val="36"/>
        </w:rPr>
      </w:pPr>
    </w:p>
    <w:p w14:paraId="037E7A59" w14:textId="77777777" w:rsidR="004E378B" w:rsidRDefault="004E378B" w:rsidP="00DE02B7">
      <w:pPr>
        <w:spacing w:line="480" w:lineRule="auto"/>
        <w:jc w:val="center"/>
        <w:rPr>
          <w:rFonts w:ascii="Times New Roman" w:hAnsi="Times New Roman" w:cs="Times New Roman"/>
          <w:sz w:val="36"/>
          <w:szCs w:val="36"/>
        </w:rPr>
      </w:pPr>
    </w:p>
    <w:p w14:paraId="670A7AA8" w14:textId="5AA984AA" w:rsidR="00DE02B7" w:rsidRPr="004E378B" w:rsidRDefault="0062607C" w:rsidP="00DE02B7">
      <w:pPr>
        <w:spacing w:line="480" w:lineRule="auto"/>
        <w:ind w:firstLine="720"/>
        <w:jc w:val="center"/>
        <w:rPr>
          <w:rFonts w:ascii="Times New Roman" w:hAnsi="Times New Roman" w:cs="Times New Roman"/>
          <w:b/>
          <w:bCs/>
          <w:sz w:val="44"/>
          <w:szCs w:val="44"/>
        </w:rPr>
      </w:pPr>
      <w:r w:rsidRPr="004E378B">
        <w:rPr>
          <w:rFonts w:ascii="Times New Roman" w:eastAsia="Times New Roman" w:hAnsi="Times New Roman" w:cs="Times New Roman"/>
          <w:b/>
          <w:bCs/>
          <w:sz w:val="44"/>
          <w:szCs w:val="44"/>
          <w:lang w:eastAsia="en-GB"/>
        </w:rPr>
        <w:t>International Financial Management in British Petroleum: Challenges and Approaches</w:t>
      </w:r>
    </w:p>
    <w:p w14:paraId="1810610A" w14:textId="77777777" w:rsidR="00DE02B7" w:rsidRDefault="00DE02B7" w:rsidP="00DE02B7">
      <w:pPr>
        <w:spacing w:line="480" w:lineRule="auto"/>
        <w:ind w:firstLine="720"/>
        <w:jc w:val="center"/>
        <w:rPr>
          <w:rFonts w:ascii="Times New Roman" w:hAnsi="Times New Roman" w:cs="Times New Roman"/>
          <w:sz w:val="24"/>
          <w:szCs w:val="24"/>
        </w:rPr>
      </w:pPr>
    </w:p>
    <w:p w14:paraId="47678696" w14:textId="77777777" w:rsidR="00DE02B7" w:rsidRDefault="00DE02B7" w:rsidP="00DE02B7">
      <w:pPr>
        <w:spacing w:line="480" w:lineRule="auto"/>
        <w:ind w:firstLine="720"/>
        <w:jc w:val="center"/>
        <w:rPr>
          <w:rFonts w:ascii="Times New Roman" w:hAnsi="Times New Roman" w:cs="Times New Roman"/>
          <w:sz w:val="24"/>
          <w:szCs w:val="24"/>
        </w:rPr>
      </w:pPr>
    </w:p>
    <w:p w14:paraId="5E18D112" w14:textId="77777777" w:rsidR="00AF60ED" w:rsidRDefault="00AF60ED" w:rsidP="00DE02B7">
      <w:pPr>
        <w:spacing w:line="480" w:lineRule="auto"/>
        <w:ind w:firstLine="720"/>
        <w:jc w:val="center"/>
        <w:rPr>
          <w:rFonts w:ascii="Times New Roman" w:hAnsi="Times New Roman" w:cs="Times New Roman"/>
          <w:sz w:val="24"/>
          <w:szCs w:val="24"/>
        </w:rPr>
      </w:pPr>
    </w:p>
    <w:p w14:paraId="69A30D0B" w14:textId="77777777" w:rsidR="00DE02B7" w:rsidRDefault="00DE02B7" w:rsidP="00DE02B7">
      <w:pPr>
        <w:spacing w:line="360" w:lineRule="auto"/>
        <w:jc w:val="center"/>
        <w:rPr>
          <w:rFonts w:ascii="Times New Roman" w:hAnsi="Times New Roman" w:cs="Times New Roman"/>
          <w:sz w:val="24"/>
          <w:szCs w:val="24"/>
        </w:rPr>
      </w:pPr>
      <w:r>
        <w:rPr>
          <w:rFonts w:ascii="Times New Roman" w:hAnsi="Times New Roman" w:cs="Times New Roman"/>
          <w:sz w:val="24"/>
          <w:szCs w:val="24"/>
        </w:rPr>
        <w:t>Stefan Gheorghe-2024473</w:t>
      </w:r>
    </w:p>
    <w:p w14:paraId="2F38560F" w14:textId="77777777" w:rsidR="00DE02B7" w:rsidRDefault="00DE02B7" w:rsidP="00DE02B7">
      <w:pPr>
        <w:spacing w:line="480" w:lineRule="auto"/>
        <w:ind w:firstLine="720"/>
        <w:jc w:val="center"/>
        <w:rPr>
          <w:rFonts w:ascii="Times New Roman" w:hAnsi="Times New Roman" w:cs="Times New Roman"/>
          <w:sz w:val="24"/>
          <w:szCs w:val="24"/>
        </w:rPr>
      </w:pPr>
    </w:p>
    <w:p w14:paraId="1F4A48FB" w14:textId="77777777" w:rsidR="00DE02B7" w:rsidRDefault="00DE02B7" w:rsidP="00DE02B7">
      <w:pPr>
        <w:spacing w:line="480" w:lineRule="auto"/>
        <w:ind w:firstLine="720"/>
        <w:jc w:val="center"/>
        <w:rPr>
          <w:rFonts w:ascii="Times New Roman" w:hAnsi="Times New Roman" w:cs="Times New Roman"/>
          <w:sz w:val="24"/>
          <w:szCs w:val="24"/>
        </w:rPr>
      </w:pPr>
    </w:p>
    <w:p w14:paraId="7FDE7C41" w14:textId="77777777" w:rsidR="00DE02B7" w:rsidRDefault="00DE02B7" w:rsidP="00DE02B7">
      <w:pPr>
        <w:spacing w:line="480" w:lineRule="auto"/>
        <w:ind w:firstLine="720"/>
        <w:jc w:val="center"/>
        <w:rPr>
          <w:rFonts w:ascii="Times New Roman" w:hAnsi="Times New Roman" w:cs="Times New Roman"/>
          <w:sz w:val="24"/>
          <w:szCs w:val="24"/>
        </w:rPr>
      </w:pPr>
    </w:p>
    <w:p w14:paraId="1551B6DD" w14:textId="77777777" w:rsidR="00DE02B7" w:rsidRDefault="00DE02B7" w:rsidP="00DE02B7">
      <w:pPr>
        <w:spacing w:line="480" w:lineRule="auto"/>
        <w:ind w:firstLine="720"/>
        <w:jc w:val="center"/>
        <w:rPr>
          <w:rFonts w:ascii="Times New Roman" w:hAnsi="Times New Roman" w:cs="Times New Roman"/>
          <w:sz w:val="24"/>
          <w:szCs w:val="24"/>
        </w:rPr>
      </w:pPr>
    </w:p>
    <w:p w14:paraId="7AE0E977" w14:textId="0BC17D54" w:rsidR="00DE02B7" w:rsidRDefault="00DE02B7" w:rsidP="00DE02B7">
      <w:pPr>
        <w:spacing w:line="480" w:lineRule="auto"/>
        <w:jc w:val="center"/>
        <w:rPr>
          <w:rFonts w:ascii="Times New Roman" w:hAnsi="Times New Roman" w:cs="Times New Roman"/>
          <w:sz w:val="24"/>
          <w:szCs w:val="24"/>
        </w:rPr>
      </w:pPr>
      <w:r>
        <w:rPr>
          <w:rFonts w:ascii="Times New Roman" w:hAnsi="Times New Roman" w:cs="Times New Roman"/>
          <w:sz w:val="24"/>
          <w:szCs w:val="24"/>
        </w:rPr>
        <w:t>International Financial Management – LCBB 6002</w:t>
      </w:r>
    </w:p>
    <w:p w14:paraId="21696861" w14:textId="79197E78" w:rsidR="00DE02B7" w:rsidRDefault="00DE02B7" w:rsidP="00DE02B7">
      <w:pPr>
        <w:spacing w:line="480" w:lineRule="auto"/>
        <w:jc w:val="center"/>
        <w:rPr>
          <w:rFonts w:ascii="Times New Roman" w:hAnsi="Times New Roman" w:cs="Times New Roman"/>
          <w:sz w:val="24"/>
          <w:szCs w:val="24"/>
        </w:rPr>
      </w:pPr>
      <w:r>
        <w:rPr>
          <w:rFonts w:ascii="Times New Roman" w:hAnsi="Times New Roman" w:cs="Times New Roman"/>
          <w:sz w:val="24"/>
          <w:szCs w:val="24"/>
        </w:rPr>
        <w:t>Lecturer</w:t>
      </w:r>
      <w:r w:rsidR="00AF60ED">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Dr.</w:t>
      </w:r>
      <w:proofErr w:type="spellEnd"/>
      <w:r>
        <w:rPr>
          <w:rFonts w:ascii="Times New Roman" w:hAnsi="Times New Roman" w:cs="Times New Roman"/>
          <w:sz w:val="24"/>
          <w:szCs w:val="24"/>
        </w:rPr>
        <w:t xml:space="preserve"> Konstantina Mari</w:t>
      </w:r>
    </w:p>
    <w:p w14:paraId="63D60550" w14:textId="77777777" w:rsidR="00DE02B7" w:rsidRDefault="00DE02B7" w:rsidP="00DE02B7">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2496B11F" w14:textId="50FDFEF6" w:rsidR="00DE02B7" w:rsidRDefault="00DE02B7" w:rsidP="00DE02B7">
      <w:pPr>
        <w:spacing w:line="480" w:lineRule="auto"/>
        <w:jc w:val="center"/>
        <w:rPr>
          <w:rFonts w:ascii="Times New Roman" w:hAnsi="Times New Roman" w:cs="Times New Roman"/>
          <w:sz w:val="24"/>
          <w:szCs w:val="24"/>
        </w:rPr>
      </w:pPr>
      <w:r>
        <w:rPr>
          <w:rFonts w:ascii="Times New Roman" w:hAnsi="Times New Roman" w:cs="Times New Roman"/>
          <w:sz w:val="24"/>
          <w:szCs w:val="24"/>
        </w:rPr>
        <w:t>03.05.2023</w:t>
      </w:r>
    </w:p>
    <w:p w14:paraId="294630E0" w14:textId="77777777" w:rsidR="004E674E" w:rsidRDefault="004E674E">
      <w:pPr>
        <w:rPr>
          <w:rFonts w:ascii="Times New Roman" w:hAnsi="Times New Roman" w:cs="Times New Roman"/>
          <w:sz w:val="24"/>
          <w:szCs w:val="24"/>
        </w:rPr>
      </w:pPr>
    </w:p>
    <w:p w14:paraId="4C4F05B2" w14:textId="77777777" w:rsidR="00900D2C" w:rsidRDefault="00900D2C">
      <w:pPr>
        <w:rPr>
          <w:rFonts w:ascii="Times New Roman" w:hAnsi="Times New Roman" w:cs="Times New Roman"/>
          <w:sz w:val="24"/>
          <w:szCs w:val="24"/>
        </w:rPr>
      </w:pPr>
    </w:p>
    <w:p w14:paraId="54DEE1B8" w14:textId="77777777" w:rsidR="00900D2C" w:rsidRDefault="00900D2C">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673611627"/>
        <w:docPartObj>
          <w:docPartGallery w:val="Table of Contents"/>
          <w:docPartUnique/>
        </w:docPartObj>
      </w:sdtPr>
      <w:sdtEndPr>
        <w:rPr>
          <w:b/>
          <w:bCs/>
          <w:noProof/>
        </w:rPr>
      </w:sdtEndPr>
      <w:sdtContent>
        <w:p w14:paraId="3F16B60A" w14:textId="32CD967E" w:rsidR="00CC755E" w:rsidRDefault="00CC755E">
          <w:pPr>
            <w:pStyle w:val="TOCHeading"/>
          </w:pPr>
          <w:r>
            <w:t>Table of Contents</w:t>
          </w:r>
        </w:p>
        <w:p w14:paraId="73D83FFE" w14:textId="37CD4271" w:rsidR="00446C02" w:rsidRDefault="00CC755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3998826" w:history="1">
            <w:r w:rsidR="00446C02" w:rsidRPr="00CB5531">
              <w:rPr>
                <w:rStyle w:val="Hyperlink"/>
                <w:rFonts w:eastAsia="Times New Roman"/>
                <w:noProof/>
                <w:lang w:eastAsia="en-GB"/>
              </w:rPr>
              <w:t>1.Introduction</w:t>
            </w:r>
            <w:r w:rsidR="00446C02">
              <w:rPr>
                <w:noProof/>
                <w:webHidden/>
              </w:rPr>
              <w:tab/>
            </w:r>
            <w:r w:rsidR="00446C02">
              <w:rPr>
                <w:noProof/>
                <w:webHidden/>
              </w:rPr>
              <w:fldChar w:fldCharType="begin"/>
            </w:r>
            <w:r w:rsidR="00446C02">
              <w:rPr>
                <w:noProof/>
                <w:webHidden/>
              </w:rPr>
              <w:instrText xml:space="preserve"> PAGEREF _Toc133998826 \h </w:instrText>
            </w:r>
            <w:r w:rsidR="00446C02">
              <w:rPr>
                <w:noProof/>
                <w:webHidden/>
              </w:rPr>
            </w:r>
            <w:r w:rsidR="00446C02">
              <w:rPr>
                <w:noProof/>
                <w:webHidden/>
              </w:rPr>
              <w:fldChar w:fldCharType="separate"/>
            </w:r>
            <w:r w:rsidR="00446C02">
              <w:rPr>
                <w:noProof/>
                <w:webHidden/>
              </w:rPr>
              <w:t>3</w:t>
            </w:r>
            <w:r w:rsidR="00446C02">
              <w:rPr>
                <w:noProof/>
                <w:webHidden/>
              </w:rPr>
              <w:fldChar w:fldCharType="end"/>
            </w:r>
          </w:hyperlink>
        </w:p>
        <w:p w14:paraId="4A1BEDC8" w14:textId="2CAF9EE8" w:rsidR="00446C02" w:rsidRDefault="00446C02">
          <w:pPr>
            <w:pStyle w:val="TOC1"/>
            <w:tabs>
              <w:tab w:val="right" w:leader="dot" w:pos="9016"/>
            </w:tabs>
            <w:rPr>
              <w:rFonts w:eastAsiaTheme="minorEastAsia"/>
              <w:noProof/>
              <w:lang w:eastAsia="en-GB"/>
            </w:rPr>
          </w:pPr>
          <w:hyperlink w:anchor="_Toc133998827" w:history="1">
            <w:r w:rsidRPr="00CB5531">
              <w:rPr>
                <w:rStyle w:val="Hyperlink"/>
                <w:rFonts w:eastAsia="Times New Roman"/>
                <w:noProof/>
                <w:lang w:eastAsia="en-GB"/>
              </w:rPr>
              <w:t>2.Importance of IFM to British Petroleum</w:t>
            </w:r>
            <w:r>
              <w:rPr>
                <w:noProof/>
                <w:webHidden/>
              </w:rPr>
              <w:tab/>
            </w:r>
            <w:r>
              <w:rPr>
                <w:noProof/>
                <w:webHidden/>
              </w:rPr>
              <w:fldChar w:fldCharType="begin"/>
            </w:r>
            <w:r>
              <w:rPr>
                <w:noProof/>
                <w:webHidden/>
              </w:rPr>
              <w:instrText xml:space="preserve"> PAGEREF _Toc133998827 \h </w:instrText>
            </w:r>
            <w:r>
              <w:rPr>
                <w:noProof/>
                <w:webHidden/>
              </w:rPr>
            </w:r>
            <w:r>
              <w:rPr>
                <w:noProof/>
                <w:webHidden/>
              </w:rPr>
              <w:fldChar w:fldCharType="separate"/>
            </w:r>
            <w:r>
              <w:rPr>
                <w:noProof/>
                <w:webHidden/>
              </w:rPr>
              <w:t>3</w:t>
            </w:r>
            <w:r>
              <w:rPr>
                <w:noProof/>
                <w:webHidden/>
              </w:rPr>
              <w:fldChar w:fldCharType="end"/>
            </w:r>
          </w:hyperlink>
        </w:p>
        <w:p w14:paraId="2C7DEAE6" w14:textId="313F0006" w:rsidR="00446C02" w:rsidRDefault="00446C02">
          <w:pPr>
            <w:pStyle w:val="TOC1"/>
            <w:tabs>
              <w:tab w:val="right" w:leader="dot" w:pos="9016"/>
            </w:tabs>
            <w:rPr>
              <w:rFonts w:eastAsiaTheme="minorEastAsia"/>
              <w:noProof/>
              <w:lang w:eastAsia="en-GB"/>
            </w:rPr>
          </w:pPr>
          <w:hyperlink w:anchor="_Toc133998828" w:history="1">
            <w:r w:rsidRPr="00CB5531">
              <w:rPr>
                <w:rStyle w:val="Hyperlink"/>
                <w:rFonts w:eastAsia="Times New Roman"/>
                <w:noProof/>
                <w:lang w:eastAsia="en-GB"/>
              </w:rPr>
              <w:t>3.Dividend Distribution Policy</w:t>
            </w:r>
            <w:r>
              <w:rPr>
                <w:noProof/>
                <w:webHidden/>
              </w:rPr>
              <w:tab/>
            </w:r>
            <w:r>
              <w:rPr>
                <w:noProof/>
                <w:webHidden/>
              </w:rPr>
              <w:fldChar w:fldCharType="begin"/>
            </w:r>
            <w:r>
              <w:rPr>
                <w:noProof/>
                <w:webHidden/>
              </w:rPr>
              <w:instrText xml:space="preserve"> PAGEREF _Toc133998828 \h </w:instrText>
            </w:r>
            <w:r>
              <w:rPr>
                <w:noProof/>
                <w:webHidden/>
              </w:rPr>
            </w:r>
            <w:r>
              <w:rPr>
                <w:noProof/>
                <w:webHidden/>
              </w:rPr>
              <w:fldChar w:fldCharType="separate"/>
            </w:r>
            <w:r>
              <w:rPr>
                <w:noProof/>
                <w:webHidden/>
              </w:rPr>
              <w:t>3</w:t>
            </w:r>
            <w:r>
              <w:rPr>
                <w:noProof/>
                <w:webHidden/>
              </w:rPr>
              <w:fldChar w:fldCharType="end"/>
            </w:r>
          </w:hyperlink>
        </w:p>
        <w:p w14:paraId="75A939D7" w14:textId="71044FCE" w:rsidR="00446C02" w:rsidRDefault="00446C02">
          <w:pPr>
            <w:pStyle w:val="TOC1"/>
            <w:tabs>
              <w:tab w:val="right" w:leader="dot" w:pos="9016"/>
            </w:tabs>
            <w:rPr>
              <w:rFonts w:eastAsiaTheme="minorEastAsia"/>
              <w:noProof/>
              <w:lang w:eastAsia="en-GB"/>
            </w:rPr>
          </w:pPr>
          <w:hyperlink w:anchor="_Toc133998829" w:history="1">
            <w:r w:rsidRPr="00CB5531">
              <w:rPr>
                <w:rStyle w:val="Hyperlink"/>
                <w:rFonts w:eastAsia="Times New Roman"/>
                <w:noProof/>
                <w:lang w:eastAsia="en-GB"/>
              </w:rPr>
              <w:t>4.Efficient Market Hypothesis and BP's Operations</w:t>
            </w:r>
            <w:r>
              <w:rPr>
                <w:noProof/>
                <w:webHidden/>
              </w:rPr>
              <w:tab/>
            </w:r>
            <w:r>
              <w:rPr>
                <w:noProof/>
                <w:webHidden/>
              </w:rPr>
              <w:fldChar w:fldCharType="begin"/>
            </w:r>
            <w:r>
              <w:rPr>
                <w:noProof/>
                <w:webHidden/>
              </w:rPr>
              <w:instrText xml:space="preserve"> PAGEREF _Toc133998829 \h </w:instrText>
            </w:r>
            <w:r>
              <w:rPr>
                <w:noProof/>
                <w:webHidden/>
              </w:rPr>
            </w:r>
            <w:r>
              <w:rPr>
                <w:noProof/>
                <w:webHidden/>
              </w:rPr>
              <w:fldChar w:fldCharType="separate"/>
            </w:r>
            <w:r>
              <w:rPr>
                <w:noProof/>
                <w:webHidden/>
              </w:rPr>
              <w:t>4</w:t>
            </w:r>
            <w:r>
              <w:rPr>
                <w:noProof/>
                <w:webHidden/>
              </w:rPr>
              <w:fldChar w:fldCharType="end"/>
            </w:r>
          </w:hyperlink>
        </w:p>
        <w:p w14:paraId="781CE776" w14:textId="089071A1" w:rsidR="00446C02" w:rsidRDefault="00446C02">
          <w:pPr>
            <w:pStyle w:val="TOC1"/>
            <w:tabs>
              <w:tab w:val="right" w:leader="dot" w:pos="9016"/>
            </w:tabs>
            <w:rPr>
              <w:rFonts w:eastAsiaTheme="minorEastAsia"/>
              <w:noProof/>
              <w:lang w:eastAsia="en-GB"/>
            </w:rPr>
          </w:pPr>
          <w:hyperlink w:anchor="_Toc133998830" w:history="1">
            <w:r w:rsidRPr="00CB5531">
              <w:rPr>
                <w:rStyle w:val="Hyperlink"/>
                <w:rFonts w:eastAsia="Times New Roman"/>
                <w:noProof/>
                <w:lang w:eastAsia="en-GB"/>
              </w:rPr>
              <w:t>5.BP's Methods of Appraising Projects</w:t>
            </w:r>
            <w:r>
              <w:rPr>
                <w:noProof/>
                <w:webHidden/>
              </w:rPr>
              <w:tab/>
            </w:r>
            <w:r>
              <w:rPr>
                <w:noProof/>
                <w:webHidden/>
              </w:rPr>
              <w:fldChar w:fldCharType="begin"/>
            </w:r>
            <w:r>
              <w:rPr>
                <w:noProof/>
                <w:webHidden/>
              </w:rPr>
              <w:instrText xml:space="preserve"> PAGEREF _Toc133998830 \h </w:instrText>
            </w:r>
            <w:r>
              <w:rPr>
                <w:noProof/>
                <w:webHidden/>
              </w:rPr>
            </w:r>
            <w:r>
              <w:rPr>
                <w:noProof/>
                <w:webHidden/>
              </w:rPr>
              <w:fldChar w:fldCharType="separate"/>
            </w:r>
            <w:r>
              <w:rPr>
                <w:noProof/>
                <w:webHidden/>
              </w:rPr>
              <w:t>5</w:t>
            </w:r>
            <w:r>
              <w:rPr>
                <w:noProof/>
                <w:webHidden/>
              </w:rPr>
              <w:fldChar w:fldCharType="end"/>
            </w:r>
          </w:hyperlink>
        </w:p>
        <w:p w14:paraId="07E88B8A" w14:textId="786D51EF" w:rsidR="00446C02" w:rsidRDefault="00446C02">
          <w:pPr>
            <w:pStyle w:val="TOC1"/>
            <w:tabs>
              <w:tab w:val="right" w:leader="dot" w:pos="9016"/>
            </w:tabs>
            <w:rPr>
              <w:rFonts w:eastAsiaTheme="minorEastAsia"/>
              <w:noProof/>
              <w:lang w:eastAsia="en-GB"/>
            </w:rPr>
          </w:pPr>
          <w:hyperlink w:anchor="_Toc133998831" w:history="1">
            <w:r w:rsidRPr="00CB5531">
              <w:rPr>
                <w:rStyle w:val="Hyperlink"/>
                <w:rFonts w:eastAsia="Times New Roman"/>
                <w:noProof/>
                <w:lang w:eastAsia="en-GB"/>
              </w:rPr>
              <w:t>6.Conclusion</w:t>
            </w:r>
            <w:r>
              <w:rPr>
                <w:noProof/>
                <w:webHidden/>
              </w:rPr>
              <w:tab/>
            </w:r>
            <w:r>
              <w:rPr>
                <w:noProof/>
                <w:webHidden/>
              </w:rPr>
              <w:fldChar w:fldCharType="begin"/>
            </w:r>
            <w:r>
              <w:rPr>
                <w:noProof/>
                <w:webHidden/>
              </w:rPr>
              <w:instrText xml:space="preserve"> PAGEREF _Toc133998831 \h </w:instrText>
            </w:r>
            <w:r>
              <w:rPr>
                <w:noProof/>
                <w:webHidden/>
              </w:rPr>
            </w:r>
            <w:r>
              <w:rPr>
                <w:noProof/>
                <w:webHidden/>
              </w:rPr>
              <w:fldChar w:fldCharType="separate"/>
            </w:r>
            <w:r>
              <w:rPr>
                <w:noProof/>
                <w:webHidden/>
              </w:rPr>
              <w:t>6</w:t>
            </w:r>
            <w:r>
              <w:rPr>
                <w:noProof/>
                <w:webHidden/>
              </w:rPr>
              <w:fldChar w:fldCharType="end"/>
            </w:r>
          </w:hyperlink>
        </w:p>
        <w:p w14:paraId="7F3DCF5F" w14:textId="16AD6EF0" w:rsidR="00446C02" w:rsidRDefault="00446C02">
          <w:pPr>
            <w:pStyle w:val="TOC1"/>
            <w:tabs>
              <w:tab w:val="right" w:leader="dot" w:pos="9016"/>
            </w:tabs>
            <w:rPr>
              <w:rFonts w:eastAsiaTheme="minorEastAsia"/>
              <w:noProof/>
              <w:lang w:eastAsia="en-GB"/>
            </w:rPr>
          </w:pPr>
          <w:hyperlink w:anchor="_Toc133998832" w:history="1">
            <w:r w:rsidRPr="00CB5531">
              <w:rPr>
                <w:rStyle w:val="Hyperlink"/>
                <w:noProof/>
              </w:rPr>
              <w:t>7.References</w:t>
            </w:r>
            <w:r>
              <w:rPr>
                <w:noProof/>
                <w:webHidden/>
              </w:rPr>
              <w:tab/>
            </w:r>
            <w:r>
              <w:rPr>
                <w:noProof/>
                <w:webHidden/>
              </w:rPr>
              <w:fldChar w:fldCharType="begin"/>
            </w:r>
            <w:r>
              <w:rPr>
                <w:noProof/>
                <w:webHidden/>
              </w:rPr>
              <w:instrText xml:space="preserve"> PAGEREF _Toc133998832 \h </w:instrText>
            </w:r>
            <w:r>
              <w:rPr>
                <w:noProof/>
                <w:webHidden/>
              </w:rPr>
            </w:r>
            <w:r>
              <w:rPr>
                <w:noProof/>
                <w:webHidden/>
              </w:rPr>
              <w:fldChar w:fldCharType="separate"/>
            </w:r>
            <w:r>
              <w:rPr>
                <w:noProof/>
                <w:webHidden/>
              </w:rPr>
              <w:t>7</w:t>
            </w:r>
            <w:r>
              <w:rPr>
                <w:noProof/>
                <w:webHidden/>
              </w:rPr>
              <w:fldChar w:fldCharType="end"/>
            </w:r>
          </w:hyperlink>
        </w:p>
        <w:p w14:paraId="65528050" w14:textId="01497018" w:rsidR="00CC755E" w:rsidRDefault="00CC755E">
          <w:r>
            <w:rPr>
              <w:b/>
              <w:bCs/>
              <w:noProof/>
            </w:rPr>
            <w:fldChar w:fldCharType="end"/>
          </w:r>
        </w:p>
      </w:sdtContent>
    </w:sdt>
    <w:p w14:paraId="0A6ADDDA" w14:textId="77777777" w:rsidR="00CC755E" w:rsidRDefault="00CC755E">
      <w:pPr>
        <w:rPr>
          <w:rFonts w:ascii="Times New Roman" w:hAnsi="Times New Roman" w:cs="Times New Roman"/>
          <w:sz w:val="24"/>
          <w:szCs w:val="24"/>
        </w:rPr>
      </w:pPr>
    </w:p>
    <w:p w14:paraId="2C614643" w14:textId="77777777" w:rsidR="00CC755E" w:rsidRDefault="00CC755E">
      <w:pPr>
        <w:rPr>
          <w:rFonts w:ascii="Times New Roman" w:hAnsi="Times New Roman" w:cs="Times New Roman"/>
          <w:sz w:val="24"/>
          <w:szCs w:val="24"/>
        </w:rPr>
      </w:pPr>
    </w:p>
    <w:p w14:paraId="38CC5D18" w14:textId="77777777" w:rsidR="00CC755E" w:rsidRDefault="00CC755E">
      <w:pPr>
        <w:rPr>
          <w:rFonts w:ascii="Times New Roman" w:hAnsi="Times New Roman" w:cs="Times New Roman"/>
          <w:sz w:val="24"/>
          <w:szCs w:val="24"/>
        </w:rPr>
      </w:pPr>
    </w:p>
    <w:p w14:paraId="3C34397C" w14:textId="77777777" w:rsidR="00CC755E" w:rsidRDefault="00CC755E">
      <w:pPr>
        <w:rPr>
          <w:rFonts w:ascii="Times New Roman" w:hAnsi="Times New Roman" w:cs="Times New Roman"/>
          <w:sz w:val="24"/>
          <w:szCs w:val="24"/>
        </w:rPr>
      </w:pPr>
    </w:p>
    <w:p w14:paraId="7A14CC5C" w14:textId="77777777" w:rsidR="00CC755E" w:rsidRDefault="00CC755E">
      <w:pPr>
        <w:rPr>
          <w:rFonts w:ascii="Times New Roman" w:hAnsi="Times New Roman" w:cs="Times New Roman"/>
          <w:sz w:val="24"/>
          <w:szCs w:val="24"/>
        </w:rPr>
      </w:pPr>
    </w:p>
    <w:p w14:paraId="52E02853" w14:textId="77777777" w:rsidR="00CC755E" w:rsidRDefault="00CC755E">
      <w:pPr>
        <w:rPr>
          <w:rFonts w:ascii="Times New Roman" w:hAnsi="Times New Roman" w:cs="Times New Roman"/>
          <w:sz w:val="24"/>
          <w:szCs w:val="24"/>
        </w:rPr>
      </w:pPr>
    </w:p>
    <w:p w14:paraId="080534A7" w14:textId="77777777" w:rsidR="00CC755E" w:rsidRDefault="00CC755E">
      <w:pPr>
        <w:rPr>
          <w:rFonts w:ascii="Times New Roman" w:hAnsi="Times New Roman" w:cs="Times New Roman"/>
          <w:sz w:val="24"/>
          <w:szCs w:val="24"/>
        </w:rPr>
      </w:pPr>
    </w:p>
    <w:p w14:paraId="1D3D6142" w14:textId="77777777" w:rsidR="00CC755E" w:rsidRDefault="00CC755E">
      <w:pPr>
        <w:rPr>
          <w:rFonts w:ascii="Times New Roman" w:hAnsi="Times New Roman" w:cs="Times New Roman"/>
          <w:sz w:val="24"/>
          <w:szCs w:val="24"/>
        </w:rPr>
      </w:pPr>
    </w:p>
    <w:p w14:paraId="75092F97" w14:textId="77777777" w:rsidR="00CC755E" w:rsidRDefault="00CC755E">
      <w:pPr>
        <w:rPr>
          <w:rFonts w:ascii="Times New Roman" w:hAnsi="Times New Roman" w:cs="Times New Roman"/>
          <w:sz w:val="24"/>
          <w:szCs w:val="24"/>
        </w:rPr>
      </w:pPr>
    </w:p>
    <w:p w14:paraId="7B6570EC" w14:textId="77777777" w:rsidR="00CC755E" w:rsidRDefault="00CC755E">
      <w:pPr>
        <w:rPr>
          <w:rFonts w:ascii="Times New Roman" w:hAnsi="Times New Roman" w:cs="Times New Roman"/>
          <w:sz w:val="24"/>
          <w:szCs w:val="24"/>
        </w:rPr>
      </w:pPr>
    </w:p>
    <w:p w14:paraId="0063FC40" w14:textId="77777777" w:rsidR="00CC755E" w:rsidRDefault="00CC755E">
      <w:pPr>
        <w:rPr>
          <w:rFonts w:ascii="Times New Roman" w:hAnsi="Times New Roman" w:cs="Times New Roman"/>
          <w:sz w:val="24"/>
          <w:szCs w:val="24"/>
        </w:rPr>
      </w:pPr>
    </w:p>
    <w:p w14:paraId="619A13F8" w14:textId="77777777" w:rsidR="00CC755E" w:rsidRDefault="00CC755E">
      <w:pPr>
        <w:rPr>
          <w:rFonts w:ascii="Times New Roman" w:hAnsi="Times New Roman" w:cs="Times New Roman"/>
          <w:sz w:val="24"/>
          <w:szCs w:val="24"/>
        </w:rPr>
      </w:pPr>
    </w:p>
    <w:p w14:paraId="7CCEF2DD" w14:textId="77777777" w:rsidR="00CC755E" w:rsidRDefault="00CC755E">
      <w:pPr>
        <w:rPr>
          <w:rFonts w:ascii="Times New Roman" w:hAnsi="Times New Roman" w:cs="Times New Roman"/>
          <w:sz w:val="24"/>
          <w:szCs w:val="24"/>
        </w:rPr>
      </w:pPr>
    </w:p>
    <w:p w14:paraId="295AAB12" w14:textId="77777777" w:rsidR="00CC755E" w:rsidRDefault="00CC755E">
      <w:pPr>
        <w:rPr>
          <w:rFonts w:ascii="Times New Roman" w:hAnsi="Times New Roman" w:cs="Times New Roman"/>
          <w:sz w:val="24"/>
          <w:szCs w:val="24"/>
        </w:rPr>
      </w:pPr>
    </w:p>
    <w:p w14:paraId="3AC4E7C0" w14:textId="77777777" w:rsidR="00CC755E" w:rsidRDefault="00CC755E">
      <w:pPr>
        <w:rPr>
          <w:rFonts w:ascii="Times New Roman" w:hAnsi="Times New Roman" w:cs="Times New Roman"/>
          <w:sz w:val="24"/>
          <w:szCs w:val="24"/>
        </w:rPr>
      </w:pPr>
    </w:p>
    <w:p w14:paraId="0006D6CE" w14:textId="77777777" w:rsidR="00CC755E" w:rsidRDefault="00CC755E">
      <w:pPr>
        <w:rPr>
          <w:rFonts w:ascii="Times New Roman" w:hAnsi="Times New Roman" w:cs="Times New Roman"/>
          <w:sz w:val="24"/>
          <w:szCs w:val="24"/>
        </w:rPr>
      </w:pPr>
    </w:p>
    <w:p w14:paraId="29D2E2D2" w14:textId="77777777" w:rsidR="00CC755E" w:rsidRDefault="00CC755E">
      <w:pPr>
        <w:rPr>
          <w:rFonts w:ascii="Times New Roman" w:hAnsi="Times New Roman" w:cs="Times New Roman"/>
          <w:sz w:val="24"/>
          <w:szCs w:val="24"/>
        </w:rPr>
      </w:pPr>
    </w:p>
    <w:p w14:paraId="2FD40D0E" w14:textId="77777777" w:rsidR="00CC755E" w:rsidRDefault="00CC755E">
      <w:pPr>
        <w:rPr>
          <w:rFonts w:ascii="Times New Roman" w:hAnsi="Times New Roman" w:cs="Times New Roman"/>
          <w:sz w:val="24"/>
          <w:szCs w:val="24"/>
        </w:rPr>
      </w:pPr>
    </w:p>
    <w:p w14:paraId="73DE2912" w14:textId="77777777" w:rsidR="00CC755E" w:rsidRDefault="00CC755E">
      <w:pPr>
        <w:rPr>
          <w:rFonts w:ascii="Times New Roman" w:hAnsi="Times New Roman" w:cs="Times New Roman"/>
          <w:sz w:val="24"/>
          <w:szCs w:val="24"/>
        </w:rPr>
      </w:pPr>
    </w:p>
    <w:p w14:paraId="1D43DD7D" w14:textId="77777777" w:rsidR="00CC755E" w:rsidRDefault="00CC755E">
      <w:pPr>
        <w:rPr>
          <w:rFonts w:ascii="Times New Roman" w:hAnsi="Times New Roman" w:cs="Times New Roman"/>
          <w:sz w:val="24"/>
          <w:szCs w:val="24"/>
        </w:rPr>
      </w:pPr>
    </w:p>
    <w:p w14:paraId="1A2DF0CF" w14:textId="77777777" w:rsidR="00CC755E" w:rsidRDefault="00CC755E">
      <w:pPr>
        <w:rPr>
          <w:rFonts w:ascii="Times New Roman" w:hAnsi="Times New Roman" w:cs="Times New Roman"/>
          <w:sz w:val="24"/>
          <w:szCs w:val="24"/>
        </w:rPr>
      </w:pPr>
    </w:p>
    <w:p w14:paraId="0E75D139" w14:textId="3035A075" w:rsidR="00A3617C" w:rsidRDefault="00A3617C" w:rsidP="00A3617C">
      <w:pPr>
        <w:pStyle w:val="Heading1"/>
        <w:rPr>
          <w:rFonts w:eastAsia="Times New Roman"/>
          <w:lang w:eastAsia="en-GB"/>
        </w:rPr>
      </w:pPr>
      <w:bookmarkStart w:id="0" w:name="_Toc133998826"/>
      <w:r>
        <w:rPr>
          <w:rFonts w:eastAsia="Times New Roman"/>
          <w:lang w:eastAsia="en-GB"/>
        </w:rPr>
        <w:lastRenderedPageBreak/>
        <w:t>1.</w:t>
      </w:r>
      <w:r w:rsidR="002A409A">
        <w:rPr>
          <w:rFonts w:eastAsia="Times New Roman"/>
          <w:lang w:eastAsia="en-GB"/>
        </w:rPr>
        <w:t>Introduction</w:t>
      </w:r>
      <w:bookmarkEnd w:id="0"/>
    </w:p>
    <w:p w14:paraId="77F270E6" w14:textId="6A78DF57" w:rsidR="00A47C1C" w:rsidRDefault="00792E0F" w:rsidP="00792E0F">
      <w:pPr>
        <w:spacing w:before="100" w:beforeAutospacing="1" w:after="100" w:afterAutospacing="1" w:line="240" w:lineRule="auto"/>
        <w:ind w:firstLine="720"/>
        <w:jc w:val="both"/>
        <w:rPr>
          <w:rFonts w:ascii="Times New Roman" w:eastAsia="Times New Roman" w:hAnsi="Times New Roman" w:cs="Times New Roman"/>
          <w:sz w:val="24"/>
          <w:szCs w:val="24"/>
          <w:lang w:eastAsia="en-GB"/>
        </w:rPr>
      </w:pPr>
      <w:r w:rsidRPr="00792E0F">
        <w:rPr>
          <w:rFonts w:ascii="Times New Roman" w:hAnsi="Times New Roman" w:cs="Times New Roman"/>
          <w:sz w:val="24"/>
          <w:szCs w:val="24"/>
        </w:rPr>
        <w:t>B</w:t>
      </w:r>
      <w:r w:rsidR="00B12264">
        <w:rPr>
          <w:rFonts w:ascii="Times New Roman" w:hAnsi="Times New Roman" w:cs="Times New Roman"/>
          <w:sz w:val="24"/>
          <w:szCs w:val="24"/>
        </w:rPr>
        <w:t xml:space="preserve">ritish </w:t>
      </w:r>
      <w:r w:rsidRPr="00792E0F">
        <w:rPr>
          <w:rFonts w:ascii="Times New Roman" w:hAnsi="Times New Roman" w:cs="Times New Roman"/>
          <w:sz w:val="24"/>
          <w:szCs w:val="24"/>
        </w:rPr>
        <w:t>P</w:t>
      </w:r>
      <w:r w:rsidR="00B12264">
        <w:rPr>
          <w:rFonts w:ascii="Times New Roman" w:hAnsi="Times New Roman" w:cs="Times New Roman"/>
          <w:sz w:val="24"/>
          <w:szCs w:val="24"/>
        </w:rPr>
        <w:t>etroleum (BP)</w:t>
      </w:r>
      <w:r w:rsidRPr="00792E0F">
        <w:rPr>
          <w:rFonts w:ascii="Times New Roman" w:hAnsi="Times New Roman" w:cs="Times New Roman"/>
          <w:sz w:val="24"/>
          <w:szCs w:val="24"/>
        </w:rPr>
        <w:t xml:space="preserve"> plc</w:t>
      </w:r>
      <w:r w:rsidR="00B12264">
        <w:rPr>
          <w:rFonts w:ascii="Times New Roman" w:hAnsi="Times New Roman" w:cs="Times New Roman"/>
          <w:sz w:val="24"/>
          <w:szCs w:val="24"/>
        </w:rPr>
        <w:t>.</w:t>
      </w:r>
      <w:r w:rsidRPr="00792E0F">
        <w:rPr>
          <w:rFonts w:ascii="Times New Roman" w:hAnsi="Times New Roman" w:cs="Times New Roman"/>
          <w:sz w:val="24"/>
          <w:szCs w:val="24"/>
        </w:rPr>
        <w:t>, founded in 1909</w:t>
      </w:r>
      <w:r w:rsidR="00323EEF">
        <w:rPr>
          <w:rFonts w:ascii="Times New Roman" w:hAnsi="Times New Roman" w:cs="Times New Roman"/>
          <w:sz w:val="24"/>
          <w:szCs w:val="24"/>
        </w:rPr>
        <w:t>,</w:t>
      </w:r>
      <w:r w:rsidRPr="00792E0F">
        <w:rPr>
          <w:rFonts w:ascii="Times New Roman" w:hAnsi="Times New Roman" w:cs="Times New Roman"/>
          <w:sz w:val="24"/>
          <w:szCs w:val="24"/>
        </w:rPr>
        <w:t xml:space="preserve"> is a multinational oil and gas company headquartered in London, United Kingdom. Operating in over 70 countries, BP employs approximately 70,000 people and is led by CEO Bernard Looney. As one of the world's leading integrated energy companies, BP is engaged in the exploration, production, and refining of oil and gas, as well as the marketing and distribution of fuels, lubricants, and petrochemicals. Committed to transitioning to a low-carbon future, BP is also investing in renewable energy sources and innovative technologies to reduce its environmental footprint</w:t>
      </w:r>
      <w:r w:rsidR="00323EEF">
        <w:rPr>
          <w:rFonts w:ascii="Times New Roman" w:hAnsi="Times New Roman" w:cs="Times New Roman"/>
          <w:sz w:val="24"/>
          <w:szCs w:val="24"/>
        </w:rPr>
        <w:t xml:space="preserve"> </w:t>
      </w:r>
      <w:sdt>
        <w:sdtPr>
          <w:rPr>
            <w:rFonts w:ascii="Times New Roman" w:eastAsia="Times New Roman" w:hAnsi="Times New Roman" w:cs="Times New Roman"/>
            <w:sz w:val="24"/>
            <w:szCs w:val="24"/>
            <w:lang w:eastAsia="en-GB"/>
          </w:rPr>
          <w:id w:val="-598642831"/>
          <w:citation/>
        </w:sdtPr>
        <w:sdtContent>
          <w:r w:rsidR="005771A4" w:rsidRPr="00792E0F">
            <w:rPr>
              <w:rFonts w:ascii="Times New Roman" w:eastAsia="Times New Roman" w:hAnsi="Times New Roman" w:cs="Times New Roman"/>
              <w:sz w:val="24"/>
              <w:szCs w:val="24"/>
              <w:lang w:eastAsia="en-GB"/>
            </w:rPr>
            <w:fldChar w:fldCharType="begin"/>
          </w:r>
          <w:r w:rsidR="005771A4" w:rsidRPr="00792E0F">
            <w:rPr>
              <w:rFonts w:ascii="Times New Roman" w:eastAsia="Times New Roman" w:hAnsi="Times New Roman" w:cs="Times New Roman"/>
              <w:sz w:val="24"/>
              <w:szCs w:val="24"/>
              <w:lang w:val="en-US" w:eastAsia="en-GB"/>
            </w:rPr>
            <w:instrText xml:space="preserve"> CITATION BPP23 \l 1033 </w:instrText>
          </w:r>
          <w:r w:rsidR="005771A4" w:rsidRPr="00792E0F">
            <w:rPr>
              <w:rFonts w:ascii="Times New Roman" w:eastAsia="Times New Roman" w:hAnsi="Times New Roman" w:cs="Times New Roman"/>
              <w:sz w:val="24"/>
              <w:szCs w:val="24"/>
              <w:lang w:eastAsia="en-GB"/>
            </w:rPr>
            <w:fldChar w:fldCharType="separate"/>
          </w:r>
          <w:r w:rsidR="00446C02" w:rsidRPr="00446C02">
            <w:rPr>
              <w:rFonts w:ascii="Times New Roman" w:eastAsia="Times New Roman" w:hAnsi="Times New Roman" w:cs="Times New Roman"/>
              <w:noProof/>
              <w:sz w:val="24"/>
              <w:szCs w:val="24"/>
              <w:lang w:val="en-US" w:eastAsia="en-GB"/>
            </w:rPr>
            <w:t>(BP Plc., 2023)</w:t>
          </w:r>
          <w:r w:rsidR="005771A4" w:rsidRPr="00792E0F">
            <w:rPr>
              <w:rFonts w:ascii="Times New Roman" w:eastAsia="Times New Roman" w:hAnsi="Times New Roman" w:cs="Times New Roman"/>
              <w:sz w:val="24"/>
              <w:szCs w:val="24"/>
              <w:lang w:eastAsia="en-GB"/>
            </w:rPr>
            <w:fldChar w:fldCharType="end"/>
          </w:r>
        </w:sdtContent>
      </w:sdt>
      <w:r w:rsidR="00A3617C" w:rsidRPr="00792E0F">
        <w:rPr>
          <w:rFonts w:ascii="Times New Roman" w:eastAsia="Times New Roman" w:hAnsi="Times New Roman" w:cs="Times New Roman"/>
          <w:sz w:val="24"/>
          <w:szCs w:val="24"/>
          <w:lang w:eastAsia="en-GB"/>
        </w:rPr>
        <w:t>. As a</w:t>
      </w:r>
      <w:r w:rsidR="00A3617C" w:rsidRPr="00792E0F">
        <w:rPr>
          <w:rFonts w:ascii="Times New Roman" w:eastAsia="Times New Roman" w:hAnsi="Times New Roman" w:cs="Times New Roman"/>
          <w:sz w:val="28"/>
          <w:szCs w:val="28"/>
          <w:lang w:eastAsia="en-GB"/>
        </w:rPr>
        <w:t xml:space="preserve"> </w:t>
      </w:r>
      <w:r w:rsidR="00A3617C" w:rsidRPr="001E130F">
        <w:rPr>
          <w:rFonts w:ascii="Times New Roman" w:eastAsia="Times New Roman" w:hAnsi="Times New Roman" w:cs="Times New Roman"/>
          <w:sz w:val="24"/>
          <w:szCs w:val="24"/>
          <w:lang w:eastAsia="en-GB"/>
        </w:rPr>
        <w:t>multinational corporation, BP is exposed to various international financial markets, creating both opportunities and challenges. This report aims to critically analyse and evaluate the importance of International Financial Management (IFM) to BP,</w:t>
      </w:r>
      <w:r w:rsidR="000C79F5" w:rsidRPr="000C79F5">
        <w:rPr>
          <w:rFonts w:ascii="Times New Roman" w:eastAsia="Times New Roman" w:hAnsi="Times New Roman" w:cs="Times New Roman"/>
          <w:sz w:val="24"/>
          <w:szCs w:val="24"/>
          <w:lang w:eastAsia="en-GB"/>
        </w:rPr>
        <w:t xml:space="preserve"> </w:t>
      </w:r>
      <w:r w:rsidR="00AC7841">
        <w:rPr>
          <w:rFonts w:ascii="Times New Roman" w:eastAsia="Times New Roman" w:hAnsi="Times New Roman" w:cs="Times New Roman"/>
          <w:sz w:val="24"/>
          <w:szCs w:val="24"/>
          <w:lang w:eastAsia="en-GB"/>
        </w:rPr>
        <w:t>and</w:t>
      </w:r>
      <w:r w:rsidR="000C79F5" w:rsidRPr="001E130F">
        <w:rPr>
          <w:rFonts w:ascii="Times New Roman" w:eastAsia="Times New Roman" w:hAnsi="Times New Roman" w:cs="Times New Roman"/>
          <w:sz w:val="24"/>
          <w:szCs w:val="24"/>
          <w:lang w:eastAsia="en-GB"/>
        </w:rPr>
        <w:t xml:space="preserve"> critically analyses the company's dividend distribution policy</w:t>
      </w:r>
      <w:r w:rsidR="00AC7841">
        <w:rPr>
          <w:rFonts w:ascii="Times New Roman" w:eastAsia="Times New Roman" w:hAnsi="Times New Roman" w:cs="Times New Roman"/>
          <w:sz w:val="24"/>
          <w:szCs w:val="24"/>
          <w:lang w:eastAsia="en-GB"/>
        </w:rPr>
        <w:t>.</w:t>
      </w:r>
      <w:r w:rsidR="000C79F5" w:rsidRPr="001E130F">
        <w:rPr>
          <w:rFonts w:ascii="Times New Roman" w:eastAsia="Times New Roman" w:hAnsi="Times New Roman" w:cs="Times New Roman"/>
          <w:sz w:val="24"/>
          <w:szCs w:val="24"/>
          <w:lang w:eastAsia="en-GB"/>
        </w:rPr>
        <w:t xml:space="preserve"> </w:t>
      </w:r>
      <w:r w:rsidR="00AC7841">
        <w:rPr>
          <w:rFonts w:ascii="Times New Roman" w:eastAsia="Times New Roman" w:hAnsi="Times New Roman" w:cs="Times New Roman"/>
          <w:sz w:val="24"/>
          <w:szCs w:val="24"/>
          <w:lang w:eastAsia="en-GB"/>
        </w:rPr>
        <w:t>It presents after the</w:t>
      </w:r>
      <w:r w:rsidR="000C79F5" w:rsidRPr="001E130F">
        <w:rPr>
          <w:rFonts w:ascii="Times New Roman" w:eastAsia="Times New Roman" w:hAnsi="Times New Roman" w:cs="Times New Roman"/>
          <w:sz w:val="24"/>
          <w:szCs w:val="24"/>
          <w:lang w:eastAsia="en-GB"/>
        </w:rPr>
        <w:t xml:space="preserve"> efficient market hypothesis </w:t>
      </w:r>
      <w:r w:rsidR="00BC1D50" w:rsidRPr="001E130F">
        <w:rPr>
          <w:rFonts w:ascii="Times New Roman" w:eastAsia="Times New Roman" w:hAnsi="Times New Roman" w:cs="Times New Roman"/>
          <w:sz w:val="24"/>
          <w:szCs w:val="24"/>
          <w:lang w:eastAsia="en-GB"/>
        </w:rPr>
        <w:t>theory</w:t>
      </w:r>
      <w:r w:rsidR="00BC1D50">
        <w:rPr>
          <w:rFonts w:ascii="Times New Roman" w:eastAsia="Times New Roman" w:hAnsi="Times New Roman" w:cs="Times New Roman"/>
          <w:sz w:val="24"/>
          <w:szCs w:val="24"/>
          <w:lang w:eastAsia="en-GB"/>
        </w:rPr>
        <w:t xml:space="preserve"> in</w:t>
      </w:r>
      <w:r w:rsidR="00AC7841">
        <w:rPr>
          <w:rFonts w:ascii="Times New Roman" w:eastAsia="Times New Roman" w:hAnsi="Times New Roman" w:cs="Times New Roman"/>
          <w:sz w:val="24"/>
          <w:szCs w:val="24"/>
          <w:lang w:eastAsia="en-GB"/>
        </w:rPr>
        <w:t xml:space="preserve"> BP’s operations </w:t>
      </w:r>
      <w:r w:rsidR="00047D97">
        <w:rPr>
          <w:rFonts w:ascii="Times New Roman" w:eastAsia="Times New Roman" w:hAnsi="Times New Roman" w:cs="Times New Roman"/>
          <w:sz w:val="24"/>
          <w:szCs w:val="24"/>
          <w:lang w:eastAsia="en-GB"/>
        </w:rPr>
        <w:t xml:space="preserve">and </w:t>
      </w:r>
      <w:r w:rsidR="00A3617C" w:rsidRPr="001E130F">
        <w:rPr>
          <w:rFonts w:ascii="Times New Roman" w:eastAsia="Times New Roman" w:hAnsi="Times New Roman" w:cs="Times New Roman"/>
          <w:sz w:val="24"/>
          <w:szCs w:val="24"/>
          <w:lang w:eastAsia="en-GB"/>
        </w:rPr>
        <w:t>discuss</w:t>
      </w:r>
      <w:r w:rsidR="00AC7841">
        <w:rPr>
          <w:rFonts w:ascii="Times New Roman" w:eastAsia="Times New Roman" w:hAnsi="Times New Roman" w:cs="Times New Roman"/>
          <w:sz w:val="24"/>
          <w:szCs w:val="24"/>
          <w:lang w:eastAsia="en-GB"/>
        </w:rPr>
        <w:t>es</w:t>
      </w:r>
      <w:r w:rsidR="00A3617C" w:rsidRPr="001E130F">
        <w:rPr>
          <w:rFonts w:ascii="Times New Roman" w:eastAsia="Times New Roman" w:hAnsi="Times New Roman" w:cs="Times New Roman"/>
          <w:sz w:val="24"/>
          <w:szCs w:val="24"/>
          <w:lang w:eastAsia="en-GB"/>
        </w:rPr>
        <w:t xml:space="preserve"> the </w:t>
      </w:r>
      <w:r w:rsidR="00F27232">
        <w:rPr>
          <w:rFonts w:ascii="Times New Roman" w:eastAsia="Times New Roman" w:hAnsi="Times New Roman" w:cs="Times New Roman"/>
          <w:sz w:val="24"/>
          <w:szCs w:val="24"/>
          <w:lang w:eastAsia="en-GB"/>
        </w:rPr>
        <w:t>methods of appraising projects</w:t>
      </w:r>
      <w:r w:rsidR="00427B37">
        <w:rPr>
          <w:rFonts w:ascii="Times New Roman" w:eastAsia="Times New Roman" w:hAnsi="Times New Roman" w:cs="Times New Roman"/>
          <w:sz w:val="24"/>
          <w:szCs w:val="24"/>
          <w:lang w:eastAsia="en-GB"/>
        </w:rPr>
        <w:t xml:space="preserve"> in</w:t>
      </w:r>
      <w:r w:rsidR="00A3617C" w:rsidRPr="001E130F">
        <w:rPr>
          <w:rFonts w:ascii="Times New Roman" w:eastAsia="Times New Roman" w:hAnsi="Times New Roman" w:cs="Times New Roman"/>
          <w:sz w:val="24"/>
          <w:szCs w:val="24"/>
          <w:lang w:eastAsia="en-GB"/>
        </w:rPr>
        <w:t xml:space="preserve"> international financial </w:t>
      </w:r>
      <w:r w:rsidR="00047D97" w:rsidRPr="001E130F">
        <w:rPr>
          <w:rFonts w:ascii="Times New Roman" w:eastAsia="Times New Roman" w:hAnsi="Times New Roman" w:cs="Times New Roman"/>
          <w:sz w:val="24"/>
          <w:szCs w:val="24"/>
          <w:lang w:eastAsia="en-GB"/>
        </w:rPr>
        <w:t>markets and</w:t>
      </w:r>
      <w:r w:rsidR="00A3617C" w:rsidRPr="001E130F">
        <w:rPr>
          <w:rFonts w:ascii="Times New Roman" w:eastAsia="Times New Roman" w:hAnsi="Times New Roman" w:cs="Times New Roman"/>
          <w:sz w:val="24"/>
          <w:szCs w:val="24"/>
          <w:lang w:eastAsia="en-GB"/>
        </w:rPr>
        <w:t xml:space="preserve"> support the discussion with relevant IFM theories and empirical evidence</w:t>
      </w:r>
      <w:r w:rsidR="00A47C1C">
        <w:rPr>
          <w:rFonts w:ascii="Times New Roman" w:eastAsia="Times New Roman" w:hAnsi="Times New Roman" w:cs="Times New Roman"/>
          <w:sz w:val="24"/>
          <w:szCs w:val="24"/>
          <w:lang w:eastAsia="en-GB"/>
        </w:rPr>
        <w:t>.</w:t>
      </w:r>
    </w:p>
    <w:p w14:paraId="09DA209D" w14:textId="5F8587A2" w:rsidR="00A47C1C" w:rsidRPr="001E130F" w:rsidRDefault="00A47C1C" w:rsidP="00A47C1C">
      <w:pPr>
        <w:pStyle w:val="Heading1"/>
        <w:rPr>
          <w:rFonts w:eastAsia="Times New Roman"/>
          <w:lang w:eastAsia="en-GB"/>
        </w:rPr>
      </w:pPr>
      <w:bookmarkStart w:id="1" w:name="_Toc133998827"/>
      <w:r>
        <w:rPr>
          <w:rFonts w:eastAsia="Times New Roman"/>
          <w:lang w:eastAsia="en-GB"/>
        </w:rPr>
        <w:t>2.</w:t>
      </w:r>
      <w:r w:rsidRPr="001E130F">
        <w:rPr>
          <w:rFonts w:eastAsia="Times New Roman"/>
          <w:lang w:eastAsia="en-GB"/>
        </w:rPr>
        <w:t>Importance of IFM to British Petroleum</w:t>
      </w:r>
      <w:bookmarkEnd w:id="1"/>
    </w:p>
    <w:p w14:paraId="2576CB4D" w14:textId="77777777" w:rsidR="00A50F6E" w:rsidRDefault="00A47C1C" w:rsidP="00A50F6E">
      <w:pPr>
        <w:spacing w:before="100" w:beforeAutospacing="1" w:after="100" w:afterAutospacing="1" w:line="240" w:lineRule="auto"/>
        <w:ind w:firstLine="720"/>
        <w:jc w:val="both"/>
        <w:rPr>
          <w:rFonts w:ascii="Times New Roman" w:eastAsia="Times New Roman" w:hAnsi="Times New Roman" w:cs="Times New Roman"/>
          <w:sz w:val="24"/>
          <w:szCs w:val="24"/>
          <w:lang w:eastAsia="en-GB"/>
        </w:rPr>
      </w:pPr>
      <w:r w:rsidRPr="001E130F">
        <w:rPr>
          <w:rFonts w:ascii="Times New Roman" w:eastAsia="Times New Roman" w:hAnsi="Times New Roman" w:cs="Times New Roman"/>
          <w:sz w:val="24"/>
          <w:szCs w:val="24"/>
          <w:lang w:eastAsia="en-GB"/>
        </w:rPr>
        <w:t>IFM is crucial for multinational corporations like BP as it helps manage risks and uncertainties arising from operating in different countries and currencies. The importance of IFM to BP can be highlighted in the following aspects:</w:t>
      </w:r>
    </w:p>
    <w:p w14:paraId="7D138D68" w14:textId="6D8514AB" w:rsidR="00A47C1C" w:rsidRPr="00A50F6E" w:rsidRDefault="00A47C1C" w:rsidP="00A50F6E">
      <w:pPr>
        <w:pStyle w:val="ListParagraph"/>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50F6E">
        <w:rPr>
          <w:rFonts w:ascii="Times New Roman" w:eastAsia="Times New Roman" w:hAnsi="Times New Roman" w:cs="Times New Roman"/>
          <w:sz w:val="24"/>
          <w:szCs w:val="24"/>
          <w:lang w:eastAsia="en-GB"/>
        </w:rPr>
        <w:t>Exchange Rate Risk Management</w:t>
      </w:r>
    </w:p>
    <w:p w14:paraId="7224C59D" w14:textId="77777777" w:rsidR="00A47C1C" w:rsidRPr="001E130F" w:rsidRDefault="00A47C1C" w:rsidP="00A50F6E">
      <w:pPr>
        <w:spacing w:before="100" w:beforeAutospacing="1" w:after="100" w:afterAutospacing="1" w:line="240" w:lineRule="auto"/>
        <w:ind w:firstLine="360"/>
        <w:jc w:val="both"/>
        <w:rPr>
          <w:rFonts w:ascii="Times New Roman" w:eastAsia="Times New Roman" w:hAnsi="Times New Roman" w:cs="Times New Roman"/>
          <w:sz w:val="24"/>
          <w:szCs w:val="24"/>
          <w:lang w:eastAsia="en-GB"/>
        </w:rPr>
      </w:pPr>
      <w:r w:rsidRPr="001E130F">
        <w:rPr>
          <w:rFonts w:ascii="Times New Roman" w:eastAsia="Times New Roman" w:hAnsi="Times New Roman" w:cs="Times New Roman"/>
          <w:sz w:val="24"/>
          <w:szCs w:val="24"/>
          <w:lang w:eastAsia="en-GB"/>
        </w:rPr>
        <w:t>BP faces exchange rate risks due to its operations in different countries with varying currencies. By employing IFM techniques, such as currency hedging, BP can minimize the impact of currency fluctuations on its cash flows and profitability.</w:t>
      </w:r>
    </w:p>
    <w:p w14:paraId="07BE1B8A" w14:textId="088C12AD" w:rsidR="00A47C1C" w:rsidRPr="00A50F6E" w:rsidRDefault="00A47C1C" w:rsidP="00A50F6E">
      <w:pPr>
        <w:pStyle w:val="ListParagraph"/>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50F6E">
        <w:rPr>
          <w:rFonts w:ascii="Times New Roman" w:eastAsia="Times New Roman" w:hAnsi="Times New Roman" w:cs="Times New Roman"/>
          <w:sz w:val="24"/>
          <w:szCs w:val="24"/>
          <w:lang w:eastAsia="en-GB"/>
        </w:rPr>
        <w:t>International Capital Budgeting</w:t>
      </w:r>
    </w:p>
    <w:p w14:paraId="23332838" w14:textId="7B286E27" w:rsidR="00A47C1C" w:rsidRPr="001E130F" w:rsidRDefault="00A47C1C" w:rsidP="00A50F6E">
      <w:pPr>
        <w:spacing w:before="100" w:beforeAutospacing="1" w:after="100" w:afterAutospacing="1" w:line="240" w:lineRule="auto"/>
        <w:ind w:firstLine="360"/>
        <w:jc w:val="both"/>
        <w:rPr>
          <w:rFonts w:ascii="Times New Roman" w:eastAsia="Times New Roman" w:hAnsi="Times New Roman" w:cs="Times New Roman"/>
          <w:sz w:val="24"/>
          <w:szCs w:val="24"/>
          <w:lang w:eastAsia="en-GB"/>
        </w:rPr>
      </w:pPr>
      <w:r w:rsidRPr="001E130F">
        <w:rPr>
          <w:rFonts w:ascii="Times New Roman" w:eastAsia="Times New Roman" w:hAnsi="Times New Roman" w:cs="Times New Roman"/>
          <w:sz w:val="24"/>
          <w:szCs w:val="24"/>
          <w:lang w:eastAsia="en-GB"/>
        </w:rPr>
        <w:t xml:space="preserve">BP invests in large-scale projects across the globe, requiring significant capital outlays. IFM helps the company </w:t>
      </w:r>
      <w:r w:rsidR="00F22334">
        <w:rPr>
          <w:rFonts w:ascii="Times New Roman" w:eastAsia="Times New Roman" w:hAnsi="Times New Roman" w:cs="Times New Roman"/>
          <w:sz w:val="24"/>
          <w:szCs w:val="24"/>
          <w:lang w:eastAsia="en-GB"/>
        </w:rPr>
        <w:t xml:space="preserve">to </w:t>
      </w:r>
      <w:r w:rsidRPr="001E130F">
        <w:rPr>
          <w:rFonts w:ascii="Times New Roman" w:eastAsia="Times New Roman" w:hAnsi="Times New Roman" w:cs="Times New Roman"/>
          <w:sz w:val="24"/>
          <w:szCs w:val="24"/>
          <w:lang w:eastAsia="en-GB"/>
        </w:rPr>
        <w:t>determine the optimal capital structure, effectively allocate resources, and evaluate the viability of international projects.</w:t>
      </w:r>
    </w:p>
    <w:p w14:paraId="7C9AB0D3" w14:textId="43AED11E" w:rsidR="00A47C1C" w:rsidRPr="00A50F6E" w:rsidRDefault="00A47C1C" w:rsidP="00A50F6E">
      <w:pPr>
        <w:pStyle w:val="ListParagraph"/>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50F6E">
        <w:rPr>
          <w:rFonts w:ascii="Times New Roman" w:eastAsia="Times New Roman" w:hAnsi="Times New Roman" w:cs="Times New Roman"/>
          <w:sz w:val="24"/>
          <w:szCs w:val="24"/>
          <w:lang w:eastAsia="en-GB"/>
        </w:rPr>
        <w:t>International Tax Management</w:t>
      </w:r>
    </w:p>
    <w:p w14:paraId="557E8F9A" w14:textId="77777777" w:rsidR="00A47C1C" w:rsidRDefault="00A47C1C" w:rsidP="00A50F6E">
      <w:pPr>
        <w:spacing w:before="100" w:beforeAutospacing="1" w:after="100" w:afterAutospacing="1" w:line="240" w:lineRule="auto"/>
        <w:ind w:firstLine="360"/>
        <w:jc w:val="both"/>
        <w:rPr>
          <w:rFonts w:ascii="Times New Roman" w:eastAsia="Times New Roman" w:hAnsi="Times New Roman" w:cs="Times New Roman"/>
          <w:sz w:val="24"/>
          <w:szCs w:val="24"/>
          <w:lang w:eastAsia="en-GB"/>
        </w:rPr>
      </w:pPr>
      <w:r w:rsidRPr="001E130F">
        <w:rPr>
          <w:rFonts w:ascii="Times New Roman" w:eastAsia="Times New Roman" w:hAnsi="Times New Roman" w:cs="Times New Roman"/>
          <w:sz w:val="24"/>
          <w:szCs w:val="24"/>
          <w:lang w:eastAsia="en-GB"/>
        </w:rPr>
        <w:t>BP operates in various jurisdictions with different tax systems, making tax management a critical aspect of its financial strategy. IFM enables BP to minimize its global tax liabilities and optimize its tax planning strategies.</w:t>
      </w:r>
    </w:p>
    <w:p w14:paraId="3275E620" w14:textId="1E933D90" w:rsidR="002D13A4" w:rsidRPr="001E130F" w:rsidRDefault="002D13A4" w:rsidP="002D13A4">
      <w:pPr>
        <w:pStyle w:val="Heading1"/>
        <w:rPr>
          <w:rFonts w:eastAsia="Times New Roman"/>
          <w:lang w:eastAsia="en-GB"/>
        </w:rPr>
      </w:pPr>
      <w:bookmarkStart w:id="2" w:name="_Toc133998828"/>
      <w:r>
        <w:rPr>
          <w:rFonts w:eastAsia="Times New Roman"/>
          <w:lang w:eastAsia="en-GB"/>
        </w:rPr>
        <w:t>3.</w:t>
      </w:r>
      <w:r w:rsidRPr="001E130F">
        <w:rPr>
          <w:rFonts w:eastAsia="Times New Roman"/>
          <w:lang w:eastAsia="en-GB"/>
        </w:rPr>
        <w:t>Dividend Distribution Policy</w:t>
      </w:r>
      <w:bookmarkEnd w:id="2"/>
    </w:p>
    <w:p w14:paraId="0C657F26" w14:textId="724D28C1" w:rsidR="00736569" w:rsidRDefault="00736569" w:rsidP="001B076E">
      <w:pPr>
        <w:spacing w:before="100" w:beforeAutospacing="1" w:after="100" w:afterAutospacing="1" w:line="240" w:lineRule="auto"/>
        <w:ind w:firstLine="720"/>
        <w:jc w:val="both"/>
        <w:rPr>
          <w:rFonts w:ascii="Times New Roman" w:eastAsia="Times New Roman" w:hAnsi="Times New Roman" w:cs="Times New Roman"/>
          <w:sz w:val="24"/>
          <w:szCs w:val="24"/>
          <w:lang w:eastAsia="en-GB"/>
        </w:rPr>
      </w:pPr>
      <w:r w:rsidRPr="003E127D">
        <w:rPr>
          <w:rFonts w:ascii="Times New Roman" w:eastAsia="Times New Roman" w:hAnsi="Times New Roman" w:cs="Times New Roman"/>
          <w:sz w:val="24"/>
          <w:szCs w:val="24"/>
          <w:lang w:eastAsia="en-GB"/>
        </w:rPr>
        <w:t>BP's dividend distribution policy reflects its commitment to returning value to shareholders while maintaining a strong balance sheet and investing in growth opportunities.</w:t>
      </w:r>
      <w:r w:rsidR="00F86037">
        <w:rPr>
          <w:rFonts w:ascii="Times New Roman" w:eastAsia="Times New Roman" w:hAnsi="Times New Roman" w:cs="Times New Roman"/>
          <w:sz w:val="24"/>
          <w:szCs w:val="24"/>
          <w:lang w:eastAsia="en-GB"/>
        </w:rPr>
        <w:t xml:space="preserve"> </w:t>
      </w:r>
      <w:r w:rsidR="001B076E" w:rsidRPr="001B076E">
        <w:rPr>
          <w:rFonts w:ascii="Times New Roman" w:eastAsia="Times New Roman" w:hAnsi="Times New Roman" w:cs="Times New Roman"/>
          <w:sz w:val="24"/>
          <w:szCs w:val="24"/>
          <w:lang w:eastAsia="en-GB"/>
        </w:rPr>
        <w:t xml:space="preserve">With each quarter's results, the </w:t>
      </w:r>
      <w:r w:rsidR="001B076E">
        <w:rPr>
          <w:rFonts w:ascii="Times New Roman" w:eastAsia="Times New Roman" w:hAnsi="Times New Roman" w:cs="Times New Roman"/>
          <w:sz w:val="24"/>
          <w:szCs w:val="24"/>
          <w:lang w:eastAsia="en-GB"/>
        </w:rPr>
        <w:t xml:space="preserve">BP’s </w:t>
      </w:r>
      <w:r w:rsidR="001B076E" w:rsidRPr="001B076E">
        <w:rPr>
          <w:rFonts w:ascii="Times New Roman" w:eastAsia="Times New Roman" w:hAnsi="Times New Roman" w:cs="Times New Roman"/>
          <w:sz w:val="24"/>
          <w:szCs w:val="24"/>
          <w:lang w:eastAsia="en-GB"/>
        </w:rPr>
        <w:t xml:space="preserve">board determines the dividend level. If an interim dividend is declared, the dividend is paid approximately eight weeks after the announcement. A dividend's amount and timing may be altered at any moment without notice. Because a dividend is paid for each share, the amount shareholders receive is proportional to the number of shares </w:t>
      </w:r>
      <w:r w:rsidR="001B076E" w:rsidRPr="001B076E">
        <w:rPr>
          <w:rFonts w:ascii="Times New Roman" w:eastAsia="Times New Roman" w:hAnsi="Times New Roman" w:cs="Times New Roman"/>
          <w:sz w:val="24"/>
          <w:szCs w:val="24"/>
          <w:lang w:eastAsia="en-GB"/>
        </w:rPr>
        <w:lastRenderedPageBreak/>
        <w:t>they own.</w:t>
      </w:r>
      <w:r w:rsidR="00AF55E7">
        <w:rPr>
          <w:rFonts w:ascii="Times New Roman" w:hAnsi="Times New Roman" w:cs="Times New Roman"/>
          <w:sz w:val="24"/>
          <w:szCs w:val="24"/>
        </w:rPr>
        <w:t xml:space="preserve"> </w:t>
      </w:r>
      <w:sdt>
        <w:sdtPr>
          <w:rPr>
            <w:rFonts w:ascii="Times New Roman" w:hAnsi="Times New Roman" w:cs="Times New Roman"/>
            <w:sz w:val="24"/>
            <w:szCs w:val="24"/>
          </w:rPr>
          <w:id w:val="1914501157"/>
          <w:citation/>
        </w:sdtPr>
        <w:sdtContent>
          <w:r w:rsidR="00AF55E7">
            <w:rPr>
              <w:rFonts w:ascii="Times New Roman" w:hAnsi="Times New Roman" w:cs="Times New Roman"/>
              <w:sz w:val="24"/>
              <w:szCs w:val="24"/>
            </w:rPr>
            <w:fldChar w:fldCharType="begin"/>
          </w:r>
          <w:r w:rsidR="00AF55E7">
            <w:rPr>
              <w:rFonts w:ascii="Times New Roman" w:hAnsi="Times New Roman" w:cs="Times New Roman"/>
              <w:sz w:val="24"/>
              <w:szCs w:val="24"/>
              <w:lang w:val="en-US"/>
            </w:rPr>
            <w:instrText xml:space="preserve"> CITATION BPP231 \l 1033 </w:instrText>
          </w:r>
          <w:r w:rsidR="00AF55E7">
            <w:rPr>
              <w:rFonts w:ascii="Times New Roman" w:hAnsi="Times New Roman" w:cs="Times New Roman"/>
              <w:sz w:val="24"/>
              <w:szCs w:val="24"/>
            </w:rPr>
            <w:fldChar w:fldCharType="separate"/>
          </w:r>
          <w:r w:rsidR="00446C02" w:rsidRPr="00446C02">
            <w:rPr>
              <w:rFonts w:ascii="Times New Roman" w:hAnsi="Times New Roman" w:cs="Times New Roman"/>
              <w:noProof/>
              <w:sz w:val="24"/>
              <w:szCs w:val="24"/>
              <w:lang w:val="en-US"/>
            </w:rPr>
            <w:t>(BP Plc., 2023)</w:t>
          </w:r>
          <w:r w:rsidR="00AF55E7">
            <w:rPr>
              <w:rFonts w:ascii="Times New Roman" w:hAnsi="Times New Roman" w:cs="Times New Roman"/>
              <w:sz w:val="24"/>
              <w:szCs w:val="24"/>
            </w:rPr>
            <w:fldChar w:fldCharType="end"/>
          </w:r>
        </w:sdtContent>
      </w:sdt>
      <w:r w:rsidR="00F86037" w:rsidRPr="00F86037">
        <w:rPr>
          <w:rFonts w:ascii="Times New Roman" w:hAnsi="Times New Roman" w:cs="Times New Roman"/>
          <w:sz w:val="24"/>
          <w:szCs w:val="24"/>
        </w:rPr>
        <w:t>.</w:t>
      </w:r>
      <w:r w:rsidRPr="003E127D">
        <w:rPr>
          <w:rFonts w:ascii="Times New Roman" w:eastAsia="Times New Roman" w:hAnsi="Times New Roman" w:cs="Times New Roman"/>
          <w:sz w:val="24"/>
          <w:szCs w:val="24"/>
          <w:lang w:eastAsia="en-GB"/>
        </w:rPr>
        <w:t xml:space="preserve"> </w:t>
      </w:r>
      <w:r w:rsidR="007B1179" w:rsidRPr="001E130F">
        <w:rPr>
          <w:rFonts w:ascii="Times New Roman" w:eastAsia="Times New Roman" w:hAnsi="Times New Roman" w:cs="Times New Roman"/>
          <w:sz w:val="24"/>
          <w:szCs w:val="24"/>
          <w:lang w:eastAsia="en-GB"/>
        </w:rPr>
        <w:t>The company's policy can be analysed through two IFM theories: the Dividend Irrelevance Theory</w:t>
      </w:r>
      <w:r w:rsidR="00A41CF2">
        <w:rPr>
          <w:rFonts w:ascii="Times New Roman" w:eastAsia="Times New Roman" w:hAnsi="Times New Roman" w:cs="Times New Roman"/>
          <w:sz w:val="24"/>
          <w:szCs w:val="24"/>
          <w:lang w:eastAsia="en-GB"/>
        </w:rPr>
        <w:t xml:space="preserve"> </w:t>
      </w:r>
      <w:r w:rsidR="007B1179" w:rsidRPr="001E130F">
        <w:rPr>
          <w:rFonts w:ascii="Times New Roman" w:eastAsia="Times New Roman" w:hAnsi="Times New Roman" w:cs="Times New Roman"/>
          <w:sz w:val="24"/>
          <w:szCs w:val="24"/>
          <w:lang w:eastAsia="en-GB"/>
        </w:rPr>
        <w:t>and the Dividend Relevance Theory.</w:t>
      </w:r>
      <w:r w:rsidR="007B1179">
        <w:rPr>
          <w:rFonts w:ascii="Times New Roman" w:eastAsia="Times New Roman" w:hAnsi="Times New Roman" w:cs="Times New Roman"/>
          <w:sz w:val="24"/>
          <w:szCs w:val="24"/>
          <w:lang w:eastAsia="en-GB"/>
        </w:rPr>
        <w:t xml:space="preserve"> </w:t>
      </w:r>
      <w:r w:rsidRPr="003E127D">
        <w:rPr>
          <w:rFonts w:ascii="Times New Roman" w:eastAsia="Times New Roman" w:hAnsi="Times New Roman" w:cs="Times New Roman"/>
          <w:sz w:val="24"/>
          <w:szCs w:val="24"/>
          <w:lang w:eastAsia="en-GB"/>
        </w:rPr>
        <w:t>BP's policy aligns with the dividend relevance theory, which posits that dividends are an essential determinant of a company's value, as it consistently pays dividends to its shareholders.</w:t>
      </w:r>
    </w:p>
    <w:p w14:paraId="434F8F95" w14:textId="77777777" w:rsidR="00722183" w:rsidRDefault="002D13A4" w:rsidP="002D13A4">
      <w:pPr>
        <w:pStyle w:val="ListParagraph"/>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722183">
        <w:rPr>
          <w:rFonts w:ascii="Times New Roman" w:eastAsia="Times New Roman" w:hAnsi="Times New Roman" w:cs="Times New Roman"/>
          <w:sz w:val="24"/>
          <w:szCs w:val="24"/>
          <w:lang w:eastAsia="en-GB"/>
        </w:rPr>
        <w:t>Dividend Irrelevance Theory</w:t>
      </w:r>
    </w:p>
    <w:p w14:paraId="6D50C284" w14:textId="62287C1E" w:rsidR="002D13A4" w:rsidRPr="00722183" w:rsidRDefault="00622CDB" w:rsidP="00722183">
      <w:pPr>
        <w:spacing w:before="100" w:beforeAutospacing="1" w:after="100" w:afterAutospacing="1" w:line="240" w:lineRule="auto"/>
        <w:ind w:firstLine="360"/>
        <w:jc w:val="both"/>
        <w:rPr>
          <w:rFonts w:ascii="Times New Roman" w:eastAsia="Times New Roman" w:hAnsi="Times New Roman" w:cs="Times New Roman"/>
          <w:sz w:val="24"/>
          <w:szCs w:val="24"/>
          <w:lang w:eastAsia="en-GB"/>
        </w:rPr>
      </w:pPr>
      <w:r w:rsidRPr="00622CDB">
        <w:rPr>
          <w:rFonts w:ascii="Times New Roman" w:eastAsia="Times New Roman" w:hAnsi="Times New Roman" w:cs="Times New Roman"/>
          <w:sz w:val="24"/>
          <w:szCs w:val="24"/>
          <w:lang w:eastAsia="en-GB"/>
        </w:rPr>
        <w:t>Dividend policy, according to the Dividend Irrelevance Theory established by Modigliani and Miller (1961), has no effect on a company's market value</w:t>
      </w:r>
      <w:r w:rsidR="00DC27D5">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874766898"/>
          <w:citation/>
        </w:sdtPr>
        <w:sdtContent>
          <w:r w:rsidR="00DC27D5">
            <w:rPr>
              <w:rFonts w:ascii="Times New Roman" w:eastAsia="Times New Roman" w:hAnsi="Times New Roman" w:cs="Times New Roman"/>
              <w:sz w:val="24"/>
              <w:szCs w:val="24"/>
              <w:lang w:eastAsia="en-GB"/>
            </w:rPr>
            <w:fldChar w:fldCharType="begin"/>
          </w:r>
          <w:r w:rsidR="00DC27D5">
            <w:rPr>
              <w:rFonts w:ascii="Times New Roman" w:eastAsia="Times New Roman" w:hAnsi="Times New Roman" w:cs="Times New Roman"/>
              <w:sz w:val="24"/>
              <w:szCs w:val="24"/>
              <w:lang w:val="en-US" w:eastAsia="en-GB"/>
            </w:rPr>
            <w:instrText xml:space="preserve"> CITATION Mil61 \l 1033 </w:instrText>
          </w:r>
          <w:r w:rsidR="00DC27D5">
            <w:rPr>
              <w:rFonts w:ascii="Times New Roman" w:eastAsia="Times New Roman" w:hAnsi="Times New Roman" w:cs="Times New Roman"/>
              <w:sz w:val="24"/>
              <w:szCs w:val="24"/>
              <w:lang w:eastAsia="en-GB"/>
            </w:rPr>
            <w:fldChar w:fldCharType="separate"/>
          </w:r>
          <w:r w:rsidR="00446C02" w:rsidRPr="00446C02">
            <w:rPr>
              <w:rFonts w:ascii="Times New Roman" w:eastAsia="Times New Roman" w:hAnsi="Times New Roman" w:cs="Times New Roman"/>
              <w:noProof/>
              <w:sz w:val="24"/>
              <w:szCs w:val="24"/>
              <w:lang w:val="en-US" w:eastAsia="en-GB"/>
            </w:rPr>
            <w:t>(Miller &amp; Modigliani, 1961)</w:t>
          </w:r>
          <w:r w:rsidR="00DC27D5">
            <w:rPr>
              <w:rFonts w:ascii="Times New Roman" w:eastAsia="Times New Roman" w:hAnsi="Times New Roman" w:cs="Times New Roman"/>
              <w:sz w:val="24"/>
              <w:szCs w:val="24"/>
              <w:lang w:eastAsia="en-GB"/>
            </w:rPr>
            <w:fldChar w:fldCharType="end"/>
          </w:r>
        </w:sdtContent>
      </w:sdt>
      <w:r w:rsidRPr="00622CDB">
        <w:rPr>
          <w:rFonts w:ascii="Times New Roman" w:eastAsia="Times New Roman" w:hAnsi="Times New Roman" w:cs="Times New Roman"/>
          <w:sz w:val="24"/>
          <w:szCs w:val="24"/>
          <w:lang w:eastAsia="en-GB"/>
        </w:rPr>
        <w:t>. According to the hypothesis, investors are agnostic about dividends and capital gains, indicating that BP's dividend policy should have no effect on its market value.</w:t>
      </w:r>
    </w:p>
    <w:p w14:paraId="4E432203" w14:textId="372E217C" w:rsidR="002D13A4" w:rsidRPr="00722183" w:rsidRDefault="002D13A4" w:rsidP="00722183">
      <w:pPr>
        <w:pStyle w:val="ListParagraph"/>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722183">
        <w:rPr>
          <w:rFonts w:ascii="Times New Roman" w:eastAsia="Times New Roman" w:hAnsi="Times New Roman" w:cs="Times New Roman"/>
          <w:sz w:val="24"/>
          <w:szCs w:val="24"/>
          <w:lang w:eastAsia="en-GB"/>
        </w:rPr>
        <w:t>Dividend Relevance Theory</w:t>
      </w:r>
    </w:p>
    <w:p w14:paraId="511A868B" w14:textId="358BB375" w:rsidR="00911416" w:rsidRDefault="002D13A4" w:rsidP="00911416">
      <w:pPr>
        <w:spacing w:before="100" w:beforeAutospacing="1" w:after="100" w:afterAutospacing="1" w:line="240" w:lineRule="auto"/>
        <w:ind w:firstLine="360"/>
        <w:jc w:val="both"/>
        <w:rPr>
          <w:rFonts w:ascii="Times New Roman" w:eastAsia="Times New Roman" w:hAnsi="Times New Roman" w:cs="Times New Roman"/>
          <w:sz w:val="24"/>
          <w:szCs w:val="24"/>
          <w:lang w:eastAsia="en-GB"/>
        </w:rPr>
      </w:pPr>
      <w:r w:rsidRPr="001E130F">
        <w:rPr>
          <w:rFonts w:ascii="Times New Roman" w:eastAsia="Times New Roman" w:hAnsi="Times New Roman" w:cs="Times New Roman"/>
          <w:sz w:val="24"/>
          <w:szCs w:val="24"/>
          <w:lang w:eastAsia="en-GB"/>
        </w:rPr>
        <w:t>In contrast,</w:t>
      </w:r>
      <w:r w:rsidR="00DC27D5">
        <w:rPr>
          <w:rFonts w:ascii="Times New Roman" w:eastAsia="Times New Roman" w:hAnsi="Times New Roman" w:cs="Times New Roman"/>
          <w:sz w:val="24"/>
          <w:szCs w:val="24"/>
          <w:lang w:eastAsia="en-GB"/>
        </w:rPr>
        <w:t xml:space="preserve"> </w:t>
      </w:r>
      <w:r w:rsidRPr="001E130F">
        <w:rPr>
          <w:rFonts w:ascii="Times New Roman" w:eastAsia="Times New Roman" w:hAnsi="Times New Roman" w:cs="Times New Roman"/>
          <w:sz w:val="24"/>
          <w:szCs w:val="24"/>
          <w:lang w:eastAsia="en-GB"/>
        </w:rPr>
        <w:t xml:space="preserve">Gordon </w:t>
      </w:r>
      <w:r w:rsidR="00DC27D5">
        <w:rPr>
          <w:rFonts w:ascii="Times New Roman" w:eastAsia="Times New Roman" w:hAnsi="Times New Roman" w:cs="Times New Roman"/>
          <w:sz w:val="24"/>
          <w:szCs w:val="24"/>
          <w:lang w:eastAsia="en-GB"/>
        </w:rPr>
        <w:t xml:space="preserve">in </w:t>
      </w:r>
      <w:r w:rsidRPr="001E130F">
        <w:rPr>
          <w:rFonts w:ascii="Times New Roman" w:eastAsia="Times New Roman" w:hAnsi="Times New Roman" w:cs="Times New Roman"/>
          <w:sz w:val="24"/>
          <w:szCs w:val="24"/>
          <w:lang w:eastAsia="en-GB"/>
        </w:rPr>
        <w:t xml:space="preserve">1959 and Lintner </w:t>
      </w:r>
      <w:r w:rsidR="00DC27D5">
        <w:rPr>
          <w:rFonts w:ascii="Times New Roman" w:eastAsia="Times New Roman" w:hAnsi="Times New Roman" w:cs="Times New Roman"/>
          <w:sz w:val="24"/>
          <w:szCs w:val="24"/>
          <w:lang w:eastAsia="en-GB"/>
        </w:rPr>
        <w:t xml:space="preserve">in </w:t>
      </w:r>
      <w:r w:rsidRPr="001E130F">
        <w:rPr>
          <w:rFonts w:ascii="Times New Roman" w:eastAsia="Times New Roman" w:hAnsi="Times New Roman" w:cs="Times New Roman"/>
          <w:sz w:val="24"/>
          <w:szCs w:val="24"/>
          <w:lang w:eastAsia="en-GB"/>
        </w:rPr>
        <w:t>1962</w:t>
      </w:r>
      <w:r w:rsidR="00DC27D5">
        <w:rPr>
          <w:rFonts w:ascii="Times New Roman" w:eastAsia="Times New Roman" w:hAnsi="Times New Roman" w:cs="Times New Roman"/>
          <w:sz w:val="24"/>
          <w:szCs w:val="24"/>
          <w:lang w:eastAsia="en-GB"/>
        </w:rPr>
        <w:t xml:space="preserve"> </w:t>
      </w:r>
      <w:r w:rsidR="00DC27D5" w:rsidRPr="001E130F">
        <w:rPr>
          <w:rFonts w:ascii="Times New Roman" w:eastAsia="Times New Roman" w:hAnsi="Times New Roman" w:cs="Times New Roman"/>
          <w:sz w:val="24"/>
          <w:szCs w:val="24"/>
          <w:lang w:eastAsia="en-GB"/>
        </w:rPr>
        <w:t xml:space="preserve">proposed </w:t>
      </w:r>
      <w:r w:rsidR="00DC27D5">
        <w:rPr>
          <w:rFonts w:ascii="Times New Roman" w:eastAsia="Times New Roman" w:hAnsi="Times New Roman" w:cs="Times New Roman"/>
          <w:sz w:val="24"/>
          <w:szCs w:val="24"/>
          <w:lang w:eastAsia="en-GB"/>
        </w:rPr>
        <w:t>that the</w:t>
      </w:r>
      <w:r w:rsidRPr="001E130F">
        <w:rPr>
          <w:rFonts w:ascii="Times New Roman" w:eastAsia="Times New Roman" w:hAnsi="Times New Roman" w:cs="Times New Roman"/>
          <w:sz w:val="24"/>
          <w:szCs w:val="24"/>
          <w:lang w:eastAsia="en-GB"/>
        </w:rPr>
        <w:t xml:space="preserve"> dividend policy does affect a company's market value. This theory suggests that investors prefer a stable and predictable dividend policy, which provides a signal of a company's financial health and reduces uncertainty. </w:t>
      </w:r>
      <w:r w:rsidR="00DB5863">
        <w:rPr>
          <w:rFonts w:ascii="Times New Roman" w:eastAsia="Times New Roman" w:hAnsi="Times New Roman" w:cs="Times New Roman"/>
          <w:sz w:val="24"/>
          <w:szCs w:val="24"/>
          <w:lang w:eastAsia="en-GB"/>
        </w:rPr>
        <w:t xml:space="preserve"> </w:t>
      </w:r>
      <w:r w:rsidRPr="001E130F">
        <w:rPr>
          <w:rFonts w:ascii="Times New Roman" w:eastAsia="Times New Roman" w:hAnsi="Times New Roman" w:cs="Times New Roman"/>
          <w:sz w:val="24"/>
          <w:szCs w:val="24"/>
          <w:lang w:eastAsia="en-GB"/>
        </w:rPr>
        <w:t xml:space="preserve">Over the years, BP has maintained a stable dividend </w:t>
      </w:r>
      <w:r w:rsidR="00722183" w:rsidRPr="001E130F">
        <w:rPr>
          <w:rFonts w:ascii="Times New Roman" w:eastAsia="Times New Roman" w:hAnsi="Times New Roman" w:cs="Times New Roman"/>
          <w:sz w:val="24"/>
          <w:szCs w:val="24"/>
          <w:lang w:eastAsia="en-GB"/>
        </w:rPr>
        <w:t>pay-out</w:t>
      </w:r>
      <w:r w:rsidR="00A460B3">
        <w:rPr>
          <w:rFonts w:ascii="Times New Roman" w:eastAsia="Times New Roman" w:hAnsi="Times New Roman" w:cs="Times New Roman"/>
          <w:sz w:val="24"/>
          <w:szCs w:val="24"/>
          <w:lang w:eastAsia="en-GB"/>
        </w:rPr>
        <w:t xml:space="preserve">, as seen </w:t>
      </w:r>
      <w:r w:rsidR="00A156D4">
        <w:rPr>
          <w:rFonts w:ascii="Times New Roman" w:eastAsia="Times New Roman" w:hAnsi="Times New Roman" w:cs="Times New Roman"/>
          <w:sz w:val="24"/>
          <w:szCs w:val="24"/>
          <w:lang w:eastAsia="en-GB"/>
        </w:rPr>
        <w:t>below in Fig1.</w:t>
      </w:r>
      <w:r w:rsidRPr="001E130F">
        <w:rPr>
          <w:rFonts w:ascii="Times New Roman" w:eastAsia="Times New Roman" w:hAnsi="Times New Roman" w:cs="Times New Roman"/>
          <w:sz w:val="24"/>
          <w:szCs w:val="24"/>
          <w:lang w:eastAsia="en-GB"/>
        </w:rPr>
        <w:t>, even during challenging times in the oil and gas industry</w:t>
      </w:r>
      <w:r w:rsidR="00DB5863">
        <w:rPr>
          <w:rFonts w:ascii="Times New Roman" w:eastAsia="Times New Roman" w:hAnsi="Times New Roman" w:cs="Times New Roman"/>
          <w:sz w:val="24"/>
          <w:szCs w:val="24"/>
          <w:lang w:eastAsia="en-GB"/>
        </w:rPr>
        <w:t xml:space="preserve">, </w:t>
      </w:r>
      <w:r w:rsidR="00DB5863" w:rsidRPr="001E130F">
        <w:rPr>
          <w:rFonts w:ascii="Times New Roman" w:eastAsia="Times New Roman" w:hAnsi="Times New Roman" w:cs="Times New Roman"/>
          <w:sz w:val="24"/>
          <w:szCs w:val="24"/>
          <w:lang w:eastAsia="en-GB"/>
        </w:rPr>
        <w:t>reflecting its commitment to shareholder value</w:t>
      </w:r>
      <w:r w:rsidRPr="001E130F">
        <w:rPr>
          <w:rFonts w:ascii="Times New Roman" w:eastAsia="Times New Roman" w:hAnsi="Times New Roman" w:cs="Times New Roman"/>
          <w:sz w:val="24"/>
          <w:szCs w:val="24"/>
          <w:lang w:eastAsia="en-GB"/>
        </w:rPr>
        <w:t>.</w:t>
      </w:r>
      <w:r w:rsidR="00DB5863">
        <w:rPr>
          <w:rFonts w:ascii="Times New Roman" w:eastAsia="Times New Roman" w:hAnsi="Times New Roman" w:cs="Times New Roman"/>
          <w:sz w:val="24"/>
          <w:szCs w:val="24"/>
          <w:lang w:eastAsia="en-GB"/>
        </w:rPr>
        <w:t xml:space="preserve"> </w:t>
      </w:r>
      <w:r w:rsidRPr="001E130F">
        <w:rPr>
          <w:rFonts w:ascii="Times New Roman" w:eastAsia="Times New Roman" w:hAnsi="Times New Roman" w:cs="Times New Roman"/>
          <w:sz w:val="24"/>
          <w:szCs w:val="24"/>
          <w:lang w:eastAsia="en-GB"/>
        </w:rPr>
        <w:t>This has led to a positive market perception and a stable stock price, suggesting that BP's dividend policy is indeed relevant to its market value.</w:t>
      </w:r>
    </w:p>
    <w:p w14:paraId="59A05437" w14:textId="7E19C274" w:rsidR="00A156D4" w:rsidRDefault="00A156D4" w:rsidP="00911416">
      <w:pPr>
        <w:spacing w:before="100" w:beforeAutospacing="1" w:after="100" w:afterAutospacing="1" w:line="240" w:lineRule="auto"/>
        <w:ind w:firstLine="360"/>
        <w:jc w:val="both"/>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14:ligatures w14:val="standardContextual"/>
        </w:rPr>
        <w:drawing>
          <wp:inline distT="0" distB="0" distL="0" distR="0" wp14:anchorId="3D45E7BC" wp14:editId="08A62239">
            <wp:extent cx="5441947" cy="2255520"/>
            <wp:effectExtent l="0" t="0" r="6985" b="0"/>
            <wp:docPr id="1737235189"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235189" name="Picture 1" descr="Chart, ba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448806" cy="2258363"/>
                    </a:xfrm>
                    <a:prstGeom prst="rect">
                      <a:avLst/>
                    </a:prstGeom>
                  </pic:spPr>
                </pic:pic>
              </a:graphicData>
            </a:graphic>
          </wp:inline>
        </w:drawing>
      </w:r>
    </w:p>
    <w:p w14:paraId="68DA911F" w14:textId="2D262B65" w:rsidR="00A156D4" w:rsidRPr="00816FFC" w:rsidRDefault="00A156D4" w:rsidP="00A156D4">
      <w:pPr>
        <w:spacing w:before="100" w:beforeAutospacing="1" w:after="100" w:afterAutospacing="1" w:line="240" w:lineRule="auto"/>
        <w:ind w:firstLine="360"/>
        <w:jc w:val="center"/>
        <w:rPr>
          <w:rFonts w:ascii="Times New Roman" w:eastAsia="Times New Roman" w:hAnsi="Times New Roman" w:cs="Times New Roman"/>
          <w:sz w:val="20"/>
          <w:szCs w:val="20"/>
          <w:lang w:eastAsia="en-GB"/>
        </w:rPr>
      </w:pPr>
      <w:r w:rsidRPr="00816FFC">
        <w:rPr>
          <w:rFonts w:ascii="Times New Roman" w:eastAsia="Times New Roman" w:hAnsi="Times New Roman" w:cs="Times New Roman"/>
          <w:sz w:val="20"/>
          <w:szCs w:val="20"/>
          <w:lang w:eastAsia="en-GB"/>
        </w:rPr>
        <w:t xml:space="preserve">Fig.1 </w:t>
      </w:r>
      <w:r w:rsidR="00816FFC" w:rsidRPr="00816FFC">
        <w:rPr>
          <w:rFonts w:ascii="Times New Roman" w:eastAsia="Times New Roman" w:hAnsi="Times New Roman" w:cs="Times New Roman"/>
          <w:sz w:val="20"/>
          <w:szCs w:val="20"/>
          <w:lang w:eastAsia="en-GB"/>
        </w:rPr>
        <w:t>Annual Dividends BP (Source:</w:t>
      </w:r>
      <w:sdt>
        <w:sdtPr>
          <w:rPr>
            <w:rFonts w:ascii="Times New Roman" w:eastAsia="Times New Roman" w:hAnsi="Times New Roman" w:cs="Times New Roman"/>
            <w:sz w:val="20"/>
            <w:szCs w:val="20"/>
            <w:lang w:eastAsia="en-GB"/>
          </w:rPr>
          <w:id w:val="-563952634"/>
          <w:citation/>
        </w:sdtPr>
        <w:sdtContent>
          <w:r w:rsidR="00816FFC" w:rsidRPr="00816FFC">
            <w:rPr>
              <w:rFonts w:ascii="Times New Roman" w:eastAsia="Times New Roman" w:hAnsi="Times New Roman" w:cs="Times New Roman"/>
              <w:sz w:val="20"/>
              <w:szCs w:val="20"/>
              <w:lang w:eastAsia="en-GB"/>
            </w:rPr>
            <w:fldChar w:fldCharType="begin"/>
          </w:r>
          <w:r w:rsidR="00816FFC" w:rsidRPr="00816FFC">
            <w:rPr>
              <w:rFonts w:ascii="Times New Roman" w:eastAsia="Times New Roman" w:hAnsi="Times New Roman" w:cs="Times New Roman"/>
              <w:sz w:val="20"/>
              <w:szCs w:val="20"/>
              <w:lang w:val="en-US" w:eastAsia="en-GB"/>
            </w:rPr>
            <w:instrText xml:space="preserve"> CITATION Div23 \l 1033 </w:instrText>
          </w:r>
          <w:r w:rsidR="00816FFC" w:rsidRPr="00816FFC">
            <w:rPr>
              <w:rFonts w:ascii="Times New Roman" w:eastAsia="Times New Roman" w:hAnsi="Times New Roman" w:cs="Times New Roman"/>
              <w:sz w:val="20"/>
              <w:szCs w:val="20"/>
              <w:lang w:eastAsia="en-GB"/>
            </w:rPr>
            <w:fldChar w:fldCharType="separate"/>
          </w:r>
          <w:r w:rsidR="00446C02">
            <w:rPr>
              <w:rFonts w:ascii="Times New Roman" w:eastAsia="Times New Roman" w:hAnsi="Times New Roman" w:cs="Times New Roman"/>
              <w:noProof/>
              <w:sz w:val="20"/>
              <w:szCs w:val="20"/>
              <w:lang w:val="en-US" w:eastAsia="en-GB"/>
            </w:rPr>
            <w:t xml:space="preserve"> </w:t>
          </w:r>
          <w:r w:rsidR="00446C02" w:rsidRPr="00446C02">
            <w:rPr>
              <w:rFonts w:ascii="Times New Roman" w:eastAsia="Times New Roman" w:hAnsi="Times New Roman" w:cs="Times New Roman"/>
              <w:noProof/>
              <w:sz w:val="20"/>
              <w:szCs w:val="20"/>
              <w:lang w:val="en-US" w:eastAsia="en-GB"/>
            </w:rPr>
            <w:t>(Dividendmax LTD, 2023)</w:t>
          </w:r>
          <w:r w:rsidR="00816FFC" w:rsidRPr="00816FFC">
            <w:rPr>
              <w:rFonts w:ascii="Times New Roman" w:eastAsia="Times New Roman" w:hAnsi="Times New Roman" w:cs="Times New Roman"/>
              <w:sz w:val="20"/>
              <w:szCs w:val="20"/>
              <w:lang w:eastAsia="en-GB"/>
            </w:rPr>
            <w:fldChar w:fldCharType="end"/>
          </w:r>
        </w:sdtContent>
      </w:sdt>
    </w:p>
    <w:p w14:paraId="3ACFC1C4" w14:textId="1CBEE42B" w:rsidR="00850AE2" w:rsidRPr="003E127D" w:rsidRDefault="00436F8E" w:rsidP="00436F8E">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Historically,</w:t>
      </w:r>
      <w:r w:rsidR="000B1FC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the </w:t>
      </w:r>
      <w:r w:rsidR="000B1FC7">
        <w:rPr>
          <w:rFonts w:ascii="Times New Roman" w:eastAsia="Times New Roman" w:hAnsi="Times New Roman" w:cs="Times New Roman"/>
          <w:sz w:val="24"/>
          <w:szCs w:val="24"/>
          <w:lang w:eastAsia="en-GB"/>
        </w:rPr>
        <w:t>BP’s dividend policy</w:t>
      </w:r>
      <w:r w:rsidR="00850AE2" w:rsidRPr="003E127D">
        <w:rPr>
          <w:rFonts w:ascii="Times New Roman" w:eastAsia="Times New Roman" w:hAnsi="Times New Roman" w:cs="Times New Roman"/>
          <w:sz w:val="24"/>
          <w:szCs w:val="24"/>
          <w:lang w:eastAsia="en-GB"/>
        </w:rPr>
        <w:t xml:space="preserve"> </w:t>
      </w:r>
      <w:r w:rsidR="000B1FC7">
        <w:rPr>
          <w:rFonts w:ascii="Times New Roman" w:eastAsia="Times New Roman" w:hAnsi="Times New Roman" w:cs="Times New Roman"/>
          <w:sz w:val="24"/>
          <w:szCs w:val="24"/>
          <w:lang w:eastAsia="en-GB"/>
        </w:rPr>
        <w:t xml:space="preserve">has seen some </w:t>
      </w:r>
      <w:r w:rsidR="00850AE2" w:rsidRPr="003E127D">
        <w:rPr>
          <w:rFonts w:ascii="Times New Roman" w:eastAsia="Times New Roman" w:hAnsi="Times New Roman" w:cs="Times New Roman"/>
          <w:sz w:val="24"/>
          <w:szCs w:val="24"/>
          <w:lang w:eastAsia="en-GB"/>
        </w:rPr>
        <w:t xml:space="preserve">adjustments made based on prevailing market conditions and </w:t>
      </w:r>
      <w:r w:rsidRPr="003E127D">
        <w:rPr>
          <w:rFonts w:ascii="Times New Roman" w:eastAsia="Times New Roman" w:hAnsi="Times New Roman" w:cs="Times New Roman"/>
          <w:sz w:val="24"/>
          <w:szCs w:val="24"/>
          <w:lang w:eastAsia="en-GB"/>
        </w:rPr>
        <w:t>prospects</w:t>
      </w:r>
      <w:r w:rsidR="00850AE2" w:rsidRPr="003E127D">
        <w:rPr>
          <w:rFonts w:ascii="Times New Roman" w:eastAsia="Times New Roman" w:hAnsi="Times New Roman" w:cs="Times New Roman"/>
          <w:sz w:val="24"/>
          <w:szCs w:val="24"/>
          <w:lang w:eastAsia="en-GB"/>
        </w:rPr>
        <w:t>. This policy ensures that BP retains investor confidence and maintains a stable shareholder base, while also supporting the company's long-term growth and financial stability.</w:t>
      </w:r>
    </w:p>
    <w:p w14:paraId="5CCE461D" w14:textId="1837AA2E" w:rsidR="00911416" w:rsidRDefault="00911416" w:rsidP="00264031">
      <w:pPr>
        <w:pStyle w:val="Heading1"/>
        <w:spacing w:after="240"/>
        <w:rPr>
          <w:rFonts w:eastAsia="Times New Roman"/>
          <w:lang w:eastAsia="en-GB"/>
        </w:rPr>
      </w:pPr>
      <w:bookmarkStart w:id="3" w:name="_Toc133998829"/>
      <w:r>
        <w:rPr>
          <w:rFonts w:eastAsia="Times New Roman"/>
          <w:lang w:eastAsia="en-GB"/>
        </w:rPr>
        <w:t>4.</w:t>
      </w:r>
      <w:r w:rsidRPr="001E130F">
        <w:rPr>
          <w:rFonts w:eastAsia="Times New Roman"/>
          <w:lang w:eastAsia="en-GB"/>
        </w:rPr>
        <w:t>Efficient Market Hypothesis and BP's Operations</w:t>
      </w:r>
      <w:bookmarkEnd w:id="3"/>
    </w:p>
    <w:p w14:paraId="146E715C" w14:textId="5C220C60" w:rsidR="00264031" w:rsidRPr="00264031" w:rsidRDefault="00264031" w:rsidP="00264031">
      <w:pPr>
        <w:spacing w:after="240"/>
        <w:ind w:firstLine="360"/>
        <w:jc w:val="both"/>
        <w:rPr>
          <w:rFonts w:ascii="Times New Roman" w:hAnsi="Times New Roman" w:cs="Times New Roman"/>
          <w:sz w:val="24"/>
          <w:szCs w:val="24"/>
          <w:lang w:eastAsia="en-GB"/>
        </w:rPr>
      </w:pPr>
      <w:r w:rsidRPr="00264031">
        <w:rPr>
          <w:rFonts w:ascii="Times New Roman" w:hAnsi="Times New Roman" w:cs="Times New Roman"/>
          <w:sz w:val="24"/>
          <w:szCs w:val="24"/>
          <w:lang w:eastAsia="en-GB"/>
        </w:rPr>
        <w:t xml:space="preserve">According to </w:t>
      </w:r>
      <w:proofErr w:type="spellStart"/>
      <w:r w:rsidRPr="00264031">
        <w:rPr>
          <w:rFonts w:ascii="Times New Roman" w:hAnsi="Times New Roman" w:cs="Times New Roman"/>
          <w:sz w:val="24"/>
          <w:szCs w:val="24"/>
          <w:lang w:eastAsia="en-GB"/>
        </w:rPr>
        <w:t>Fama</w:t>
      </w:r>
      <w:proofErr w:type="spellEnd"/>
      <w:r w:rsidRPr="00264031">
        <w:rPr>
          <w:rFonts w:ascii="Times New Roman" w:hAnsi="Times New Roman" w:cs="Times New Roman"/>
          <w:sz w:val="24"/>
          <w:szCs w:val="24"/>
          <w:lang w:eastAsia="en-GB"/>
        </w:rPr>
        <w:t xml:space="preserve"> (1970), the efficient market hypothesis (EMH) states that financial markets are efficient in reflecting all available information. EMH comes in three varieties: </w:t>
      </w:r>
      <w:r>
        <w:rPr>
          <w:rFonts w:ascii="Times New Roman" w:hAnsi="Times New Roman" w:cs="Times New Roman"/>
          <w:sz w:val="24"/>
          <w:szCs w:val="24"/>
          <w:lang w:eastAsia="en-GB"/>
        </w:rPr>
        <w:t>weak</w:t>
      </w:r>
      <w:r w:rsidRPr="00264031">
        <w:rPr>
          <w:rFonts w:ascii="Times New Roman" w:hAnsi="Times New Roman" w:cs="Times New Roman"/>
          <w:sz w:val="24"/>
          <w:szCs w:val="24"/>
          <w:lang w:eastAsia="en-GB"/>
        </w:rPr>
        <w:t xml:space="preserve">, semi-strong, and </w:t>
      </w:r>
      <w:r>
        <w:rPr>
          <w:rFonts w:ascii="Times New Roman" w:hAnsi="Times New Roman" w:cs="Times New Roman"/>
          <w:sz w:val="24"/>
          <w:szCs w:val="24"/>
          <w:lang w:eastAsia="en-GB"/>
        </w:rPr>
        <w:t>strong</w:t>
      </w:r>
      <w:r w:rsidRPr="00264031">
        <w:rPr>
          <w:rFonts w:ascii="Times New Roman" w:hAnsi="Times New Roman" w:cs="Times New Roman"/>
          <w:sz w:val="24"/>
          <w:szCs w:val="24"/>
          <w:lang w:eastAsia="en-GB"/>
        </w:rPr>
        <w:t>. In the context of BP's activities, the semi-strong form of EMH may be applicable, as it assumes that stock prices represent all publicly available information but not all private information.</w:t>
      </w:r>
    </w:p>
    <w:p w14:paraId="5F8EB2DD" w14:textId="4F55A398" w:rsidR="00911416" w:rsidRDefault="00911416" w:rsidP="00B84D7C">
      <w:pPr>
        <w:pStyle w:val="ListParagraph"/>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B84D7C">
        <w:rPr>
          <w:rFonts w:ascii="Times New Roman" w:eastAsia="Times New Roman" w:hAnsi="Times New Roman" w:cs="Times New Roman"/>
          <w:sz w:val="24"/>
          <w:szCs w:val="24"/>
          <w:lang w:eastAsia="en-GB"/>
        </w:rPr>
        <w:lastRenderedPageBreak/>
        <w:t>Weak Form Efficiency</w:t>
      </w:r>
    </w:p>
    <w:p w14:paraId="22A5B83C" w14:textId="7B66B40F" w:rsidR="00775BF9" w:rsidRPr="00775BF9" w:rsidRDefault="00775BF9" w:rsidP="00775BF9">
      <w:pPr>
        <w:spacing w:before="100" w:beforeAutospacing="1" w:after="100" w:afterAutospacing="1" w:line="240" w:lineRule="auto"/>
        <w:ind w:firstLine="360"/>
        <w:jc w:val="both"/>
        <w:rPr>
          <w:rFonts w:ascii="Times New Roman" w:eastAsia="Times New Roman" w:hAnsi="Times New Roman" w:cs="Times New Roman"/>
          <w:sz w:val="24"/>
          <w:szCs w:val="24"/>
          <w:lang w:eastAsia="en-GB"/>
        </w:rPr>
      </w:pPr>
      <w:r w:rsidRPr="00775BF9">
        <w:rPr>
          <w:rFonts w:ascii="Times New Roman" w:eastAsia="Times New Roman" w:hAnsi="Times New Roman" w:cs="Times New Roman"/>
          <w:sz w:val="24"/>
          <w:szCs w:val="24"/>
          <w:lang w:eastAsia="en-GB"/>
        </w:rPr>
        <w:t xml:space="preserve">Stock prices, according to weak form efficiency, already reflect all historical information, including prior prices and trade volumes. In the case of BP, the </w:t>
      </w:r>
      <w:r>
        <w:rPr>
          <w:rFonts w:ascii="Times New Roman" w:eastAsia="Times New Roman" w:hAnsi="Times New Roman" w:cs="Times New Roman"/>
          <w:sz w:val="24"/>
          <w:szCs w:val="24"/>
          <w:lang w:eastAsia="en-GB"/>
        </w:rPr>
        <w:t>weak</w:t>
      </w:r>
      <w:r w:rsidRPr="00775BF9">
        <w:rPr>
          <w:rFonts w:ascii="Times New Roman" w:eastAsia="Times New Roman" w:hAnsi="Times New Roman" w:cs="Times New Roman"/>
          <w:sz w:val="24"/>
          <w:szCs w:val="24"/>
          <w:lang w:eastAsia="en-GB"/>
        </w:rPr>
        <w:t xml:space="preserve"> form efficiency implies that past financial performance cannot be used to forecast future stock price fluctuations.</w:t>
      </w:r>
    </w:p>
    <w:p w14:paraId="7F724FFA" w14:textId="3F792098" w:rsidR="00911416" w:rsidRDefault="00911416" w:rsidP="00B84D7C">
      <w:pPr>
        <w:pStyle w:val="ListParagraph"/>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B84D7C">
        <w:rPr>
          <w:rFonts w:ascii="Times New Roman" w:eastAsia="Times New Roman" w:hAnsi="Times New Roman" w:cs="Times New Roman"/>
          <w:sz w:val="24"/>
          <w:szCs w:val="24"/>
          <w:lang w:eastAsia="en-GB"/>
        </w:rPr>
        <w:t>Semi-Strong Form Efficiency</w:t>
      </w:r>
    </w:p>
    <w:p w14:paraId="01ADC498" w14:textId="5AF94A58" w:rsidR="00775BF9" w:rsidRPr="00775BF9" w:rsidRDefault="00775BF9" w:rsidP="00775BF9">
      <w:pPr>
        <w:spacing w:before="100" w:beforeAutospacing="1" w:after="100" w:afterAutospacing="1" w:line="240" w:lineRule="auto"/>
        <w:ind w:firstLine="360"/>
        <w:jc w:val="both"/>
        <w:rPr>
          <w:rFonts w:ascii="Times New Roman" w:eastAsia="Times New Roman" w:hAnsi="Times New Roman" w:cs="Times New Roman"/>
          <w:sz w:val="24"/>
          <w:szCs w:val="24"/>
          <w:lang w:eastAsia="en-GB"/>
        </w:rPr>
      </w:pPr>
      <w:r w:rsidRPr="00775BF9">
        <w:rPr>
          <w:rFonts w:ascii="Times New Roman" w:eastAsia="Times New Roman" w:hAnsi="Times New Roman" w:cs="Times New Roman"/>
          <w:sz w:val="24"/>
          <w:szCs w:val="24"/>
          <w:lang w:eastAsia="en-GB"/>
        </w:rPr>
        <w:t>Stock prices, according to semi-strong form efficiency, reflect not just past information but also publicly available information. This suggests that all public announcements, financial reports, and industry news should already be factored into BP's stock price, making it difficult for investors to regularly outperform the market using this information.</w:t>
      </w:r>
      <w:r w:rsidR="0054234C">
        <w:rPr>
          <w:rFonts w:ascii="Times New Roman" w:eastAsia="Times New Roman" w:hAnsi="Times New Roman" w:cs="Times New Roman"/>
          <w:sz w:val="24"/>
          <w:szCs w:val="24"/>
          <w:lang w:eastAsia="en-GB"/>
        </w:rPr>
        <w:t xml:space="preserve"> </w:t>
      </w:r>
    </w:p>
    <w:p w14:paraId="6208AF7A" w14:textId="278C0690" w:rsidR="00911416" w:rsidRPr="00B84D7C" w:rsidRDefault="00911416" w:rsidP="00B84D7C">
      <w:pPr>
        <w:pStyle w:val="ListParagraph"/>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B84D7C">
        <w:rPr>
          <w:rFonts w:ascii="Times New Roman" w:eastAsia="Times New Roman" w:hAnsi="Times New Roman" w:cs="Times New Roman"/>
          <w:sz w:val="24"/>
          <w:szCs w:val="24"/>
          <w:lang w:eastAsia="en-GB"/>
        </w:rPr>
        <w:t>Strong Form Efficiency</w:t>
      </w:r>
    </w:p>
    <w:p w14:paraId="613A27A9" w14:textId="3B53E5C5" w:rsidR="0054234C" w:rsidRDefault="0054234C" w:rsidP="004250CE">
      <w:pPr>
        <w:spacing w:before="100" w:beforeAutospacing="1" w:after="100" w:afterAutospacing="1" w:line="240" w:lineRule="auto"/>
        <w:ind w:firstLine="360"/>
        <w:jc w:val="both"/>
        <w:rPr>
          <w:rFonts w:ascii="Times New Roman" w:eastAsia="Times New Roman" w:hAnsi="Times New Roman" w:cs="Times New Roman"/>
          <w:sz w:val="24"/>
          <w:szCs w:val="24"/>
          <w:lang w:eastAsia="en-GB"/>
        </w:rPr>
      </w:pPr>
      <w:r w:rsidRPr="0054234C">
        <w:rPr>
          <w:rFonts w:ascii="Times New Roman" w:eastAsia="Times New Roman" w:hAnsi="Times New Roman" w:cs="Times New Roman"/>
          <w:sz w:val="24"/>
          <w:szCs w:val="24"/>
          <w:lang w:eastAsia="en-GB"/>
        </w:rPr>
        <w:t>According to strong form efficiency, stock prices reflect all information, both public and private. This implies that even insiders with access to confidential information cannot consistently outperform the market. In the example of BP, strong form efficiency implies that any private knowledge about its operations or strategies is already reflected in its stock price.</w:t>
      </w:r>
    </w:p>
    <w:p w14:paraId="42C4BD0B" w14:textId="5B6B2A55" w:rsidR="004E0ACB" w:rsidRPr="00BC1D50" w:rsidRDefault="00595FAC" w:rsidP="00BC1D50">
      <w:pPr>
        <w:spacing w:before="100" w:beforeAutospacing="1" w:after="100" w:afterAutospacing="1" w:line="240" w:lineRule="auto"/>
        <w:ind w:firstLine="360"/>
        <w:jc w:val="both"/>
        <w:rPr>
          <w:rFonts w:ascii="Times New Roman" w:eastAsia="Times New Roman" w:hAnsi="Times New Roman" w:cs="Times New Roman"/>
          <w:sz w:val="24"/>
          <w:szCs w:val="24"/>
          <w:lang w:eastAsia="en-GB"/>
        </w:rPr>
      </w:pPr>
      <w:r w:rsidRPr="003E127D">
        <w:rPr>
          <w:rFonts w:ascii="Times New Roman" w:eastAsia="Times New Roman" w:hAnsi="Times New Roman" w:cs="Times New Roman"/>
          <w:sz w:val="24"/>
          <w:szCs w:val="24"/>
          <w:lang w:eastAsia="en-GB"/>
        </w:rPr>
        <w:t>BP operates in highly regulated and competitive markets, with numerous players and extensive public disclosure requirements.</w:t>
      </w:r>
      <w:r w:rsidR="0054234C" w:rsidRPr="0054234C">
        <w:t xml:space="preserve"> </w:t>
      </w:r>
      <w:r w:rsidR="0054234C" w:rsidRPr="0054234C">
        <w:rPr>
          <w:rFonts w:ascii="Times New Roman" w:eastAsia="Times New Roman" w:hAnsi="Times New Roman" w:cs="Times New Roman"/>
          <w:sz w:val="24"/>
          <w:szCs w:val="24"/>
          <w:lang w:eastAsia="en-GB"/>
        </w:rPr>
        <w:t>As a result, BP's stock price is likely to reflect all publicly available information, making it difficult for investors to earn above-average returns using fundamental or technical research on a consistent basis.</w:t>
      </w:r>
      <w:r w:rsidRPr="003E127D">
        <w:rPr>
          <w:rFonts w:ascii="Times New Roman" w:eastAsia="Times New Roman" w:hAnsi="Times New Roman" w:cs="Times New Roman"/>
          <w:sz w:val="24"/>
          <w:szCs w:val="24"/>
          <w:lang w:eastAsia="en-GB"/>
        </w:rPr>
        <w:t xml:space="preserve"> However, BP's size and influence also mean that private information may impact its stock price, potentially leading to inefficiencies in the market. This highlights the importance of robust corporate governance and disclosure practices to maintain investor confidence and market efficiency.</w:t>
      </w:r>
    </w:p>
    <w:p w14:paraId="5D5CE71A" w14:textId="1272376B" w:rsidR="00216A63" w:rsidRPr="001E130F" w:rsidRDefault="00216A63" w:rsidP="00216A63">
      <w:pPr>
        <w:pStyle w:val="Heading1"/>
        <w:rPr>
          <w:rFonts w:eastAsia="Times New Roman"/>
          <w:lang w:eastAsia="en-GB"/>
        </w:rPr>
      </w:pPr>
      <w:bookmarkStart w:id="4" w:name="_Toc133998830"/>
      <w:r>
        <w:rPr>
          <w:rFonts w:eastAsia="Times New Roman"/>
          <w:lang w:eastAsia="en-GB"/>
        </w:rPr>
        <w:t>5.</w:t>
      </w:r>
      <w:r w:rsidRPr="001E130F">
        <w:rPr>
          <w:rFonts w:eastAsia="Times New Roman"/>
          <w:lang w:eastAsia="en-GB"/>
        </w:rPr>
        <w:t>BP's Methods of Appraising Projects</w:t>
      </w:r>
      <w:bookmarkEnd w:id="4"/>
    </w:p>
    <w:p w14:paraId="0B460516" w14:textId="69B4856B" w:rsidR="00216A63" w:rsidRPr="001E130F" w:rsidRDefault="0017407A" w:rsidP="00216A63">
      <w:pPr>
        <w:spacing w:before="100" w:beforeAutospacing="1" w:after="100" w:afterAutospacing="1" w:line="240" w:lineRule="auto"/>
        <w:ind w:firstLine="720"/>
        <w:jc w:val="both"/>
        <w:rPr>
          <w:rFonts w:ascii="Times New Roman" w:eastAsia="Times New Roman" w:hAnsi="Times New Roman" w:cs="Times New Roman"/>
          <w:sz w:val="24"/>
          <w:szCs w:val="24"/>
          <w:lang w:eastAsia="en-GB"/>
        </w:rPr>
      </w:pPr>
      <w:r w:rsidRPr="003E127D">
        <w:rPr>
          <w:rFonts w:ascii="Times New Roman" w:eastAsia="Times New Roman" w:hAnsi="Times New Roman" w:cs="Times New Roman"/>
          <w:sz w:val="24"/>
          <w:szCs w:val="24"/>
          <w:lang w:eastAsia="en-GB"/>
        </w:rPr>
        <w:t>BP employs various methods for appraising projects</w:t>
      </w:r>
      <w:r w:rsidR="00C822FF">
        <w:rPr>
          <w:rFonts w:ascii="Times New Roman" w:eastAsia="Times New Roman" w:hAnsi="Times New Roman" w:cs="Times New Roman"/>
          <w:sz w:val="24"/>
          <w:szCs w:val="24"/>
          <w:lang w:eastAsia="en-GB"/>
        </w:rPr>
        <w:t xml:space="preserve"> that </w:t>
      </w:r>
      <w:r w:rsidR="00A16282">
        <w:rPr>
          <w:rFonts w:ascii="Times New Roman" w:eastAsia="Times New Roman" w:hAnsi="Times New Roman" w:cs="Times New Roman"/>
          <w:sz w:val="24"/>
          <w:szCs w:val="24"/>
          <w:lang w:eastAsia="en-GB"/>
        </w:rPr>
        <w:t>align with their business strategy,</w:t>
      </w:r>
      <w:r w:rsidRPr="003E127D">
        <w:rPr>
          <w:rFonts w:ascii="Times New Roman" w:eastAsia="Times New Roman" w:hAnsi="Times New Roman" w:cs="Times New Roman"/>
          <w:sz w:val="24"/>
          <w:szCs w:val="24"/>
          <w:lang w:eastAsia="en-GB"/>
        </w:rPr>
        <w:t xml:space="preserve"> including net present value (NPV), internal rate of return (IRR), and payback period. NPV considers the time value of money, estimating the present value of future cash flows generated by a project </w:t>
      </w:r>
      <w:sdt>
        <w:sdtPr>
          <w:rPr>
            <w:rFonts w:ascii="Times New Roman" w:eastAsia="Times New Roman" w:hAnsi="Times New Roman" w:cs="Times New Roman"/>
            <w:sz w:val="24"/>
            <w:szCs w:val="24"/>
            <w:lang w:eastAsia="en-GB"/>
          </w:rPr>
          <w:id w:val="-1200554060"/>
          <w:citation/>
        </w:sdtPr>
        <w:sdtContent>
          <w:r w:rsidR="00A41CF2">
            <w:rPr>
              <w:rFonts w:ascii="Times New Roman" w:eastAsia="Times New Roman" w:hAnsi="Times New Roman" w:cs="Times New Roman"/>
              <w:sz w:val="24"/>
              <w:szCs w:val="24"/>
              <w:lang w:eastAsia="en-GB"/>
            </w:rPr>
            <w:fldChar w:fldCharType="begin"/>
          </w:r>
          <w:r w:rsidR="00A41CF2">
            <w:rPr>
              <w:rFonts w:ascii="Times New Roman" w:eastAsia="Times New Roman" w:hAnsi="Times New Roman" w:cs="Times New Roman"/>
              <w:sz w:val="24"/>
              <w:szCs w:val="24"/>
              <w:lang w:val="en-US" w:eastAsia="en-GB"/>
            </w:rPr>
            <w:instrText xml:space="preserve"> CITATION Bre11 \l 1033 </w:instrText>
          </w:r>
          <w:r w:rsidR="00A41CF2">
            <w:rPr>
              <w:rFonts w:ascii="Times New Roman" w:eastAsia="Times New Roman" w:hAnsi="Times New Roman" w:cs="Times New Roman"/>
              <w:sz w:val="24"/>
              <w:szCs w:val="24"/>
              <w:lang w:eastAsia="en-GB"/>
            </w:rPr>
            <w:fldChar w:fldCharType="separate"/>
          </w:r>
          <w:r w:rsidR="00446C02" w:rsidRPr="00446C02">
            <w:rPr>
              <w:rFonts w:ascii="Times New Roman" w:eastAsia="Times New Roman" w:hAnsi="Times New Roman" w:cs="Times New Roman"/>
              <w:noProof/>
              <w:sz w:val="24"/>
              <w:szCs w:val="24"/>
              <w:lang w:val="en-US" w:eastAsia="en-GB"/>
            </w:rPr>
            <w:t>(Brealey, et al., 2011)</w:t>
          </w:r>
          <w:r w:rsidR="00A41CF2">
            <w:rPr>
              <w:rFonts w:ascii="Times New Roman" w:eastAsia="Times New Roman" w:hAnsi="Times New Roman" w:cs="Times New Roman"/>
              <w:sz w:val="24"/>
              <w:szCs w:val="24"/>
              <w:lang w:eastAsia="en-GB"/>
            </w:rPr>
            <w:fldChar w:fldCharType="end"/>
          </w:r>
        </w:sdtContent>
      </w:sdt>
      <w:r w:rsidRPr="003E127D">
        <w:rPr>
          <w:rFonts w:ascii="Times New Roman" w:eastAsia="Times New Roman" w:hAnsi="Times New Roman" w:cs="Times New Roman"/>
          <w:sz w:val="24"/>
          <w:szCs w:val="24"/>
          <w:lang w:eastAsia="en-GB"/>
        </w:rPr>
        <w:t>.</w:t>
      </w:r>
      <w:r w:rsidR="005D64AA">
        <w:rPr>
          <w:rFonts w:ascii="Times New Roman" w:eastAsia="Times New Roman" w:hAnsi="Times New Roman" w:cs="Times New Roman"/>
          <w:sz w:val="24"/>
          <w:szCs w:val="24"/>
          <w:lang w:eastAsia="en-GB"/>
        </w:rPr>
        <w:t xml:space="preserve"> </w:t>
      </w:r>
      <w:r w:rsidR="005D64AA" w:rsidRPr="005D64AA">
        <w:rPr>
          <w:rFonts w:ascii="Times New Roman" w:eastAsia="Times New Roman" w:hAnsi="Times New Roman" w:cs="Times New Roman"/>
          <w:sz w:val="24"/>
          <w:szCs w:val="24"/>
          <w:lang w:eastAsia="en-GB"/>
        </w:rPr>
        <w:t>An investment's IRR is the discount rate that, when applied to its future cash flows, produces an NPV of exactly zero. Essentially, it represents the return on an investment opportunity</w:t>
      </w:r>
      <w:r w:rsidR="005D64AA">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38899576"/>
          <w:citation/>
        </w:sdtPr>
        <w:sdtContent>
          <w:r w:rsidR="005D64AA">
            <w:rPr>
              <w:rFonts w:ascii="Times New Roman" w:eastAsia="Times New Roman" w:hAnsi="Times New Roman" w:cs="Times New Roman"/>
              <w:sz w:val="24"/>
              <w:szCs w:val="24"/>
              <w:lang w:eastAsia="en-GB"/>
            </w:rPr>
            <w:fldChar w:fldCharType="begin"/>
          </w:r>
          <w:r w:rsidR="004E0ACB">
            <w:rPr>
              <w:rFonts w:ascii="Times New Roman" w:eastAsia="Times New Roman" w:hAnsi="Times New Roman" w:cs="Times New Roman"/>
              <w:sz w:val="24"/>
              <w:szCs w:val="24"/>
              <w:lang w:val="en-US" w:eastAsia="en-GB"/>
            </w:rPr>
            <w:instrText xml:space="preserve">CITATION Atr11 \l 1033 </w:instrText>
          </w:r>
          <w:r w:rsidR="005D64AA">
            <w:rPr>
              <w:rFonts w:ascii="Times New Roman" w:eastAsia="Times New Roman" w:hAnsi="Times New Roman" w:cs="Times New Roman"/>
              <w:sz w:val="24"/>
              <w:szCs w:val="24"/>
              <w:lang w:eastAsia="en-GB"/>
            </w:rPr>
            <w:fldChar w:fldCharType="separate"/>
          </w:r>
          <w:r w:rsidR="00446C02" w:rsidRPr="00446C02">
            <w:rPr>
              <w:rFonts w:ascii="Times New Roman" w:eastAsia="Times New Roman" w:hAnsi="Times New Roman" w:cs="Times New Roman"/>
              <w:noProof/>
              <w:sz w:val="24"/>
              <w:szCs w:val="24"/>
              <w:lang w:val="en-US" w:eastAsia="en-GB"/>
            </w:rPr>
            <w:t>(Atrill, 2011)</w:t>
          </w:r>
          <w:r w:rsidR="005D64AA">
            <w:rPr>
              <w:rFonts w:ascii="Times New Roman" w:eastAsia="Times New Roman" w:hAnsi="Times New Roman" w:cs="Times New Roman"/>
              <w:sz w:val="24"/>
              <w:szCs w:val="24"/>
              <w:lang w:eastAsia="en-GB"/>
            </w:rPr>
            <w:fldChar w:fldCharType="end"/>
          </w:r>
        </w:sdtContent>
      </w:sdt>
      <w:r w:rsidR="005D64AA" w:rsidRPr="005D64AA">
        <w:rPr>
          <w:rFonts w:ascii="Times New Roman" w:eastAsia="Times New Roman" w:hAnsi="Times New Roman" w:cs="Times New Roman"/>
          <w:sz w:val="24"/>
          <w:szCs w:val="24"/>
          <w:lang w:eastAsia="en-GB"/>
        </w:rPr>
        <w:t>.</w:t>
      </w:r>
    </w:p>
    <w:p w14:paraId="2E7B90B9" w14:textId="498D5ECB" w:rsidR="00216A63" w:rsidRDefault="00216A63" w:rsidP="00216A63">
      <w:pPr>
        <w:pStyle w:val="ListParagraph"/>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216A63">
        <w:rPr>
          <w:rFonts w:ascii="Times New Roman" w:eastAsia="Times New Roman" w:hAnsi="Times New Roman" w:cs="Times New Roman"/>
          <w:sz w:val="24"/>
          <w:szCs w:val="24"/>
          <w:lang w:eastAsia="en-GB"/>
        </w:rPr>
        <w:t>Net Present Value</w:t>
      </w:r>
      <w:r>
        <w:rPr>
          <w:rFonts w:ascii="Times New Roman" w:eastAsia="Times New Roman" w:hAnsi="Times New Roman" w:cs="Times New Roman"/>
          <w:sz w:val="24"/>
          <w:szCs w:val="24"/>
          <w:lang w:eastAsia="en-GB"/>
        </w:rPr>
        <w:t xml:space="preserve"> </w:t>
      </w:r>
    </w:p>
    <w:p w14:paraId="62D9299C" w14:textId="4A1AFED8" w:rsidR="00BC1D50" w:rsidRPr="00BC1D50" w:rsidRDefault="00BC1D50" w:rsidP="00BC1D50">
      <w:pPr>
        <w:spacing w:before="100" w:beforeAutospacing="1" w:after="100" w:afterAutospacing="1" w:line="240" w:lineRule="auto"/>
        <w:ind w:firstLine="360"/>
        <w:jc w:val="both"/>
        <w:rPr>
          <w:rFonts w:ascii="Times New Roman" w:eastAsia="Times New Roman" w:hAnsi="Times New Roman" w:cs="Times New Roman"/>
          <w:sz w:val="24"/>
          <w:szCs w:val="24"/>
          <w:lang w:eastAsia="en-GB"/>
        </w:rPr>
      </w:pPr>
      <w:r w:rsidRPr="00BC1D50">
        <w:rPr>
          <w:rFonts w:ascii="Times New Roman" w:eastAsia="Times New Roman" w:hAnsi="Times New Roman" w:cs="Times New Roman"/>
          <w:sz w:val="24"/>
          <w:szCs w:val="24"/>
          <w:lang w:eastAsia="en-GB"/>
        </w:rPr>
        <w:t>The net present value (NPV) is a popular approach for calculating a project's profitability by discounting future cash flows to their present value. BP utilises net present value (NPV) to analyse if a project is likely to generate positive net cash flows, which would increase shareholder value.</w:t>
      </w:r>
    </w:p>
    <w:p w14:paraId="7369B406" w14:textId="565E7462" w:rsidR="00BC1D50" w:rsidRDefault="00216A63" w:rsidP="00BC1D50">
      <w:pPr>
        <w:pStyle w:val="ListParagraph"/>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216A63">
        <w:rPr>
          <w:rFonts w:ascii="Times New Roman" w:eastAsia="Times New Roman" w:hAnsi="Times New Roman" w:cs="Times New Roman"/>
          <w:sz w:val="24"/>
          <w:szCs w:val="24"/>
          <w:lang w:eastAsia="en-GB"/>
        </w:rPr>
        <w:t>Internal Rate of Return</w:t>
      </w:r>
    </w:p>
    <w:p w14:paraId="24722082" w14:textId="2F2C21A5" w:rsidR="00BC1D50" w:rsidRPr="00BC1D50" w:rsidRDefault="00BC1D50" w:rsidP="00BC1D50">
      <w:pPr>
        <w:spacing w:before="100" w:beforeAutospacing="1" w:after="100" w:afterAutospacing="1" w:line="240" w:lineRule="auto"/>
        <w:ind w:firstLine="360"/>
        <w:jc w:val="both"/>
        <w:rPr>
          <w:rFonts w:ascii="Times New Roman" w:eastAsia="Times New Roman" w:hAnsi="Times New Roman" w:cs="Times New Roman"/>
          <w:sz w:val="24"/>
          <w:szCs w:val="24"/>
          <w:lang w:eastAsia="en-GB"/>
        </w:rPr>
      </w:pPr>
      <w:r w:rsidRPr="00BC1D50">
        <w:rPr>
          <w:rFonts w:ascii="Times New Roman" w:eastAsia="Times New Roman" w:hAnsi="Times New Roman" w:cs="Times New Roman"/>
          <w:sz w:val="24"/>
          <w:szCs w:val="24"/>
          <w:lang w:eastAsia="en-GB"/>
        </w:rPr>
        <w:t>The IRR is the discount rate at which the NPV of a project turns zero. The IRR is used by BP to analyse the profitability of various projects and to establish the required rate of return on investments. A higher IRR project is often regarded as more desirable.</w:t>
      </w:r>
    </w:p>
    <w:p w14:paraId="70B33B59" w14:textId="0100CEB0" w:rsidR="00216A63" w:rsidRDefault="00216A63" w:rsidP="00216A63">
      <w:pPr>
        <w:pStyle w:val="ListParagraph"/>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216A63">
        <w:rPr>
          <w:rFonts w:ascii="Times New Roman" w:eastAsia="Times New Roman" w:hAnsi="Times New Roman" w:cs="Times New Roman"/>
          <w:sz w:val="24"/>
          <w:szCs w:val="24"/>
          <w:lang w:eastAsia="en-GB"/>
        </w:rPr>
        <w:lastRenderedPageBreak/>
        <w:t>Payback Period</w:t>
      </w:r>
    </w:p>
    <w:p w14:paraId="1D822555" w14:textId="3F961729" w:rsidR="00BC1D50" w:rsidRPr="00BC1D50" w:rsidRDefault="00BC1D50" w:rsidP="00BC1D50">
      <w:pPr>
        <w:spacing w:before="100" w:beforeAutospacing="1" w:after="100" w:afterAutospacing="1" w:line="240" w:lineRule="auto"/>
        <w:ind w:firstLine="360"/>
        <w:jc w:val="both"/>
        <w:rPr>
          <w:rFonts w:ascii="Times New Roman" w:eastAsia="Times New Roman" w:hAnsi="Times New Roman" w:cs="Times New Roman"/>
          <w:sz w:val="24"/>
          <w:szCs w:val="24"/>
          <w:lang w:eastAsia="en-GB"/>
        </w:rPr>
      </w:pPr>
      <w:r w:rsidRPr="00BC1D50">
        <w:rPr>
          <w:rFonts w:ascii="Times New Roman" w:eastAsia="Times New Roman" w:hAnsi="Times New Roman" w:cs="Times New Roman"/>
          <w:sz w:val="24"/>
          <w:szCs w:val="24"/>
          <w:lang w:eastAsia="en-GB"/>
        </w:rPr>
        <w:t>The payback period is the amount of time required for a project to re</w:t>
      </w:r>
      <w:r>
        <w:rPr>
          <w:rFonts w:ascii="Times New Roman" w:eastAsia="Times New Roman" w:hAnsi="Times New Roman" w:cs="Times New Roman"/>
          <w:sz w:val="24"/>
          <w:szCs w:val="24"/>
          <w:lang w:eastAsia="en-GB"/>
        </w:rPr>
        <w:t>gain</w:t>
      </w:r>
      <w:r w:rsidRPr="00BC1D50">
        <w:rPr>
          <w:rFonts w:ascii="Times New Roman" w:eastAsia="Times New Roman" w:hAnsi="Times New Roman" w:cs="Times New Roman"/>
          <w:sz w:val="24"/>
          <w:szCs w:val="24"/>
          <w:lang w:eastAsia="en-GB"/>
        </w:rPr>
        <w:t xml:space="preserve"> its initial expenditure. BP evaluates the payback term when assessing project risk, as initiatives with shorter payback periods are often less risky.</w:t>
      </w:r>
    </w:p>
    <w:p w14:paraId="67109716" w14:textId="3BB1E10E" w:rsidR="00D362B0" w:rsidRPr="003E127D" w:rsidRDefault="00216A63" w:rsidP="005C600D">
      <w:pPr>
        <w:spacing w:before="100" w:beforeAutospacing="1" w:after="100" w:afterAutospacing="1" w:line="240" w:lineRule="auto"/>
        <w:ind w:firstLine="360"/>
        <w:jc w:val="both"/>
        <w:rPr>
          <w:rFonts w:ascii="Times New Roman" w:eastAsia="Times New Roman" w:hAnsi="Times New Roman" w:cs="Times New Roman"/>
          <w:sz w:val="24"/>
          <w:szCs w:val="24"/>
          <w:lang w:eastAsia="en-GB"/>
        </w:rPr>
      </w:pPr>
      <w:r w:rsidRPr="001E130F">
        <w:rPr>
          <w:rFonts w:ascii="Times New Roman" w:eastAsia="Times New Roman" w:hAnsi="Times New Roman" w:cs="Times New Roman"/>
          <w:sz w:val="24"/>
          <w:szCs w:val="24"/>
          <w:lang w:eastAsia="en-GB"/>
        </w:rPr>
        <w:t>BP's investment in renewable energy projects, such as wind and solar, demonstrates the company's strategic use of project appraisal methods. By employing NPV, IRR, and Payback Period calculations, BP has been able to identify and invest in projects that align with its long-term strategic goals and contribute to shareholder value.</w:t>
      </w:r>
      <w:r w:rsidR="00D362B0" w:rsidRPr="00D362B0">
        <w:rPr>
          <w:rFonts w:ascii="Times New Roman" w:eastAsia="Times New Roman" w:hAnsi="Times New Roman" w:cs="Times New Roman"/>
          <w:sz w:val="24"/>
          <w:szCs w:val="24"/>
          <w:lang w:eastAsia="en-GB"/>
        </w:rPr>
        <w:t xml:space="preserve"> </w:t>
      </w:r>
      <w:r w:rsidR="00D362B0" w:rsidRPr="003E127D">
        <w:rPr>
          <w:rFonts w:ascii="Times New Roman" w:eastAsia="Times New Roman" w:hAnsi="Times New Roman" w:cs="Times New Roman"/>
          <w:sz w:val="24"/>
          <w:szCs w:val="24"/>
          <w:lang w:eastAsia="en-GB"/>
        </w:rPr>
        <w:t>BP's use of these methods reflects the company's need to balance risk and return, as well as its commitment to sustainable development. These methods also help the company evaluate the impact of its investments on the environment and society, as part of its broader focus on sustainable development.</w:t>
      </w:r>
    </w:p>
    <w:p w14:paraId="2E8B83DE" w14:textId="02810E8C" w:rsidR="00216A63" w:rsidRPr="001E130F" w:rsidRDefault="00216A63" w:rsidP="00216A63">
      <w:pPr>
        <w:spacing w:before="100" w:beforeAutospacing="1" w:after="100" w:afterAutospacing="1" w:line="240" w:lineRule="auto"/>
        <w:ind w:firstLine="360"/>
        <w:jc w:val="both"/>
        <w:rPr>
          <w:rFonts w:ascii="Times New Roman" w:eastAsia="Times New Roman" w:hAnsi="Times New Roman" w:cs="Times New Roman"/>
          <w:sz w:val="24"/>
          <w:szCs w:val="24"/>
          <w:lang w:eastAsia="en-GB"/>
        </w:rPr>
      </w:pPr>
    </w:p>
    <w:p w14:paraId="394E97BE" w14:textId="1D5E5CEA" w:rsidR="00216A63" w:rsidRPr="001E130F" w:rsidRDefault="00216A63" w:rsidP="00216A63">
      <w:pPr>
        <w:pStyle w:val="Heading1"/>
        <w:rPr>
          <w:rFonts w:eastAsia="Times New Roman"/>
          <w:lang w:eastAsia="en-GB"/>
        </w:rPr>
      </w:pPr>
      <w:bookmarkStart w:id="5" w:name="_Toc133998831"/>
      <w:r>
        <w:rPr>
          <w:rFonts w:eastAsia="Times New Roman"/>
          <w:lang w:eastAsia="en-GB"/>
        </w:rPr>
        <w:t>6.</w:t>
      </w:r>
      <w:r w:rsidRPr="001E130F">
        <w:rPr>
          <w:rFonts w:eastAsia="Times New Roman"/>
          <w:lang w:eastAsia="en-GB"/>
        </w:rPr>
        <w:t>Conclusion</w:t>
      </w:r>
      <w:bookmarkEnd w:id="5"/>
    </w:p>
    <w:p w14:paraId="3925F969" w14:textId="77777777" w:rsidR="00C020B1" w:rsidRPr="003E127D" w:rsidRDefault="00C020B1" w:rsidP="00FC2129">
      <w:pPr>
        <w:spacing w:before="100" w:beforeAutospacing="1" w:after="100" w:afterAutospacing="1" w:line="240" w:lineRule="auto"/>
        <w:ind w:firstLine="720"/>
        <w:jc w:val="both"/>
        <w:rPr>
          <w:rFonts w:ascii="Times New Roman" w:eastAsia="Times New Roman" w:hAnsi="Times New Roman" w:cs="Times New Roman"/>
          <w:sz w:val="24"/>
          <w:szCs w:val="24"/>
          <w:lang w:eastAsia="en-GB"/>
        </w:rPr>
      </w:pPr>
      <w:r w:rsidRPr="003E127D">
        <w:rPr>
          <w:rFonts w:ascii="Times New Roman" w:eastAsia="Times New Roman" w:hAnsi="Times New Roman" w:cs="Times New Roman"/>
          <w:sz w:val="24"/>
          <w:szCs w:val="24"/>
          <w:lang w:eastAsia="en-GB"/>
        </w:rPr>
        <w:t>International Financial Management is essential to BP's success, as it enables the company to manage</w:t>
      </w:r>
      <w:r>
        <w:rPr>
          <w:rFonts w:ascii="Times New Roman" w:eastAsia="Times New Roman" w:hAnsi="Times New Roman" w:cs="Times New Roman"/>
          <w:sz w:val="24"/>
          <w:szCs w:val="24"/>
          <w:lang w:eastAsia="en-GB"/>
        </w:rPr>
        <w:t xml:space="preserve"> </w:t>
      </w:r>
      <w:r w:rsidRPr="003E127D">
        <w:rPr>
          <w:rFonts w:ascii="Times New Roman" w:eastAsia="Times New Roman" w:hAnsi="Times New Roman" w:cs="Times New Roman"/>
          <w:sz w:val="24"/>
          <w:szCs w:val="24"/>
          <w:lang w:eastAsia="en-GB"/>
        </w:rPr>
        <w:t>risks and capitalize on opportunities in a dynamic and complex global environment. BP's dividend distribution policy, adherence to the efficient market hypothesis theory, and use of various project appraisal methods demonstrate the company's commitment to balancing shareholder value with long-term growth and sustainability.</w:t>
      </w:r>
    </w:p>
    <w:p w14:paraId="00DDF94E" w14:textId="471DF6D3" w:rsidR="00C020B1" w:rsidRPr="003E127D" w:rsidRDefault="00C020B1" w:rsidP="00FC2129">
      <w:pPr>
        <w:spacing w:before="100" w:beforeAutospacing="1" w:after="100" w:afterAutospacing="1" w:line="240" w:lineRule="auto"/>
        <w:ind w:firstLine="720"/>
        <w:jc w:val="both"/>
        <w:rPr>
          <w:rFonts w:ascii="Times New Roman" w:eastAsia="Times New Roman" w:hAnsi="Times New Roman" w:cs="Times New Roman"/>
          <w:sz w:val="24"/>
          <w:szCs w:val="24"/>
          <w:lang w:eastAsia="en-GB"/>
        </w:rPr>
      </w:pPr>
      <w:r w:rsidRPr="003E127D">
        <w:rPr>
          <w:rFonts w:ascii="Times New Roman" w:eastAsia="Times New Roman" w:hAnsi="Times New Roman" w:cs="Times New Roman"/>
          <w:sz w:val="24"/>
          <w:szCs w:val="24"/>
          <w:lang w:eastAsia="en-GB"/>
        </w:rPr>
        <w:t>BP's experiences in international financial markets highlight the importance of robust risk management practices and a proactive approach to addressing challenges such as</w:t>
      </w:r>
      <w:r w:rsidR="001D40E1">
        <w:rPr>
          <w:rFonts w:ascii="Times New Roman" w:eastAsia="Times New Roman" w:hAnsi="Times New Roman" w:cs="Times New Roman"/>
          <w:sz w:val="24"/>
          <w:szCs w:val="24"/>
          <w:lang w:eastAsia="en-GB"/>
        </w:rPr>
        <w:t xml:space="preserve"> </w:t>
      </w:r>
      <w:r w:rsidR="00644E25">
        <w:rPr>
          <w:rFonts w:ascii="Times New Roman" w:eastAsia="Times New Roman" w:hAnsi="Times New Roman" w:cs="Times New Roman"/>
          <w:sz w:val="24"/>
          <w:szCs w:val="24"/>
          <w:lang w:eastAsia="en-GB"/>
        </w:rPr>
        <w:t>exchange rate risks</w:t>
      </w:r>
      <w:r w:rsidRPr="003E127D">
        <w:rPr>
          <w:rFonts w:ascii="Times New Roman" w:eastAsia="Times New Roman" w:hAnsi="Times New Roman" w:cs="Times New Roman"/>
          <w:sz w:val="24"/>
          <w:szCs w:val="24"/>
          <w:lang w:eastAsia="en-GB"/>
        </w:rPr>
        <w:t>, political</w:t>
      </w:r>
      <w:r w:rsidR="00644E25">
        <w:rPr>
          <w:rFonts w:ascii="Times New Roman" w:eastAsia="Times New Roman" w:hAnsi="Times New Roman" w:cs="Times New Roman"/>
          <w:sz w:val="24"/>
          <w:szCs w:val="24"/>
          <w:lang w:eastAsia="en-GB"/>
        </w:rPr>
        <w:t xml:space="preserve"> risks</w:t>
      </w:r>
      <w:r w:rsidRPr="003E127D">
        <w:rPr>
          <w:rFonts w:ascii="Times New Roman" w:eastAsia="Times New Roman" w:hAnsi="Times New Roman" w:cs="Times New Roman"/>
          <w:sz w:val="24"/>
          <w:szCs w:val="24"/>
          <w:lang w:eastAsia="en-GB"/>
        </w:rPr>
        <w:t>, and regulatory risks. By leveraging IFM theories and best practices, BP can continue to navigate these challenges and ensure its ongoing success as a leading multinational corporation in the energy sector.</w:t>
      </w:r>
    </w:p>
    <w:p w14:paraId="5EB1D5BD" w14:textId="77777777" w:rsidR="00C020B1" w:rsidRPr="003E127D" w:rsidRDefault="00C020B1" w:rsidP="001446D5">
      <w:pPr>
        <w:spacing w:before="100" w:beforeAutospacing="1" w:after="100" w:afterAutospacing="1" w:line="240" w:lineRule="auto"/>
        <w:ind w:firstLine="720"/>
        <w:jc w:val="both"/>
        <w:rPr>
          <w:rFonts w:ascii="Times New Roman" w:eastAsia="Times New Roman" w:hAnsi="Times New Roman" w:cs="Times New Roman"/>
          <w:sz w:val="24"/>
          <w:szCs w:val="24"/>
          <w:lang w:eastAsia="en-GB"/>
        </w:rPr>
      </w:pPr>
      <w:r w:rsidRPr="003E127D">
        <w:rPr>
          <w:rFonts w:ascii="Times New Roman" w:eastAsia="Times New Roman" w:hAnsi="Times New Roman" w:cs="Times New Roman"/>
          <w:sz w:val="24"/>
          <w:szCs w:val="24"/>
          <w:lang w:eastAsia="en-GB"/>
        </w:rPr>
        <w:t>To maintain its position and continue to thrive, BP must remain vigilant in monitoring international financial markets, adapting its strategies, and enhancing its risk management practices. By doing so, the company will be well-positioned to overcome the challenges it faces and achieve long-term growth and success for its shareholders, employees, and other stakeholders.</w:t>
      </w:r>
    </w:p>
    <w:p w14:paraId="21CFBA2C" w14:textId="77777777" w:rsidR="00C020B1" w:rsidRDefault="00C020B1" w:rsidP="00C020B1">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21BA83DF" w14:textId="77777777" w:rsidR="00DD6C67" w:rsidRDefault="00DD6C67" w:rsidP="00C020B1">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43CED0C8" w14:textId="77777777" w:rsidR="00DD6C67" w:rsidRDefault="00DD6C67" w:rsidP="00C020B1">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425F1B0C" w14:textId="77777777" w:rsidR="00446C02" w:rsidRDefault="00446C02" w:rsidP="00C020B1">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12DCEBC4" w14:textId="77777777" w:rsidR="00446C02" w:rsidRDefault="00446C02" w:rsidP="00C020B1">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7232EF26" w14:textId="77777777" w:rsidR="00DD6C67" w:rsidRDefault="00DD6C67" w:rsidP="00C020B1">
      <w:pPr>
        <w:spacing w:before="100" w:beforeAutospacing="1" w:after="100" w:afterAutospacing="1" w:line="240" w:lineRule="auto"/>
        <w:jc w:val="both"/>
        <w:rPr>
          <w:rFonts w:ascii="Times New Roman" w:eastAsia="Times New Roman" w:hAnsi="Times New Roman" w:cs="Times New Roman"/>
          <w:sz w:val="24"/>
          <w:szCs w:val="24"/>
          <w:lang w:eastAsia="en-GB"/>
        </w:rPr>
      </w:pPr>
    </w:p>
    <w:bookmarkStart w:id="6" w:name="_Toc133998832" w:displacedByCustomXml="next"/>
    <w:sdt>
      <w:sdtPr>
        <w:rPr>
          <w:rFonts w:asciiTheme="minorHAnsi" w:eastAsiaTheme="minorHAnsi" w:hAnsiTheme="minorHAnsi" w:cstheme="minorBidi"/>
          <w:color w:val="auto"/>
          <w:sz w:val="22"/>
          <w:szCs w:val="22"/>
        </w:rPr>
        <w:id w:val="-1564473323"/>
        <w:docPartObj>
          <w:docPartGallery w:val="Bibliographies"/>
          <w:docPartUnique/>
        </w:docPartObj>
      </w:sdtPr>
      <w:sdtContent>
        <w:p w14:paraId="3A4A785B" w14:textId="1071D18F" w:rsidR="00A41CF2" w:rsidRDefault="00A41CF2">
          <w:pPr>
            <w:pStyle w:val="Heading1"/>
          </w:pPr>
          <w:r>
            <w:t>7.References</w:t>
          </w:r>
          <w:bookmarkEnd w:id="6"/>
        </w:p>
        <w:p w14:paraId="65D14BC1" w14:textId="77777777" w:rsidR="00A41CF2" w:rsidRPr="00A41CF2" w:rsidRDefault="00A41CF2" w:rsidP="00A41CF2"/>
        <w:sdt>
          <w:sdtPr>
            <w:id w:val="-573587230"/>
            <w:bibliography/>
          </w:sdtPr>
          <w:sdtContent>
            <w:p w14:paraId="748ED98D" w14:textId="77777777" w:rsidR="00446C02" w:rsidRDefault="00A41CF2" w:rsidP="00446C02">
              <w:pPr>
                <w:pStyle w:val="Bibliography"/>
                <w:rPr>
                  <w:noProof/>
                  <w:sz w:val="24"/>
                  <w:szCs w:val="24"/>
                </w:rPr>
              </w:pPr>
              <w:r>
                <w:fldChar w:fldCharType="begin"/>
              </w:r>
              <w:r>
                <w:instrText xml:space="preserve"> BIBLIOGRAPHY </w:instrText>
              </w:r>
              <w:r>
                <w:fldChar w:fldCharType="separate"/>
              </w:r>
              <w:r w:rsidR="00446C02">
                <w:rPr>
                  <w:noProof/>
                </w:rPr>
                <w:t xml:space="preserve">Atrill, P., 2011. Internal Rate of Return. In: 6. Edition, ed. </w:t>
              </w:r>
              <w:r w:rsidR="00446C02">
                <w:rPr>
                  <w:i/>
                  <w:iCs/>
                  <w:noProof/>
                </w:rPr>
                <w:t xml:space="preserve">Financial Management for Decision Makers. </w:t>
              </w:r>
              <w:r w:rsidR="00446C02">
                <w:rPr>
                  <w:noProof/>
                </w:rPr>
                <w:t>Harlow: Financial Times Prentice Hall, pp. 145-154.</w:t>
              </w:r>
            </w:p>
            <w:p w14:paraId="273CF2FB" w14:textId="77777777" w:rsidR="00446C02" w:rsidRDefault="00446C02" w:rsidP="00446C02">
              <w:pPr>
                <w:pStyle w:val="Bibliography"/>
                <w:rPr>
                  <w:noProof/>
                </w:rPr>
              </w:pPr>
              <w:r>
                <w:rPr>
                  <w:noProof/>
                </w:rPr>
                <w:t xml:space="preserve">BP Plc., 2023. </w:t>
              </w:r>
              <w:r>
                <w:rPr>
                  <w:i/>
                  <w:iCs/>
                  <w:noProof/>
                </w:rPr>
                <w:t xml:space="preserve">Dividend Policy. </w:t>
              </w:r>
              <w:r>
                <w:rPr>
                  <w:noProof/>
                </w:rPr>
                <w:t xml:space="preserve">[Online] </w:t>
              </w:r>
              <w:r>
                <w:rPr>
                  <w:noProof/>
                </w:rPr>
                <w:br/>
                <w:t xml:space="preserve">Available at: </w:t>
              </w:r>
              <w:r>
                <w:rPr>
                  <w:noProof/>
                  <w:u w:val="single"/>
                </w:rPr>
                <w:t>https://www.bp.com/en/global/corporate/investors/information-for-shareholders/dividends/dividend-policy.html</w:t>
              </w:r>
              <w:r>
                <w:rPr>
                  <w:noProof/>
                </w:rPr>
                <w:br/>
                <w:t>[Accessed 02 05 2023].</w:t>
              </w:r>
            </w:p>
            <w:p w14:paraId="68424B4B" w14:textId="77777777" w:rsidR="00446C02" w:rsidRDefault="00446C02" w:rsidP="00446C02">
              <w:pPr>
                <w:pStyle w:val="Bibliography"/>
                <w:rPr>
                  <w:noProof/>
                </w:rPr>
              </w:pPr>
              <w:r>
                <w:rPr>
                  <w:noProof/>
                </w:rPr>
                <w:t xml:space="preserve">BP Plc., 2023. </w:t>
              </w:r>
              <w:r>
                <w:rPr>
                  <w:i/>
                  <w:iCs/>
                  <w:noProof/>
                </w:rPr>
                <w:t xml:space="preserve">Who We Are. </w:t>
              </w:r>
              <w:r>
                <w:rPr>
                  <w:noProof/>
                </w:rPr>
                <w:t xml:space="preserve">[Online] </w:t>
              </w:r>
              <w:r>
                <w:rPr>
                  <w:noProof/>
                </w:rPr>
                <w:br/>
                <w:t xml:space="preserve">Available at: </w:t>
              </w:r>
              <w:r>
                <w:rPr>
                  <w:noProof/>
                  <w:u w:val="single"/>
                </w:rPr>
                <w:t>https://www.bp.com/en/global/corporate/who-we-are.html</w:t>
              </w:r>
              <w:r>
                <w:rPr>
                  <w:noProof/>
                </w:rPr>
                <w:br/>
                <w:t>[Accessed 30 04 2023].</w:t>
              </w:r>
            </w:p>
            <w:p w14:paraId="524F5A5B" w14:textId="77777777" w:rsidR="00446C02" w:rsidRDefault="00446C02" w:rsidP="00446C02">
              <w:pPr>
                <w:pStyle w:val="Bibliography"/>
                <w:rPr>
                  <w:noProof/>
                </w:rPr>
              </w:pPr>
              <w:r>
                <w:rPr>
                  <w:noProof/>
                </w:rPr>
                <w:t xml:space="preserve">Brealey, R. A., Myers, S. C. &amp; Allen, F., 2011. </w:t>
              </w:r>
              <w:r>
                <w:rPr>
                  <w:i/>
                  <w:iCs/>
                  <w:noProof/>
                </w:rPr>
                <w:t xml:space="preserve">Principles of Corporate Finance. </w:t>
              </w:r>
              <w:r>
                <w:rPr>
                  <w:noProof/>
                </w:rPr>
                <w:t>Irwin: McGraw-Hill.</w:t>
              </w:r>
            </w:p>
            <w:p w14:paraId="494A344B" w14:textId="77777777" w:rsidR="00446C02" w:rsidRDefault="00446C02" w:rsidP="00446C02">
              <w:pPr>
                <w:pStyle w:val="Bibliography"/>
                <w:rPr>
                  <w:noProof/>
                </w:rPr>
              </w:pPr>
              <w:r>
                <w:rPr>
                  <w:noProof/>
                </w:rPr>
                <w:t xml:space="preserve">Dividendmax LTD, 2023. </w:t>
              </w:r>
              <w:r>
                <w:rPr>
                  <w:i/>
                  <w:iCs/>
                  <w:noProof/>
                </w:rPr>
                <w:t xml:space="preserve">BP Plc. </w:t>
              </w:r>
              <w:r>
                <w:rPr>
                  <w:noProof/>
                </w:rPr>
                <w:t xml:space="preserve">[Online] </w:t>
              </w:r>
              <w:r>
                <w:rPr>
                  <w:noProof/>
                </w:rPr>
                <w:br/>
                <w:t xml:space="preserve">Available at: </w:t>
              </w:r>
              <w:r>
                <w:rPr>
                  <w:noProof/>
                  <w:u w:val="single"/>
                </w:rPr>
                <w:t>https://www.dividendmax.com/united-kingdom/london-stock-exchange/oil-and-gas-producers/bp-plc/dividends</w:t>
              </w:r>
              <w:r>
                <w:rPr>
                  <w:noProof/>
                </w:rPr>
                <w:br/>
                <w:t>[Accessed 02 05 2023].</w:t>
              </w:r>
            </w:p>
            <w:p w14:paraId="3EC4F5EA" w14:textId="77777777" w:rsidR="00446C02" w:rsidRDefault="00446C02" w:rsidP="00446C02">
              <w:pPr>
                <w:pStyle w:val="Bibliography"/>
                <w:rPr>
                  <w:noProof/>
                </w:rPr>
              </w:pPr>
              <w:r>
                <w:rPr>
                  <w:noProof/>
                </w:rPr>
                <w:t xml:space="preserve">Fama , E. F., 1970. Efficient Capital Markets: A Review of Theory and Empirical Work. </w:t>
              </w:r>
              <w:r>
                <w:rPr>
                  <w:i/>
                  <w:iCs/>
                  <w:noProof/>
                </w:rPr>
                <w:t xml:space="preserve">Journal of Finance, </w:t>
              </w:r>
              <w:r>
                <w:rPr>
                  <w:noProof/>
                </w:rPr>
                <w:t>25(2), pp. 383-417.</w:t>
              </w:r>
            </w:p>
            <w:p w14:paraId="251AF597" w14:textId="77777777" w:rsidR="00446C02" w:rsidRDefault="00446C02" w:rsidP="00446C02">
              <w:pPr>
                <w:pStyle w:val="Bibliography"/>
                <w:rPr>
                  <w:noProof/>
                </w:rPr>
              </w:pPr>
              <w:r>
                <w:rPr>
                  <w:noProof/>
                </w:rPr>
                <w:t xml:space="preserve">Miller, M. H. &amp; Modigliani, F., 1961. Dividend Policy, Growth, and the Valuation of Shares. </w:t>
              </w:r>
              <w:r>
                <w:rPr>
                  <w:i/>
                  <w:iCs/>
                  <w:noProof/>
                </w:rPr>
                <w:t xml:space="preserve">Journal of Business, </w:t>
              </w:r>
              <w:r>
                <w:rPr>
                  <w:noProof/>
                </w:rPr>
                <w:t>34(4), pp. 411-433.</w:t>
              </w:r>
            </w:p>
            <w:p w14:paraId="55F810A0" w14:textId="6BDD34E6" w:rsidR="00A41CF2" w:rsidRDefault="00A41CF2" w:rsidP="00446C02">
              <w:r>
                <w:rPr>
                  <w:b/>
                  <w:bCs/>
                  <w:noProof/>
                </w:rPr>
                <w:fldChar w:fldCharType="end"/>
              </w:r>
            </w:p>
          </w:sdtContent>
        </w:sdt>
      </w:sdtContent>
    </w:sdt>
    <w:p w14:paraId="5C1E8F93" w14:textId="4096587A" w:rsidR="00E72E6B" w:rsidRPr="001E130F" w:rsidRDefault="00E72E6B" w:rsidP="00216A63">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0617DEE2" w14:textId="77777777" w:rsidR="00911416" w:rsidRPr="001E130F" w:rsidRDefault="00911416" w:rsidP="00216A63">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5F99C282" w14:textId="77777777" w:rsidR="00CF1D29" w:rsidRPr="001E130F" w:rsidRDefault="00CF1D29" w:rsidP="00216A63">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3DE5E1B0" w14:textId="77777777" w:rsidR="00047D97" w:rsidRPr="001E130F" w:rsidRDefault="00047D97" w:rsidP="00911416">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04F1239E" w14:textId="77777777" w:rsidR="00900D2C" w:rsidRPr="00DE02B7" w:rsidRDefault="00900D2C">
      <w:pPr>
        <w:rPr>
          <w:rFonts w:ascii="Times New Roman" w:hAnsi="Times New Roman" w:cs="Times New Roman"/>
          <w:sz w:val="24"/>
          <w:szCs w:val="24"/>
        </w:rPr>
      </w:pPr>
    </w:p>
    <w:sectPr w:rsidR="00900D2C" w:rsidRPr="00DE02B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DF06F" w14:textId="77777777" w:rsidR="00832EBB" w:rsidRDefault="00832EBB" w:rsidP="004E378B">
      <w:pPr>
        <w:spacing w:after="0" w:line="240" w:lineRule="auto"/>
      </w:pPr>
      <w:r>
        <w:separator/>
      </w:r>
    </w:p>
  </w:endnote>
  <w:endnote w:type="continuationSeparator" w:id="0">
    <w:p w14:paraId="1C3473E5" w14:textId="77777777" w:rsidR="00832EBB" w:rsidRDefault="00832EBB" w:rsidP="004E3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B2A39" w14:textId="77777777" w:rsidR="00832EBB" w:rsidRDefault="00832EBB" w:rsidP="004E378B">
      <w:pPr>
        <w:spacing w:after="0" w:line="240" w:lineRule="auto"/>
      </w:pPr>
      <w:r>
        <w:separator/>
      </w:r>
    </w:p>
  </w:footnote>
  <w:footnote w:type="continuationSeparator" w:id="0">
    <w:p w14:paraId="54A12B46" w14:textId="77777777" w:rsidR="00832EBB" w:rsidRDefault="00832EBB" w:rsidP="004E3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3462435"/>
      <w:docPartObj>
        <w:docPartGallery w:val="Page Numbers (Top of Page)"/>
        <w:docPartUnique/>
      </w:docPartObj>
    </w:sdtPr>
    <w:sdtEndPr>
      <w:rPr>
        <w:noProof/>
      </w:rPr>
    </w:sdtEndPr>
    <w:sdtContent>
      <w:p w14:paraId="58D3B3B4" w14:textId="7FB64E46" w:rsidR="004E378B" w:rsidRDefault="004E378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78DEE98" w14:textId="77777777" w:rsidR="004E378B" w:rsidRDefault="004E37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A4879"/>
    <w:multiLevelType w:val="multilevel"/>
    <w:tmpl w:val="2EF00F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8B14C6"/>
    <w:multiLevelType w:val="multilevel"/>
    <w:tmpl w:val="6EBE0C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B96464"/>
    <w:multiLevelType w:val="hybridMultilevel"/>
    <w:tmpl w:val="3C8E7C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38043D3"/>
    <w:multiLevelType w:val="multilevel"/>
    <w:tmpl w:val="941809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636416"/>
    <w:multiLevelType w:val="hybridMultilevel"/>
    <w:tmpl w:val="2154E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F8644F"/>
    <w:multiLevelType w:val="multilevel"/>
    <w:tmpl w:val="C880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8E65CD7"/>
    <w:multiLevelType w:val="multilevel"/>
    <w:tmpl w:val="B6B26D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5085778">
    <w:abstractNumId w:val="5"/>
  </w:num>
  <w:num w:numId="2" w16cid:durableId="687760788">
    <w:abstractNumId w:val="2"/>
  </w:num>
  <w:num w:numId="3" w16cid:durableId="285165761">
    <w:abstractNumId w:val="4"/>
  </w:num>
  <w:num w:numId="4" w16cid:durableId="1933589871">
    <w:abstractNumId w:val="3"/>
  </w:num>
  <w:num w:numId="5" w16cid:durableId="2015717509">
    <w:abstractNumId w:val="0"/>
  </w:num>
  <w:num w:numId="6" w16cid:durableId="299846170">
    <w:abstractNumId w:val="6"/>
  </w:num>
  <w:num w:numId="7" w16cid:durableId="202523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2B7"/>
    <w:rsid w:val="00047D97"/>
    <w:rsid w:val="00097787"/>
    <w:rsid w:val="000B1FC7"/>
    <w:rsid w:val="000C79F5"/>
    <w:rsid w:val="001446D5"/>
    <w:rsid w:val="0017407A"/>
    <w:rsid w:val="001B076E"/>
    <w:rsid w:val="001D40E1"/>
    <w:rsid w:val="001D54A3"/>
    <w:rsid w:val="00216A63"/>
    <w:rsid w:val="00264031"/>
    <w:rsid w:val="002A409A"/>
    <w:rsid w:val="002D13A4"/>
    <w:rsid w:val="00323EEF"/>
    <w:rsid w:val="00394EA2"/>
    <w:rsid w:val="004250CE"/>
    <w:rsid w:val="00427B37"/>
    <w:rsid w:val="00436F8E"/>
    <w:rsid w:val="00443012"/>
    <w:rsid w:val="00446C02"/>
    <w:rsid w:val="00471D23"/>
    <w:rsid w:val="004E0ACB"/>
    <w:rsid w:val="004E378B"/>
    <w:rsid w:val="004E674E"/>
    <w:rsid w:val="00502BB3"/>
    <w:rsid w:val="0054234C"/>
    <w:rsid w:val="005771A4"/>
    <w:rsid w:val="00595FAC"/>
    <w:rsid w:val="005B1F5F"/>
    <w:rsid w:val="005C600D"/>
    <w:rsid w:val="005D64AA"/>
    <w:rsid w:val="00622CDB"/>
    <w:rsid w:val="0062607C"/>
    <w:rsid w:val="00644E25"/>
    <w:rsid w:val="006E7D10"/>
    <w:rsid w:val="00722183"/>
    <w:rsid w:val="00736569"/>
    <w:rsid w:val="007517D6"/>
    <w:rsid w:val="00766B76"/>
    <w:rsid w:val="00775BF9"/>
    <w:rsid w:val="0077614E"/>
    <w:rsid w:val="00792E0F"/>
    <w:rsid w:val="007B1179"/>
    <w:rsid w:val="007C7FEC"/>
    <w:rsid w:val="00815FD1"/>
    <w:rsid w:val="00816FFC"/>
    <w:rsid w:val="00832EBB"/>
    <w:rsid w:val="00850AE2"/>
    <w:rsid w:val="00900D2C"/>
    <w:rsid w:val="00911416"/>
    <w:rsid w:val="00932867"/>
    <w:rsid w:val="00A156D4"/>
    <w:rsid w:val="00A16282"/>
    <w:rsid w:val="00A345BA"/>
    <w:rsid w:val="00A3617C"/>
    <w:rsid w:val="00A41CF2"/>
    <w:rsid w:val="00A460B3"/>
    <w:rsid w:val="00A47C1C"/>
    <w:rsid w:val="00A50F6E"/>
    <w:rsid w:val="00A64351"/>
    <w:rsid w:val="00AC7841"/>
    <w:rsid w:val="00AF55E7"/>
    <w:rsid w:val="00AF60ED"/>
    <w:rsid w:val="00B12264"/>
    <w:rsid w:val="00B82C2B"/>
    <w:rsid w:val="00B84D7C"/>
    <w:rsid w:val="00B85305"/>
    <w:rsid w:val="00BC1D50"/>
    <w:rsid w:val="00C020B1"/>
    <w:rsid w:val="00C815B6"/>
    <w:rsid w:val="00C822FF"/>
    <w:rsid w:val="00CC755E"/>
    <w:rsid w:val="00CF1D29"/>
    <w:rsid w:val="00D013B5"/>
    <w:rsid w:val="00D362B0"/>
    <w:rsid w:val="00D92C51"/>
    <w:rsid w:val="00DB5863"/>
    <w:rsid w:val="00DC27D5"/>
    <w:rsid w:val="00DD0A7A"/>
    <w:rsid w:val="00DD6C67"/>
    <w:rsid w:val="00DE02B7"/>
    <w:rsid w:val="00E3159C"/>
    <w:rsid w:val="00E72E6B"/>
    <w:rsid w:val="00E85326"/>
    <w:rsid w:val="00ED1015"/>
    <w:rsid w:val="00ED3B93"/>
    <w:rsid w:val="00F22334"/>
    <w:rsid w:val="00F27232"/>
    <w:rsid w:val="00F86037"/>
    <w:rsid w:val="00FC2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27A45"/>
  <w15:chartTrackingRefBased/>
  <w15:docId w15:val="{CB292C16-7825-47B2-8DB7-E802C4FCF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2B7"/>
    <w:pPr>
      <w:spacing w:line="252" w:lineRule="auto"/>
    </w:pPr>
    <w:rPr>
      <w:kern w:val="0"/>
      <w14:ligatures w14:val="none"/>
    </w:rPr>
  </w:style>
  <w:style w:type="paragraph" w:styleId="Heading1">
    <w:name w:val="heading 1"/>
    <w:basedOn w:val="Normal"/>
    <w:next w:val="Normal"/>
    <w:link w:val="Heading1Char"/>
    <w:uiPriority w:val="9"/>
    <w:qFormat/>
    <w:rsid w:val="00A361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17C"/>
    <w:rPr>
      <w:rFonts w:asciiTheme="majorHAnsi" w:eastAsiaTheme="majorEastAsia" w:hAnsiTheme="majorHAnsi" w:cstheme="majorBidi"/>
      <w:color w:val="2F5496" w:themeColor="accent1" w:themeShade="BF"/>
      <w:kern w:val="0"/>
      <w:sz w:val="32"/>
      <w:szCs w:val="32"/>
      <w14:ligatures w14:val="none"/>
    </w:rPr>
  </w:style>
  <w:style w:type="paragraph" w:styleId="ListParagraph">
    <w:name w:val="List Paragraph"/>
    <w:basedOn w:val="Normal"/>
    <w:uiPriority w:val="34"/>
    <w:qFormat/>
    <w:rsid w:val="00A50F6E"/>
    <w:pPr>
      <w:ind w:left="720"/>
      <w:contextualSpacing/>
    </w:pPr>
  </w:style>
  <w:style w:type="paragraph" w:styleId="Header">
    <w:name w:val="header"/>
    <w:basedOn w:val="Normal"/>
    <w:link w:val="HeaderChar"/>
    <w:uiPriority w:val="99"/>
    <w:unhideWhenUsed/>
    <w:rsid w:val="004E37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78B"/>
    <w:rPr>
      <w:kern w:val="0"/>
      <w14:ligatures w14:val="none"/>
    </w:rPr>
  </w:style>
  <w:style w:type="paragraph" w:styleId="Footer">
    <w:name w:val="footer"/>
    <w:basedOn w:val="Normal"/>
    <w:link w:val="FooterChar"/>
    <w:uiPriority w:val="99"/>
    <w:unhideWhenUsed/>
    <w:rsid w:val="004E37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78B"/>
    <w:rPr>
      <w:kern w:val="0"/>
      <w14:ligatures w14:val="none"/>
    </w:rPr>
  </w:style>
  <w:style w:type="paragraph" w:styleId="Bibliography">
    <w:name w:val="Bibliography"/>
    <w:basedOn w:val="Normal"/>
    <w:next w:val="Normal"/>
    <w:uiPriority w:val="37"/>
    <w:unhideWhenUsed/>
    <w:rsid w:val="00A41CF2"/>
  </w:style>
  <w:style w:type="paragraph" w:styleId="TOCHeading">
    <w:name w:val="TOC Heading"/>
    <w:basedOn w:val="Heading1"/>
    <w:next w:val="Normal"/>
    <w:uiPriority w:val="39"/>
    <w:unhideWhenUsed/>
    <w:qFormat/>
    <w:rsid w:val="00CC755E"/>
    <w:pPr>
      <w:spacing w:line="259" w:lineRule="auto"/>
      <w:outlineLvl w:val="9"/>
    </w:pPr>
    <w:rPr>
      <w:lang w:val="en-US"/>
    </w:rPr>
  </w:style>
  <w:style w:type="paragraph" w:styleId="TOC1">
    <w:name w:val="toc 1"/>
    <w:basedOn w:val="Normal"/>
    <w:next w:val="Normal"/>
    <w:autoRedefine/>
    <w:uiPriority w:val="39"/>
    <w:unhideWhenUsed/>
    <w:rsid w:val="00CC755E"/>
    <w:pPr>
      <w:spacing w:after="100"/>
    </w:pPr>
  </w:style>
  <w:style w:type="character" w:styleId="Hyperlink">
    <w:name w:val="Hyperlink"/>
    <w:basedOn w:val="DefaultParagraphFont"/>
    <w:uiPriority w:val="99"/>
    <w:unhideWhenUsed/>
    <w:rsid w:val="00CC75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61099">
      <w:bodyDiv w:val="1"/>
      <w:marLeft w:val="0"/>
      <w:marRight w:val="0"/>
      <w:marTop w:val="0"/>
      <w:marBottom w:val="0"/>
      <w:divBdr>
        <w:top w:val="none" w:sz="0" w:space="0" w:color="auto"/>
        <w:left w:val="none" w:sz="0" w:space="0" w:color="auto"/>
        <w:bottom w:val="none" w:sz="0" w:space="0" w:color="auto"/>
        <w:right w:val="none" w:sz="0" w:space="0" w:color="auto"/>
      </w:divBdr>
    </w:div>
    <w:div w:id="93983804">
      <w:bodyDiv w:val="1"/>
      <w:marLeft w:val="0"/>
      <w:marRight w:val="0"/>
      <w:marTop w:val="0"/>
      <w:marBottom w:val="0"/>
      <w:divBdr>
        <w:top w:val="none" w:sz="0" w:space="0" w:color="auto"/>
        <w:left w:val="none" w:sz="0" w:space="0" w:color="auto"/>
        <w:bottom w:val="none" w:sz="0" w:space="0" w:color="auto"/>
        <w:right w:val="none" w:sz="0" w:space="0" w:color="auto"/>
      </w:divBdr>
    </w:div>
    <w:div w:id="156651089">
      <w:bodyDiv w:val="1"/>
      <w:marLeft w:val="0"/>
      <w:marRight w:val="0"/>
      <w:marTop w:val="0"/>
      <w:marBottom w:val="0"/>
      <w:divBdr>
        <w:top w:val="none" w:sz="0" w:space="0" w:color="auto"/>
        <w:left w:val="none" w:sz="0" w:space="0" w:color="auto"/>
        <w:bottom w:val="none" w:sz="0" w:space="0" w:color="auto"/>
        <w:right w:val="none" w:sz="0" w:space="0" w:color="auto"/>
      </w:divBdr>
    </w:div>
    <w:div w:id="165094000">
      <w:bodyDiv w:val="1"/>
      <w:marLeft w:val="0"/>
      <w:marRight w:val="0"/>
      <w:marTop w:val="0"/>
      <w:marBottom w:val="0"/>
      <w:divBdr>
        <w:top w:val="none" w:sz="0" w:space="0" w:color="auto"/>
        <w:left w:val="none" w:sz="0" w:space="0" w:color="auto"/>
        <w:bottom w:val="none" w:sz="0" w:space="0" w:color="auto"/>
        <w:right w:val="none" w:sz="0" w:space="0" w:color="auto"/>
      </w:divBdr>
    </w:div>
    <w:div w:id="193352917">
      <w:bodyDiv w:val="1"/>
      <w:marLeft w:val="0"/>
      <w:marRight w:val="0"/>
      <w:marTop w:val="0"/>
      <w:marBottom w:val="0"/>
      <w:divBdr>
        <w:top w:val="none" w:sz="0" w:space="0" w:color="auto"/>
        <w:left w:val="none" w:sz="0" w:space="0" w:color="auto"/>
        <w:bottom w:val="none" w:sz="0" w:space="0" w:color="auto"/>
        <w:right w:val="none" w:sz="0" w:space="0" w:color="auto"/>
      </w:divBdr>
    </w:div>
    <w:div w:id="202179813">
      <w:bodyDiv w:val="1"/>
      <w:marLeft w:val="0"/>
      <w:marRight w:val="0"/>
      <w:marTop w:val="0"/>
      <w:marBottom w:val="0"/>
      <w:divBdr>
        <w:top w:val="none" w:sz="0" w:space="0" w:color="auto"/>
        <w:left w:val="none" w:sz="0" w:space="0" w:color="auto"/>
        <w:bottom w:val="none" w:sz="0" w:space="0" w:color="auto"/>
        <w:right w:val="none" w:sz="0" w:space="0" w:color="auto"/>
      </w:divBdr>
    </w:div>
    <w:div w:id="230234028">
      <w:bodyDiv w:val="1"/>
      <w:marLeft w:val="0"/>
      <w:marRight w:val="0"/>
      <w:marTop w:val="0"/>
      <w:marBottom w:val="0"/>
      <w:divBdr>
        <w:top w:val="none" w:sz="0" w:space="0" w:color="auto"/>
        <w:left w:val="none" w:sz="0" w:space="0" w:color="auto"/>
        <w:bottom w:val="none" w:sz="0" w:space="0" w:color="auto"/>
        <w:right w:val="none" w:sz="0" w:space="0" w:color="auto"/>
      </w:divBdr>
    </w:div>
    <w:div w:id="237056028">
      <w:bodyDiv w:val="1"/>
      <w:marLeft w:val="0"/>
      <w:marRight w:val="0"/>
      <w:marTop w:val="0"/>
      <w:marBottom w:val="0"/>
      <w:divBdr>
        <w:top w:val="none" w:sz="0" w:space="0" w:color="auto"/>
        <w:left w:val="none" w:sz="0" w:space="0" w:color="auto"/>
        <w:bottom w:val="none" w:sz="0" w:space="0" w:color="auto"/>
        <w:right w:val="none" w:sz="0" w:space="0" w:color="auto"/>
      </w:divBdr>
    </w:div>
    <w:div w:id="252476989">
      <w:bodyDiv w:val="1"/>
      <w:marLeft w:val="0"/>
      <w:marRight w:val="0"/>
      <w:marTop w:val="0"/>
      <w:marBottom w:val="0"/>
      <w:divBdr>
        <w:top w:val="none" w:sz="0" w:space="0" w:color="auto"/>
        <w:left w:val="none" w:sz="0" w:space="0" w:color="auto"/>
        <w:bottom w:val="none" w:sz="0" w:space="0" w:color="auto"/>
        <w:right w:val="none" w:sz="0" w:space="0" w:color="auto"/>
      </w:divBdr>
    </w:div>
    <w:div w:id="366683518">
      <w:bodyDiv w:val="1"/>
      <w:marLeft w:val="0"/>
      <w:marRight w:val="0"/>
      <w:marTop w:val="0"/>
      <w:marBottom w:val="0"/>
      <w:divBdr>
        <w:top w:val="none" w:sz="0" w:space="0" w:color="auto"/>
        <w:left w:val="none" w:sz="0" w:space="0" w:color="auto"/>
        <w:bottom w:val="none" w:sz="0" w:space="0" w:color="auto"/>
        <w:right w:val="none" w:sz="0" w:space="0" w:color="auto"/>
      </w:divBdr>
    </w:div>
    <w:div w:id="372970921">
      <w:bodyDiv w:val="1"/>
      <w:marLeft w:val="0"/>
      <w:marRight w:val="0"/>
      <w:marTop w:val="0"/>
      <w:marBottom w:val="0"/>
      <w:divBdr>
        <w:top w:val="none" w:sz="0" w:space="0" w:color="auto"/>
        <w:left w:val="none" w:sz="0" w:space="0" w:color="auto"/>
        <w:bottom w:val="none" w:sz="0" w:space="0" w:color="auto"/>
        <w:right w:val="none" w:sz="0" w:space="0" w:color="auto"/>
      </w:divBdr>
    </w:div>
    <w:div w:id="426119409">
      <w:bodyDiv w:val="1"/>
      <w:marLeft w:val="0"/>
      <w:marRight w:val="0"/>
      <w:marTop w:val="0"/>
      <w:marBottom w:val="0"/>
      <w:divBdr>
        <w:top w:val="none" w:sz="0" w:space="0" w:color="auto"/>
        <w:left w:val="none" w:sz="0" w:space="0" w:color="auto"/>
        <w:bottom w:val="none" w:sz="0" w:space="0" w:color="auto"/>
        <w:right w:val="none" w:sz="0" w:space="0" w:color="auto"/>
      </w:divBdr>
    </w:div>
    <w:div w:id="490221697">
      <w:bodyDiv w:val="1"/>
      <w:marLeft w:val="0"/>
      <w:marRight w:val="0"/>
      <w:marTop w:val="0"/>
      <w:marBottom w:val="0"/>
      <w:divBdr>
        <w:top w:val="none" w:sz="0" w:space="0" w:color="auto"/>
        <w:left w:val="none" w:sz="0" w:space="0" w:color="auto"/>
        <w:bottom w:val="none" w:sz="0" w:space="0" w:color="auto"/>
        <w:right w:val="none" w:sz="0" w:space="0" w:color="auto"/>
      </w:divBdr>
    </w:div>
    <w:div w:id="702681343">
      <w:bodyDiv w:val="1"/>
      <w:marLeft w:val="0"/>
      <w:marRight w:val="0"/>
      <w:marTop w:val="0"/>
      <w:marBottom w:val="0"/>
      <w:divBdr>
        <w:top w:val="none" w:sz="0" w:space="0" w:color="auto"/>
        <w:left w:val="none" w:sz="0" w:space="0" w:color="auto"/>
        <w:bottom w:val="none" w:sz="0" w:space="0" w:color="auto"/>
        <w:right w:val="none" w:sz="0" w:space="0" w:color="auto"/>
      </w:divBdr>
    </w:div>
    <w:div w:id="715353673">
      <w:bodyDiv w:val="1"/>
      <w:marLeft w:val="0"/>
      <w:marRight w:val="0"/>
      <w:marTop w:val="0"/>
      <w:marBottom w:val="0"/>
      <w:divBdr>
        <w:top w:val="none" w:sz="0" w:space="0" w:color="auto"/>
        <w:left w:val="none" w:sz="0" w:space="0" w:color="auto"/>
        <w:bottom w:val="none" w:sz="0" w:space="0" w:color="auto"/>
        <w:right w:val="none" w:sz="0" w:space="0" w:color="auto"/>
      </w:divBdr>
    </w:div>
    <w:div w:id="758604228">
      <w:bodyDiv w:val="1"/>
      <w:marLeft w:val="0"/>
      <w:marRight w:val="0"/>
      <w:marTop w:val="0"/>
      <w:marBottom w:val="0"/>
      <w:divBdr>
        <w:top w:val="none" w:sz="0" w:space="0" w:color="auto"/>
        <w:left w:val="none" w:sz="0" w:space="0" w:color="auto"/>
        <w:bottom w:val="none" w:sz="0" w:space="0" w:color="auto"/>
        <w:right w:val="none" w:sz="0" w:space="0" w:color="auto"/>
      </w:divBdr>
    </w:div>
    <w:div w:id="780759134">
      <w:bodyDiv w:val="1"/>
      <w:marLeft w:val="0"/>
      <w:marRight w:val="0"/>
      <w:marTop w:val="0"/>
      <w:marBottom w:val="0"/>
      <w:divBdr>
        <w:top w:val="none" w:sz="0" w:space="0" w:color="auto"/>
        <w:left w:val="none" w:sz="0" w:space="0" w:color="auto"/>
        <w:bottom w:val="none" w:sz="0" w:space="0" w:color="auto"/>
        <w:right w:val="none" w:sz="0" w:space="0" w:color="auto"/>
      </w:divBdr>
    </w:div>
    <w:div w:id="781876679">
      <w:bodyDiv w:val="1"/>
      <w:marLeft w:val="0"/>
      <w:marRight w:val="0"/>
      <w:marTop w:val="0"/>
      <w:marBottom w:val="0"/>
      <w:divBdr>
        <w:top w:val="none" w:sz="0" w:space="0" w:color="auto"/>
        <w:left w:val="none" w:sz="0" w:space="0" w:color="auto"/>
        <w:bottom w:val="none" w:sz="0" w:space="0" w:color="auto"/>
        <w:right w:val="none" w:sz="0" w:space="0" w:color="auto"/>
      </w:divBdr>
    </w:div>
    <w:div w:id="821045980">
      <w:bodyDiv w:val="1"/>
      <w:marLeft w:val="0"/>
      <w:marRight w:val="0"/>
      <w:marTop w:val="0"/>
      <w:marBottom w:val="0"/>
      <w:divBdr>
        <w:top w:val="none" w:sz="0" w:space="0" w:color="auto"/>
        <w:left w:val="none" w:sz="0" w:space="0" w:color="auto"/>
        <w:bottom w:val="none" w:sz="0" w:space="0" w:color="auto"/>
        <w:right w:val="none" w:sz="0" w:space="0" w:color="auto"/>
      </w:divBdr>
    </w:div>
    <w:div w:id="846866306">
      <w:bodyDiv w:val="1"/>
      <w:marLeft w:val="0"/>
      <w:marRight w:val="0"/>
      <w:marTop w:val="0"/>
      <w:marBottom w:val="0"/>
      <w:divBdr>
        <w:top w:val="none" w:sz="0" w:space="0" w:color="auto"/>
        <w:left w:val="none" w:sz="0" w:space="0" w:color="auto"/>
        <w:bottom w:val="none" w:sz="0" w:space="0" w:color="auto"/>
        <w:right w:val="none" w:sz="0" w:space="0" w:color="auto"/>
      </w:divBdr>
    </w:div>
    <w:div w:id="847210129">
      <w:bodyDiv w:val="1"/>
      <w:marLeft w:val="0"/>
      <w:marRight w:val="0"/>
      <w:marTop w:val="0"/>
      <w:marBottom w:val="0"/>
      <w:divBdr>
        <w:top w:val="none" w:sz="0" w:space="0" w:color="auto"/>
        <w:left w:val="none" w:sz="0" w:space="0" w:color="auto"/>
        <w:bottom w:val="none" w:sz="0" w:space="0" w:color="auto"/>
        <w:right w:val="none" w:sz="0" w:space="0" w:color="auto"/>
      </w:divBdr>
    </w:div>
    <w:div w:id="1010718666">
      <w:bodyDiv w:val="1"/>
      <w:marLeft w:val="0"/>
      <w:marRight w:val="0"/>
      <w:marTop w:val="0"/>
      <w:marBottom w:val="0"/>
      <w:divBdr>
        <w:top w:val="none" w:sz="0" w:space="0" w:color="auto"/>
        <w:left w:val="none" w:sz="0" w:space="0" w:color="auto"/>
        <w:bottom w:val="none" w:sz="0" w:space="0" w:color="auto"/>
        <w:right w:val="none" w:sz="0" w:space="0" w:color="auto"/>
      </w:divBdr>
    </w:div>
    <w:div w:id="1052771574">
      <w:bodyDiv w:val="1"/>
      <w:marLeft w:val="0"/>
      <w:marRight w:val="0"/>
      <w:marTop w:val="0"/>
      <w:marBottom w:val="0"/>
      <w:divBdr>
        <w:top w:val="none" w:sz="0" w:space="0" w:color="auto"/>
        <w:left w:val="none" w:sz="0" w:space="0" w:color="auto"/>
        <w:bottom w:val="none" w:sz="0" w:space="0" w:color="auto"/>
        <w:right w:val="none" w:sz="0" w:space="0" w:color="auto"/>
      </w:divBdr>
    </w:div>
    <w:div w:id="1060636194">
      <w:bodyDiv w:val="1"/>
      <w:marLeft w:val="0"/>
      <w:marRight w:val="0"/>
      <w:marTop w:val="0"/>
      <w:marBottom w:val="0"/>
      <w:divBdr>
        <w:top w:val="none" w:sz="0" w:space="0" w:color="auto"/>
        <w:left w:val="none" w:sz="0" w:space="0" w:color="auto"/>
        <w:bottom w:val="none" w:sz="0" w:space="0" w:color="auto"/>
        <w:right w:val="none" w:sz="0" w:space="0" w:color="auto"/>
      </w:divBdr>
    </w:div>
    <w:div w:id="1078752883">
      <w:bodyDiv w:val="1"/>
      <w:marLeft w:val="0"/>
      <w:marRight w:val="0"/>
      <w:marTop w:val="0"/>
      <w:marBottom w:val="0"/>
      <w:divBdr>
        <w:top w:val="none" w:sz="0" w:space="0" w:color="auto"/>
        <w:left w:val="none" w:sz="0" w:space="0" w:color="auto"/>
        <w:bottom w:val="none" w:sz="0" w:space="0" w:color="auto"/>
        <w:right w:val="none" w:sz="0" w:space="0" w:color="auto"/>
      </w:divBdr>
    </w:div>
    <w:div w:id="1138452912">
      <w:bodyDiv w:val="1"/>
      <w:marLeft w:val="0"/>
      <w:marRight w:val="0"/>
      <w:marTop w:val="0"/>
      <w:marBottom w:val="0"/>
      <w:divBdr>
        <w:top w:val="none" w:sz="0" w:space="0" w:color="auto"/>
        <w:left w:val="none" w:sz="0" w:space="0" w:color="auto"/>
        <w:bottom w:val="none" w:sz="0" w:space="0" w:color="auto"/>
        <w:right w:val="none" w:sz="0" w:space="0" w:color="auto"/>
      </w:divBdr>
    </w:div>
    <w:div w:id="1196575862">
      <w:bodyDiv w:val="1"/>
      <w:marLeft w:val="0"/>
      <w:marRight w:val="0"/>
      <w:marTop w:val="0"/>
      <w:marBottom w:val="0"/>
      <w:divBdr>
        <w:top w:val="none" w:sz="0" w:space="0" w:color="auto"/>
        <w:left w:val="none" w:sz="0" w:space="0" w:color="auto"/>
        <w:bottom w:val="none" w:sz="0" w:space="0" w:color="auto"/>
        <w:right w:val="none" w:sz="0" w:space="0" w:color="auto"/>
      </w:divBdr>
    </w:div>
    <w:div w:id="1197737601">
      <w:bodyDiv w:val="1"/>
      <w:marLeft w:val="0"/>
      <w:marRight w:val="0"/>
      <w:marTop w:val="0"/>
      <w:marBottom w:val="0"/>
      <w:divBdr>
        <w:top w:val="none" w:sz="0" w:space="0" w:color="auto"/>
        <w:left w:val="none" w:sz="0" w:space="0" w:color="auto"/>
        <w:bottom w:val="none" w:sz="0" w:space="0" w:color="auto"/>
        <w:right w:val="none" w:sz="0" w:space="0" w:color="auto"/>
      </w:divBdr>
    </w:div>
    <w:div w:id="1243759540">
      <w:bodyDiv w:val="1"/>
      <w:marLeft w:val="0"/>
      <w:marRight w:val="0"/>
      <w:marTop w:val="0"/>
      <w:marBottom w:val="0"/>
      <w:divBdr>
        <w:top w:val="none" w:sz="0" w:space="0" w:color="auto"/>
        <w:left w:val="none" w:sz="0" w:space="0" w:color="auto"/>
        <w:bottom w:val="none" w:sz="0" w:space="0" w:color="auto"/>
        <w:right w:val="none" w:sz="0" w:space="0" w:color="auto"/>
      </w:divBdr>
    </w:div>
    <w:div w:id="1412314530">
      <w:bodyDiv w:val="1"/>
      <w:marLeft w:val="0"/>
      <w:marRight w:val="0"/>
      <w:marTop w:val="0"/>
      <w:marBottom w:val="0"/>
      <w:divBdr>
        <w:top w:val="none" w:sz="0" w:space="0" w:color="auto"/>
        <w:left w:val="none" w:sz="0" w:space="0" w:color="auto"/>
        <w:bottom w:val="none" w:sz="0" w:space="0" w:color="auto"/>
        <w:right w:val="none" w:sz="0" w:space="0" w:color="auto"/>
      </w:divBdr>
    </w:div>
    <w:div w:id="1435398249">
      <w:bodyDiv w:val="1"/>
      <w:marLeft w:val="0"/>
      <w:marRight w:val="0"/>
      <w:marTop w:val="0"/>
      <w:marBottom w:val="0"/>
      <w:divBdr>
        <w:top w:val="none" w:sz="0" w:space="0" w:color="auto"/>
        <w:left w:val="none" w:sz="0" w:space="0" w:color="auto"/>
        <w:bottom w:val="none" w:sz="0" w:space="0" w:color="auto"/>
        <w:right w:val="none" w:sz="0" w:space="0" w:color="auto"/>
      </w:divBdr>
    </w:div>
    <w:div w:id="1436363947">
      <w:bodyDiv w:val="1"/>
      <w:marLeft w:val="0"/>
      <w:marRight w:val="0"/>
      <w:marTop w:val="0"/>
      <w:marBottom w:val="0"/>
      <w:divBdr>
        <w:top w:val="none" w:sz="0" w:space="0" w:color="auto"/>
        <w:left w:val="none" w:sz="0" w:space="0" w:color="auto"/>
        <w:bottom w:val="none" w:sz="0" w:space="0" w:color="auto"/>
        <w:right w:val="none" w:sz="0" w:space="0" w:color="auto"/>
      </w:divBdr>
    </w:div>
    <w:div w:id="1471365138">
      <w:bodyDiv w:val="1"/>
      <w:marLeft w:val="0"/>
      <w:marRight w:val="0"/>
      <w:marTop w:val="0"/>
      <w:marBottom w:val="0"/>
      <w:divBdr>
        <w:top w:val="none" w:sz="0" w:space="0" w:color="auto"/>
        <w:left w:val="none" w:sz="0" w:space="0" w:color="auto"/>
        <w:bottom w:val="none" w:sz="0" w:space="0" w:color="auto"/>
        <w:right w:val="none" w:sz="0" w:space="0" w:color="auto"/>
      </w:divBdr>
    </w:div>
    <w:div w:id="1486513327">
      <w:bodyDiv w:val="1"/>
      <w:marLeft w:val="0"/>
      <w:marRight w:val="0"/>
      <w:marTop w:val="0"/>
      <w:marBottom w:val="0"/>
      <w:divBdr>
        <w:top w:val="none" w:sz="0" w:space="0" w:color="auto"/>
        <w:left w:val="none" w:sz="0" w:space="0" w:color="auto"/>
        <w:bottom w:val="none" w:sz="0" w:space="0" w:color="auto"/>
        <w:right w:val="none" w:sz="0" w:space="0" w:color="auto"/>
      </w:divBdr>
    </w:div>
    <w:div w:id="1529833443">
      <w:bodyDiv w:val="1"/>
      <w:marLeft w:val="0"/>
      <w:marRight w:val="0"/>
      <w:marTop w:val="0"/>
      <w:marBottom w:val="0"/>
      <w:divBdr>
        <w:top w:val="none" w:sz="0" w:space="0" w:color="auto"/>
        <w:left w:val="none" w:sz="0" w:space="0" w:color="auto"/>
        <w:bottom w:val="none" w:sz="0" w:space="0" w:color="auto"/>
        <w:right w:val="none" w:sz="0" w:space="0" w:color="auto"/>
      </w:divBdr>
    </w:div>
    <w:div w:id="1547135060">
      <w:bodyDiv w:val="1"/>
      <w:marLeft w:val="0"/>
      <w:marRight w:val="0"/>
      <w:marTop w:val="0"/>
      <w:marBottom w:val="0"/>
      <w:divBdr>
        <w:top w:val="none" w:sz="0" w:space="0" w:color="auto"/>
        <w:left w:val="none" w:sz="0" w:space="0" w:color="auto"/>
        <w:bottom w:val="none" w:sz="0" w:space="0" w:color="auto"/>
        <w:right w:val="none" w:sz="0" w:space="0" w:color="auto"/>
      </w:divBdr>
    </w:div>
    <w:div w:id="1573197249">
      <w:bodyDiv w:val="1"/>
      <w:marLeft w:val="0"/>
      <w:marRight w:val="0"/>
      <w:marTop w:val="0"/>
      <w:marBottom w:val="0"/>
      <w:divBdr>
        <w:top w:val="none" w:sz="0" w:space="0" w:color="auto"/>
        <w:left w:val="none" w:sz="0" w:space="0" w:color="auto"/>
        <w:bottom w:val="none" w:sz="0" w:space="0" w:color="auto"/>
        <w:right w:val="none" w:sz="0" w:space="0" w:color="auto"/>
      </w:divBdr>
    </w:div>
    <w:div w:id="1573661337">
      <w:bodyDiv w:val="1"/>
      <w:marLeft w:val="0"/>
      <w:marRight w:val="0"/>
      <w:marTop w:val="0"/>
      <w:marBottom w:val="0"/>
      <w:divBdr>
        <w:top w:val="none" w:sz="0" w:space="0" w:color="auto"/>
        <w:left w:val="none" w:sz="0" w:space="0" w:color="auto"/>
        <w:bottom w:val="none" w:sz="0" w:space="0" w:color="auto"/>
        <w:right w:val="none" w:sz="0" w:space="0" w:color="auto"/>
      </w:divBdr>
    </w:div>
    <w:div w:id="1623919294">
      <w:bodyDiv w:val="1"/>
      <w:marLeft w:val="0"/>
      <w:marRight w:val="0"/>
      <w:marTop w:val="0"/>
      <w:marBottom w:val="0"/>
      <w:divBdr>
        <w:top w:val="none" w:sz="0" w:space="0" w:color="auto"/>
        <w:left w:val="none" w:sz="0" w:space="0" w:color="auto"/>
        <w:bottom w:val="none" w:sz="0" w:space="0" w:color="auto"/>
        <w:right w:val="none" w:sz="0" w:space="0" w:color="auto"/>
      </w:divBdr>
    </w:div>
    <w:div w:id="1627850999">
      <w:bodyDiv w:val="1"/>
      <w:marLeft w:val="0"/>
      <w:marRight w:val="0"/>
      <w:marTop w:val="0"/>
      <w:marBottom w:val="0"/>
      <w:divBdr>
        <w:top w:val="none" w:sz="0" w:space="0" w:color="auto"/>
        <w:left w:val="none" w:sz="0" w:space="0" w:color="auto"/>
        <w:bottom w:val="none" w:sz="0" w:space="0" w:color="auto"/>
        <w:right w:val="none" w:sz="0" w:space="0" w:color="auto"/>
      </w:divBdr>
    </w:div>
    <w:div w:id="1633827539">
      <w:bodyDiv w:val="1"/>
      <w:marLeft w:val="0"/>
      <w:marRight w:val="0"/>
      <w:marTop w:val="0"/>
      <w:marBottom w:val="0"/>
      <w:divBdr>
        <w:top w:val="none" w:sz="0" w:space="0" w:color="auto"/>
        <w:left w:val="none" w:sz="0" w:space="0" w:color="auto"/>
        <w:bottom w:val="none" w:sz="0" w:space="0" w:color="auto"/>
        <w:right w:val="none" w:sz="0" w:space="0" w:color="auto"/>
      </w:divBdr>
    </w:div>
    <w:div w:id="1645771139">
      <w:bodyDiv w:val="1"/>
      <w:marLeft w:val="0"/>
      <w:marRight w:val="0"/>
      <w:marTop w:val="0"/>
      <w:marBottom w:val="0"/>
      <w:divBdr>
        <w:top w:val="none" w:sz="0" w:space="0" w:color="auto"/>
        <w:left w:val="none" w:sz="0" w:space="0" w:color="auto"/>
        <w:bottom w:val="none" w:sz="0" w:space="0" w:color="auto"/>
        <w:right w:val="none" w:sz="0" w:space="0" w:color="auto"/>
      </w:divBdr>
    </w:div>
    <w:div w:id="1664698882">
      <w:bodyDiv w:val="1"/>
      <w:marLeft w:val="0"/>
      <w:marRight w:val="0"/>
      <w:marTop w:val="0"/>
      <w:marBottom w:val="0"/>
      <w:divBdr>
        <w:top w:val="none" w:sz="0" w:space="0" w:color="auto"/>
        <w:left w:val="none" w:sz="0" w:space="0" w:color="auto"/>
        <w:bottom w:val="none" w:sz="0" w:space="0" w:color="auto"/>
        <w:right w:val="none" w:sz="0" w:space="0" w:color="auto"/>
      </w:divBdr>
    </w:div>
    <w:div w:id="1672759919">
      <w:bodyDiv w:val="1"/>
      <w:marLeft w:val="0"/>
      <w:marRight w:val="0"/>
      <w:marTop w:val="0"/>
      <w:marBottom w:val="0"/>
      <w:divBdr>
        <w:top w:val="none" w:sz="0" w:space="0" w:color="auto"/>
        <w:left w:val="none" w:sz="0" w:space="0" w:color="auto"/>
        <w:bottom w:val="none" w:sz="0" w:space="0" w:color="auto"/>
        <w:right w:val="none" w:sz="0" w:space="0" w:color="auto"/>
      </w:divBdr>
    </w:div>
    <w:div w:id="1702625554">
      <w:bodyDiv w:val="1"/>
      <w:marLeft w:val="0"/>
      <w:marRight w:val="0"/>
      <w:marTop w:val="0"/>
      <w:marBottom w:val="0"/>
      <w:divBdr>
        <w:top w:val="none" w:sz="0" w:space="0" w:color="auto"/>
        <w:left w:val="none" w:sz="0" w:space="0" w:color="auto"/>
        <w:bottom w:val="none" w:sz="0" w:space="0" w:color="auto"/>
        <w:right w:val="none" w:sz="0" w:space="0" w:color="auto"/>
      </w:divBdr>
    </w:div>
    <w:div w:id="1703551895">
      <w:bodyDiv w:val="1"/>
      <w:marLeft w:val="0"/>
      <w:marRight w:val="0"/>
      <w:marTop w:val="0"/>
      <w:marBottom w:val="0"/>
      <w:divBdr>
        <w:top w:val="none" w:sz="0" w:space="0" w:color="auto"/>
        <w:left w:val="none" w:sz="0" w:space="0" w:color="auto"/>
        <w:bottom w:val="none" w:sz="0" w:space="0" w:color="auto"/>
        <w:right w:val="none" w:sz="0" w:space="0" w:color="auto"/>
      </w:divBdr>
    </w:div>
    <w:div w:id="1758860520">
      <w:bodyDiv w:val="1"/>
      <w:marLeft w:val="0"/>
      <w:marRight w:val="0"/>
      <w:marTop w:val="0"/>
      <w:marBottom w:val="0"/>
      <w:divBdr>
        <w:top w:val="none" w:sz="0" w:space="0" w:color="auto"/>
        <w:left w:val="none" w:sz="0" w:space="0" w:color="auto"/>
        <w:bottom w:val="none" w:sz="0" w:space="0" w:color="auto"/>
        <w:right w:val="none" w:sz="0" w:space="0" w:color="auto"/>
      </w:divBdr>
    </w:div>
    <w:div w:id="1801192884">
      <w:bodyDiv w:val="1"/>
      <w:marLeft w:val="0"/>
      <w:marRight w:val="0"/>
      <w:marTop w:val="0"/>
      <w:marBottom w:val="0"/>
      <w:divBdr>
        <w:top w:val="none" w:sz="0" w:space="0" w:color="auto"/>
        <w:left w:val="none" w:sz="0" w:space="0" w:color="auto"/>
        <w:bottom w:val="none" w:sz="0" w:space="0" w:color="auto"/>
        <w:right w:val="none" w:sz="0" w:space="0" w:color="auto"/>
      </w:divBdr>
    </w:div>
    <w:div w:id="1924485206">
      <w:bodyDiv w:val="1"/>
      <w:marLeft w:val="0"/>
      <w:marRight w:val="0"/>
      <w:marTop w:val="0"/>
      <w:marBottom w:val="0"/>
      <w:divBdr>
        <w:top w:val="none" w:sz="0" w:space="0" w:color="auto"/>
        <w:left w:val="none" w:sz="0" w:space="0" w:color="auto"/>
        <w:bottom w:val="none" w:sz="0" w:space="0" w:color="auto"/>
        <w:right w:val="none" w:sz="0" w:space="0" w:color="auto"/>
      </w:divBdr>
    </w:div>
    <w:div w:id="2000649258">
      <w:bodyDiv w:val="1"/>
      <w:marLeft w:val="0"/>
      <w:marRight w:val="0"/>
      <w:marTop w:val="0"/>
      <w:marBottom w:val="0"/>
      <w:divBdr>
        <w:top w:val="none" w:sz="0" w:space="0" w:color="auto"/>
        <w:left w:val="none" w:sz="0" w:space="0" w:color="auto"/>
        <w:bottom w:val="none" w:sz="0" w:space="0" w:color="auto"/>
        <w:right w:val="none" w:sz="0" w:space="0" w:color="auto"/>
      </w:divBdr>
    </w:div>
    <w:div w:id="2003897244">
      <w:bodyDiv w:val="1"/>
      <w:marLeft w:val="0"/>
      <w:marRight w:val="0"/>
      <w:marTop w:val="0"/>
      <w:marBottom w:val="0"/>
      <w:divBdr>
        <w:top w:val="none" w:sz="0" w:space="0" w:color="auto"/>
        <w:left w:val="none" w:sz="0" w:space="0" w:color="auto"/>
        <w:bottom w:val="none" w:sz="0" w:space="0" w:color="auto"/>
        <w:right w:val="none" w:sz="0" w:space="0" w:color="auto"/>
      </w:divBdr>
    </w:div>
    <w:div w:id="2124373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e817316-4aca-4b9e-ace6-40706940dca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13" ma:contentTypeDescription="Create a new document." ma:contentTypeScope="" ma:versionID="311e5058dd28cb8845648632911a09f0">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b0f018bd809f7d8936d9cf2a91642bb4"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BPP23</b:Tag>
    <b:SourceType>InternetSite</b:SourceType>
    <b:Guid>{6E8F67F8-1DA9-451B-A24B-11437CEA5344}</b:Guid>
    <b:Title>Who We Are</b:Title>
    <b:Year>2023</b:Year>
    <b:Author>
      <b:Author>
        <b:Corporate>BP Plc.</b:Corporate>
      </b:Author>
    </b:Author>
    <b:YearAccessed>2023</b:YearAccessed>
    <b:MonthAccessed>04</b:MonthAccessed>
    <b:DayAccessed>30</b:DayAccessed>
    <b:URL>https://www.bp.com/en/global/corporate/who-we-are.html</b:URL>
    <b:RefOrder>1</b:RefOrder>
  </b:Source>
  <b:Source>
    <b:Tag>Bre11</b:Tag>
    <b:SourceType>Book</b:SourceType>
    <b:Guid>{EE8FC24E-9F2A-4B24-AF56-5A9AF7576C91}</b:Guid>
    <b:Title>Principles of Corporate Finance</b:Title>
    <b:Year>2011</b:Year>
    <b:City>Irwin</b:City>
    <b:Publisher>McGraw-Hill</b:Publisher>
    <b:Author>
      <b:Author>
        <b:NameList>
          <b:Person>
            <b:Last>Brealey</b:Last>
            <b:Middle>A.</b:Middle>
            <b:First>R.</b:First>
          </b:Person>
          <b:Person>
            <b:Last>Myers</b:Last>
            <b:Middle>C.</b:Middle>
            <b:First>S.</b:First>
          </b:Person>
          <b:Person>
            <b:Last>Allen</b:Last>
            <b:First>F.</b:First>
          </b:Person>
        </b:NameList>
      </b:Author>
    </b:Author>
    <b:RefOrder>5</b:RefOrder>
  </b:Source>
  <b:Source>
    <b:Tag>Fam70</b:Tag>
    <b:SourceType>JournalArticle</b:SourceType>
    <b:Guid>{3E922C11-DE01-42AB-8429-BB40A28481BA}</b:Guid>
    <b:Title>Efficient Capital Markets: A Review of Theory and Empirical Work</b:Title>
    <b:Year>1970</b:Year>
    <b:JournalName>Journal of Finance</b:JournalName>
    <b:Pages>383-417</b:Pages>
    <b:Volume>25</b:Volume>
    <b:Issue>2</b:Issue>
    <b:Author>
      <b:Author>
        <b:NameList>
          <b:Person>
            <b:Last>Fama </b:Last>
            <b:Middle>F.</b:Middle>
            <b:First>E.</b:First>
          </b:Person>
        </b:NameList>
      </b:Author>
    </b:Author>
    <b:RefOrder>7</b:RefOrder>
  </b:Source>
  <b:Source>
    <b:Tag>Mil61</b:Tag>
    <b:SourceType>JournalArticle</b:SourceType>
    <b:Guid>{3A8620B6-24EF-4A3C-8E89-97BCEB1D271C}</b:Guid>
    <b:Title>Dividend Policy, Growth, and the Valuation of Shares</b:Title>
    <b:JournalName>Journal of Business</b:JournalName>
    <b:Year>1961</b:Year>
    <b:Pages>411-433</b:Pages>
    <b:Volume>34</b:Volume>
    <b:Issue>4</b:Issue>
    <b:Author>
      <b:Author>
        <b:NameList>
          <b:Person>
            <b:Last>Miller</b:Last>
            <b:Middle>H.</b:Middle>
            <b:First>M.</b:First>
          </b:Person>
          <b:Person>
            <b:Last>Modigliani</b:Last>
            <b:First>F.</b:First>
          </b:Person>
        </b:NameList>
      </b:Author>
    </b:Author>
    <b:RefOrder>3</b:RefOrder>
  </b:Source>
  <b:Source>
    <b:Tag>Div23</b:Tag>
    <b:SourceType>InternetSite</b:SourceType>
    <b:Guid>{39392B8C-2AAE-4D9D-B6E8-4EB6098A5C0B}</b:Guid>
    <b:Title>BP Plc</b:Title>
    <b:Year>2023</b:Year>
    <b:Author>
      <b:Author>
        <b:Corporate>Dividendmax LTD</b:Corporate>
      </b:Author>
    </b:Author>
    <b:YearAccessed>2023</b:YearAccessed>
    <b:MonthAccessed>05</b:MonthAccessed>
    <b:DayAccessed>02</b:DayAccessed>
    <b:URL>https://www.dividendmax.com/united-kingdom/london-stock-exchange/oil-and-gas-producers/bp-plc/dividends</b:URL>
    <b:RefOrder>4</b:RefOrder>
  </b:Source>
  <b:Source>
    <b:Tag>BPP231</b:Tag>
    <b:SourceType>InternetSite</b:SourceType>
    <b:Guid>{6719E51D-E174-4DC9-AB41-2BDF6CDA62DE}</b:Guid>
    <b:Author>
      <b:Author>
        <b:Corporate>BP Plc.</b:Corporate>
      </b:Author>
    </b:Author>
    <b:Title>Dividend Policy</b:Title>
    <b:Year>2023</b:Year>
    <b:YearAccessed>2023</b:YearAccessed>
    <b:MonthAccessed>05</b:MonthAccessed>
    <b:DayAccessed>02</b:DayAccessed>
    <b:URL>https://www.bp.com/en/global/corporate/investors/information-for-shareholders/dividends/dividend-policy.html</b:URL>
    <b:RefOrder>2</b:RefOrder>
  </b:Source>
  <b:Source>
    <b:Tag>Atr11</b:Tag>
    <b:SourceType>BookSection</b:SourceType>
    <b:Guid>{D4F9DAA4-D3B5-4737-9AF6-77794D1D6F32}</b:Guid>
    <b:Title>Internal Rate of Return</b:Title>
    <b:Year>2011</b:Year>
    <b:Author>
      <b:Author>
        <b:NameList>
          <b:Person>
            <b:Last>Atrill</b:Last>
            <b:First>Peter</b:First>
          </b:Person>
        </b:NameList>
      </b:Author>
      <b:Editor>
        <b:NameList>
          <b:Person>
            <b:Last>Edition</b:Last>
            <b:First>6th</b:First>
          </b:Person>
        </b:NameList>
      </b:Editor>
    </b:Author>
    <b:BookTitle>Financial Management for Decision Makers</b:BookTitle>
    <b:Pages>145-154</b:Pages>
    <b:City>Harlow</b:City>
    <b:Publisher>Financial Times Prentice Hall</b:Publisher>
    <b:RefOrder>6</b:RefOrder>
  </b:Source>
</b:Sources>
</file>

<file path=customXml/itemProps1.xml><?xml version="1.0" encoding="utf-8"?>
<ds:datastoreItem xmlns:ds="http://schemas.openxmlformats.org/officeDocument/2006/customXml" ds:itemID="{278E8A07-046F-43AA-B6DF-F13B8F465719}">
  <ds:schemaRefs>
    <ds:schemaRef ds:uri="http://schemas.microsoft.com/office/2006/metadata/properties"/>
    <ds:schemaRef ds:uri="http://schemas.microsoft.com/office/infopath/2007/PartnerControls"/>
    <ds:schemaRef ds:uri="1e817316-4aca-4b9e-ace6-40706940dca6"/>
  </ds:schemaRefs>
</ds:datastoreItem>
</file>

<file path=customXml/itemProps2.xml><?xml version="1.0" encoding="utf-8"?>
<ds:datastoreItem xmlns:ds="http://schemas.openxmlformats.org/officeDocument/2006/customXml" ds:itemID="{420791D6-42B0-46D4-9BE5-7BE6C30C249A}">
  <ds:schemaRefs>
    <ds:schemaRef ds:uri="http://schemas.microsoft.com/sharepoint/v3/contenttype/forms"/>
  </ds:schemaRefs>
</ds:datastoreItem>
</file>

<file path=customXml/itemProps3.xml><?xml version="1.0" encoding="utf-8"?>
<ds:datastoreItem xmlns:ds="http://schemas.openxmlformats.org/officeDocument/2006/customXml" ds:itemID="{F4E526BF-A919-4C1D-9DC3-813534C025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E57566-FE08-4DC7-8D10-475818F60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1824</Words>
  <Characters>10400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Gheorghe (2024473)</dc:creator>
  <cp:keywords/>
  <dc:description/>
  <cp:lastModifiedBy>Stefan Gheorghe (2024473)</cp:lastModifiedBy>
  <cp:revision>10</cp:revision>
  <dcterms:created xsi:type="dcterms:W3CDTF">2023-05-03T08:01:00Z</dcterms:created>
  <dcterms:modified xsi:type="dcterms:W3CDTF">2023-05-03T08:33:00Z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