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F86526">
      <w:pPr>
        <w:keepNext w:val="0"/>
        <w:keepLines w:val="0"/>
        <w:widowControl/>
        <w:suppressLineNumbers w:val="0"/>
        <w:spacing w:line="360" w:lineRule="auto"/>
        <w:jc w:val="center"/>
        <w:rPr>
          <w:rFonts w:hint="default" w:ascii="Times New Roman Bold" w:hAnsi="Times New Roman Bold" w:cs="Times New Roman Bold"/>
          <w:b/>
          <w:bCs/>
          <w:sz w:val="32"/>
          <w:szCs w:val="32"/>
        </w:rPr>
      </w:pPr>
      <w:r>
        <w:rPr>
          <w:rFonts w:hint="default" w:ascii="Times New Roman Bold" w:hAnsi="Times New Roman Bold" w:eastAsia="-webkit-standard" w:cs="Times New Roman Bold"/>
          <w:b/>
          <w:bCs/>
          <w:i w:val="0"/>
          <w:iCs w:val="0"/>
          <w:caps w:val="0"/>
          <w:color w:val="000000"/>
          <w:spacing w:val="0"/>
          <w:kern w:val="0"/>
          <w:sz w:val="32"/>
          <w:szCs w:val="32"/>
          <w:u w:val="none"/>
          <w:lang w:val="en-US" w:eastAsia="zh-CN" w:bidi="ar"/>
        </w:rPr>
        <w:t>A Strategic Marketing Plan for Greggs: Repositioning Through Healthier Product Innovation and Digital Engagement</w:t>
      </w:r>
    </w:p>
    <w:p w14:paraId="27890A81">
      <w:pPr>
        <w:autoSpaceDE w:val="0"/>
        <w:autoSpaceDN w:val="0"/>
        <w:adjustRightInd w:val="0"/>
        <w:spacing w:line="360" w:lineRule="auto"/>
        <w:ind w:firstLine="480" w:firstLineChars="200"/>
        <w:jc w:val="center"/>
        <w:rPr>
          <w:rFonts w:hint="default" w:ascii="Times New Roman Regular" w:hAnsi="Times New Roman Regular" w:eastAsia="Songti SC" w:cs="Times New Roman Regular"/>
          <w:color w:val="auto"/>
          <w:kern w:val="0"/>
          <w:sz w:val="24"/>
        </w:rPr>
      </w:pPr>
    </w:p>
    <w:p w14:paraId="11E65834">
      <w:pPr>
        <w:autoSpaceDE w:val="0"/>
        <w:autoSpaceDN w:val="0"/>
        <w:adjustRightInd w:val="0"/>
        <w:spacing w:line="360" w:lineRule="auto"/>
        <w:ind w:firstLine="480" w:firstLineChars="200"/>
        <w:jc w:val="center"/>
        <w:rPr>
          <w:rFonts w:hint="default" w:ascii="Times New Roman Regular" w:hAnsi="Times New Roman Regular" w:eastAsia="Songti SC" w:cs="Times New Roman Regular"/>
          <w:color w:val="auto"/>
          <w:kern w:val="0"/>
          <w:sz w:val="24"/>
        </w:rPr>
      </w:pPr>
      <w:bookmarkStart w:id="1" w:name="_GoBack"/>
      <w:bookmarkEnd w:id="1"/>
      <w:r>
        <w:rPr>
          <w:rFonts w:hint="default" w:ascii="Times New Roman Regular" w:hAnsi="Times New Roman Regular" w:eastAsia="Songti SC" w:cs="Times New Roman Regular"/>
          <w:color w:val="auto"/>
          <w:kern w:val="0"/>
          <w:sz w:val="24"/>
        </w:rPr>
        <w:drawing>
          <wp:inline distT="0" distB="0" distL="0" distR="0">
            <wp:extent cx="3039110" cy="2393315"/>
            <wp:effectExtent l="0" t="0" r="0" b="19685"/>
            <wp:docPr id="19634924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92467" name="图片 1"/>
                    <pic:cNvPicPr>
                      <a:picLocks noChangeAspect="1"/>
                    </pic:cNvPicPr>
                  </pic:nvPicPr>
                  <pic:blipFill>
                    <a:blip r:embed="rId4"/>
                    <a:stretch>
                      <a:fillRect/>
                    </a:stretch>
                  </pic:blipFill>
                  <pic:spPr>
                    <a:xfrm>
                      <a:off x="0" y="0"/>
                      <a:ext cx="3063700" cy="2413018"/>
                    </a:xfrm>
                    <a:prstGeom prst="rect">
                      <a:avLst/>
                    </a:prstGeom>
                  </pic:spPr>
                </pic:pic>
              </a:graphicData>
            </a:graphic>
          </wp:inline>
        </w:drawing>
      </w:r>
    </w:p>
    <w:p w14:paraId="3E1D6535">
      <w:pPr>
        <w:autoSpaceDE w:val="0"/>
        <w:autoSpaceDN w:val="0"/>
        <w:adjustRightInd w:val="0"/>
        <w:spacing w:line="360" w:lineRule="auto"/>
        <w:ind w:firstLine="480" w:firstLineChars="200"/>
        <w:jc w:val="center"/>
        <w:rPr>
          <w:rFonts w:hint="default" w:ascii="Times New Roman Regular" w:hAnsi="Times New Roman Regular" w:eastAsia="Songti SC" w:cs="Times New Roman Regular"/>
          <w:color w:val="auto"/>
          <w:kern w:val="0"/>
          <w:sz w:val="24"/>
        </w:rPr>
      </w:pPr>
      <w:r>
        <w:rPr>
          <w:rFonts w:hint="default" w:ascii="Times New Roman Regular" w:hAnsi="Times New Roman Regular" w:eastAsia="Songti SC" w:cs="Times New Roman Regular"/>
          <w:color w:val="auto"/>
          <w:kern w:val="0"/>
          <w:sz w:val="24"/>
        </w:rPr>
        <w:t>Student Name: Zedong Zhang</w:t>
      </w:r>
    </w:p>
    <w:p w14:paraId="74F19739">
      <w:pPr>
        <w:autoSpaceDE w:val="0"/>
        <w:autoSpaceDN w:val="0"/>
        <w:adjustRightInd w:val="0"/>
        <w:spacing w:line="360" w:lineRule="auto"/>
        <w:ind w:firstLine="480" w:firstLineChars="200"/>
        <w:jc w:val="center"/>
        <w:rPr>
          <w:rFonts w:hint="default" w:ascii="Times New Roman Regular" w:hAnsi="Times New Roman Regular" w:eastAsia="Songti SC" w:cs="Times New Roman Regular"/>
          <w:color w:val="auto"/>
          <w:kern w:val="0"/>
          <w:sz w:val="24"/>
        </w:rPr>
      </w:pPr>
      <w:r>
        <w:rPr>
          <w:rFonts w:hint="default" w:ascii="Times New Roman Regular" w:hAnsi="Times New Roman Regular" w:eastAsia="Songti SC" w:cs="Times New Roman Regular"/>
          <w:color w:val="auto"/>
          <w:kern w:val="0"/>
          <w:sz w:val="24"/>
        </w:rPr>
        <w:t>Student ID: 2500386</w:t>
      </w:r>
    </w:p>
    <w:p w14:paraId="39341C53">
      <w:pPr>
        <w:autoSpaceDE w:val="0"/>
        <w:autoSpaceDN w:val="0"/>
        <w:adjustRightInd w:val="0"/>
        <w:spacing w:line="360" w:lineRule="auto"/>
        <w:ind w:firstLine="480" w:firstLineChars="200"/>
        <w:jc w:val="center"/>
        <w:rPr>
          <w:rFonts w:hint="default" w:ascii="Times New Roman Regular" w:hAnsi="Times New Roman Regular" w:eastAsia="Songti SC" w:cs="Times New Roman Regular"/>
          <w:color w:val="auto"/>
          <w:kern w:val="0"/>
          <w:sz w:val="24"/>
        </w:rPr>
      </w:pPr>
      <w:r>
        <w:rPr>
          <w:rFonts w:hint="default" w:ascii="Times New Roman Regular" w:hAnsi="Times New Roman Regular" w:eastAsia="Songti SC" w:cs="Times New Roman Regular"/>
          <w:color w:val="auto"/>
          <w:kern w:val="0"/>
          <w:sz w:val="24"/>
        </w:rPr>
        <w:t>Course: Strategic Marketing</w:t>
      </w:r>
    </w:p>
    <w:p w14:paraId="0B30DC00">
      <w:pPr>
        <w:autoSpaceDE w:val="0"/>
        <w:autoSpaceDN w:val="0"/>
        <w:adjustRightInd w:val="0"/>
        <w:spacing w:line="360" w:lineRule="auto"/>
        <w:ind w:firstLine="480" w:firstLineChars="200"/>
        <w:jc w:val="center"/>
        <w:rPr>
          <w:rFonts w:hint="default" w:ascii="Times New Roman Regular" w:hAnsi="Times New Roman Regular" w:eastAsia="Songti SC" w:cs="Times New Roman Regular"/>
          <w:color w:val="auto"/>
          <w:kern w:val="0"/>
          <w:sz w:val="24"/>
        </w:rPr>
      </w:pPr>
      <w:r>
        <w:rPr>
          <w:rFonts w:hint="default" w:ascii="Times New Roman Regular" w:hAnsi="Times New Roman Regular" w:eastAsia="Songti SC" w:cs="Times New Roman Regular"/>
          <w:color w:val="auto"/>
          <w:kern w:val="0"/>
          <w:sz w:val="24"/>
        </w:rPr>
        <w:t>Course Code: BMBM6016</w:t>
      </w:r>
    </w:p>
    <w:p w14:paraId="32231B19">
      <w:pPr>
        <w:autoSpaceDE w:val="0"/>
        <w:autoSpaceDN w:val="0"/>
        <w:adjustRightInd w:val="0"/>
        <w:spacing w:line="360" w:lineRule="auto"/>
        <w:ind w:firstLine="480" w:firstLineChars="200"/>
        <w:jc w:val="center"/>
        <w:rPr>
          <w:rFonts w:hint="default" w:ascii="Times New Roman Regular" w:hAnsi="Times New Roman Regular" w:eastAsia="Songti SC" w:cs="Times New Roman Regular"/>
          <w:color w:val="auto"/>
          <w:kern w:val="0"/>
          <w:sz w:val="24"/>
        </w:rPr>
      </w:pPr>
      <w:r>
        <w:rPr>
          <w:rFonts w:hint="default" w:ascii="Times New Roman Regular" w:hAnsi="Times New Roman Regular" w:eastAsia="Songti SC" w:cs="Times New Roman Regular"/>
          <w:color w:val="auto"/>
          <w:kern w:val="0"/>
          <w:sz w:val="24"/>
        </w:rPr>
        <w:t>Lecturer Name: Gwyneth Jones</w:t>
      </w:r>
    </w:p>
    <w:p w14:paraId="7F1038EE">
      <w:pPr>
        <w:autoSpaceDE w:val="0"/>
        <w:autoSpaceDN w:val="0"/>
        <w:adjustRightInd w:val="0"/>
        <w:spacing w:line="360" w:lineRule="auto"/>
        <w:ind w:firstLine="480" w:firstLineChars="200"/>
        <w:jc w:val="center"/>
        <w:rPr>
          <w:rFonts w:hint="default" w:ascii="Times New Roman Regular" w:hAnsi="Times New Roman Regular" w:eastAsia="Songti SC" w:cs="Times New Roman Regular"/>
          <w:color w:val="auto"/>
          <w:kern w:val="0"/>
          <w:sz w:val="24"/>
        </w:rPr>
      </w:pPr>
      <w:r>
        <w:rPr>
          <w:rFonts w:hint="default" w:ascii="Times New Roman Regular" w:hAnsi="Times New Roman Regular" w:eastAsia="Songti SC" w:cs="Times New Roman Regular"/>
          <w:color w:val="auto"/>
          <w:kern w:val="0"/>
          <w:sz w:val="24"/>
        </w:rPr>
        <w:t xml:space="preserve">Date of Submission: </w:t>
      </w:r>
      <w:r>
        <w:rPr>
          <w:rFonts w:hint="default" w:ascii="Times New Roman Regular" w:hAnsi="Times New Roman Regular" w:eastAsia="Songti SC" w:cs="Times New Roman Regular"/>
          <w:color w:val="auto"/>
          <w:kern w:val="0"/>
          <w:sz w:val="24"/>
          <w:lang w:val="en-US" w:eastAsia="zh-CN"/>
        </w:rPr>
        <w:t>08</w:t>
      </w:r>
      <w:r>
        <w:rPr>
          <w:rFonts w:hint="default" w:ascii="Times New Roman Regular" w:hAnsi="Times New Roman Regular" w:eastAsia="Songti SC" w:cs="Times New Roman Regular"/>
          <w:color w:val="auto"/>
          <w:kern w:val="0"/>
          <w:sz w:val="24"/>
        </w:rPr>
        <w:t>/0</w:t>
      </w:r>
      <w:r>
        <w:rPr>
          <w:rFonts w:hint="default" w:ascii="Times New Roman Regular" w:hAnsi="Times New Roman Regular" w:eastAsia="Songti SC" w:cs="Times New Roman Regular"/>
          <w:color w:val="auto"/>
          <w:kern w:val="0"/>
          <w:sz w:val="24"/>
          <w:lang w:val="en-US" w:eastAsia="zh-CN"/>
        </w:rPr>
        <w:t>5</w:t>
      </w:r>
      <w:r>
        <w:rPr>
          <w:rFonts w:hint="default" w:ascii="Times New Roman Regular" w:hAnsi="Times New Roman Regular" w:eastAsia="Songti SC" w:cs="Times New Roman Regular"/>
          <w:color w:val="auto"/>
          <w:kern w:val="0"/>
          <w:sz w:val="24"/>
        </w:rPr>
        <w:t>/2026</w:t>
      </w:r>
    </w:p>
    <w:p w14:paraId="126DA289">
      <w:pPr>
        <w:widowControl/>
        <w:spacing w:line="360" w:lineRule="auto"/>
        <w:ind w:firstLine="200"/>
        <w:rPr>
          <w:rFonts w:hint="default" w:ascii="Times New Roman Regular" w:hAnsi="Times New Roman Regular" w:eastAsia="Songti SC" w:cs="Times New Roman Regular"/>
          <w:color w:val="auto"/>
          <w:kern w:val="0"/>
          <w:sz w:val="24"/>
        </w:rPr>
      </w:pPr>
      <w:r>
        <w:rPr>
          <w:rFonts w:hint="default" w:ascii="Times New Roman Regular" w:hAnsi="Times New Roman Regular" w:eastAsia="Songti SC" w:cs="Times New Roman Regular"/>
          <w:color w:val="auto"/>
          <w:kern w:val="0"/>
          <w:sz w:val="24"/>
        </w:rPr>
        <w:br w:type="page"/>
      </w:r>
    </w:p>
    <w:p w14:paraId="535F768E">
      <w:pPr>
        <w:spacing w:line="360" w:lineRule="auto"/>
        <w:rPr>
          <w:rFonts w:hint="default" w:ascii="Times New Roman Regular" w:hAnsi="Times New Roman Regular" w:cs="Times New Roman Regular"/>
          <w:color w:val="auto"/>
          <w:sz w:val="24"/>
          <w:lang w:val="en-US" w:eastAsia="zh-CN"/>
        </w:rPr>
      </w:pPr>
      <w:bookmarkStart w:id="0" w:name="_Toc224529963"/>
      <w:r>
        <w:rPr>
          <w:rFonts w:hint="default" w:ascii="Times New Roman Regular" w:hAnsi="Times New Roman Regular" w:cs="Times New Roman Regular"/>
          <w:color w:val="auto"/>
          <w:sz w:val="24"/>
          <w:lang w:val="en-US" w:eastAsia="zh-CN"/>
        </w:rPr>
        <w:t>1.0 Situation Analysis</w:t>
      </w:r>
    </w:p>
    <w:p w14:paraId="6E41B542">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1.1 Background</w:t>
      </w:r>
    </w:p>
    <w:p w14:paraId="18E552DE">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UK fast-food industry is facing an increasing pressure from health policies, changing consumer expectations and strong market competition. While Greggs has a strong brand awareness and available all over the UK, the long run growth could be affected by the changing attitude towards a healthier eating and the increasing competition from brands with more healthy menus available.</w:t>
      </w:r>
    </w:p>
    <w:p w14:paraId="7CFF5E45">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Health concerns are also becoming more important within the UK food sector. The Soft Drinks Industry Levy (SDIL) of the UK government has increased the pressure on the food business to reduce the sugar consumption and increase the nutritional transparency (UK Government, 2024). The sugar tax has pushed the public to be aware of the problem of obesity and the unhealthy diets, and thus the fast food companies have to think about the products development strategies, the healthier menus (Tsakos, 2025).</w:t>
      </w:r>
    </w:p>
    <w:p w14:paraId="6DDA38EE">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At the same time, consumer behaviour is changing a lot. Modern consumer is increasingly looking for food that is convenient, cheap and at the same time has a healthier nutritional value. It is showed that the busy lifestyles keep on increasing the demand of food-away-from-home consumption and the cost of living crisis in UK has increased the demand for cheap meal (Binkley, 2006; Dorling, 2024). Greggs has gain from this at value pricing strategy and also with its extensive takeaway network. Sales growth was supported by strong demand for food-on-the-go products and digital ordering channels (Greggs plc, 2024).</w:t>
      </w:r>
    </w:p>
    <w:p w14:paraId="30F163C0">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Nevertheless, Greggs still has a number of strategic issues. At the moment its core menu is still too reliant on the baked goods of the type of sausage roll, pastries and sweet things, that are taken as high in carbohydrate and high in fat. At the same time, competitors like McDonald’s, Pret A Manger and also the meal deals in supermarkets are also widening the offer of healthier and lower calorie things. McDonald’s UK for instance has spent a lot of money on the labelling of calories, the offer of vegans products and also the initiative to reformulation of the menu (McDonald’s UK, 2025).</w:t>
      </w:r>
    </w:p>
    <w:p w14:paraId="309BE1E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There are also significant opportunities for Greggs. For example, demand for plant-based and healthier food is still growing very fast (Aschemann-Witzel et al., 2020), and digital ordering and delivery is a new opportunity for product promotion and customers (Liu, 2025).</w:t>
      </w:r>
    </w:p>
    <w:p w14:paraId="2699BEB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2.0 Objectives</w:t>
      </w:r>
    </w:p>
    <w:p w14:paraId="0B3B034B">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With the UK fast-food market facing changing consumer preferences and increasing health awareness, this marketing plan seeks to respond to this by strengthening Greggs’ healthy product positioning with the help of SMART objectives which are measurable and achievable (Doran, 1981; Bjerke and Renger, 2017).</w:t>
      </w:r>
    </w:p>
    <w:p w14:paraId="7F1B93C6">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main marketing objective is the sales revenue from the Greggs’ healthier and plant based product range to be 15% higher in 12 months by means of menu innovation, digital promotion and more healthy meal options (Kilani, Y. M.,2021). This objective is seen as achievable as Greggs already has a good brand recognition in a nationwide base, a lot of stores and has experience of successful products such as the Vegan Sausage Roll (Greggs plc, 2024).</w:t>
      </w:r>
    </w:p>
    <w:p w14:paraId="077B94DC">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A second objective is to improve consumer perception of Greggs as a “healthier fast-food brand” by 20% within one year, measured through customer surveys, mobile app feedback, and social media engagement analytics. This objective is in line with the market issue we currently have that Greggs is still a brand of the traditional high calory bakery products.</w:t>
      </w:r>
    </w:p>
    <w:p w14:paraId="675AD5C7">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Furthermore, Greggs also hopes that in 12 months, by using promotions on delivery platforms and on its mobile application, can increase the digital sales of the healthier menu items by 25%. Liu (2025) points out that digitization transformation and online communication are becoming more and more important in the post pandemic fast food industry.</w:t>
      </w:r>
    </w:p>
    <w:p w14:paraId="45E4F6E9">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These objectives are strategically relevant because they promote long term competitiveness, also address a pressure from the health of the government and correspond to the increasing demand of a healthier and a plant based fast-food consumption (Aschemann-Witzel et al., 2020).</w:t>
      </w:r>
    </w:p>
    <w:p w14:paraId="278F591C">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3.0 Strategy (STP)</w:t>
      </w:r>
    </w:p>
    <w:p w14:paraId="7DE98EFD">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3.1 Segmentation</w:t>
      </w:r>
    </w:p>
    <w:p w14:paraId="3282ED58">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UK fast-food market can also be segmented, according to the demographic, behavioural and lifestyle factors. First, the segment of younger consumers, more specifically, students and early career employee, is an important segment because they are the ones who buy lots of food-on-the-go products that are cheap. The position of the company is very good in this type of market, because of the strong presence of Greggs in transport hubs, high streets, and city centres (Greggs plc, 2024).</w:t>
      </w:r>
    </w:p>
    <w:p w14:paraId="25CFFDB3">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Second, healthy consumers are becoming more important as there is more and more awareness on the issue of obesity, calorie intake and healthy lives. A third segment includes digital and delivery-platform users. Post-pandemic consumer behaviour has also led to more reliance on mobile ordering, takeaway applications and delivery platforms such as Uber Eats and Just Eat (Liu , 2025). Greggs’ digital expansion therefore offers the possibility to advertise healthier menu items also directly through the digital (Chaffey and Ellis-Chadwick, 2019).</w:t>
      </w:r>
    </w:p>
    <w:p w14:paraId="6D81C67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3.2 Targeting</w:t>
      </w:r>
    </w:p>
    <w:p w14:paraId="2D678819">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main target market of this marketing plan is the urban young professionals of about 20-35. These people have busy working life style, do not have much time to prepare their meals and have increasing health aware. Binkley (2006) points out that consumers who has a busy schedule are more likely to buy food-away-from-home convenient products. Nevertheless, in contrast to regular fast-food consumer, this segment has an increasing taste of calorie transparency and health conscious ingredients and balanced meal.</w:t>
      </w:r>
    </w:p>
    <w:p w14:paraId="4CAA725B">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This target group is also attractive to target because it is a group with high purchase frequency, with an increasing interest for healthier convenience food. Additionally, urban professionals are well involved with digital ordering platform and social media marketing, which favour Greggs planned digital promotion strategy(Chaffey and Ellis-Chadwick, 2019)</w:t>
      </w:r>
    </w:p>
    <w:p w14:paraId="714DFC6B">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w:t>
      </w:r>
    </w:p>
    <w:p w14:paraId="28BAF919">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3.3 Positioning</w:t>
      </w:r>
    </w:p>
    <w:p w14:paraId="32593BDC">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Greggs will position itself as“A convenient, affordable and healthier alternative to traditional fast food.” The aim of this positioning strategy is to put Greggs at a different place from the premium healthy brands like Pret A Manger and also from the fast food that is principally focussed on the indulgence. Good positioning has to provide for customer value and competitive differentiating (Fahy and Jobber, 2015) and help to build long term in consumer perception and association (Aaker, 2015). The combination of affordability, convenience and healthier innovation of Greggs makes a distinctive positioning in the UK fast food.</w:t>
      </w:r>
    </w:p>
    <w:p w14:paraId="087D3725">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4.0 Tactics (7Ps)</w:t>
      </w:r>
    </w:p>
    <w:p w14:paraId="2894019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4.1 Product</w:t>
      </w:r>
    </w:p>
    <w:p w14:paraId="00F3221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Product strategy is central to the marketing plan because Greggs’ current menu is still strongly associated with high-calorie bakery products. In order to cater for changing consumer preferences, Greggs should expand a dedicated product line of healthier products, which is focused on lower fat, higher protein and plant-based products. Some examples of products that could be proposed are a low fat sausage roll, high protein breakfast wraps, reduced sugar snack options and some healthier lunch combinations.</w:t>
      </w:r>
    </w:p>
    <w:p w14:paraId="6A45798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Competitors such as McDonald’s UK have already expanded healthier and vegan menu ranges through products such as the McPlant burger and calorie controlled meal options (McDonald’s UK, 2025). Plant-based development should remain a major priority because demand for vegan and clean label food continues to increase in the UK market (Aschemann-Witzel et al., 2020). Greggs therefore needs continuous product innovation to remain competitive.</w:t>
      </w:r>
    </w:p>
    <w:p w14:paraId="2974349E">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Across packaging, menu boards, kiosks and digital ordering systems, clear nutritional labelling should also be introduced. For instance, in the UK, consumers would value more transparent food packaging and more information about the sustainability of the food they were eating (Norton et al., 2022). Calorie counts, protein counts, and lower fat labels could be displayed so that the consumer knows what they are getting with the food and so help them make choices and help Greggs to be a healthier brand.</w:t>
      </w:r>
    </w:p>
    <w:p w14:paraId="26B562A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4.2 Price</w:t>
      </w:r>
    </w:p>
    <w:p w14:paraId="2BC8DB2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Greggs should keep its value-for-money positioning and also help to encourage trial of the healthier products. For example, the use of psychological pricing of healthy meal deals such as being priced at either £2.99 or £3.49 will improve the affordability perception and thus purchase intention. It is also recommended that the initial use of the promotional pricing and bundle discounts for the launch period should be used in order to reduce the resistance of the customers and to encourage the switching behaviour (Liu, 2025). Compared with premium competitors such as Pret A Manger, Greggs’ lower pricing is also a major competitive advantage during the UK cost-of-living crisis (Dorling, 2024). Thus, affordable healthier products would therefore strengthen Greggs’ positioning as accessible healthy convenience food.</w:t>
      </w:r>
    </w:p>
    <w:p w14:paraId="7F09AD8C">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4.3 Place</w:t>
      </w:r>
    </w:p>
    <w:p w14:paraId="4C3AC46D">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Greggs should keep on combining physical store accessability with digital distribution channels. In fact, the huge number of stores in the UK is already a good competitive coverage in the transport hubs, city centres and high streets (Greggs plc, 2024). Healthier products have to be placed in the front of the entrances, close to the refrigerated displays and at the breakfast counters.</w:t>
      </w:r>
    </w:p>
    <w:p w14:paraId="01B0F7DC">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Digital channels are equally important. Healthier menu items should receive priority placement on the Greggs app and delivery platforms such as Uber Eats and Just Eat. Algorithm based recommendations could encourage customers purchasing traditional items to add healthier drinks or snacks to there orders.</w:t>
      </w:r>
    </w:p>
    <w:p w14:paraId="432DD922">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4.4 Promotion</w:t>
      </w:r>
    </w:p>
    <w:p w14:paraId="2C3F704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Because Greggs must change consumer perception from a traditional bakery chain to a healthier convenience food brand, promotion represents a critical element of the strategy. Social media marketing through TikTok and Instagram should therefore become a major promotional focus targeting younger urban consumers.</w:t>
      </w:r>
    </w:p>
    <w:p w14:paraId="79AF235E">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short form content could show the calorie controlled meals, protein breakfast, and better lunch combination. Use of influencers for fitness creator and lifestyle blog could also add more credibility to health conscious consumers. For example, McDonald’s UK use the behavioural "nudging" trick, by showing healthier options in a more prominent place on the ordering screens, which increased their purchases of the lower calorie product (McDonald’s UK, 2025). Greggs could do the same, for example show healthier meals first on the kiosk and app.</w:t>
      </w:r>
    </w:p>
    <w:p w14:paraId="788019F9">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Interactive digital campaigns should also be implemented. For instance, customers could be able to gain loyalty points when buying healthier menu items from the Greggs app. The interaction of the customer and the digital use is also very important for the post pandemic food sector to maintain the brand relationship in the long term (Liu, 2025).</w:t>
      </w:r>
    </w:p>
    <w:p w14:paraId="5EE4ECCF">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4.5 People</w:t>
      </w:r>
    </w:p>
    <w:p w14:paraId="7DF06268">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Employees are important in delivering the healthier brand strategy. The staff training programmes should train the employees on new healthy products, nutritional features, and how to recommend to customers. Frontline employees should suggest healthier add-on like low-sugar drink or high protein breakfast in their interaction with customers. The service employees are very important in the customer experience and in the image of the brand in the retail and food-service industries (Fahy and Jobber, 2015). In the case of Greggs, a consistent communication of the employee would also increase the conviction of the healthier positioning.</w:t>
      </w:r>
    </w:p>
    <w:p w14:paraId="7CFA4F07">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4.6 Process</w:t>
      </w:r>
    </w:p>
    <w:p w14:paraId="672E86F6">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Because convenience is also a competitive advantage for Greggs, the efficient service processes still are needed. Self service kiosk, mobile ordering, and also contactless payment should be continued to be expanded to decrease the waiting time.</w:t>
      </w:r>
    </w:p>
    <w:p w14:paraId="5BBED836">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Fast and convenient digital processes support changing consumer lifestyles and strengthen customer retention (Liu, 2025). Digital ordering interfaces should also simplify healthy product discovery: it should contain dedicated “Healthy Choices” sections and be able to give personalised recommendations on the basis of the customer previous purchase.</w:t>
      </w:r>
    </w:p>
    <w:p w14:paraId="644E192A">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4.7 Physical Evidence</w:t>
      </w:r>
    </w:p>
    <w:p w14:paraId="099614F3">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Physical evidence should support Greggs’ healthier and more sustainable brand image. In terms of packaging design, there should be green visual elements, nutritional icons and sustainability messaging in the packaging to communicate to their more clearly healthier product values (Norton et al., 2022. The in-store visual displays should also show the healthier menu ranges with clean and modern design. This is expected to show the healthier products apart from the traditional bakery in Greggs and will reflect the overall brand repositioning.</w:t>
      </w:r>
    </w:p>
    <w:p w14:paraId="4555F3B2">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5.0 Action</w:t>
      </w:r>
    </w:p>
    <w:p w14:paraId="0C66A371">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We will implement the implementation of the healthier product strategy in three stages in 12 months, in order to coordinate the work well, to be operational and to be able to see the performance.</w:t>
      </w:r>
    </w:p>
    <w:p w14:paraId="13F34D67">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Phase 1: Product Development (0–3 Months)</w:t>
      </w:r>
    </w:p>
    <w:p w14:paraId="6216C82C">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In the first stage, the product development team will be working to design and test the healthier menu items, such as the low fat sausage roll, the high protein breakfast products and the plant based alternative. Also, during the first stage the nutritional reformulation and the calorie analysis of the products will be done, in order to comply with the UK health expectations and with the need of the consumer to see transparently the products (Tsakos, 2025). Also, during the first stage it will be completed the redesign of the packaging and the development of the nutritional labelling.</w:t>
      </w:r>
    </w:p>
    <w:p w14:paraId="2BF563CB">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marketing team will also do the customer research and digital testing to find out what the right promotional messages and pricing is. This pilot testing will happen in selected urban stores so that Greggs can see what the customers are thinking before going nationwide.</w:t>
      </w:r>
    </w:p>
    <w:p w14:paraId="7EE1F7B2">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Phase 2: Launch and Promotion (3–6 Months)</w:t>
      </w:r>
    </w:p>
    <w:p w14:paraId="25DD5A6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second stage will be the market launch and promotional activities. Healthier products will be launched in the stores, in the Greggs app and in the Uber Eats and Just Eat. The marketing team will be creating the social media campaigns through TikTok and Instagram, with influencer and digital advertisement to reach the younger urban consumers.</w:t>
      </w:r>
    </w:p>
    <w:p w14:paraId="7392B61D">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Phase 3: Expansion and Optimisation (6–12 Months)</w:t>
      </w:r>
    </w:p>
    <w:p w14:paraId="2B1A7675">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In the last stage, Greggs will increase the availability of the healthier products in the whole nation according to the sales and the customer feedback. The product team will keep improving the menu items and the marketing team will keep checking the consumer engagement, the use of the loyalty app and the performance of sales in the web to support the improvement (Liu, 2025).</w:t>
      </w:r>
    </w:p>
    <w:p w14:paraId="329CA30D">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6.0 Control (KPI)</w:t>
      </w:r>
    </w:p>
    <w:p w14:paraId="6E73D618">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It is also crucial to have effective monitoring and performance measurement so that we can be sure that our marketing plan has achieved the strategic aims which it was put together for. Greggs must have clear quantitative Key Performance Indicators (KPIs) in place relating to sales growth, brand perception and digital engagement.</w:t>
      </w:r>
    </w:p>
    <w:p w14:paraId="387A8284">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first KPI will measure sales performance of healthier products. Monthly sales of the products from the stores, the delivery platforms and the Greggs app should be analysed in order to see what is being purchased and what are the customers preferences. Greggs should try to have healthier menu items that at least contribute 15% of the total selected product sales in 12 months.</w:t>
      </w:r>
    </w:p>
    <w:p w14:paraId="4A12B7E3">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The second KPI is about improvement of brand perception. Customer surveys and app based feedback system should measure if the consumers are increasing to see Greggs as healthier fast food choice. The target is to increase the positive of the KPI healthy brand perception by 20% in one year. It is important because at the moment Greggs is still strongly associated with bakery products.</w:t>
      </w:r>
    </w:p>
    <w:p w14:paraId="5AE643BC">
      <w:pPr>
        <w:spacing w:line="360" w:lineRule="auto"/>
        <w:rPr>
          <w:rFonts w:hint="default" w:ascii="Times New Roman Regular" w:hAnsi="Times New Roman Regular" w:cs="Times New Roman Regular"/>
          <w:color w:val="auto"/>
          <w:sz w:val="24"/>
          <w:lang w:val="en-US" w:eastAsia="zh-CN"/>
        </w:rPr>
      </w:pPr>
      <w:r>
        <w:rPr>
          <w:rFonts w:hint="default" w:ascii="Times New Roman Regular" w:hAnsi="Times New Roman Regular" w:cs="Times New Roman Regular"/>
          <w:color w:val="auto"/>
          <w:sz w:val="24"/>
          <w:lang w:val="en-US" w:eastAsia="zh-CN"/>
        </w:rPr>
        <w:t xml:space="preserve"> Digital performance indicators should also be kept under watch. Greggs should aim to grow the proportion of app orders containing healthier menu items by 25% and increase social media engagement rates in the various TikTok and Instagram campaigns. Click-through rates, the proportion of apployalty that participates in the campaign and the level of the customer interaction will be good indicators of the campaigns (Liu, 2025).</w:t>
      </w:r>
    </w:p>
    <w:p w14:paraId="1A32B674">
      <w:pPr>
        <w:spacing w:line="360" w:lineRule="auto"/>
        <w:rPr>
          <w:rFonts w:hint="default" w:ascii="Times New Roman Regular" w:hAnsi="Times New Roman Regular" w:cs="Times New Roman Regular"/>
          <w:b/>
          <w:color w:val="auto"/>
          <w:sz w:val="28"/>
          <w:szCs w:val="28"/>
        </w:rPr>
      </w:pPr>
      <w:r>
        <w:rPr>
          <w:rFonts w:hint="default" w:ascii="Times New Roman Regular" w:hAnsi="Times New Roman Regular" w:cs="Times New Roman Regular"/>
          <w:color w:val="auto"/>
          <w:sz w:val="24"/>
          <w:lang w:val="en-US" w:eastAsia="zh-CN"/>
        </w:rPr>
        <w:t xml:space="preserve"> Operational KPIs should also monitor customer satisfaction, average transaction value, and repeat purchase behaviour for healthier products. The continuous monitoring will help Greggs to alter its strategy for the basis of the consumer feedback and the market. Liu (2025) states that data driven decision and the continuous improvement are becoming more important in the nowadays food-service marketing strategies.</w:t>
      </w:r>
      <w:r>
        <w:rPr>
          <w:rFonts w:hint="default" w:ascii="Times New Roman Regular" w:hAnsi="Times New Roman Regular" w:cs="Times New Roman Regular"/>
          <w:b/>
          <w:color w:val="auto"/>
          <w:sz w:val="28"/>
          <w:szCs w:val="28"/>
        </w:rPr>
        <w:br w:type="page"/>
      </w:r>
    </w:p>
    <w:p w14:paraId="24ECC044">
      <w:pPr>
        <w:spacing w:line="360" w:lineRule="auto"/>
        <w:outlineLvl w:val="0"/>
        <w:rPr>
          <w:rFonts w:hint="default" w:ascii="Times New Roman Regular" w:hAnsi="Times New Roman Regular" w:cs="Times New Roman Regular"/>
          <w:b/>
          <w:color w:val="auto"/>
          <w:sz w:val="28"/>
          <w:szCs w:val="28"/>
        </w:rPr>
      </w:pPr>
      <w:r>
        <w:rPr>
          <w:rFonts w:hint="default" w:ascii="Times New Roman Regular" w:hAnsi="Times New Roman Regular" w:cs="Times New Roman Regular"/>
          <w:b/>
          <w:color w:val="auto"/>
          <w:sz w:val="28"/>
          <w:szCs w:val="28"/>
        </w:rPr>
        <w:t>8.0 References</w:t>
      </w:r>
      <w:bookmarkEnd w:id="0"/>
    </w:p>
    <w:p w14:paraId="29FCC850">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Aaker, D. (2015) ‘Brand personalities are like snowflakes’, </w:t>
      </w:r>
      <w:r>
        <w:rPr>
          <w:rFonts w:hint="default" w:ascii="Times New Roman Regular" w:hAnsi="Times New Roman Regular" w:cs="Times New Roman Regular"/>
          <w:i/>
          <w:color w:val="auto"/>
          <w:sz w:val="24"/>
        </w:rPr>
        <w:t>Marketing News</w:t>
      </w:r>
      <w:r>
        <w:rPr>
          <w:rFonts w:hint="default" w:ascii="Times New Roman Regular" w:hAnsi="Times New Roman Regular" w:cs="Times New Roman Regular"/>
          <w:color w:val="auto"/>
          <w:sz w:val="24"/>
        </w:rPr>
        <w:t>, 49(7), pp. 20–21.</w:t>
      </w:r>
    </w:p>
    <w:p w14:paraId="338B497B">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Aschemann-Witzel, J., Gantriis, R., Fraga, P. and Perez-Cueto, F. (2020) ‘Plant-based food and protein trend from a business perspective: markets, consumers, and the challenges and opportunities in the future’,</w:t>
      </w:r>
      <w:r>
        <w:rPr>
          <w:rFonts w:hint="default" w:ascii="Times New Roman Regular" w:hAnsi="Times New Roman Regular" w:cs="Times New Roman Regular"/>
          <w:i/>
          <w:color w:val="auto"/>
          <w:sz w:val="24"/>
        </w:rPr>
        <w:t xml:space="preserve"> Critical Reviews in Food Science and Nutrition</w:t>
      </w:r>
      <w:r>
        <w:rPr>
          <w:rFonts w:hint="default" w:ascii="Times New Roman Regular" w:hAnsi="Times New Roman Regular" w:cs="Times New Roman Regular"/>
          <w:color w:val="auto"/>
          <w:sz w:val="24"/>
        </w:rPr>
        <w:t>, 61(1), pp. 1–10. doi:10.1080/10408398.2020.1793730.</w:t>
      </w:r>
    </w:p>
    <w:p w14:paraId="08CCC110">
      <w:pPr>
        <w:pStyle w:val="9"/>
        <w:keepNext w:val="0"/>
        <w:keepLines w:val="0"/>
        <w:widowControl/>
        <w:suppressLineNumbers w:val="0"/>
        <w:spacing w:line="360" w:lineRule="auto"/>
        <w:ind w:left="0" w:firstLine="0"/>
        <w:rPr>
          <w:rFonts w:hint="default" w:ascii="Times New Roman Regular" w:hAnsi="Times New Roman Regular" w:cs="Times New Roman Regular"/>
          <w:i w:val="0"/>
          <w:iCs w:val="0"/>
          <w:caps w:val="0"/>
          <w:color w:val="auto"/>
          <w:spacing w:val="0"/>
          <w:u w:val="none"/>
        </w:rPr>
      </w:pPr>
      <w:r>
        <w:rPr>
          <w:rFonts w:hint="default" w:ascii="Times New Roman Regular" w:hAnsi="Times New Roman Regular" w:cs="Times New Roman Regular"/>
          <w:i w:val="0"/>
          <w:iCs w:val="0"/>
          <w:caps w:val="0"/>
          <w:color w:val="auto"/>
          <w:spacing w:val="0"/>
          <w:u w:val="none"/>
        </w:rPr>
        <w:t>Binkley, J.K. (2006) ‘The effect of demographic, economic, and nutrition factors on the frequency of food away from home’, </w:t>
      </w:r>
      <w:r>
        <w:rPr>
          <w:rStyle w:val="13"/>
          <w:rFonts w:hint="default" w:ascii="Times New Roman Regular" w:hAnsi="Times New Roman Regular" w:cs="Times New Roman Regular"/>
          <w:i/>
          <w:iCs/>
          <w:caps w:val="0"/>
          <w:color w:val="auto"/>
          <w:spacing w:val="0"/>
          <w:u w:val="none"/>
        </w:rPr>
        <w:t>Journal of Consumer Affairs</w:t>
      </w:r>
      <w:r>
        <w:rPr>
          <w:rFonts w:hint="default" w:ascii="Times New Roman Regular" w:hAnsi="Times New Roman Regular" w:cs="Times New Roman Regular"/>
          <w:i w:val="0"/>
          <w:iCs w:val="0"/>
          <w:caps w:val="0"/>
          <w:color w:val="auto"/>
          <w:spacing w:val="0"/>
          <w:u w:val="none"/>
        </w:rPr>
        <w:t>, 40(2), pp. 372–391.</w:t>
      </w:r>
    </w:p>
    <w:p w14:paraId="1EE8602E">
      <w:pPr>
        <w:pStyle w:val="9"/>
        <w:keepNext w:val="0"/>
        <w:keepLines w:val="0"/>
        <w:widowControl/>
        <w:suppressLineNumbers w:val="0"/>
        <w:spacing w:line="360" w:lineRule="auto"/>
        <w:ind w:left="0" w:firstLine="0"/>
        <w:rPr>
          <w:rFonts w:hint="default" w:ascii="Times New Roman Regular" w:hAnsi="Times New Roman Regular" w:cs="Times New Roman Regular"/>
          <w:i w:val="0"/>
          <w:iCs w:val="0"/>
          <w:caps w:val="0"/>
          <w:color w:val="auto"/>
          <w:spacing w:val="0"/>
          <w:u w:val="none"/>
        </w:rPr>
      </w:pPr>
      <w:r>
        <w:rPr>
          <w:rFonts w:hint="default" w:ascii="Times New Roman Regular" w:hAnsi="Times New Roman Regular" w:cs="Times New Roman Regular"/>
          <w:i w:val="0"/>
          <w:iCs w:val="0"/>
          <w:caps w:val="0"/>
          <w:color w:val="auto"/>
          <w:spacing w:val="0"/>
          <w:u w:val="none"/>
        </w:rPr>
        <w:t>Bjerke, M.B. and Renger, R. (2017) ‘Being smart about writing SMART objectives’, </w:t>
      </w:r>
      <w:r>
        <w:rPr>
          <w:rStyle w:val="13"/>
          <w:rFonts w:hint="default" w:ascii="Times New Roman Regular" w:hAnsi="Times New Roman Regular" w:cs="Times New Roman Regular"/>
          <w:i/>
          <w:iCs/>
          <w:caps w:val="0"/>
          <w:color w:val="auto"/>
          <w:spacing w:val="0"/>
          <w:u w:val="none"/>
        </w:rPr>
        <w:t>Evaluation and Program Planning</w:t>
      </w:r>
      <w:r>
        <w:rPr>
          <w:rFonts w:hint="default" w:ascii="Times New Roman Regular" w:hAnsi="Times New Roman Regular" w:cs="Times New Roman Regular"/>
          <w:i w:val="0"/>
          <w:iCs w:val="0"/>
          <w:caps w:val="0"/>
          <w:color w:val="auto"/>
          <w:spacing w:val="0"/>
          <w:u w:val="none"/>
        </w:rPr>
        <w:t>, 61, pp. 125–127.</w:t>
      </w:r>
    </w:p>
    <w:p w14:paraId="6829BF07">
      <w:pPr>
        <w:keepNext w:val="0"/>
        <w:keepLines w:val="0"/>
        <w:widowControl/>
        <w:suppressLineNumbers w:val="0"/>
        <w:spacing w:line="360" w:lineRule="auto"/>
        <w:jc w:val="left"/>
        <w:rPr>
          <w:rFonts w:hint="default" w:ascii="Times New Roman Regular" w:hAnsi="Times New Roman Regular" w:cs="Times New Roman Regular"/>
          <w:color w:val="auto"/>
        </w:rPr>
      </w:pPr>
      <w:r>
        <w:rPr>
          <w:rFonts w:hint="default" w:ascii="Times New Roman Regular" w:hAnsi="Times New Roman Regular" w:eastAsia="-webkit-standard" w:cs="Times New Roman Regular"/>
          <w:i w:val="0"/>
          <w:iCs w:val="0"/>
          <w:caps w:val="0"/>
          <w:color w:val="auto"/>
          <w:spacing w:val="0"/>
          <w:kern w:val="0"/>
          <w:sz w:val="27"/>
          <w:szCs w:val="27"/>
          <w:u w:val="none"/>
          <w:lang w:val="en-US" w:eastAsia="zh-CN" w:bidi="ar"/>
        </w:rPr>
        <w:t>Chaffey, D. and Ellis-Chadwick, F. (2019)</w:t>
      </w:r>
      <w:r>
        <w:rPr>
          <w:rFonts w:hint="default" w:ascii="Times New Roman Regular" w:hAnsi="Times New Roman Regular" w:eastAsia="-webkit-standard" w:cs="Times New Roman Regular"/>
          <w:i w:val="0"/>
          <w:iCs w:val="0"/>
          <w:caps w:val="0"/>
          <w:color w:val="auto"/>
          <w:spacing w:val="0"/>
          <w:kern w:val="0"/>
          <w:sz w:val="27"/>
          <w:szCs w:val="27"/>
          <w:u w:val="none"/>
          <w:lang w:val="en-US" w:eastAsia="zh-CN" w:bidi="ar"/>
        </w:rPr>
        <w:t> </w:t>
      </w:r>
      <w:r>
        <w:rPr>
          <w:rStyle w:val="13"/>
          <w:rFonts w:hint="default" w:ascii="Times New Roman Regular" w:hAnsi="Times New Roman Regular" w:eastAsia="宋体" w:cs="Times New Roman Regular"/>
          <w:caps w:val="0"/>
          <w:color w:val="auto"/>
          <w:spacing w:val="0"/>
          <w:kern w:val="0"/>
          <w:sz w:val="24"/>
          <w:szCs w:val="24"/>
          <w:u w:val="none"/>
          <w:lang w:val="en-US" w:eastAsia="zh-CN" w:bidi="ar"/>
        </w:rPr>
        <w:t>Digital Marketing</w:t>
      </w:r>
      <w:r>
        <w:rPr>
          <w:rFonts w:hint="default" w:ascii="Times New Roman Regular" w:hAnsi="Times New Roman Regular" w:eastAsia="-webkit-standard" w:cs="Times New Roman Regular"/>
          <w:i w:val="0"/>
          <w:iCs w:val="0"/>
          <w:caps w:val="0"/>
          <w:color w:val="auto"/>
          <w:spacing w:val="0"/>
          <w:kern w:val="0"/>
          <w:sz w:val="27"/>
          <w:szCs w:val="27"/>
          <w:u w:val="none"/>
          <w:lang w:val="en-US" w:eastAsia="zh-CN" w:bidi="ar"/>
        </w:rPr>
        <w:t>. 7th edn. Harlow: Pearson.</w:t>
      </w:r>
    </w:p>
    <w:p w14:paraId="0439978F">
      <w:pPr>
        <w:spacing w:line="360" w:lineRule="auto"/>
        <w:ind w:firstLine="480" w:firstLineChars="200"/>
        <w:rPr>
          <w:rFonts w:hint="default" w:ascii="Times New Roman Regular" w:hAnsi="Times New Roman Regular" w:cs="Times New Roman Regular"/>
          <w:color w:val="auto"/>
          <w:sz w:val="24"/>
        </w:rPr>
      </w:pPr>
    </w:p>
    <w:p w14:paraId="7EF7A29A">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Dorling, D. (2024) ‘Visualising the 2020s UK cost-of-living crisis’, </w:t>
      </w:r>
      <w:r>
        <w:rPr>
          <w:rFonts w:hint="default" w:ascii="Times New Roman Regular" w:hAnsi="Times New Roman Regular" w:cs="Times New Roman Regular"/>
          <w:i/>
          <w:color w:val="auto"/>
          <w:sz w:val="24"/>
        </w:rPr>
        <w:t>Social Policy &amp; Administration</w:t>
      </w:r>
      <w:r>
        <w:rPr>
          <w:rFonts w:hint="default" w:ascii="Times New Roman Regular" w:hAnsi="Times New Roman Regular" w:cs="Times New Roman Regular"/>
          <w:color w:val="auto"/>
          <w:sz w:val="24"/>
        </w:rPr>
        <w:t>.</w:t>
      </w:r>
    </w:p>
    <w:p w14:paraId="2EB55A75">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Fahy, J. and Jobber, D. (2015) </w:t>
      </w:r>
      <w:r>
        <w:rPr>
          <w:rFonts w:hint="default" w:ascii="Times New Roman Regular" w:hAnsi="Times New Roman Regular" w:cs="Times New Roman Regular"/>
          <w:i/>
          <w:color w:val="auto"/>
          <w:sz w:val="24"/>
        </w:rPr>
        <w:t>Foundations of Marketing</w:t>
      </w:r>
      <w:r>
        <w:rPr>
          <w:rFonts w:hint="default" w:ascii="Times New Roman Regular" w:hAnsi="Times New Roman Regular" w:cs="Times New Roman Regular"/>
          <w:color w:val="auto"/>
          <w:sz w:val="24"/>
        </w:rPr>
        <w:t>. 5th edn. London: McGraw-Hill.</w:t>
      </w:r>
    </w:p>
    <w:p w14:paraId="5CD3BDEE">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Greggs plc (2024) </w:t>
      </w:r>
      <w:r>
        <w:rPr>
          <w:rFonts w:hint="default" w:ascii="Times New Roman Regular" w:hAnsi="Times New Roman Regular" w:cs="Times New Roman Regular"/>
          <w:i/>
          <w:color w:val="auto"/>
          <w:sz w:val="24"/>
        </w:rPr>
        <w:t>Annual Report and Accounts</w:t>
      </w:r>
      <w:r>
        <w:rPr>
          <w:rFonts w:hint="default" w:ascii="Times New Roman Regular" w:hAnsi="Times New Roman Regular" w:cs="Times New Roman Regular"/>
          <w:color w:val="auto"/>
          <w:sz w:val="24"/>
        </w:rPr>
        <w:t xml:space="preserve"> 2024. Newcastle upon Tyne: Greggs plc.</w:t>
      </w:r>
    </w:p>
    <w:p w14:paraId="0A494955">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Investing.com (2025) </w:t>
      </w:r>
      <w:r>
        <w:rPr>
          <w:rFonts w:hint="default" w:ascii="Times New Roman Regular" w:hAnsi="Times New Roman Regular" w:cs="Times New Roman Regular"/>
          <w:i/>
          <w:color w:val="auto"/>
          <w:sz w:val="24"/>
        </w:rPr>
        <w:t>Greggs PLC Financial Summary and Market Data</w:t>
      </w:r>
      <w:r>
        <w:rPr>
          <w:rFonts w:hint="default" w:ascii="Times New Roman Regular" w:hAnsi="Times New Roman Regular" w:cs="Times New Roman Regular"/>
          <w:color w:val="auto"/>
          <w:sz w:val="24"/>
        </w:rPr>
        <w:t>. Available at: https://www.investing.com (Accessed: 8 March 2026).</w:t>
      </w:r>
    </w:p>
    <w:p w14:paraId="6196C640">
      <w:pPr>
        <w:pStyle w:val="9"/>
        <w:keepNext w:val="0"/>
        <w:keepLines w:val="0"/>
        <w:widowControl/>
        <w:suppressLineNumbers w:val="0"/>
        <w:spacing w:line="360" w:lineRule="auto"/>
        <w:ind w:left="0" w:firstLine="0"/>
        <w:rPr>
          <w:rFonts w:hint="default" w:ascii="Times New Roman Regular" w:hAnsi="Times New Roman Regular" w:cs="Times New Roman Regular"/>
          <w:color w:val="auto"/>
          <w:sz w:val="24"/>
        </w:rPr>
      </w:pPr>
      <w:r>
        <w:rPr>
          <w:rFonts w:hint="default" w:ascii="Times New Roman Regular" w:hAnsi="Times New Roman Regular" w:cs="Times New Roman Regular"/>
          <w:i w:val="0"/>
          <w:iCs w:val="0"/>
          <w:caps w:val="0"/>
          <w:color w:val="auto"/>
          <w:spacing w:val="0"/>
          <w:u w:val="none"/>
        </w:rPr>
        <w:t>Kilani, Y.M. (2021) ‘SMART business role in supporting marketing strategies among telecommunication organizations in Jordan’, </w:t>
      </w:r>
      <w:r>
        <w:rPr>
          <w:rStyle w:val="13"/>
          <w:rFonts w:hint="default" w:ascii="Times New Roman Regular" w:hAnsi="Times New Roman Regular" w:cs="Times New Roman Regular"/>
          <w:i/>
          <w:iCs/>
          <w:caps w:val="0"/>
          <w:color w:val="auto"/>
          <w:spacing w:val="0"/>
          <w:u w:val="none"/>
        </w:rPr>
        <w:t>Turkish Journal of Computer and Mathematics Education</w:t>
      </w:r>
      <w:r>
        <w:rPr>
          <w:rFonts w:hint="default" w:ascii="Times New Roman Regular" w:hAnsi="Times New Roman Regular" w:cs="Times New Roman Regular"/>
          <w:i w:val="0"/>
          <w:iCs w:val="0"/>
          <w:caps w:val="0"/>
          <w:color w:val="auto"/>
          <w:spacing w:val="0"/>
          <w:u w:val="none"/>
        </w:rPr>
        <w:t>, 12(6), pp. 4568–4582.</w:t>
      </w:r>
    </w:p>
    <w:p w14:paraId="5CCDC161">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Lynch, R. (2015) </w:t>
      </w:r>
      <w:r>
        <w:rPr>
          <w:rFonts w:hint="default" w:ascii="Times New Roman Regular" w:hAnsi="Times New Roman Regular" w:cs="Times New Roman Regular"/>
          <w:i/>
          <w:color w:val="auto"/>
          <w:sz w:val="24"/>
        </w:rPr>
        <w:t>Strategic Marketing</w:t>
      </w:r>
      <w:r>
        <w:rPr>
          <w:rFonts w:hint="default" w:ascii="Times New Roman Regular" w:hAnsi="Times New Roman Regular" w:cs="Times New Roman Regular"/>
          <w:color w:val="auto"/>
          <w:sz w:val="24"/>
        </w:rPr>
        <w:t>. 7th edn. Harlow: Pearson.</w:t>
      </w:r>
    </w:p>
    <w:p w14:paraId="0CC73758">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Maxwell, H., et al. (2022) ‘The impact of increasing the United Kingdom national minimum wage on self-reported health’, </w:t>
      </w:r>
      <w:r>
        <w:rPr>
          <w:rFonts w:hint="default" w:ascii="Times New Roman Regular" w:hAnsi="Times New Roman Regular" w:cs="Times New Roman Regular"/>
          <w:i/>
          <w:color w:val="auto"/>
          <w:sz w:val="24"/>
        </w:rPr>
        <w:t>Health Economics</w:t>
      </w:r>
      <w:r>
        <w:rPr>
          <w:rFonts w:hint="default" w:ascii="Times New Roman Regular" w:hAnsi="Times New Roman Regular" w:cs="Times New Roman Regular"/>
          <w:color w:val="auto"/>
          <w:sz w:val="24"/>
        </w:rPr>
        <w:t>.</w:t>
      </w:r>
    </w:p>
    <w:p w14:paraId="18A420E3">
      <w:pPr>
        <w:pStyle w:val="9"/>
        <w:keepNext w:val="0"/>
        <w:keepLines w:val="0"/>
        <w:widowControl/>
        <w:suppressLineNumbers w:val="0"/>
        <w:spacing w:line="360" w:lineRule="auto"/>
        <w:ind w:left="0" w:firstLine="0"/>
        <w:rPr>
          <w:rFonts w:hint="default" w:ascii="Times New Roman Regular" w:hAnsi="Times New Roman Regular" w:cs="Times New Roman Regular"/>
          <w:color w:val="auto"/>
          <w:sz w:val="24"/>
        </w:rPr>
      </w:pPr>
      <w:r>
        <w:rPr>
          <w:rFonts w:hint="default" w:ascii="Times New Roman Regular" w:hAnsi="Times New Roman Regular" w:cs="Times New Roman Regular"/>
          <w:i w:val="0"/>
          <w:iCs w:val="0"/>
          <w:caps w:val="0"/>
          <w:color w:val="auto"/>
          <w:spacing w:val="0"/>
          <w:u w:val="none"/>
        </w:rPr>
        <w:t>McDonald’s UK (2025) </w:t>
      </w:r>
      <w:r>
        <w:rPr>
          <w:rStyle w:val="13"/>
          <w:rFonts w:hint="default" w:ascii="Times New Roman Regular" w:hAnsi="Times New Roman Regular" w:cs="Times New Roman Regular"/>
          <w:i/>
          <w:iCs/>
          <w:caps w:val="0"/>
          <w:color w:val="auto"/>
          <w:spacing w:val="0"/>
          <w:u w:val="none"/>
        </w:rPr>
        <w:t>Delivering More Choice</w:t>
      </w:r>
      <w:r>
        <w:rPr>
          <w:rFonts w:hint="default" w:ascii="Times New Roman Regular" w:hAnsi="Times New Roman Regular" w:cs="Times New Roman Regular"/>
          <w:i w:val="0"/>
          <w:iCs w:val="0"/>
          <w:caps w:val="0"/>
          <w:color w:val="auto"/>
          <w:spacing w:val="0"/>
          <w:u w:val="none"/>
        </w:rPr>
        <w:t>. Available at: </w:t>
      </w:r>
      <w:r>
        <w:rPr>
          <w:rFonts w:hint="default" w:ascii="Times New Roman Regular" w:hAnsi="Times New Roman Regular" w:cs="Times New Roman Regular"/>
          <w:i w:val="0"/>
          <w:iCs w:val="0"/>
          <w:caps w:val="0"/>
          <w:color w:val="auto"/>
          <w:spacing w:val="0"/>
          <w:u w:val="none"/>
        </w:rPr>
        <w:fldChar w:fldCharType="begin"/>
      </w:r>
      <w:r>
        <w:rPr>
          <w:rFonts w:hint="default" w:ascii="Times New Roman Regular" w:hAnsi="Times New Roman Regular" w:cs="Times New Roman Regular"/>
          <w:i w:val="0"/>
          <w:iCs w:val="0"/>
          <w:caps w:val="0"/>
          <w:color w:val="auto"/>
          <w:spacing w:val="0"/>
          <w:u w:val="none"/>
        </w:rPr>
        <w:instrText xml:space="preserve"> HYPERLINK "https://www.mcdonalds.com/gb/en-gb/our-plan-for-change/great-food/delivering-more-choice.html" \t "/Users/yangqilin/Documents\\x/_new" </w:instrText>
      </w:r>
      <w:r>
        <w:rPr>
          <w:rFonts w:hint="default" w:ascii="Times New Roman Regular" w:hAnsi="Times New Roman Regular" w:cs="Times New Roman Regular"/>
          <w:i w:val="0"/>
          <w:iCs w:val="0"/>
          <w:caps w:val="0"/>
          <w:color w:val="auto"/>
          <w:spacing w:val="0"/>
          <w:u w:val="none"/>
        </w:rPr>
        <w:fldChar w:fldCharType="separate"/>
      </w:r>
      <w:r>
        <w:rPr>
          <w:rStyle w:val="14"/>
          <w:rFonts w:hint="default" w:ascii="Times New Roman Regular" w:hAnsi="Times New Roman Regular" w:cs="Times New Roman Regular"/>
          <w:i w:val="0"/>
          <w:iCs w:val="0"/>
          <w:caps w:val="0"/>
          <w:color w:val="auto"/>
          <w:spacing w:val="0"/>
          <w:u w:val="none"/>
        </w:rPr>
        <w:t>https://www.mcdonalds.com/gb/en-gb/our-plan-for-change/great-food/delivering-more-choice.html</w:t>
      </w:r>
      <w:r>
        <w:rPr>
          <w:rFonts w:hint="default" w:ascii="Times New Roman Regular" w:hAnsi="Times New Roman Regular" w:cs="Times New Roman Regular"/>
          <w:i w:val="0"/>
          <w:iCs w:val="0"/>
          <w:caps w:val="0"/>
          <w:color w:val="auto"/>
          <w:spacing w:val="0"/>
          <w:u w:val="none"/>
        </w:rPr>
        <w:fldChar w:fldCharType="end"/>
      </w:r>
      <w:r>
        <w:rPr>
          <w:rFonts w:hint="default" w:ascii="Times New Roman Regular" w:hAnsi="Times New Roman Regular" w:cs="Times New Roman Regular"/>
          <w:i w:val="0"/>
          <w:iCs w:val="0"/>
          <w:caps w:val="0"/>
          <w:color w:val="auto"/>
          <w:spacing w:val="0"/>
          <w:u w:val="none"/>
        </w:rPr>
        <w:t> (Accessed: 8 May 2026).</w:t>
      </w:r>
    </w:p>
    <w:p w14:paraId="288D8D48">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Mensah, L.D. and Julien, D. (2011) ‘Implementation of food safety management systems in the food industry: A review’, </w:t>
      </w:r>
      <w:r>
        <w:rPr>
          <w:rFonts w:hint="default" w:ascii="Times New Roman Regular" w:hAnsi="Times New Roman Regular" w:cs="Times New Roman Regular"/>
          <w:i/>
          <w:color w:val="auto"/>
          <w:sz w:val="24"/>
        </w:rPr>
        <w:t>Food Control</w:t>
      </w:r>
      <w:r>
        <w:rPr>
          <w:rFonts w:hint="default" w:ascii="Times New Roman Regular" w:hAnsi="Times New Roman Regular" w:cs="Times New Roman Regular"/>
          <w:color w:val="auto"/>
          <w:sz w:val="24"/>
        </w:rPr>
        <w:t>, 22(8), pp. 1216–1225.</w:t>
      </w:r>
    </w:p>
    <w:p w14:paraId="7E823F0A">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Norton, V., Waters, C., Oloyede, O.O. and Lignou, S. (2022) ‘Exploring consumers’ understanding and perception of sustainable food packaging in the UK’, </w:t>
      </w:r>
      <w:r>
        <w:rPr>
          <w:rFonts w:hint="default" w:ascii="Times New Roman Regular" w:hAnsi="Times New Roman Regular" w:cs="Times New Roman Regular"/>
          <w:i/>
          <w:color w:val="auto"/>
          <w:sz w:val="24"/>
        </w:rPr>
        <w:t>Foods</w:t>
      </w:r>
      <w:r>
        <w:rPr>
          <w:rFonts w:hint="default" w:ascii="Times New Roman Regular" w:hAnsi="Times New Roman Regular" w:cs="Times New Roman Regular"/>
          <w:color w:val="auto"/>
          <w:sz w:val="24"/>
        </w:rPr>
        <w:t>, 11(21), 3424.</w:t>
      </w:r>
    </w:p>
    <w:p w14:paraId="69DBF805">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Shivakumar, R. (2014) ‘How to tell which decisions are strategic’, </w:t>
      </w:r>
      <w:r>
        <w:rPr>
          <w:rFonts w:hint="default" w:ascii="Times New Roman Regular" w:hAnsi="Times New Roman Regular" w:cs="Times New Roman Regular"/>
          <w:i/>
          <w:color w:val="auto"/>
          <w:sz w:val="24"/>
        </w:rPr>
        <w:t>California Management Review</w:t>
      </w:r>
      <w:r>
        <w:rPr>
          <w:rFonts w:hint="default" w:ascii="Times New Roman Regular" w:hAnsi="Times New Roman Regular" w:cs="Times New Roman Regular"/>
          <w:color w:val="auto"/>
          <w:sz w:val="24"/>
        </w:rPr>
        <w:t>, 56(3), pp. 78–97.</w:t>
      </w:r>
    </w:p>
    <w:p w14:paraId="3BDCA877">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Taghian, M. (2010) ‘Marketing planning: operationalising the market orientation strategy’, </w:t>
      </w:r>
      <w:r>
        <w:rPr>
          <w:rFonts w:hint="default" w:ascii="Times New Roman Regular" w:hAnsi="Times New Roman Regular" w:cs="Times New Roman Regular"/>
          <w:i/>
          <w:color w:val="auto"/>
          <w:sz w:val="24"/>
        </w:rPr>
        <w:t>Journal of Marketing Management</w:t>
      </w:r>
      <w:r>
        <w:rPr>
          <w:rFonts w:hint="default" w:ascii="Times New Roman Regular" w:hAnsi="Times New Roman Regular" w:cs="Times New Roman Regular"/>
          <w:color w:val="auto"/>
          <w:sz w:val="24"/>
        </w:rPr>
        <w:t>, 26(9–10), pp. 825–841.</w:t>
      </w:r>
    </w:p>
    <w:p w14:paraId="3ED627FE">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Udell, M. (2015) ‘Competitive edge’, </w:t>
      </w:r>
      <w:r>
        <w:rPr>
          <w:rFonts w:hint="default" w:ascii="Times New Roman Regular" w:hAnsi="Times New Roman Regular" w:cs="Times New Roman Regular"/>
          <w:i/>
          <w:color w:val="auto"/>
          <w:sz w:val="24"/>
        </w:rPr>
        <w:t>Marketing Insights</w:t>
      </w:r>
      <w:r>
        <w:rPr>
          <w:rFonts w:hint="default" w:ascii="Times New Roman Regular" w:hAnsi="Times New Roman Regular" w:cs="Times New Roman Regular"/>
          <w:color w:val="auto"/>
          <w:sz w:val="24"/>
        </w:rPr>
        <w:t>, 27(3), p. 48.</w:t>
      </w:r>
    </w:p>
    <w:p w14:paraId="4E8E95B5">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UK Government (2024) </w:t>
      </w:r>
      <w:r>
        <w:rPr>
          <w:rFonts w:hint="default" w:ascii="Times New Roman Regular" w:hAnsi="Times New Roman Regular" w:cs="Times New Roman Regular"/>
          <w:i/>
          <w:color w:val="auto"/>
          <w:sz w:val="24"/>
        </w:rPr>
        <w:t>Soft Drinks Industry Levy Statistics</w:t>
      </w:r>
      <w:r>
        <w:rPr>
          <w:rFonts w:hint="default" w:ascii="Times New Roman Regular" w:hAnsi="Times New Roman Regular" w:cs="Times New Roman Regular"/>
          <w:color w:val="auto"/>
          <w:sz w:val="24"/>
        </w:rPr>
        <w:t>. Available at: https://www.gov.uk (Accessed: 8 March 2026).</w:t>
      </w:r>
    </w:p>
    <w:p w14:paraId="01687299">
      <w:pPr>
        <w:spacing w:line="360" w:lineRule="auto"/>
        <w:ind w:firstLine="480" w:firstLineChars="200"/>
        <w:rPr>
          <w:rFonts w:hint="default" w:ascii="Times New Roman Regular" w:hAnsi="Times New Roman Regular" w:cs="Times New Roman Regular"/>
          <w:color w:val="auto"/>
          <w:sz w:val="24"/>
        </w:rPr>
      </w:pPr>
      <w:r>
        <w:rPr>
          <w:rFonts w:hint="default" w:ascii="Times New Roman Regular" w:hAnsi="Times New Roman Regular" w:cs="Times New Roman Regular"/>
          <w:color w:val="auto"/>
          <w:sz w:val="24"/>
        </w:rPr>
        <w:t xml:space="preserve">Vriens, M. and Brazell, J.D. (2013) ‘Competitive advantage’, </w:t>
      </w:r>
      <w:r>
        <w:rPr>
          <w:rFonts w:hint="default" w:ascii="Times New Roman Regular" w:hAnsi="Times New Roman Regular" w:cs="Times New Roman Regular"/>
          <w:i/>
          <w:color w:val="auto"/>
          <w:sz w:val="24"/>
        </w:rPr>
        <w:t>Marketing Insights</w:t>
      </w:r>
      <w:r>
        <w:rPr>
          <w:rFonts w:hint="default" w:ascii="Times New Roman Regular" w:hAnsi="Times New Roman Regular" w:cs="Times New Roman Regular"/>
          <w:color w:val="auto"/>
          <w:sz w:val="24"/>
        </w:rPr>
        <w:t>, 25(3), pp. 32–38.</w:t>
      </w:r>
    </w:p>
    <w:p w14:paraId="62FAA555">
      <w:pPr>
        <w:keepNext w:val="0"/>
        <w:keepLines w:val="0"/>
        <w:widowControl/>
        <w:suppressLineNumbers w:val="0"/>
        <w:spacing w:line="360" w:lineRule="auto"/>
        <w:jc w:val="left"/>
        <w:rPr>
          <w:rFonts w:hint="default" w:ascii="Times New Roman Regular" w:hAnsi="Times New Roman Regular" w:eastAsia="宋体" w:cs="Times New Roman Regular"/>
          <w:i w:val="0"/>
          <w:iCs w:val="0"/>
          <w:caps w:val="0"/>
          <w:color w:val="auto"/>
          <w:spacing w:val="0"/>
          <w:kern w:val="0"/>
          <w:sz w:val="26"/>
          <w:szCs w:val="26"/>
          <w:shd w:val="clear" w:fill="FFFFFF"/>
          <w:lang w:val="en-US" w:eastAsia="zh-CN" w:bidi="ar"/>
        </w:rPr>
      </w:pPr>
    </w:p>
    <w:p w14:paraId="37B29C99">
      <w:pPr>
        <w:spacing w:line="360" w:lineRule="auto"/>
        <w:ind w:firstLine="480" w:firstLineChars="200"/>
        <w:rPr>
          <w:rFonts w:hint="default" w:ascii="Times New Roman Regular" w:hAnsi="Times New Roman Regular" w:cs="Times New Roman Regular"/>
          <w:b/>
          <w:bCs/>
          <w:color w:val="auto"/>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Times New Roman Bold">
    <w:panose1 w:val="02020503050405090304"/>
    <w:charset w:val="00"/>
    <w:family w:val="auto"/>
    <w:pitch w:val="default"/>
    <w:sig w:usb0="E0000AFF" w:usb1="00007843" w:usb2="00000001" w:usb3="00000000" w:csb0="400001BF" w:csb1="DFF70000"/>
  </w:font>
  <w:font w:name="Songti SC">
    <w:panose1 w:val="02010800040101010101"/>
    <w:charset w:val="86"/>
    <w:family w:val="auto"/>
    <w:pitch w:val="default"/>
    <w:sig w:usb0="00000001" w:usb1="080F0000" w:usb2="00000000" w:usb3="00000000" w:csb0="00040000" w:csb1="00000000"/>
  </w:font>
  <w:font w:name="Times New Roman Regular">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Apple Color Emoji">
    <w:panose1 w:val="00000000000000000000"/>
    <w:charset w:val="00"/>
    <w:family w:val="auto"/>
    <w:pitch w:val="default"/>
    <w:sig w:usb0="00000003" w:usb1="18000000" w:usb2="14000000" w:usb3="00000000" w:csb0="00000001" w:csb1="00000000"/>
  </w:font>
  <w:font w:name="Helvetica Neue">
    <w:panose1 w:val="02000503000000020004"/>
    <w:charset w:val="00"/>
    <w:family w:val="auto"/>
    <w:pitch w:val="default"/>
    <w:sig w:usb0="E50002FF" w:usb1="500079DB" w:usb2="00000010" w:usb3="00000000" w:csb0="00000000" w:csb1="00000000"/>
  </w:font>
  <w:font w:name="Arial">
    <w:panose1 w:val="020B0604020202090204"/>
    <w:charset w:val="00"/>
    <w:family w:val="auto"/>
    <w:pitch w:val="default"/>
    <w:sig w:usb0="E0000AFF" w:usb1="00007843" w:usb2="00000001" w:usb3="00000000" w:csb0="400001BF" w:csb1="DFF7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webkit-standard">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BEB94A5"/>
    <w:rsid w:val="000F106C"/>
    <w:rsid w:val="002444B4"/>
    <w:rsid w:val="002C1146"/>
    <w:rsid w:val="004742AD"/>
    <w:rsid w:val="0059045F"/>
    <w:rsid w:val="00766226"/>
    <w:rsid w:val="008F4A01"/>
    <w:rsid w:val="00A2238A"/>
    <w:rsid w:val="00AB4CFD"/>
    <w:rsid w:val="00B731A4"/>
    <w:rsid w:val="00D3091A"/>
    <w:rsid w:val="00D95E6E"/>
    <w:rsid w:val="00DF5BC3"/>
    <w:rsid w:val="00E05C31"/>
    <w:rsid w:val="00F92C05"/>
    <w:rsid w:val="377F3DE3"/>
    <w:rsid w:val="4BFDA60B"/>
    <w:rsid w:val="4FFE79A9"/>
    <w:rsid w:val="523EB040"/>
    <w:rsid w:val="526BB4DD"/>
    <w:rsid w:val="5E75AC14"/>
    <w:rsid w:val="70FA0052"/>
    <w:rsid w:val="773BBBD0"/>
    <w:rsid w:val="7C9DE908"/>
    <w:rsid w:val="7DC3CB94"/>
    <w:rsid w:val="BBC7DE7C"/>
    <w:rsid w:val="BF5ECF35"/>
    <w:rsid w:val="D4FB40AA"/>
    <w:rsid w:val="D7EBCF41"/>
    <w:rsid w:val="EE158053"/>
    <w:rsid w:val="EF7B183D"/>
    <w:rsid w:val="EFFB1B5D"/>
    <w:rsid w:val="F7FEA9C4"/>
    <w:rsid w:val="F8FF5B89"/>
    <w:rsid w:val="FBEB94A5"/>
    <w:rsid w:val="FC7FD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caption"/>
    <w:basedOn w:val="1"/>
    <w:next w:val="1"/>
    <w:unhideWhenUsed/>
    <w:qFormat/>
    <w:uiPriority w:val="0"/>
    <w:rPr>
      <w:rFonts w:eastAsia="黑体" w:asciiTheme="majorHAnsi" w:hAnsiTheme="majorHAnsi" w:cstheme="majorBidi"/>
      <w:sz w:val="20"/>
      <w:szCs w:val="20"/>
    </w:rPr>
  </w:style>
  <w:style w:type="paragraph" w:styleId="5">
    <w:name w:val="footer"/>
    <w:basedOn w:val="1"/>
    <w:link w:val="17"/>
    <w:uiPriority w:val="0"/>
    <w:pPr>
      <w:tabs>
        <w:tab w:val="center" w:pos="4153"/>
        <w:tab w:val="right" w:pos="8306"/>
      </w:tabs>
      <w:snapToGrid w:val="0"/>
      <w:jc w:val="left"/>
    </w:pPr>
    <w:rPr>
      <w:sz w:val="18"/>
      <w:szCs w:val="18"/>
    </w:rPr>
  </w:style>
  <w:style w:type="paragraph" w:styleId="6">
    <w:name w:val="header"/>
    <w:basedOn w:val="1"/>
    <w:link w:val="16"/>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uiPriority w:val="39"/>
  </w:style>
  <w:style w:type="paragraph" w:styleId="8">
    <w:name w:val="toc 2"/>
    <w:basedOn w:val="1"/>
    <w:next w:val="1"/>
    <w:autoRedefine/>
    <w:uiPriority w:val="39"/>
    <w:pPr>
      <w:ind w:left="420" w:leftChars="200"/>
    </w:pPr>
  </w:style>
  <w:style w:type="paragraph" w:styleId="9">
    <w:name w:val="Normal (Web)"/>
    <w:basedOn w:val="1"/>
    <w:uiPriority w:val="0"/>
    <w:pPr>
      <w:spacing w:beforeAutospacing="1" w:afterAutospacing="1"/>
      <w:jc w:val="left"/>
    </w:pPr>
    <w:rPr>
      <w:rFonts w:cs="Times New Roman"/>
      <w:kern w:val="0"/>
      <w:sz w:val="24"/>
    </w:rPr>
  </w:style>
  <w:style w:type="character" w:styleId="12">
    <w:name w:val="Strong"/>
    <w:basedOn w:val="11"/>
    <w:qFormat/>
    <w:uiPriority w:val="0"/>
    <w:rPr>
      <w:b/>
    </w:rPr>
  </w:style>
  <w:style w:type="character" w:styleId="13">
    <w:name w:val="Emphasis"/>
    <w:basedOn w:val="11"/>
    <w:qFormat/>
    <w:uiPriority w:val="0"/>
    <w:rPr>
      <w:i/>
    </w:rPr>
  </w:style>
  <w:style w:type="character" w:styleId="14">
    <w:name w:val="Hyperlink"/>
    <w:basedOn w:val="11"/>
    <w:uiPriority w:val="99"/>
    <w:rPr>
      <w:color w:val="0000FF"/>
      <w:u w:val="single"/>
    </w:rPr>
  </w:style>
  <w:style w:type="table" w:customStyle="1" w:styleId="15">
    <w:name w:val="网格型浅色1"/>
    <w:basedOn w:val="10"/>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character" w:customStyle="1" w:styleId="16">
    <w:name w:val="页眉 Char"/>
    <w:basedOn w:val="11"/>
    <w:link w:val="6"/>
    <w:uiPriority w:val="0"/>
    <w:rPr>
      <w:rFonts w:asciiTheme="minorHAnsi" w:hAnsiTheme="minorHAnsi" w:eastAsiaTheme="minorEastAsia" w:cstheme="minorBidi"/>
      <w:kern w:val="2"/>
      <w:sz w:val="18"/>
      <w:szCs w:val="18"/>
    </w:rPr>
  </w:style>
  <w:style w:type="character" w:customStyle="1" w:styleId="17">
    <w:name w:val="页脚 Char"/>
    <w:basedOn w:val="11"/>
    <w:link w:val="5"/>
    <w:uiPriority w:val="0"/>
    <w:rPr>
      <w:rFonts w:asciiTheme="minorHAnsi" w:hAnsiTheme="minorHAnsi" w:eastAsiaTheme="minorEastAsia" w:cstheme="minorBidi"/>
      <w:kern w:val="2"/>
      <w:sz w:val="18"/>
      <w:szCs w:val="18"/>
    </w:rPr>
  </w:style>
  <w:style w:type="paragraph" w:customStyle="1" w:styleId="18">
    <w:name w:val="TOC 标题1"/>
    <w:basedOn w:val="2"/>
    <w:next w:val="1"/>
    <w:unhideWhenUsed/>
    <w:qFormat/>
    <w:uiPriority w:val="39"/>
    <w:pPr>
      <w:keepNext/>
      <w:keepLines/>
      <w:widowControl/>
      <w:spacing w:before="240" w:beforeAutospacing="0" w:afterAutospacing="0" w:line="259" w:lineRule="auto"/>
      <w:outlineLvl w:val="9"/>
    </w:pPr>
    <w:rPr>
      <w:rFonts w:hint="default" w:asciiTheme="majorHAnsi" w:hAnsiTheme="majorHAnsi" w:eastAsiaTheme="majorEastAsia" w:cstheme="majorBidi"/>
      <w:b w:val="0"/>
      <w:bCs w:val="0"/>
      <w:color w:val="2E54A1" w:themeColor="accent1" w:themeShade="BF"/>
      <w:kern w:val="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532AE598-F712-4609-B9A6-CD0F9D3AF5FF}">
  <ds:schemaRefs/>
</ds:datastoreItem>
</file>

<file path=docProps/app.xml><?xml version="1.0" encoding="utf-8"?>
<Properties xmlns="http://schemas.openxmlformats.org/officeDocument/2006/extended-properties" xmlns:vt="http://schemas.openxmlformats.org/officeDocument/2006/docPropsVTypes">
  <Template>Normal</Template>
  <Pages>11</Pages>
  <Words>3394</Words>
  <Characters>19347</Characters>
  <Lines>161</Lines>
  <Paragraphs>45</Paragraphs>
  <TotalTime>36</TotalTime>
  <ScaleCrop>false</ScaleCrop>
  <LinksUpToDate>false</LinksUpToDate>
  <CharactersWithSpaces>22696</CharactersWithSpaces>
  <Application>WPS Office_7.2.2.8955_F1E327BC-269C-435d-A152-05C5408002CA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2026-03-13T21:44:00Z</dcterms:created>
  <dc:creator>Emwins</dc:creator>
  <cp:lastModifiedBy>Emwins</cp:lastModifiedBy>
  <dcterms:modified xsi:type="dcterms:W3CDTF">2026-05-08T16:33:33Z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2052-7.2.2.8955</vt:lpwstr>
  </property>
  <property fmtid="{D5CDD505-2E9C-101B-9397-08002B2CF9AE}" pid="3" name="ICV">
    <vt:lpwstr>8FC4E51AA9812F1D08F5FD696CBE94D9_43</vt:lpwstr>
  </property>
</Properties>
</file>