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87A571" w14:textId="77777777" w:rsidR="00444FD6" w:rsidRDefault="00CC34DB">
      <w:pPr>
        <w:jc w:val="center"/>
      </w:pPr>
      <w:r>
        <w:rPr>
          <w:noProof/>
        </w:rPr>
        <w:drawing>
          <wp:inline distT="0" distB="0" distL="0" distR="0" wp14:anchorId="04019673" wp14:editId="4BF57B74">
            <wp:extent cx="4055407" cy="1955800"/>
            <wp:effectExtent l="0" t="0" r="2540" b="6350"/>
            <wp:docPr id="102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cstate="print"/>
                    <a:srcRect/>
                    <a:stretch/>
                  </pic:blipFill>
                  <pic:spPr>
                    <a:xfrm>
                      <a:off x="0" y="0"/>
                      <a:ext cx="4055407" cy="1955800"/>
                    </a:xfrm>
                    <a:prstGeom prst="rect">
                      <a:avLst/>
                    </a:prstGeom>
                  </pic:spPr>
                </pic:pic>
              </a:graphicData>
            </a:graphic>
          </wp:inline>
        </w:drawing>
      </w:r>
    </w:p>
    <w:p w14:paraId="38E2B1A6" w14:textId="77777777" w:rsidR="00444FD6" w:rsidRDefault="00444FD6">
      <w:pPr>
        <w:jc w:val="center"/>
        <w:rPr>
          <w:b/>
          <w:bCs/>
          <w:i/>
          <w:iCs/>
          <w:sz w:val="40"/>
          <w:szCs w:val="40"/>
        </w:rPr>
      </w:pPr>
    </w:p>
    <w:p w14:paraId="6BC5FFB9" w14:textId="422389E4" w:rsidR="00444FD6" w:rsidRDefault="00CC34DB">
      <w:pPr>
        <w:jc w:val="center"/>
        <w:rPr>
          <w:b/>
          <w:bCs/>
          <w:i/>
          <w:iCs/>
          <w:sz w:val="40"/>
          <w:szCs w:val="40"/>
        </w:rPr>
      </w:pPr>
      <w:r>
        <w:rPr>
          <w:b/>
          <w:bCs/>
          <w:i/>
          <w:iCs/>
          <w:sz w:val="40"/>
          <w:szCs w:val="40"/>
        </w:rPr>
        <w:t xml:space="preserve">Financial Management </w:t>
      </w:r>
      <w:r w:rsidR="006E2BFD">
        <w:rPr>
          <w:b/>
          <w:bCs/>
          <w:i/>
          <w:iCs/>
          <w:sz w:val="40"/>
          <w:szCs w:val="40"/>
        </w:rPr>
        <w:t xml:space="preserve">- </w:t>
      </w:r>
      <w:r>
        <w:rPr>
          <w:b/>
          <w:bCs/>
          <w:i/>
          <w:iCs/>
          <w:sz w:val="40"/>
          <w:szCs w:val="40"/>
        </w:rPr>
        <w:t xml:space="preserve">LCMB7002 </w:t>
      </w:r>
    </w:p>
    <w:p w14:paraId="25F054EB" w14:textId="77777777" w:rsidR="00444FD6" w:rsidRPr="003F2E0B" w:rsidRDefault="00CC34DB">
      <w:pPr>
        <w:jc w:val="center"/>
        <w:rPr>
          <w:sz w:val="28"/>
          <w:szCs w:val="28"/>
        </w:rPr>
      </w:pPr>
      <w:r w:rsidRPr="003F2E0B">
        <w:rPr>
          <w:b/>
          <w:i/>
          <w:sz w:val="28"/>
          <w:szCs w:val="28"/>
        </w:rPr>
        <w:t>Strategic CFO Challenge: Saving a Failing Global Firm</w:t>
      </w:r>
      <w:r w:rsidRPr="003F2E0B">
        <w:rPr>
          <w:sz w:val="28"/>
          <w:szCs w:val="28"/>
        </w:rPr>
        <w:t xml:space="preserve"> </w:t>
      </w:r>
    </w:p>
    <w:p w14:paraId="0FF686D4" w14:textId="77777777" w:rsidR="00444FD6" w:rsidRDefault="00444FD6">
      <w:pPr>
        <w:jc w:val="center"/>
        <w:rPr>
          <w:sz w:val="40"/>
          <w:szCs w:val="40"/>
        </w:rPr>
      </w:pPr>
    </w:p>
    <w:p w14:paraId="7F9F231E" w14:textId="77777777" w:rsidR="00444FD6" w:rsidRDefault="00CC34DB">
      <w:pPr>
        <w:jc w:val="center"/>
        <w:rPr>
          <w:sz w:val="40"/>
          <w:szCs w:val="40"/>
        </w:rPr>
      </w:pPr>
      <w:r>
        <w:rPr>
          <w:rFonts w:eastAsia="Times New Roman"/>
          <w:b/>
          <w:bCs/>
          <w:lang w:val="en-GB"/>
        </w:rPr>
        <w:t>Student’s Name: Md Faysal Mia</w:t>
      </w:r>
    </w:p>
    <w:p w14:paraId="17132745" w14:textId="77777777" w:rsidR="00444FD6" w:rsidRDefault="00444FD6">
      <w:pPr>
        <w:jc w:val="center"/>
        <w:rPr>
          <w:sz w:val="40"/>
          <w:szCs w:val="40"/>
        </w:rPr>
      </w:pPr>
    </w:p>
    <w:p w14:paraId="54D62ECC" w14:textId="77777777" w:rsidR="00444FD6" w:rsidRDefault="00CC34DB">
      <w:pPr>
        <w:jc w:val="center"/>
        <w:rPr>
          <w:sz w:val="40"/>
          <w:szCs w:val="40"/>
        </w:rPr>
      </w:pPr>
      <w:r>
        <w:rPr>
          <w:rFonts w:eastAsia="Times New Roman"/>
          <w:b/>
          <w:bCs/>
          <w:lang w:val="en-GB"/>
        </w:rPr>
        <w:t>Student’s ID: 2434754</w:t>
      </w:r>
    </w:p>
    <w:p w14:paraId="37CE32CF" w14:textId="77777777" w:rsidR="00444FD6" w:rsidRDefault="00444FD6">
      <w:pPr>
        <w:jc w:val="center"/>
        <w:rPr>
          <w:sz w:val="40"/>
          <w:szCs w:val="40"/>
        </w:rPr>
      </w:pPr>
    </w:p>
    <w:p w14:paraId="7C7FFBD9" w14:textId="77777777" w:rsidR="00444FD6" w:rsidRDefault="00CC34DB">
      <w:pPr>
        <w:jc w:val="center"/>
        <w:rPr>
          <w:sz w:val="40"/>
          <w:szCs w:val="40"/>
        </w:rPr>
      </w:pPr>
      <w:r>
        <w:rPr>
          <w:rFonts w:eastAsia="Times New Roman"/>
          <w:b/>
          <w:bCs/>
        </w:rPr>
        <w:t xml:space="preserve"> </w:t>
      </w:r>
      <w:r>
        <w:rPr>
          <w:rFonts w:eastAsia="Times New Roman"/>
          <w:b/>
          <w:bCs/>
          <w:lang w:val="en-GB"/>
        </w:rPr>
        <w:t>Lecturer’s Name:</w:t>
      </w:r>
      <w:r>
        <w:rPr>
          <w:rFonts w:eastAsia="Times New Roman"/>
          <w:b/>
          <w:bCs/>
        </w:rPr>
        <w:t xml:space="preserve"> Dr Shengfeng Mei</w:t>
      </w:r>
    </w:p>
    <w:p w14:paraId="54EDAD11" w14:textId="77777777" w:rsidR="00444FD6" w:rsidRDefault="00444FD6">
      <w:pPr>
        <w:jc w:val="left"/>
        <w:rPr>
          <w:b/>
          <w:bCs/>
          <w:sz w:val="36"/>
          <w:szCs w:val="36"/>
        </w:rPr>
      </w:pPr>
    </w:p>
    <w:p w14:paraId="75533E2B" w14:textId="77777777" w:rsidR="00444FD6" w:rsidRDefault="00CC34DB">
      <w:pPr>
        <w:jc w:val="center"/>
        <w:rPr>
          <w:b/>
        </w:rPr>
      </w:pPr>
      <w:proofErr w:type="spellStart"/>
      <w:r w:rsidRPr="003F2E0B">
        <w:rPr>
          <w:b/>
        </w:rPr>
        <w:t>Wordcount</w:t>
      </w:r>
      <w:proofErr w:type="spellEnd"/>
      <w:r w:rsidRPr="003F2E0B">
        <w:rPr>
          <w:b/>
        </w:rPr>
        <w:t>: 5495</w:t>
      </w:r>
    </w:p>
    <w:p w14:paraId="1584F3D1" w14:textId="77777777" w:rsidR="003F2E0B" w:rsidRPr="003F2E0B" w:rsidRDefault="003F2E0B">
      <w:pPr>
        <w:jc w:val="center"/>
        <w:rPr>
          <w:b/>
          <w:bCs/>
        </w:rPr>
      </w:pPr>
    </w:p>
    <w:p w14:paraId="3D153AF8" w14:textId="288A6248" w:rsidR="00824697" w:rsidRPr="00865778" w:rsidRDefault="003F2E0B">
      <w:pPr>
        <w:jc w:val="center"/>
      </w:pPr>
      <w:r w:rsidRPr="003F2E0B">
        <w:rPr>
          <w:b/>
          <w:bCs/>
        </w:rPr>
        <w:t>Term-1</w:t>
      </w:r>
      <w:r w:rsidR="006E2BFD">
        <w:br w:type="page"/>
      </w:r>
    </w:p>
    <w:p w14:paraId="7284151B" w14:textId="77777777" w:rsidR="00444FD6" w:rsidRDefault="00CC34DB">
      <w:pPr>
        <w:pStyle w:val="TOCHeading"/>
        <w:rPr>
          <w:rFonts w:ascii="Arial" w:hAnsi="Arial" w:cs="Arial"/>
          <w:b/>
          <w:bCs/>
        </w:rPr>
      </w:pPr>
      <w:r>
        <w:rPr>
          <w:rFonts w:ascii="Arial" w:hAnsi="Arial" w:cs="Arial"/>
          <w:b/>
          <w:bCs/>
        </w:rPr>
        <w:t>Table of Contents</w:t>
      </w:r>
    </w:p>
    <w:p w14:paraId="502AA4EB" w14:textId="77777777" w:rsidR="00613A37" w:rsidRDefault="00BA0FD1">
      <w:pPr>
        <w:pStyle w:val="TOC1"/>
        <w:tabs>
          <w:tab w:val="right" w:leader="dot" w:pos="9016"/>
        </w:tabs>
        <w:rPr>
          <w:rFonts w:ascii="Cambria" w:eastAsia="SimSun" w:hAnsi="Cambria" w:cs="SimSun"/>
          <w:noProof/>
          <w:sz w:val="22"/>
          <w:szCs w:val="22"/>
          <w:lang w:val="en-GB"/>
        </w:rPr>
      </w:pPr>
      <w:r>
        <w:fldChar w:fldCharType="begin"/>
      </w:r>
      <w:r>
        <w:instrText xml:space="preserve"> TOC \o "1-3" \h \z \u </w:instrText>
      </w:r>
      <w:r>
        <w:fldChar w:fldCharType="separate"/>
      </w:r>
      <w:hyperlink w:anchor="_Toc216894413" w:history="1">
        <w:r>
          <w:rPr>
            <w:rStyle w:val="Hyperlink"/>
            <w:noProof/>
          </w:rPr>
          <w:t>1.0 Introduction</w:t>
        </w:r>
        <w:r>
          <w:rPr>
            <w:noProof/>
            <w:webHidden/>
          </w:rPr>
          <w:tab/>
        </w:r>
        <w:r>
          <w:rPr>
            <w:noProof/>
            <w:webHidden/>
          </w:rPr>
          <w:fldChar w:fldCharType="begin"/>
        </w:r>
        <w:r>
          <w:rPr>
            <w:noProof/>
            <w:webHidden/>
          </w:rPr>
          <w:instrText xml:space="preserve"> PAGEREF _Toc216894413 \h </w:instrText>
        </w:r>
        <w:r>
          <w:rPr>
            <w:noProof/>
            <w:webHidden/>
          </w:rPr>
        </w:r>
        <w:r>
          <w:rPr>
            <w:noProof/>
            <w:webHidden/>
          </w:rPr>
          <w:fldChar w:fldCharType="separate"/>
        </w:r>
        <w:r>
          <w:rPr>
            <w:noProof/>
            <w:webHidden/>
          </w:rPr>
          <w:t>1</w:t>
        </w:r>
        <w:r>
          <w:rPr>
            <w:noProof/>
            <w:webHidden/>
          </w:rPr>
          <w:fldChar w:fldCharType="end"/>
        </w:r>
      </w:hyperlink>
    </w:p>
    <w:p w14:paraId="0F05ABCF" w14:textId="77777777" w:rsidR="00613A37" w:rsidRDefault="00BA0FD1">
      <w:pPr>
        <w:pStyle w:val="TOC1"/>
        <w:tabs>
          <w:tab w:val="right" w:leader="dot" w:pos="9016"/>
        </w:tabs>
        <w:rPr>
          <w:rFonts w:ascii="Cambria" w:eastAsia="SimSun" w:hAnsi="Cambria" w:cs="SimSun"/>
          <w:noProof/>
          <w:sz w:val="22"/>
          <w:szCs w:val="22"/>
          <w:lang w:val="en-GB"/>
        </w:rPr>
      </w:pPr>
      <w:hyperlink w:anchor="_Toc216894414" w:history="1">
        <w:r>
          <w:rPr>
            <w:rStyle w:val="Hyperlink"/>
            <w:noProof/>
          </w:rPr>
          <w:t>2.0 Financial Health Check</w:t>
        </w:r>
        <w:r>
          <w:rPr>
            <w:noProof/>
            <w:webHidden/>
          </w:rPr>
          <w:tab/>
        </w:r>
        <w:r>
          <w:rPr>
            <w:noProof/>
            <w:webHidden/>
          </w:rPr>
          <w:fldChar w:fldCharType="begin"/>
        </w:r>
        <w:r>
          <w:rPr>
            <w:noProof/>
            <w:webHidden/>
          </w:rPr>
          <w:instrText xml:space="preserve"> PAGEREF _Toc216894414 \h </w:instrText>
        </w:r>
        <w:r>
          <w:rPr>
            <w:noProof/>
            <w:webHidden/>
          </w:rPr>
        </w:r>
        <w:r>
          <w:rPr>
            <w:noProof/>
            <w:webHidden/>
          </w:rPr>
          <w:fldChar w:fldCharType="separate"/>
        </w:r>
        <w:r>
          <w:rPr>
            <w:noProof/>
            <w:webHidden/>
          </w:rPr>
          <w:t>2</w:t>
        </w:r>
        <w:r>
          <w:rPr>
            <w:noProof/>
            <w:webHidden/>
          </w:rPr>
          <w:fldChar w:fldCharType="end"/>
        </w:r>
      </w:hyperlink>
    </w:p>
    <w:p w14:paraId="679CCEE8" w14:textId="77777777" w:rsidR="00613A37" w:rsidRDefault="00BA0FD1">
      <w:pPr>
        <w:pStyle w:val="TOC2"/>
        <w:tabs>
          <w:tab w:val="right" w:leader="dot" w:pos="9016"/>
        </w:tabs>
        <w:rPr>
          <w:rFonts w:ascii="Cambria" w:eastAsia="SimSun" w:hAnsi="Cambria" w:cs="SimSun"/>
          <w:noProof/>
          <w:sz w:val="22"/>
          <w:szCs w:val="22"/>
          <w:lang w:val="en-GB"/>
        </w:rPr>
      </w:pPr>
      <w:hyperlink w:anchor="_Toc216894415" w:history="1">
        <w:r>
          <w:rPr>
            <w:rStyle w:val="Hyperlink"/>
            <w:noProof/>
          </w:rPr>
          <w:t>2.1 Analyse the Firm’s Financial Statement</w:t>
        </w:r>
        <w:r>
          <w:rPr>
            <w:noProof/>
            <w:webHidden/>
          </w:rPr>
          <w:tab/>
        </w:r>
        <w:r>
          <w:rPr>
            <w:noProof/>
            <w:webHidden/>
          </w:rPr>
          <w:fldChar w:fldCharType="begin"/>
        </w:r>
        <w:r>
          <w:rPr>
            <w:noProof/>
            <w:webHidden/>
          </w:rPr>
          <w:instrText xml:space="preserve"> PAGEREF _Toc216894415 \h </w:instrText>
        </w:r>
        <w:r>
          <w:rPr>
            <w:noProof/>
            <w:webHidden/>
          </w:rPr>
        </w:r>
        <w:r>
          <w:rPr>
            <w:noProof/>
            <w:webHidden/>
          </w:rPr>
          <w:fldChar w:fldCharType="separate"/>
        </w:r>
        <w:r>
          <w:rPr>
            <w:noProof/>
            <w:webHidden/>
          </w:rPr>
          <w:t>2</w:t>
        </w:r>
        <w:r>
          <w:rPr>
            <w:noProof/>
            <w:webHidden/>
          </w:rPr>
          <w:fldChar w:fldCharType="end"/>
        </w:r>
      </w:hyperlink>
    </w:p>
    <w:p w14:paraId="05BA88A8" w14:textId="77777777" w:rsidR="00613A37" w:rsidRDefault="00BA0FD1">
      <w:pPr>
        <w:pStyle w:val="TOC2"/>
        <w:tabs>
          <w:tab w:val="right" w:leader="dot" w:pos="9016"/>
        </w:tabs>
        <w:rPr>
          <w:rFonts w:ascii="Cambria" w:eastAsia="SimSun" w:hAnsi="Cambria" w:cs="SimSun"/>
          <w:noProof/>
          <w:sz w:val="22"/>
          <w:szCs w:val="22"/>
          <w:lang w:val="en-GB"/>
        </w:rPr>
      </w:pPr>
      <w:hyperlink w:anchor="_Toc216894416" w:history="1">
        <w:r>
          <w:rPr>
            <w:rStyle w:val="Hyperlink"/>
            <w:noProof/>
          </w:rPr>
          <w:t>2.2 Perform Ratio Analysis</w:t>
        </w:r>
        <w:r>
          <w:rPr>
            <w:noProof/>
            <w:webHidden/>
          </w:rPr>
          <w:tab/>
        </w:r>
        <w:r>
          <w:rPr>
            <w:noProof/>
            <w:webHidden/>
          </w:rPr>
          <w:fldChar w:fldCharType="begin"/>
        </w:r>
        <w:r>
          <w:rPr>
            <w:noProof/>
            <w:webHidden/>
          </w:rPr>
          <w:instrText xml:space="preserve"> PAGEREF _Toc216894416 \h </w:instrText>
        </w:r>
        <w:r>
          <w:rPr>
            <w:noProof/>
            <w:webHidden/>
          </w:rPr>
        </w:r>
        <w:r>
          <w:rPr>
            <w:noProof/>
            <w:webHidden/>
          </w:rPr>
          <w:fldChar w:fldCharType="separate"/>
        </w:r>
        <w:r>
          <w:rPr>
            <w:noProof/>
            <w:webHidden/>
          </w:rPr>
          <w:t>2</w:t>
        </w:r>
        <w:r>
          <w:rPr>
            <w:noProof/>
            <w:webHidden/>
          </w:rPr>
          <w:fldChar w:fldCharType="end"/>
        </w:r>
      </w:hyperlink>
    </w:p>
    <w:p w14:paraId="6019377F" w14:textId="77777777" w:rsidR="00613A37" w:rsidRDefault="00BA0FD1">
      <w:pPr>
        <w:pStyle w:val="TOC3"/>
        <w:tabs>
          <w:tab w:val="right" w:leader="dot" w:pos="9016"/>
        </w:tabs>
        <w:rPr>
          <w:rFonts w:ascii="Cambria" w:eastAsia="SimSun" w:hAnsi="Cambria" w:cs="SimSun"/>
          <w:noProof/>
          <w:sz w:val="22"/>
          <w:szCs w:val="22"/>
          <w:lang w:val="en-GB"/>
        </w:rPr>
      </w:pPr>
      <w:hyperlink w:anchor="_Toc216894417" w:history="1">
        <w:r>
          <w:rPr>
            <w:rStyle w:val="Hyperlink"/>
            <w:noProof/>
          </w:rPr>
          <w:t>2.2.1 Profitability Ratios</w:t>
        </w:r>
        <w:r>
          <w:rPr>
            <w:noProof/>
            <w:webHidden/>
          </w:rPr>
          <w:tab/>
        </w:r>
        <w:r>
          <w:rPr>
            <w:noProof/>
            <w:webHidden/>
          </w:rPr>
          <w:fldChar w:fldCharType="begin"/>
        </w:r>
        <w:r>
          <w:rPr>
            <w:noProof/>
            <w:webHidden/>
          </w:rPr>
          <w:instrText xml:space="preserve"> PAGEREF _Toc216894417 \h </w:instrText>
        </w:r>
        <w:r>
          <w:rPr>
            <w:noProof/>
            <w:webHidden/>
          </w:rPr>
        </w:r>
        <w:r>
          <w:rPr>
            <w:noProof/>
            <w:webHidden/>
          </w:rPr>
          <w:fldChar w:fldCharType="separate"/>
        </w:r>
        <w:r>
          <w:rPr>
            <w:noProof/>
            <w:webHidden/>
          </w:rPr>
          <w:t>2</w:t>
        </w:r>
        <w:r>
          <w:rPr>
            <w:noProof/>
            <w:webHidden/>
          </w:rPr>
          <w:fldChar w:fldCharType="end"/>
        </w:r>
      </w:hyperlink>
    </w:p>
    <w:p w14:paraId="4272F241" w14:textId="77777777" w:rsidR="00613A37" w:rsidRDefault="00BA0FD1">
      <w:pPr>
        <w:pStyle w:val="TOC3"/>
        <w:tabs>
          <w:tab w:val="right" w:leader="dot" w:pos="9016"/>
        </w:tabs>
        <w:rPr>
          <w:rFonts w:ascii="Cambria" w:eastAsia="SimSun" w:hAnsi="Cambria" w:cs="SimSun"/>
          <w:noProof/>
          <w:sz w:val="22"/>
          <w:szCs w:val="22"/>
          <w:lang w:val="en-GB"/>
        </w:rPr>
      </w:pPr>
      <w:hyperlink w:anchor="_Toc216894418" w:history="1">
        <w:r>
          <w:rPr>
            <w:rStyle w:val="Hyperlink"/>
            <w:noProof/>
          </w:rPr>
          <w:t>2.2.2 Liquidity Ratios</w:t>
        </w:r>
        <w:r>
          <w:rPr>
            <w:noProof/>
            <w:webHidden/>
          </w:rPr>
          <w:tab/>
        </w:r>
        <w:r>
          <w:rPr>
            <w:noProof/>
            <w:webHidden/>
          </w:rPr>
          <w:fldChar w:fldCharType="begin"/>
        </w:r>
        <w:r>
          <w:rPr>
            <w:noProof/>
            <w:webHidden/>
          </w:rPr>
          <w:instrText xml:space="preserve"> PAGEREF _Toc216894418 \h </w:instrText>
        </w:r>
        <w:r>
          <w:rPr>
            <w:noProof/>
            <w:webHidden/>
          </w:rPr>
        </w:r>
        <w:r>
          <w:rPr>
            <w:noProof/>
            <w:webHidden/>
          </w:rPr>
          <w:fldChar w:fldCharType="separate"/>
        </w:r>
        <w:r>
          <w:rPr>
            <w:noProof/>
            <w:webHidden/>
          </w:rPr>
          <w:t>2</w:t>
        </w:r>
        <w:r>
          <w:rPr>
            <w:noProof/>
            <w:webHidden/>
          </w:rPr>
          <w:fldChar w:fldCharType="end"/>
        </w:r>
      </w:hyperlink>
    </w:p>
    <w:p w14:paraId="4EC48FC3" w14:textId="77777777" w:rsidR="00613A37" w:rsidRDefault="00BA0FD1">
      <w:pPr>
        <w:pStyle w:val="TOC3"/>
        <w:tabs>
          <w:tab w:val="right" w:leader="dot" w:pos="9016"/>
        </w:tabs>
        <w:rPr>
          <w:rFonts w:ascii="Cambria" w:eastAsia="SimSun" w:hAnsi="Cambria" w:cs="SimSun"/>
          <w:noProof/>
          <w:sz w:val="22"/>
          <w:szCs w:val="22"/>
          <w:lang w:val="en-GB"/>
        </w:rPr>
      </w:pPr>
      <w:hyperlink w:anchor="_Toc216894419" w:history="1">
        <w:r>
          <w:rPr>
            <w:rStyle w:val="Hyperlink"/>
            <w:noProof/>
          </w:rPr>
          <w:t>2.2.3 Efficiency Ratios</w:t>
        </w:r>
        <w:r>
          <w:rPr>
            <w:noProof/>
            <w:webHidden/>
          </w:rPr>
          <w:tab/>
        </w:r>
        <w:r>
          <w:rPr>
            <w:noProof/>
            <w:webHidden/>
          </w:rPr>
          <w:fldChar w:fldCharType="begin"/>
        </w:r>
        <w:r>
          <w:rPr>
            <w:noProof/>
            <w:webHidden/>
          </w:rPr>
          <w:instrText xml:space="preserve"> PAGEREF _Toc216894419 \h </w:instrText>
        </w:r>
        <w:r>
          <w:rPr>
            <w:noProof/>
            <w:webHidden/>
          </w:rPr>
        </w:r>
        <w:r>
          <w:rPr>
            <w:noProof/>
            <w:webHidden/>
          </w:rPr>
          <w:fldChar w:fldCharType="separate"/>
        </w:r>
        <w:r>
          <w:rPr>
            <w:noProof/>
            <w:webHidden/>
          </w:rPr>
          <w:t>3</w:t>
        </w:r>
        <w:r>
          <w:rPr>
            <w:noProof/>
            <w:webHidden/>
          </w:rPr>
          <w:fldChar w:fldCharType="end"/>
        </w:r>
      </w:hyperlink>
    </w:p>
    <w:p w14:paraId="65CC181C" w14:textId="77777777" w:rsidR="00613A37" w:rsidRDefault="00BA0FD1">
      <w:pPr>
        <w:pStyle w:val="TOC3"/>
        <w:tabs>
          <w:tab w:val="right" w:leader="dot" w:pos="9016"/>
        </w:tabs>
        <w:rPr>
          <w:rFonts w:ascii="Cambria" w:eastAsia="SimSun" w:hAnsi="Cambria" w:cs="SimSun"/>
          <w:noProof/>
          <w:sz w:val="22"/>
          <w:szCs w:val="22"/>
          <w:lang w:val="en-GB"/>
        </w:rPr>
      </w:pPr>
      <w:hyperlink w:anchor="_Toc216894420" w:history="1">
        <w:r>
          <w:rPr>
            <w:rStyle w:val="Hyperlink"/>
            <w:noProof/>
          </w:rPr>
          <w:t>2.2.4 Leverage Ratios</w:t>
        </w:r>
        <w:r>
          <w:rPr>
            <w:noProof/>
            <w:webHidden/>
          </w:rPr>
          <w:tab/>
        </w:r>
        <w:r>
          <w:rPr>
            <w:noProof/>
            <w:webHidden/>
          </w:rPr>
          <w:fldChar w:fldCharType="begin"/>
        </w:r>
        <w:r>
          <w:rPr>
            <w:noProof/>
            <w:webHidden/>
          </w:rPr>
          <w:instrText xml:space="preserve"> PAGEREF _Toc216894420 \h </w:instrText>
        </w:r>
        <w:r>
          <w:rPr>
            <w:noProof/>
            <w:webHidden/>
          </w:rPr>
        </w:r>
        <w:r>
          <w:rPr>
            <w:noProof/>
            <w:webHidden/>
          </w:rPr>
          <w:fldChar w:fldCharType="separate"/>
        </w:r>
        <w:r>
          <w:rPr>
            <w:noProof/>
            <w:webHidden/>
          </w:rPr>
          <w:t>3</w:t>
        </w:r>
        <w:r>
          <w:rPr>
            <w:noProof/>
            <w:webHidden/>
          </w:rPr>
          <w:fldChar w:fldCharType="end"/>
        </w:r>
      </w:hyperlink>
    </w:p>
    <w:p w14:paraId="61C5D611" w14:textId="77777777" w:rsidR="00613A37" w:rsidRDefault="00BA0FD1">
      <w:pPr>
        <w:pStyle w:val="TOC3"/>
        <w:tabs>
          <w:tab w:val="right" w:leader="dot" w:pos="9016"/>
        </w:tabs>
        <w:rPr>
          <w:rFonts w:ascii="Cambria" w:eastAsia="SimSun" w:hAnsi="Cambria" w:cs="SimSun"/>
          <w:noProof/>
          <w:sz w:val="22"/>
          <w:szCs w:val="22"/>
          <w:lang w:val="en-GB"/>
        </w:rPr>
      </w:pPr>
      <w:hyperlink w:anchor="_Toc216894421" w:history="1">
        <w:r>
          <w:rPr>
            <w:rStyle w:val="Hyperlink"/>
            <w:noProof/>
          </w:rPr>
          <w:t>2.2.5 Cash Flow Ratios</w:t>
        </w:r>
        <w:r>
          <w:rPr>
            <w:noProof/>
            <w:webHidden/>
          </w:rPr>
          <w:tab/>
        </w:r>
        <w:r>
          <w:rPr>
            <w:noProof/>
            <w:webHidden/>
          </w:rPr>
          <w:fldChar w:fldCharType="begin"/>
        </w:r>
        <w:r>
          <w:rPr>
            <w:noProof/>
            <w:webHidden/>
          </w:rPr>
          <w:instrText xml:space="preserve"> PAGEREF _Toc216894421 \h </w:instrText>
        </w:r>
        <w:r>
          <w:rPr>
            <w:noProof/>
            <w:webHidden/>
          </w:rPr>
        </w:r>
        <w:r>
          <w:rPr>
            <w:noProof/>
            <w:webHidden/>
          </w:rPr>
          <w:fldChar w:fldCharType="separate"/>
        </w:r>
        <w:r>
          <w:rPr>
            <w:noProof/>
            <w:webHidden/>
          </w:rPr>
          <w:t>4</w:t>
        </w:r>
        <w:r>
          <w:rPr>
            <w:noProof/>
            <w:webHidden/>
          </w:rPr>
          <w:fldChar w:fldCharType="end"/>
        </w:r>
      </w:hyperlink>
    </w:p>
    <w:p w14:paraId="7DB23997" w14:textId="77777777" w:rsidR="00613A37" w:rsidRDefault="00BA0FD1">
      <w:pPr>
        <w:pStyle w:val="TOC2"/>
        <w:tabs>
          <w:tab w:val="right" w:leader="dot" w:pos="9016"/>
        </w:tabs>
        <w:rPr>
          <w:rFonts w:ascii="Cambria" w:eastAsia="SimSun" w:hAnsi="Cambria" w:cs="SimSun"/>
          <w:noProof/>
          <w:sz w:val="22"/>
          <w:szCs w:val="22"/>
          <w:lang w:val="en-GB"/>
        </w:rPr>
      </w:pPr>
      <w:hyperlink w:anchor="_Toc216894422" w:history="1">
        <w:r>
          <w:rPr>
            <w:rStyle w:val="Hyperlink"/>
            <w:noProof/>
          </w:rPr>
          <w:t>2.3 Identify trends, strengths and threats.</w:t>
        </w:r>
        <w:r>
          <w:rPr>
            <w:noProof/>
            <w:webHidden/>
          </w:rPr>
          <w:tab/>
        </w:r>
        <w:r>
          <w:rPr>
            <w:noProof/>
            <w:webHidden/>
          </w:rPr>
          <w:fldChar w:fldCharType="begin"/>
        </w:r>
        <w:r>
          <w:rPr>
            <w:noProof/>
            <w:webHidden/>
          </w:rPr>
          <w:instrText xml:space="preserve"> PAGEREF _Toc216894422 \h </w:instrText>
        </w:r>
        <w:r>
          <w:rPr>
            <w:noProof/>
            <w:webHidden/>
          </w:rPr>
        </w:r>
        <w:r>
          <w:rPr>
            <w:noProof/>
            <w:webHidden/>
          </w:rPr>
          <w:fldChar w:fldCharType="separate"/>
        </w:r>
        <w:r>
          <w:rPr>
            <w:noProof/>
            <w:webHidden/>
          </w:rPr>
          <w:t>4</w:t>
        </w:r>
        <w:r>
          <w:rPr>
            <w:noProof/>
            <w:webHidden/>
          </w:rPr>
          <w:fldChar w:fldCharType="end"/>
        </w:r>
      </w:hyperlink>
    </w:p>
    <w:p w14:paraId="395859E1" w14:textId="77777777" w:rsidR="00613A37" w:rsidRDefault="00BA0FD1">
      <w:pPr>
        <w:pStyle w:val="TOC2"/>
        <w:tabs>
          <w:tab w:val="right" w:leader="dot" w:pos="9016"/>
        </w:tabs>
        <w:rPr>
          <w:rFonts w:ascii="Cambria" w:eastAsia="SimSun" w:hAnsi="Cambria" w:cs="SimSun"/>
          <w:noProof/>
          <w:sz w:val="22"/>
          <w:szCs w:val="22"/>
          <w:lang w:val="en-GB"/>
        </w:rPr>
      </w:pPr>
      <w:hyperlink w:anchor="_Toc216894423" w:history="1">
        <w:r>
          <w:rPr>
            <w:rStyle w:val="Hyperlink"/>
            <w:noProof/>
          </w:rPr>
          <w:t>2.4 As a Prediction Model of Corporate Failure.</w:t>
        </w:r>
        <w:r>
          <w:rPr>
            <w:noProof/>
            <w:webHidden/>
          </w:rPr>
          <w:tab/>
        </w:r>
        <w:r>
          <w:rPr>
            <w:noProof/>
            <w:webHidden/>
          </w:rPr>
          <w:fldChar w:fldCharType="begin"/>
        </w:r>
        <w:r>
          <w:rPr>
            <w:noProof/>
            <w:webHidden/>
          </w:rPr>
          <w:instrText xml:space="preserve"> PAGEREF _Toc216894423 \h </w:instrText>
        </w:r>
        <w:r>
          <w:rPr>
            <w:noProof/>
            <w:webHidden/>
          </w:rPr>
        </w:r>
        <w:r>
          <w:rPr>
            <w:noProof/>
            <w:webHidden/>
          </w:rPr>
          <w:fldChar w:fldCharType="separate"/>
        </w:r>
        <w:r>
          <w:rPr>
            <w:noProof/>
            <w:webHidden/>
          </w:rPr>
          <w:t>4</w:t>
        </w:r>
        <w:r>
          <w:rPr>
            <w:noProof/>
            <w:webHidden/>
          </w:rPr>
          <w:fldChar w:fldCharType="end"/>
        </w:r>
      </w:hyperlink>
    </w:p>
    <w:p w14:paraId="0D7CE887" w14:textId="77777777" w:rsidR="00613A37" w:rsidRDefault="00BA0FD1">
      <w:pPr>
        <w:pStyle w:val="TOC1"/>
        <w:tabs>
          <w:tab w:val="right" w:leader="dot" w:pos="9016"/>
        </w:tabs>
        <w:rPr>
          <w:rFonts w:ascii="Cambria" w:eastAsia="SimSun" w:hAnsi="Cambria" w:cs="SimSun"/>
          <w:noProof/>
          <w:sz w:val="22"/>
          <w:szCs w:val="22"/>
          <w:lang w:val="en-GB"/>
        </w:rPr>
      </w:pPr>
      <w:hyperlink w:anchor="_Toc216894424" w:history="1">
        <w:r>
          <w:rPr>
            <w:rStyle w:val="Hyperlink"/>
            <w:noProof/>
          </w:rPr>
          <w:t>3.0 Working Capital Management Analysis</w:t>
        </w:r>
        <w:r>
          <w:rPr>
            <w:noProof/>
            <w:webHidden/>
          </w:rPr>
          <w:tab/>
        </w:r>
        <w:r>
          <w:rPr>
            <w:noProof/>
            <w:webHidden/>
          </w:rPr>
          <w:fldChar w:fldCharType="begin"/>
        </w:r>
        <w:r>
          <w:rPr>
            <w:noProof/>
            <w:webHidden/>
          </w:rPr>
          <w:instrText xml:space="preserve"> PAGEREF _Toc216894424 \h </w:instrText>
        </w:r>
        <w:r>
          <w:rPr>
            <w:noProof/>
            <w:webHidden/>
          </w:rPr>
        </w:r>
        <w:r>
          <w:rPr>
            <w:noProof/>
            <w:webHidden/>
          </w:rPr>
          <w:fldChar w:fldCharType="separate"/>
        </w:r>
        <w:r>
          <w:rPr>
            <w:noProof/>
            <w:webHidden/>
          </w:rPr>
          <w:t>6</w:t>
        </w:r>
        <w:r>
          <w:rPr>
            <w:noProof/>
            <w:webHidden/>
          </w:rPr>
          <w:fldChar w:fldCharType="end"/>
        </w:r>
      </w:hyperlink>
    </w:p>
    <w:p w14:paraId="0BF14A14" w14:textId="77777777" w:rsidR="00613A37" w:rsidRDefault="00BA0FD1">
      <w:pPr>
        <w:pStyle w:val="TOC2"/>
        <w:tabs>
          <w:tab w:val="right" w:leader="dot" w:pos="9016"/>
        </w:tabs>
        <w:rPr>
          <w:rFonts w:ascii="Cambria" w:eastAsia="SimSun" w:hAnsi="Cambria" w:cs="SimSun"/>
          <w:noProof/>
          <w:sz w:val="22"/>
          <w:szCs w:val="22"/>
          <w:lang w:val="en-GB"/>
        </w:rPr>
      </w:pPr>
      <w:hyperlink w:anchor="_Toc216894425" w:history="1">
        <w:r>
          <w:rPr>
            <w:rStyle w:val="Hyperlink"/>
            <w:noProof/>
          </w:rPr>
          <w:t>3.1 Assess Cash Operating Cycle.</w:t>
        </w:r>
        <w:r>
          <w:rPr>
            <w:noProof/>
            <w:webHidden/>
          </w:rPr>
          <w:tab/>
        </w:r>
        <w:r>
          <w:rPr>
            <w:noProof/>
            <w:webHidden/>
          </w:rPr>
          <w:fldChar w:fldCharType="begin"/>
        </w:r>
        <w:r>
          <w:rPr>
            <w:noProof/>
            <w:webHidden/>
          </w:rPr>
          <w:instrText xml:space="preserve"> PAGEREF _Toc216894425 \h </w:instrText>
        </w:r>
        <w:r>
          <w:rPr>
            <w:noProof/>
            <w:webHidden/>
          </w:rPr>
        </w:r>
        <w:r>
          <w:rPr>
            <w:noProof/>
            <w:webHidden/>
          </w:rPr>
          <w:fldChar w:fldCharType="separate"/>
        </w:r>
        <w:r>
          <w:rPr>
            <w:noProof/>
            <w:webHidden/>
          </w:rPr>
          <w:t>6</w:t>
        </w:r>
        <w:r>
          <w:rPr>
            <w:noProof/>
            <w:webHidden/>
          </w:rPr>
          <w:fldChar w:fldCharType="end"/>
        </w:r>
      </w:hyperlink>
    </w:p>
    <w:p w14:paraId="42B39C3C" w14:textId="77777777" w:rsidR="00613A37" w:rsidRDefault="00BA0FD1">
      <w:pPr>
        <w:pStyle w:val="TOC2"/>
        <w:tabs>
          <w:tab w:val="right" w:leader="dot" w:pos="9016"/>
        </w:tabs>
        <w:rPr>
          <w:rFonts w:ascii="Cambria" w:eastAsia="SimSun" w:hAnsi="Cambria" w:cs="SimSun"/>
          <w:noProof/>
          <w:sz w:val="22"/>
          <w:szCs w:val="22"/>
          <w:lang w:val="en-GB"/>
        </w:rPr>
      </w:pPr>
      <w:hyperlink w:anchor="_Toc216894426" w:history="1">
        <w:r>
          <w:rPr>
            <w:rStyle w:val="Hyperlink"/>
            <w:noProof/>
          </w:rPr>
          <w:t>3.2 Recommend Strategies to Improve Liquidity</w:t>
        </w:r>
        <w:r>
          <w:rPr>
            <w:noProof/>
            <w:webHidden/>
          </w:rPr>
          <w:tab/>
        </w:r>
        <w:r>
          <w:rPr>
            <w:noProof/>
            <w:webHidden/>
          </w:rPr>
          <w:fldChar w:fldCharType="begin"/>
        </w:r>
        <w:r>
          <w:rPr>
            <w:noProof/>
            <w:webHidden/>
          </w:rPr>
          <w:instrText xml:space="preserve"> PAGEREF _Toc216894426 \h </w:instrText>
        </w:r>
        <w:r>
          <w:rPr>
            <w:noProof/>
            <w:webHidden/>
          </w:rPr>
        </w:r>
        <w:r>
          <w:rPr>
            <w:noProof/>
            <w:webHidden/>
          </w:rPr>
          <w:fldChar w:fldCharType="separate"/>
        </w:r>
        <w:r>
          <w:rPr>
            <w:noProof/>
            <w:webHidden/>
          </w:rPr>
          <w:t>7</w:t>
        </w:r>
        <w:r>
          <w:rPr>
            <w:noProof/>
            <w:webHidden/>
          </w:rPr>
          <w:fldChar w:fldCharType="end"/>
        </w:r>
      </w:hyperlink>
    </w:p>
    <w:p w14:paraId="7F7D81C2" w14:textId="77777777" w:rsidR="00613A37" w:rsidRDefault="00BA0FD1">
      <w:pPr>
        <w:pStyle w:val="TOC3"/>
        <w:tabs>
          <w:tab w:val="right" w:leader="dot" w:pos="9016"/>
        </w:tabs>
        <w:rPr>
          <w:rFonts w:ascii="Cambria" w:eastAsia="SimSun" w:hAnsi="Cambria" w:cs="SimSun"/>
          <w:noProof/>
          <w:sz w:val="22"/>
          <w:szCs w:val="22"/>
          <w:lang w:val="en-GB"/>
        </w:rPr>
      </w:pPr>
      <w:hyperlink w:anchor="_Toc216894427" w:history="1">
        <w:r>
          <w:rPr>
            <w:rStyle w:val="Hyperlink"/>
            <w:noProof/>
          </w:rPr>
          <w:t>3.2.1 Supply chain inventory management:</w:t>
        </w:r>
        <w:r>
          <w:rPr>
            <w:noProof/>
            <w:webHidden/>
          </w:rPr>
          <w:tab/>
        </w:r>
        <w:r>
          <w:rPr>
            <w:noProof/>
            <w:webHidden/>
          </w:rPr>
          <w:fldChar w:fldCharType="begin"/>
        </w:r>
        <w:r>
          <w:rPr>
            <w:noProof/>
            <w:webHidden/>
          </w:rPr>
          <w:instrText xml:space="preserve"> PAGEREF _Toc216894427 \h </w:instrText>
        </w:r>
        <w:r>
          <w:rPr>
            <w:noProof/>
            <w:webHidden/>
          </w:rPr>
        </w:r>
        <w:r>
          <w:rPr>
            <w:noProof/>
            <w:webHidden/>
          </w:rPr>
          <w:fldChar w:fldCharType="separate"/>
        </w:r>
        <w:r>
          <w:rPr>
            <w:noProof/>
            <w:webHidden/>
          </w:rPr>
          <w:t>7</w:t>
        </w:r>
        <w:r>
          <w:rPr>
            <w:noProof/>
            <w:webHidden/>
          </w:rPr>
          <w:fldChar w:fldCharType="end"/>
        </w:r>
      </w:hyperlink>
    </w:p>
    <w:p w14:paraId="0CE7F920" w14:textId="77777777" w:rsidR="00613A37" w:rsidRDefault="00BA0FD1">
      <w:pPr>
        <w:pStyle w:val="TOC3"/>
        <w:tabs>
          <w:tab w:val="right" w:leader="dot" w:pos="9016"/>
        </w:tabs>
        <w:rPr>
          <w:rFonts w:ascii="Cambria" w:eastAsia="SimSun" w:hAnsi="Cambria" w:cs="SimSun"/>
          <w:noProof/>
          <w:sz w:val="22"/>
          <w:szCs w:val="22"/>
          <w:lang w:val="en-GB"/>
        </w:rPr>
      </w:pPr>
      <w:hyperlink w:anchor="_Toc216894428" w:history="1">
        <w:r>
          <w:rPr>
            <w:rStyle w:val="Hyperlink"/>
            <w:noProof/>
          </w:rPr>
          <w:t>3.2.2 Reported Accelerated Accounts Receivable Collection:</w:t>
        </w:r>
        <w:r>
          <w:rPr>
            <w:noProof/>
            <w:webHidden/>
          </w:rPr>
          <w:tab/>
        </w:r>
        <w:r>
          <w:rPr>
            <w:noProof/>
            <w:webHidden/>
          </w:rPr>
          <w:fldChar w:fldCharType="begin"/>
        </w:r>
        <w:r>
          <w:rPr>
            <w:noProof/>
            <w:webHidden/>
          </w:rPr>
          <w:instrText xml:space="preserve"> PAGEREF _Toc216894428 \h </w:instrText>
        </w:r>
        <w:r>
          <w:rPr>
            <w:noProof/>
            <w:webHidden/>
          </w:rPr>
        </w:r>
        <w:r>
          <w:rPr>
            <w:noProof/>
            <w:webHidden/>
          </w:rPr>
          <w:fldChar w:fldCharType="separate"/>
        </w:r>
        <w:r>
          <w:rPr>
            <w:noProof/>
            <w:webHidden/>
          </w:rPr>
          <w:t>7</w:t>
        </w:r>
        <w:r>
          <w:rPr>
            <w:noProof/>
            <w:webHidden/>
          </w:rPr>
          <w:fldChar w:fldCharType="end"/>
        </w:r>
      </w:hyperlink>
    </w:p>
    <w:p w14:paraId="3A4CE7AA" w14:textId="77777777" w:rsidR="00613A37" w:rsidRDefault="00BA0FD1">
      <w:pPr>
        <w:pStyle w:val="TOC3"/>
        <w:tabs>
          <w:tab w:val="right" w:leader="dot" w:pos="9016"/>
        </w:tabs>
        <w:rPr>
          <w:rFonts w:ascii="Cambria" w:eastAsia="SimSun" w:hAnsi="Cambria" w:cs="SimSun"/>
          <w:noProof/>
          <w:sz w:val="22"/>
          <w:szCs w:val="22"/>
          <w:lang w:val="en-GB"/>
        </w:rPr>
      </w:pPr>
      <w:hyperlink w:anchor="_Toc216894429" w:history="1">
        <w:r>
          <w:rPr>
            <w:rStyle w:val="Hyperlink"/>
            <w:noProof/>
          </w:rPr>
          <w:t>3.2.3 Optimise Supplier Payment Terms:</w:t>
        </w:r>
        <w:r>
          <w:rPr>
            <w:noProof/>
            <w:webHidden/>
          </w:rPr>
          <w:tab/>
        </w:r>
        <w:r>
          <w:rPr>
            <w:noProof/>
            <w:webHidden/>
          </w:rPr>
          <w:fldChar w:fldCharType="begin"/>
        </w:r>
        <w:r>
          <w:rPr>
            <w:noProof/>
            <w:webHidden/>
          </w:rPr>
          <w:instrText xml:space="preserve"> PAGEREF _Toc216894429 \h </w:instrText>
        </w:r>
        <w:r>
          <w:rPr>
            <w:noProof/>
            <w:webHidden/>
          </w:rPr>
        </w:r>
        <w:r>
          <w:rPr>
            <w:noProof/>
            <w:webHidden/>
          </w:rPr>
          <w:fldChar w:fldCharType="separate"/>
        </w:r>
        <w:r>
          <w:rPr>
            <w:noProof/>
            <w:webHidden/>
          </w:rPr>
          <w:t>7</w:t>
        </w:r>
        <w:r>
          <w:rPr>
            <w:noProof/>
            <w:webHidden/>
          </w:rPr>
          <w:fldChar w:fldCharType="end"/>
        </w:r>
      </w:hyperlink>
    </w:p>
    <w:p w14:paraId="33603096" w14:textId="77777777" w:rsidR="00613A37" w:rsidRDefault="00BA0FD1">
      <w:pPr>
        <w:pStyle w:val="TOC2"/>
        <w:tabs>
          <w:tab w:val="right" w:leader="dot" w:pos="9016"/>
        </w:tabs>
        <w:rPr>
          <w:rFonts w:ascii="Cambria" w:eastAsia="SimSun" w:hAnsi="Cambria" w:cs="SimSun"/>
          <w:noProof/>
          <w:sz w:val="22"/>
          <w:szCs w:val="22"/>
          <w:lang w:val="en-GB"/>
        </w:rPr>
      </w:pPr>
      <w:hyperlink w:anchor="_Toc216894430" w:history="1">
        <w:r>
          <w:rPr>
            <w:rStyle w:val="Hyperlink"/>
            <w:noProof/>
          </w:rPr>
          <w:t>3.3 Compare Short-term Financing and Long-term Financing.</w:t>
        </w:r>
        <w:r>
          <w:rPr>
            <w:noProof/>
            <w:webHidden/>
          </w:rPr>
          <w:tab/>
        </w:r>
        <w:r>
          <w:rPr>
            <w:noProof/>
            <w:webHidden/>
          </w:rPr>
          <w:fldChar w:fldCharType="begin"/>
        </w:r>
        <w:r>
          <w:rPr>
            <w:noProof/>
            <w:webHidden/>
          </w:rPr>
          <w:instrText xml:space="preserve"> PAGEREF _Toc216894430 \h </w:instrText>
        </w:r>
        <w:r>
          <w:rPr>
            <w:noProof/>
            <w:webHidden/>
          </w:rPr>
        </w:r>
        <w:r>
          <w:rPr>
            <w:noProof/>
            <w:webHidden/>
          </w:rPr>
          <w:fldChar w:fldCharType="separate"/>
        </w:r>
        <w:r>
          <w:rPr>
            <w:noProof/>
            <w:webHidden/>
          </w:rPr>
          <w:t>8</w:t>
        </w:r>
        <w:r>
          <w:rPr>
            <w:noProof/>
            <w:webHidden/>
          </w:rPr>
          <w:fldChar w:fldCharType="end"/>
        </w:r>
      </w:hyperlink>
    </w:p>
    <w:p w14:paraId="0C34BD71" w14:textId="77777777" w:rsidR="00613A37" w:rsidRDefault="00BA0FD1">
      <w:pPr>
        <w:pStyle w:val="TOC3"/>
        <w:tabs>
          <w:tab w:val="right" w:leader="dot" w:pos="9016"/>
        </w:tabs>
        <w:rPr>
          <w:rFonts w:ascii="Cambria" w:eastAsia="SimSun" w:hAnsi="Cambria" w:cs="SimSun"/>
          <w:noProof/>
          <w:sz w:val="22"/>
          <w:szCs w:val="22"/>
          <w:lang w:val="en-GB"/>
        </w:rPr>
      </w:pPr>
      <w:hyperlink w:anchor="_Toc216894431" w:history="1">
        <w:r>
          <w:rPr>
            <w:rStyle w:val="Hyperlink"/>
            <w:noProof/>
          </w:rPr>
          <w:t>3.3.1 Short-Term Financing:</w:t>
        </w:r>
        <w:r>
          <w:rPr>
            <w:noProof/>
            <w:webHidden/>
          </w:rPr>
          <w:tab/>
        </w:r>
        <w:r>
          <w:rPr>
            <w:noProof/>
            <w:webHidden/>
          </w:rPr>
          <w:fldChar w:fldCharType="begin"/>
        </w:r>
        <w:r>
          <w:rPr>
            <w:noProof/>
            <w:webHidden/>
          </w:rPr>
          <w:instrText xml:space="preserve"> PAGEREF _Toc216894431 \h </w:instrText>
        </w:r>
        <w:r>
          <w:rPr>
            <w:noProof/>
            <w:webHidden/>
          </w:rPr>
        </w:r>
        <w:r>
          <w:rPr>
            <w:noProof/>
            <w:webHidden/>
          </w:rPr>
          <w:fldChar w:fldCharType="separate"/>
        </w:r>
        <w:r>
          <w:rPr>
            <w:noProof/>
            <w:webHidden/>
          </w:rPr>
          <w:t>8</w:t>
        </w:r>
        <w:r>
          <w:rPr>
            <w:noProof/>
            <w:webHidden/>
          </w:rPr>
          <w:fldChar w:fldCharType="end"/>
        </w:r>
      </w:hyperlink>
    </w:p>
    <w:p w14:paraId="5E544E72" w14:textId="77777777" w:rsidR="00613A37" w:rsidRDefault="00BA0FD1">
      <w:pPr>
        <w:pStyle w:val="TOC3"/>
        <w:tabs>
          <w:tab w:val="right" w:leader="dot" w:pos="9016"/>
        </w:tabs>
        <w:rPr>
          <w:rFonts w:ascii="Cambria" w:eastAsia="SimSun" w:hAnsi="Cambria" w:cs="SimSun"/>
          <w:noProof/>
          <w:sz w:val="22"/>
          <w:szCs w:val="22"/>
          <w:lang w:val="en-GB"/>
        </w:rPr>
      </w:pPr>
      <w:hyperlink w:anchor="_Toc216894432" w:history="1">
        <w:r>
          <w:rPr>
            <w:rStyle w:val="Hyperlink"/>
            <w:noProof/>
          </w:rPr>
          <w:t>3.3.2 Long-Term Financing:</w:t>
        </w:r>
        <w:r>
          <w:rPr>
            <w:noProof/>
            <w:webHidden/>
          </w:rPr>
          <w:tab/>
        </w:r>
        <w:r>
          <w:rPr>
            <w:noProof/>
            <w:webHidden/>
          </w:rPr>
          <w:fldChar w:fldCharType="begin"/>
        </w:r>
        <w:r>
          <w:rPr>
            <w:noProof/>
            <w:webHidden/>
          </w:rPr>
          <w:instrText xml:space="preserve"> PAGEREF _Toc216894432 \h </w:instrText>
        </w:r>
        <w:r>
          <w:rPr>
            <w:noProof/>
            <w:webHidden/>
          </w:rPr>
        </w:r>
        <w:r>
          <w:rPr>
            <w:noProof/>
            <w:webHidden/>
          </w:rPr>
          <w:fldChar w:fldCharType="separate"/>
        </w:r>
        <w:r>
          <w:rPr>
            <w:noProof/>
            <w:webHidden/>
          </w:rPr>
          <w:t>8</w:t>
        </w:r>
        <w:r>
          <w:rPr>
            <w:noProof/>
            <w:webHidden/>
          </w:rPr>
          <w:fldChar w:fldCharType="end"/>
        </w:r>
      </w:hyperlink>
    </w:p>
    <w:p w14:paraId="635266AB" w14:textId="77777777" w:rsidR="00613A37" w:rsidRDefault="00BA0FD1">
      <w:pPr>
        <w:pStyle w:val="TOC1"/>
        <w:tabs>
          <w:tab w:val="right" w:leader="dot" w:pos="9016"/>
        </w:tabs>
        <w:rPr>
          <w:rFonts w:ascii="Cambria" w:eastAsia="SimSun" w:hAnsi="Cambria" w:cs="SimSun"/>
          <w:noProof/>
          <w:sz w:val="22"/>
          <w:szCs w:val="22"/>
          <w:lang w:val="en-GB"/>
        </w:rPr>
      </w:pPr>
      <w:hyperlink w:anchor="_Toc216894433" w:history="1">
        <w:r>
          <w:rPr>
            <w:rStyle w:val="Hyperlink"/>
            <w:noProof/>
          </w:rPr>
          <w:t>4.0 Strategic Financial Restructuring Plan</w:t>
        </w:r>
        <w:r>
          <w:rPr>
            <w:noProof/>
            <w:webHidden/>
          </w:rPr>
          <w:tab/>
        </w:r>
        <w:r>
          <w:rPr>
            <w:noProof/>
            <w:webHidden/>
          </w:rPr>
          <w:fldChar w:fldCharType="begin"/>
        </w:r>
        <w:r>
          <w:rPr>
            <w:noProof/>
            <w:webHidden/>
          </w:rPr>
          <w:instrText xml:space="preserve"> PAGEREF _Toc216894433 \h </w:instrText>
        </w:r>
        <w:r>
          <w:rPr>
            <w:noProof/>
            <w:webHidden/>
          </w:rPr>
        </w:r>
        <w:r>
          <w:rPr>
            <w:noProof/>
            <w:webHidden/>
          </w:rPr>
          <w:fldChar w:fldCharType="separate"/>
        </w:r>
        <w:r>
          <w:rPr>
            <w:noProof/>
            <w:webHidden/>
          </w:rPr>
          <w:t>10</w:t>
        </w:r>
        <w:r>
          <w:rPr>
            <w:noProof/>
            <w:webHidden/>
          </w:rPr>
          <w:fldChar w:fldCharType="end"/>
        </w:r>
      </w:hyperlink>
    </w:p>
    <w:p w14:paraId="6B39A69A" w14:textId="77777777" w:rsidR="00613A37" w:rsidRDefault="00BA0FD1">
      <w:pPr>
        <w:pStyle w:val="TOC2"/>
        <w:tabs>
          <w:tab w:val="right" w:leader="dot" w:pos="9016"/>
        </w:tabs>
        <w:rPr>
          <w:rFonts w:ascii="Cambria" w:eastAsia="SimSun" w:hAnsi="Cambria" w:cs="SimSun"/>
          <w:noProof/>
          <w:sz w:val="22"/>
          <w:szCs w:val="22"/>
          <w:lang w:val="en-GB"/>
        </w:rPr>
      </w:pPr>
      <w:hyperlink w:anchor="_Toc216894434" w:history="1">
        <w:r>
          <w:rPr>
            <w:rStyle w:val="Hyperlink"/>
            <w:noProof/>
          </w:rPr>
          <w:t>4.1 Suggest Restructuring alternatives.</w:t>
        </w:r>
        <w:r>
          <w:rPr>
            <w:noProof/>
            <w:webHidden/>
          </w:rPr>
          <w:tab/>
        </w:r>
        <w:r>
          <w:rPr>
            <w:noProof/>
            <w:webHidden/>
          </w:rPr>
          <w:fldChar w:fldCharType="begin"/>
        </w:r>
        <w:r>
          <w:rPr>
            <w:noProof/>
            <w:webHidden/>
          </w:rPr>
          <w:instrText xml:space="preserve"> PAGEREF _Toc216894434 \h </w:instrText>
        </w:r>
        <w:r>
          <w:rPr>
            <w:noProof/>
            <w:webHidden/>
          </w:rPr>
        </w:r>
        <w:r>
          <w:rPr>
            <w:noProof/>
            <w:webHidden/>
          </w:rPr>
          <w:fldChar w:fldCharType="separate"/>
        </w:r>
        <w:r>
          <w:rPr>
            <w:noProof/>
            <w:webHidden/>
          </w:rPr>
          <w:t>10</w:t>
        </w:r>
        <w:r>
          <w:rPr>
            <w:noProof/>
            <w:webHidden/>
          </w:rPr>
          <w:fldChar w:fldCharType="end"/>
        </w:r>
      </w:hyperlink>
    </w:p>
    <w:p w14:paraId="1DB96526" w14:textId="77777777" w:rsidR="00613A37" w:rsidRDefault="00BA0FD1">
      <w:pPr>
        <w:pStyle w:val="TOC3"/>
        <w:tabs>
          <w:tab w:val="right" w:leader="dot" w:pos="9016"/>
        </w:tabs>
        <w:rPr>
          <w:rFonts w:ascii="Cambria" w:eastAsia="SimSun" w:hAnsi="Cambria" w:cs="SimSun"/>
          <w:noProof/>
          <w:sz w:val="22"/>
          <w:szCs w:val="22"/>
          <w:lang w:val="en-GB"/>
        </w:rPr>
      </w:pPr>
      <w:hyperlink w:anchor="_Toc216894435" w:history="1">
        <w:r>
          <w:rPr>
            <w:rStyle w:val="Hyperlink"/>
            <w:noProof/>
          </w:rPr>
          <w:t>4.2.1 Divestiture:</w:t>
        </w:r>
        <w:r>
          <w:rPr>
            <w:noProof/>
            <w:webHidden/>
          </w:rPr>
          <w:tab/>
        </w:r>
        <w:r>
          <w:rPr>
            <w:noProof/>
            <w:webHidden/>
          </w:rPr>
          <w:fldChar w:fldCharType="begin"/>
        </w:r>
        <w:r>
          <w:rPr>
            <w:noProof/>
            <w:webHidden/>
          </w:rPr>
          <w:instrText xml:space="preserve"> PAGEREF _Toc216894435 \h </w:instrText>
        </w:r>
        <w:r>
          <w:rPr>
            <w:noProof/>
            <w:webHidden/>
          </w:rPr>
        </w:r>
        <w:r>
          <w:rPr>
            <w:noProof/>
            <w:webHidden/>
          </w:rPr>
          <w:fldChar w:fldCharType="separate"/>
        </w:r>
        <w:r>
          <w:rPr>
            <w:noProof/>
            <w:webHidden/>
          </w:rPr>
          <w:t>10</w:t>
        </w:r>
        <w:r>
          <w:rPr>
            <w:noProof/>
            <w:webHidden/>
          </w:rPr>
          <w:fldChar w:fldCharType="end"/>
        </w:r>
      </w:hyperlink>
    </w:p>
    <w:p w14:paraId="6C6A1860" w14:textId="77777777" w:rsidR="00613A37" w:rsidRDefault="00BA0FD1">
      <w:pPr>
        <w:pStyle w:val="TOC3"/>
        <w:tabs>
          <w:tab w:val="right" w:leader="dot" w:pos="9016"/>
        </w:tabs>
        <w:rPr>
          <w:rFonts w:ascii="Cambria" w:eastAsia="SimSun" w:hAnsi="Cambria" w:cs="SimSun"/>
          <w:noProof/>
          <w:sz w:val="22"/>
          <w:szCs w:val="22"/>
          <w:lang w:val="en-GB"/>
        </w:rPr>
      </w:pPr>
      <w:hyperlink w:anchor="_Toc216894436" w:history="1">
        <w:r>
          <w:rPr>
            <w:rStyle w:val="Hyperlink"/>
            <w:noProof/>
          </w:rPr>
          <w:t>4.2.2 Merger or Acquisition:</w:t>
        </w:r>
        <w:r>
          <w:rPr>
            <w:noProof/>
            <w:webHidden/>
          </w:rPr>
          <w:tab/>
        </w:r>
        <w:r>
          <w:rPr>
            <w:noProof/>
            <w:webHidden/>
          </w:rPr>
          <w:fldChar w:fldCharType="begin"/>
        </w:r>
        <w:r>
          <w:rPr>
            <w:noProof/>
            <w:webHidden/>
          </w:rPr>
          <w:instrText xml:space="preserve"> PAGEREF _Toc216894436 \h </w:instrText>
        </w:r>
        <w:r>
          <w:rPr>
            <w:noProof/>
            <w:webHidden/>
          </w:rPr>
        </w:r>
        <w:r>
          <w:rPr>
            <w:noProof/>
            <w:webHidden/>
          </w:rPr>
          <w:fldChar w:fldCharType="separate"/>
        </w:r>
        <w:r>
          <w:rPr>
            <w:noProof/>
            <w:webHidden/>
          </w:rPr>
          <w:t>10</w:t>
        </w:r>
        <w:r>
          <w:rPr>
            <w:noProof/>
            <w:webHidden/>
          </w:rPr>
          <w:fldChar w:fldCharType="end"/>
        </w:r>
      </w:hyperlink>
    </w:p>
    <w:p w14:paraId="3D361635" w14:textId="77777777" w:rsidR="00613A37" w:rsidRDefault="00BA0FD1">
      <w:pPr>
        <w:pStyle w:val="TOC3"/>
        <w:tabs>
          <w:tab w:val="right" w:leader="dot" w:pos="9016"/>
        </w:tabs>
        <w:rPr>
          <w:rFonts w:ascii="Cambria" w:eastAsia="SimSun" w:hAnsi="Cambria" w:cs="SimSun"/>
          <w:noProof/>
          <w:sz w:val="22"/>
          <w:szCs w:val="22"/>
          <w:lang w:val="en-GB"/>
        </w:rPr>
      </w:pPr>
      <w:hyperlink w:anchor="_Toc216894437" w:history="1">
        <w:r>
          <w:rPr>
            <w:rStyle w:val="Hyperlink"/>
            <w:noProof/>
          </w:rPr>
          <w:t>4.2.3 Equity Injection:</w:t>
        </w:r>
        <w:r>
          <w:rPr>
            <w:noProof/>
            <w:webHidden/>
          </w:rPr>
          <w:tab/>
        </w:r>
        <w:r>
          <w:rPr>
            <w:noProof/>
            <w:webHidden/>
          </w:rPr>
          <w:fldChar w:fldCharType="begin"/>
        </w:r>
        <w:r>
          <w:rPr>
            <w:noProof/>
            <w:webHidden/>
          </w:rPr>
          <w:instrText xml:space="preserve"> PAGEREF _Toc216894437 \h </w:instrText>
        </w:r>
        <w:r>
          <w:rPr>
            <w:noProof/>
            <w:webHidden/>
          </w:rPr>
        </w:r>
        <w:r>
          <w:rPr>
            <w:noProof/>
            <w:webHidden/>
          </w:rPr>
          <w:fldChar w:fldCharType="separate"/>
        </w:r>
        <w:r>
          <w:rPr>
            <w:noProof/>
            <w:webHidden/>
          </w:rPr>
          <w:t>10</w:t>
        </w:r>
        <w:r>
          <w:rPr>
            <w:noProof/>
            <w:webHidden/>
          </w:rPr>
          <w:fldChar w:fldCharType="end"/>
        </w:r>
      </w:hyperlink>
    </w:p>
    <w:p w14:paraId="5EFEC858" w14:textId="77777777" w:rsidR="00613A37" w:rsidRDefault="00BA0FD1">
      <w:pPr>
        <w:pStyle w:val="TOC2"/>
        <w:tabs>
          <w:tab w:val="right" w:leader="dot" w:pos="9016"/>
        </w:tabs>
        <w:rPr>
          <w:rFonts w:ascii="Cambria" w:eastAsia="SimSun" w:hAnsi="Cambria" w:cs="SimSun"/>
          <w:noProof/>
          <w:sz w:val="22"/>
          <w:szCs w:val="22"/>
          <w:lang w:val="en-GB"/>
        </w:rPr>
      </w:pPr>
      <w:hyperlink w:anchor="_Toc216894438" w:history="1">
        <w:r>
          <w:rPr>
            <w:rStyle w:val="Hyperlink"/>
            <w:noProof/>
          </w:rPr>
          <w:t>4.2 Evaluate Impacts on Shareholder Value, Debt Structure, and Operational Flexibility</w:t>
        </w:r>
        <w:r>
          <w:rPr>
            <w:noProof/>
            <w:webHidden/>
          </w:rPr>
          <w:tab/>
        </w:r>
        <w:r>
          <w:rPr>
            <w:noProof/>
            <w:webHidden/>
          </w:rPr>
          <w:fldChar w:fldCharType="begin"/>
        </w:r>
        <w:r>
          <w:rPr>
            <w:noProof/>
            <w:webHidden/>
          </w:rPr>
          <w:instrText xml:space="preserve"> PAGEREF _Toc216894438 \h </w:instrText>
        </w:r>
        <w:r>
          <w:rPr>
            <w:noProof/>
            <w:webHidden/>
          </w:rPr>
        </w:r>
        <w:r>
          <w:rPr>
            <w:noProof/>
            <w:webHidden/>
          </w:rPr>
          <w:fldChar w:fldCharType="separate"/>
        </w:r>
        <w:r>
          <w:rPr>
            <w:noProof/>
            <w:webHidden/>
          </w:rPr>
          <w:t>11</w:t>
        </w:r>
        <w:r>
          <w:rPr>
            <w:noProof/>
            <w:webHidden/>
          </w:rPr>
          <w:fldChar w:fldCharType="end"/>
        </w:r>
      </w:hyperlink>
    </w:p>
    <w:p w14:paraId="6F58B0AE" w14:textId="77777777" w:rsidR="00613A37" w:rsidRDefault="00BA0FD1">
      <w:pPr>
        <w:pStyle w:val="TOC3"/>
        <w:tabs>
          <w:tab w:val="right" w:leader="dot" w:pos="9016"/>
        </w:tabs>
        <w:rPr>
          <w:rFonts w:ascii="Cambria" w:eastAsia="SimSun" w:hAnsi="Cambria" w:cs="SimSun"/>
          <w:noProof/>
          <w:sz w:val="22"/>
          <w:szCs w:val="22"/>
          <w:lang w:val="en-GB"/>
        </w:rPr>
      </w:pPr>
      <w:hyperlink w:anchor="_Toc216894439" w:history="1">
        <w:r>
          <w:rPr>
            <w:rStyle w:val="Hyperlink"/>
            <w:noProof/>
          </w:rPr>
          <w:t>4.2.1 Shareholder Value:</w:t>
        </w:r>
        <w:r>
          <w:rPr>
            <w:noProof/>
            <w:webHidden/>
          </w:rPr>
          <w:tab/>
        </w:r>
        <w:r>
          <w:rPr>
            <w:noProof/>
            <w:webHidden/>
          </w:rPr>
          <w:fldChar w:fldCharType="begin"/>
        </w:r>
        <w:r>
          <w:rPr>
            <w:noProof/>
            <w:webHidden/>
          </w:rPr>
          <w:instrText xml:space="preserve"> PAGEREF _Toc216894439 \h </w:instrText>
        </w:r>
        <w:r>
          <w:rPr>
            <w:noProof/>
            <w:webHidden/>
          </w:rPr>
        </w:r>
        <w:r>
          <w:rPr>
            <w:noProof/>
            <w:webHidden/>
          </w:rPr>
          <w:fldChar w:fldCharType="separate"/>
        </w:r>
        <w:r>
          <w:rPr>
            <w:noProof/>
            <w:webHidden/>
          </w:rPr>
          <w:t>11</w:t>
        </w:r>
        <w:r>
          <w:rPr>
            <w:noProof/>
            <w:webHidden/>
          </w:rPr>
          <w:fldChar w:fldCharType="end"/>
        </w:r>
      </w:hyperlink>
    </w:p>
    <w:p w14:paraId="387F05D0" w14:textId="77777777" w:rsidR="00613A37" w:rsidRDefault="00BA0FD1">
      <w:pPr>
        <w:pStyle w:val="TOC3"/>
        <w:tabs>
          <w:tab w:val="right" w:leader="dot" w:pos="9016"/>
        </w:tabs>
        <w:rPr>
          <w:rFonts w:ascii="Cambria" w:eastAsia="SimSun" w:hAnsi="Cambria" w:cs="SimSun"/>
          <w:noProof/>
          <w:sz w:val="22"/>
          <w:szCs w:val="22"/>
          <w:lang w:val="en-GB"/>
        </w:rPr>
      </w:pPr>
      <w:hyperlink w:anchor="_Toc216894440" w:history="1">
        <w:r>
          <w:rPr>
            <w:rStyle w:val="Hyperlink"/>
            <w:noProof/>
          </w:rPr>
          <w:t>4.2.2 Debt Structure:</w:t>
        </w:r>
        <w:r>
          <w:rPr>
            <w:noProof/>
            <w:webHidden/>
          </w:rPr>
          <w:tab/>
        </w:r>
        <w:r>
          <w:rPr>
            <w:noProof/>
            <w:webHidden/>
          </w:rPr>
          <w:fldChar w:fldCharType="begin"/>
        </w:r>
        <w:r>
          <w:rPr>
            <w:noProof/>
            <w:webHidden/>
          </w:rPr>
          <w:instrText xml:space="preserve"> PAGEREF _Toc216894440 \h </w:instrText>
        </w:r>
        <w:r>
          <w:rPr>
            <w:noProof/>
            <w:webHidden/>
          </w:rPr>
        </w:r>
        <w:r>
          <w:rPr>
            <w:noProof/>
            <w:webHidden/>
          </w:rPr>
          <w:fldChar w:fldCharType="separate"/>
        </w:r>
        <w:r>
          <w:rPr>
            <w:noProof/>
            <w:webHidden/>
          </w:rPr>
          <w:t>11</w:t>
        </w:r>
        <w:r>
          <w:rPr>
            <w:noProof/>
            <w:webHidden/>
          </w:rPr>
          <w:fldChar w:fldCharType="end"/>
        </w:r>
      </w:hyperlink>
    </w:p>
    <w:p w14:paraId="7C0EC71D" w14:textId="77777777" w:rsidR="00613A37" w:rsidRDefault="00BA0FD1">
      <w:pPr>
        <w:pStyle w:val="TOC3"/>
        <w:tabs>
          <w:tab w:val="right" w:leader="dot" w:pos="9016"/>
        </w:tabs>
        <w:rPr>
          <w:rFonts w:ascii="Cambria" w:eastAsia="SimSun" w:hAnsi="Cambria" w:cs="SimSun"/>
          <w:noProof/>
          <w:sz w:val="22"/>
          <w:szCs w:val="22"/>
          <w:lang w:val="en-GB"/>
        </w:rPr>
      </w:pPr>
      <w:hyperlink w:anchor="_Toc216894441" w:history="1">
        <w:r>
          <w:rPr>
            <w:rStyle w:val="Hyperlink"/>
            <w:noProof/>
          </w:rPr>
          <w:t>4.2.3 Operational Flexibility:</w:t>
        </w:r>
        <w:r>
          <w:rPr>
            <w:noProof/>
            <w:webHidden/>
          </w:rPr>
          <w:tab/>
        </w:r>
        <w:r>
          <w:rPr>
            <w:noProof/>
            <w:webHidden/>
          </w:rPr>
          <w:fldChar w:fldCharType="begin"/>
        </w:r>
        <w:r>
          <w:rPr>
            <w:noProof/>
            <w:webHidden/>
          </w:rPr>
          <w:instrText xml:space="preserve"> PAGEREF _Toc216894441 \h </w:instrText>
        </w:r>
        <w:r>
          <w:rPr>
            <w:noProof/>
            <w:webHidden/>
          </w:rPr>
        </w:r>
        <w:r>
          <w:rPr>
            <w:noProof/>
            <w:webHidden/>
          </w:rPr>
          <w:fldChar w:fldCharType="separate"/>
        </w:r>
        <w:r>
          <w:rPr>
            <w:noProof/>
            <w:webHidden/>
          </w:rPr>
          <w:t>12</w:t>
        </w:r>
        <w:r>
          <w:rPr>
            <w:noProof/>
            <w:webHidden/>
          </w:rPr>
          <w:fldChar w:fldCharType="end"/>
        </w:r>
      </w:hyperlink>
    </w:p>
    <w:p w14:paraId="5DF99979" w14:textId="77777777" w:rsidR="00613A37" w:rsidRDefault="00BA0FD1">
      <w:pPr>
        <w:pStyle w:val="TOC2"/>
        <w:tabs>
          <w:tab w:val="right" w:leader="dot" w:pos="9016"/>
        </w:tabs>
        <w:rPr>
          <w:rFonts w:ascii="Cambria" w:eastAsia="SimSun" w:hAnsi="Cambria" w:cs="SimSun"/>
          <w:noProof/>
          <w:sz w:val="22"/>
          <w:szCs w:val="22"/>
          <w:lang w:val="en-GB"/>
        </w:rPr>
      </w:pPr>
      <w:hyperlink w:anchor="_Toc216894442" w:history="1">
        <w:r>
          <w:rPr>
            <w:rStyle w:val="Hyperlink"/>
            <w:noProof/>
          </w:rPr>
          <w:t>4.3 Include International and Ethical Considerations</w:t>
        </w:r>
        <w:r>
          <w:rPr>
            <w:noProof/>
            <w:webHidden/>
          </w:rPr>
          <w:tab/>
        </w:r>
        <w:r>
          <w:rPr>
            <w:noProof/>
            <w:webHidden/>
          </w:rPr>
          <w:fldChar w:fldCharType="begin"/>
        </w:r>
        <w:r>
          <w:rPr>
            <w:noProof/>
            <w:webHidden/>
          </w:rPr>
          <w:instrText xml:space="preserve"> PAGEREF _Toc216894442 \h </w:instrText>
        </w:r>
        <w:r>
          <w:rPr>
            <w:noProof/>
            <w:webHidden/>
          </w:rPr>
        </w:r>
        <w:r>
          <w:rPr>
            <w:noProof/>
            <w:webHidden/>
          </w:rPr>
          <w:fldChar w:fldCharType="separate"/>
        </w:r>
        <w:r>
          <w:rPr>
            <w:noProof/>
            <w:webHidden/>
          </w:rPr>
          <w:t>12</w:t>
        </w:r>
        <w:r>
          <w:rPr>
            <w:noProof/>
            <w:webHidden/>
          </w:rPr>
          <w:fldChar w:fldCharType="end"/>
        </w:r>
      </w:hyperlink>
    </w:p>
    <w:p w14:paraId="4B818D0D" w14:textId="77777777" w:rsidR="00613A37" w:rsidRDefault="00BA0FD1">
      <w:pPr>
        <w:pStyle w:val="TOC3"/>
        <w:tabs>
          <w:tab w:val="right" w:leader="dot" w:pos="9016"/>
        </w:tabs>
        <w:rPr>
          <w:rFonts w:ascii="Cambria" w:eastAsia="SimSun" w:hAnsi="Cambria" w:cs="SimSun"/>
          <w:noProof/>
          <w:sz w:val="22"/>
          <w:szCs w:val="22"/>
          <w:lang w:val="en-GB"/>
        </w:rPr>
      </w:pPr>
      <w:hyperlink w:anchor="_Toc216894443" w:history="1">
        <w:r>
          <w:rPr>
            <w:rStyle w:val="Hyperlink"/>
            <w:noProof/>
          </w:rPr>
          <w:t>4.3.1 Taxation-Regulatory Compliance.</w:t>
        </w:r>
        <w:r>
          <w:rPr>
            <w:noProof/>
            <w:webHidden/>
          </w:rPr>
          <w:tab/>
        </w:r>
        <w:r>
          <w:rPr>
            <w:noProof/>
            <w:webHidden/>
          </w:rPr>
          <w:fldChar w:fldCharType="begin"/>
        </w:r>
        <w:r>
          <w:rPr>
            <w:noProof/>
            <w:webHidden/>
          </w:rPr>
          <w:instrText xml:space="preserve"> PAGEREF _Toc216894443 \h </w:instrText>
        </w:r>
        <w:r>
          <w:rPr>
            <w:noProof/>
            <w:webHidden/>
          </w:rPr>
        </w:r>
        <w:r>
          <w:rPr>
            <w:noProof/>
            <w:webHidden/>
          </w:rPr>
          <w:fldChar w:fldCharType="separate"/>
        </w:r>
        <w:r>
          <w:rPr>
            <w:noProof/>
            <w:webHidden/>
          </w:rPr>
          <w:t>12</w:t>
        </w:r>
        <w:r>
          <w:rPr>
            <w:noProof/>
            <w:webHidden/>
          </w:rPr>
          <w:fldChar w:fldCharType="end"/>
        </w:r>
      </w:hyperlink>
    </w:p>
    <w:p w14:paraId="440CFA3F" w14:textId="77777777" w:rsidR="00613A37" w:rsidRDefault="00BA0FD1">
      <w:pPr>
        <w:pStyle w:val="TOC3"/>
        <w:tabs>
          <w:tab w:val="right" w:leader="dot" w:pos="9016"/>
        </w:tabs>
        <w:rPr>
          <w:rFonts w:ascii="Cambria" w:eastAsia="SimSun" w:hAnsi="Cambria" w:cs="SimSun"/>
          <w:noProof/>
          <w:sz w:val="22"/>
          <w:szCs w:val="22"/>
          <w:lang w:val="en-GB"/>
        </w:rPr>
      </w:pPr>
      <w:hyperlink w:anchor="_Toc216894444" w:history="1">
        <w:r>
          <w:rPr>
            <w:rStyle w:val="Hyperlink"/>
            <w:noProof/>
          </w:rPr>
          <w:t>4.3.2 Currency Risk and Inflation Exposure.</w:t>
        </w:r>
        <w:r>
          <w:rPr>
            <w:noProof/>
            <w:webHidden/>
          </w:rPr>
          <w:tab/>
        </w:r>
        <w:r>
          <w:rPr>
            <w:noProof/>
            <w:webHidden/>
          </w:rPr>
          <w:fldChar w:fldCharType="begin"/>
        </w:r>
        <w:r>
          <w:rPr>
            <w:noProof/>
            <w:webHidden/>
          </w:rPr>
          <w:instrText xml:space="preserve"> PAGEREF _Toc216894444 \h </w:instrText>
        </w:r>
        <w:r>
          <w:rPr>
            <w:noProof/>
            <w:webHidden/>
          </w:rPr>
        </w:r>
        <w:r>
          <w:rPr>
            <w:noProof/>
            <w:webHidden/>
          </w:rPr>
          <w:fldChar w:fldCharType="separate"/>
        </w:r>
        <w:r>
          <w:rPr>
            <w:noProof/>
            <w:webHidden/>
          </w:rPr>
          <w:t>12</w:t>
        </w:r>
        <w:r>
          <w:rPr>
            <w:noProof/>
            <w:webHidden/>
          </w:rPr>
          <w:fldChar w:fldCharType="end"/>
        </w:r>
      </w:hyperlink>
    </w:p>
    <w:p w14:paraId="40E92A83" w14:textId="77777777" w:rsidR="00613A37" w:rsidRDefault="00BA0FD1">
      <w:pPr>
        <w:pStyle w:val="TOC3"/>
        <w:tabs>
          <w:tab w:val="right" w:leader="dot" w:pos="9016"/>
        </w:tabs>
        <w:rPr>
          <w:rFonts w:ascii="Cambria" w:eastAsia="SimSun" w:hAnsi="Cambria" w:cs="SimSun"/>
          <w:noProof/>
          <w:sz w:val="22"/>
          <w:szCs w:val="22"/>
          <w:lang w:val="en-GB"/>
        </w:rPr>
      </w:pPr>
      <w:hyperlink w:anchor="_Toc216894445" w:history="1">
        <w:r>
          <w:rPr>
            <w:rStyle w:val="Hyperlink"/>
            <w:noProof/>
          </w:rPr>
          <w:t>4.3.3 Corporate Social Obligations (CSR) Ethical Obligations.</w:t>
        </w:r>
        <w:r>
          <w:rPr>
            <w:noProof/>
            <w:webHidden/>
          </w:rPr>
          <w:tab/>
        </w:r>
        <w:r>
          <w:rPr>
            <w:noProof/>
            <w:webHidden/>
          </w:rPr>
          <w:fldChar w:fldCharType="begin"/>
        </w:r>
        <w:r>
          <w:rPr>
            <w:noProof/>
            <w:webHidden/>
          </w:rPr>
          <w:instrText xml:space="preserve"> PAGEREF _Toc216894445 \h </w:instrText>
        </w:r>
        <w:r>
          <w:rPr>
            <w:noProof/>
            <w:webHidden/>
          </w:rPr>
        </w:r>
        <w:r>
          <w:rPr>
            <w:noProof/>
            <w:webHidden/>
          </w:rPr>
          <w:fldChar w:fldCharType="separate"/>
        </w:r>
        <w:r>
          <w:rPr>
            <w:noProof/>
            <w:webHidden/>
          </w:rPr>
          <w:t>13</w:t>
        </w:r>
        <w:r>
          <w:rPr>
            <w:noProof/>
            <w:webHidden/>
          </w:rPr>
          <w:fldChar w:fldCharType="end"/>
        </w:r>
      </w:hyperlink>
    </w:p>
    <w:p w14:paraId="4C10C572" w14:textId="77777777" w:rsidR="00613A37" w:rsidRDefault="00BA0FD1">
      <w:pPr>
        <w:pStyle w:val="TOC1"/>
        <w:tabs>
          <w:tab w:val="right" w:leader="dot" w:pos="9016"/>
        </w:tabs>
        <w:rPr>
          <w:rFonts w:ascii="Cambria" w:eastAsia="SimSun" w:hAnsi="Cambria" w:cs="SimSun"/>
          <w:noProof/>
          <w:sz w:val="22"/>
          <w:szCs w:val="22"/>
          <w:lang w:val="en-GB"/>
        </w:rPr>
      </w:pPr>
      <w:hyperlink w:anchor="_Toc216894446" w:history="1">
        <w:r>
          <w:rPr>
            <w:rStyle w:val="Hyperlink"/>
            <w:noProof/>
          </w:rPr>
          <w:t>5.0 Investment Appraisal and Capital Budgeting</w:t>
        </w:r>
        <w:r>
          <w:rPr>
            <w:noProof/>
            <w:webHidden/>
          </w:rPr>
          <w:tab/>
        </w:r>
        <w:r>
          <w:rPr>
            <w:noProof/>
            <w:webHidden/>
          </w:rPr>
          <w:fldChar w:fldCharType="begin"/>
        </w:r>
        <w:r>
          <w:rPr>
            <w:noProof/>
            <w:webHidden/>
          </w:rPr>
          <w:instrText xml:space="preserve"> PAGEREF _Toc216894446 \h </w:instrText>
        </w:r>
        <w:r>
          <w:rPr>
            <w:noProof/>
            <w:webHidden/>
          </w:rPr>
        </w:r>
        <w:r>
          <w:rPr>
            <w:noProof/>
            <w:webHidden/>
          </w:rPr>
          <w:fldChar w:fldCharType="separate"/>
        </w:r>
        <w:r>
          <w:rPr>
            <w:noProof/>
            <w:webHidden/>
          </w:rPr>
          <w:t>14</w:t>
        </w:r>
        <w:r>
          <w:rPr>
            <w:noProof/>
            <w:webHidden/>
          </w:rPr>
          <w:fldChar w:fldCharType="end"/>
        </w:r>
      </w:hyperlink>
    </w:p>
    <w:p w14:paraId="3A7388CC" w14:textId="77777777" w:rsidR="00613A37" w:rsidRDefault="00BA0FD1">
      <w:pPr>
        <w:pStyle w:val="TOC2"/>
        <w:tabs>
          <w:tab w:val="right" w:leader="dot" w:pos="9016"/>
        </w:tabs>
        <w:rPr>
          <w:rFonts w:ascii="Cambria" w:eastAsia="SimSun" w:hAnsi="Cambria" w:cs="SimSun"/>
          <w:noProof/>
          <w:sz w:val="22"/>
          <w:szCs w:val="22"/>
          <w:lang w:val="en-GB"/>
        </w:rPr>
      </w:pPr>
      <w:hyperlink w:anchor="_Toc216894447" w:history="1">
        <w:r>
          <w:rPr>
            <w:rStyle w:val="Hyperlink"/>
            <w:noProof/>
          </w:rPr>
          <w:t>5.1 The project details</w:t>
        </w:r>
        <w:r>
          <w:rPr>
            <w:noProof/>
            <w:webHidden/>
          </w:rPr>
          <w:tab/>
        </w:r>
        <w:r>
          <w:rPr>
            <w:noProof/>
            <w:webHidden/>
          </w:rPr>
          <w:fldChar w:fldCharType="begin"/>
        </w:r>
        <w:r>
          <w:rPr>
            <w:noProof/>
            <w:webHidden/>
          </w:rPr>
          <w:instrText xml:space="preserve"> PAGEREF _Toc216894447 \h </w:instrText>
        </w:r>
        <w:r>
          <w:rPr>
            <w:noProof/>
            <w:webHidden/>
          </w:rPr>
        </w:r>
        <w:r>
          <w:rPr>
            <w:noProof/>
            <w:webHidden/>
          </w:rPr>
          <w:fldChar w:fldCharType="separate"/>
        </w:r>
        <w:r>
          <w:rPr>
            <w:noProof/>
            <w:webHidden/>
          </w:rPr>
          <w:t>14</w:t>
        </w:r>
        <w:r>
          <w:rPr>
            <w:noProof/>
            <w:webHidden/>
          </w:rPr>
          <w:fldChar w:fldCharType="end"/>
        </w:r>
      </w:hyperlink>
    </w:p>
    <w:p w14:paraId="7D53C08A" w14:textId="77777777" w:rsidR="00613A37" w:rsidRDefault="00BA0FD1">
      <w:pPr>
        <w:pStyle w:val="TOC2"/>
        <w:tabs>
          <w:tab w:val="right" w:leader="dot" w:pos="9016"/>
        </w:tabs>
        <w:rPr>
          <w:rFonts w:ascii="Cambria" w:eastAsia="SimSun" w:hAnsi="Cambria" w:cs="SimSun"/>
          <w:noProof/>
          <w:sz w:val="22"/>
          <w:szCs w:val="22"/>
          <w:lang w:val="en-GB"/>
        </w:rPr>
      </w:pPr>
      <w:hyperlink w:anchor="_Toc216894448" w:history="1">
        <w:r>
          <w:rPr>
            <w:rStyle w:val="Hyperlink"/>
            <w:noProof/>
          </w:rPr>
          <w:t>5.2 Final Investment Recommendation</w:t>
        </w:r>
        <w:r>
          <w:rPr>
            <w:noProof/>
            <w:webHidden/>
          </w:rPr>
          <w:tab/>
        </w:r>
        <w:r>
          <w:rPr>
            <w:noProof/>
            <w:webHidden/>
          </w:rPr>
          <w:fldChar w:fldCharType="begin"/>
        </w:r>
        <w:r>
          <w:rPr>
            <w:noProof/>
            <w:webHidden/>
          </w:rPr>
          <w:instrText xml:space="preserve"> PAGEREF _Toc216894448 \h </w:instrText>
        </w:r>
        <w:r>
          <w:rPr>
            <w:noProof/>
            <w:webHidden/>
          </w:rPr>
        </w:r>
        <w:r>
          <w:rPr>
            <w:noProof/>
            <w:webHidden/>
          </w:rPr>
          <w:fldChar w:fldCharType="separate"/>
        </w:r>
        <w:r>
          <w:rPr>
            <w:noProof/>
            <w:webHidden/>
          </w:rPr>
          <w:t>15</w:t>
        </w:r>
        <w:r>
          <w:rPr>
            <w:noProof/>
            <w:webHidden/>
          </w:rPr>
          <w:fldChar w:fldCharType="end"/>
        </w:r>
      </w:hyperlink>
    </w:p>
    <w:p w14:paraId="110E6473" w14:textId="77777777" w:rsidR="00613A37" w:rsidRDefault="00BA0FD1">
      <w:pPr>
        <w:pStyle w:val="TOC2"/>
        <w:tabs>
          <w:tab w:val="right" w:leader="dot" w:pos="9016"/>
        </w:tabs>
        <w:rPr>
          <w:rFonts w:ascii="Cambria" w:eastAsia="SimSun" w:hAnsi="Cambria" w:cs="SimSun"/>
          <w:noProof/>
          <w:sz w:val="22"/>
          <w:szCs w:val="22"/>
          <w:lang w:val="en-GB"/>
        </w:rPr>
      </w:pPr>
      <w:hyperlink w:anchor="_Toc216894449" w:history="1">
        <w:r>
          <w:rPr>
            <w:rStyle w:val="Hyperlink"/>
            <w:noProof/>
          </w:rPr>
          <w:t>5.3 Justification for the Recommendation</w:t>
        </w:r>
        <w:r>
          <w:rPr>
            <w:noProof/>
            <w:webHidden/>
          </w:rPr>
          <w:tab/>
        </w:r>
        <w:r>
          <w:rPr>
            <w:noProof/>
            <w:webHidden/>
          </w:rPr>
          <w:fldChar w:fldCharType="begin"/>
        </w:r>
        <w:r>
          <w:rPr>
            <w:noProof/>
            <w:webHidden/>
          </w:rPr>
          <w:instrText xml:space="preserve"> PAGEREF _Toc216894449 \h </w:instrText>
        </w:r>
        <w:r>
          <w:rPr>
            <w:noProof/>
            <w:webHidden/>
          </w:rPr>
        </w:r>
        <w:r>
          <w:rPr>
            <w:noProof/>
            <w:webHidden/>
          </w:rPr>
          <w:fldChar w:fldCharType="separate"/>
        </w:r>
        <w:r>
          <w:rPr>
            <w:noProof/>
            <w:webHidden/>
          </w:rPr>
          <w:t>16</w:t>
        </w:r>
        <w:r>
          <w:rPr>
            <w:noProof/>
            <w:webHidden/>
          </w:rPr>
          <w:fldChar w:fldCharType="end"/>
        </w:r>
      </w:hyperlink>
    </w:p>
    <w:p w14:paraId="70303C0F" w14:textId="77777777" w:rsidR="00613A37" w:rsidRDefault="00BA0FD1">
      <w:pPr>
        <w:pStyle w:val="TOC1"/>
        <w:tabs>
          <w:tab w:val="right" w:leader="dot" w:pos="9016"/>
        </w:tabs>
        <w:rPr>
          <w:rFonts w:ascii="Cambria" w:eastAsia="SimSun" w:hAnsi="Cambria" w:cs="SimSun"/>
          <w:noProof/>
          <w:sz w:val="22"/>
          <w:szCs w:val="22"/>
          <w:lang w:val="en-GB"/>
        </w:rPr>
      </w:pPr>
      <w:hyperlink w:anchor="_Toc216894450" w:history="1">
        <w:r>
          <w:rPr>
            <w:rStyle w:val="Hyperlink"/>
            <w:noProof/>
          </w:rPr>
          <w:t>6.0 Conclusion</w:t>
        </w:r>
        <w:r>
          <w:rPr>
            <w:noProof/>
            <w:webHidden/>
          </w:rPr>
          <w:tab/>
        </w:r>
        <w:r>
          <w:rPr>
            <w:noProof/>
            <w:webHidden/>
          </w:rPr>
          <w:fldChar w:fldCharType="begin"/>
        </w:r>
        <w:r>
          <w:rPr>
            <w:noProof/>
            <w:webHidden/>
          </w:rPr>
          <w:instrText xml:space="preserve"> PAGEREF _Toc216894450 \h </w:instrText>
        </w:r>
        <w:r>
          <w:rPr>
            <w:noProof/>
            <w:webHidden/>
          </w:rPr>
        </w:r>
        <w:r>
          <w:rPr>
            <w:noProof/>
            <w:webHidden/>
          </w:rPr>
          <w:fldChar w:fldCharType="separate"/>
        </w:r>
        <w:r>
          <w:rPr>
            <w:noProof/>
            <w:webHidden/>
          </w:rPr>
          <w:t>18</w:t>
        </w:r>
        <w:r>
          <w:rPr>
            <w:noProof/>
            <w:webHidden/>
          </w:rPr>
          <w:fldChar w:fldCharType="end"/>
        </w:r>
      </w:hyperlink>
    </w:p>
    <w:p w14:paraId="057CF2B4" w14:textId="77777777" w:rsidR="00613A37" w:rsidRDefault="00BA0FD1">
      <w:pPr>
        <w:pStyle w:val="TOC1"/>
        <w:tabs>
          <w:tab w:val="right" w:leader="dot" w:pos="9016"/>
        </w:tabs>
        <w:rPr>
          <w:rFonts w:ascii="Cambria" w:eastAsia="SimSun" w:hAnsi="Cambria" w:cs="SimSun"/>
          <w:noProof/>
          <w:sz w:val="22"/>
          <w:szCs w:val="22"/>
          <w:lang w:val="en-GB"/>
        </w:rPr>
      </w:pPr>
      <w:hyperlink w:anchor="_Toc216894451" w:history="1">
        <w:r>
          <w:rPr>
            <w:rStyle w:val="Hyperlink"/>
            <w:noProof/>
          </w:rPr>
          <w:t>7.0 References</w:t>
        </w:r>
        <w:r>
          <w:rPr>
            <w:noProof/>
            <w:webHidden/>
          </w:rPr>
          <w:tab/>
        </w:r>
        <w:r>
          <w:rPr>
            <w:noProof/>
            <w:webHidden/>
          </w:rPr>
          <w:fldChar w:fldCharType="begin"/>
        </w:r>
        <w:r>
          <w:rPr>
            <w:noProof/>
            <w:webHidden/>
          </w:rPr>
          <w:instrText xml:space="preserve"> PAGEREF _Toc216894451 \h </w:instrText>
        </w:r>
        <w:r>
          <w:rPr>
            <w:noProof/>
            <w:webHidden/>
          </w:rPr>
        </w:r>
        <w:r>
          <w:rPr>
            <w:noProof/>
            <w:webHidden/>
          </w:rPr>
          <w:fldChar w:fldCharType="separate"/>
        </w:r>
        <w:r>
          <w:rPr>
            <w:noProof/>
            <w:webHidden/>
          </w:rPr>
          <w:t>19</w:t>
        </w:r>
        <w:r>
          <w:rPr>
            <w:noProof/>
            <w:webHidden/>
          </w:rPr>
          <w:fldChar w:fldCharType="end"/>
        </w:r>
      </w:hyperlink>
    </w:p>
    <w:p w14:paraId="2577A268" w14:textId="77777777" w:rsidR="00613A37" w:rsidRDefault="00BA0FD1">
      <w:pPr>
        <w:pStyle w:val="TOC1"/>
        <w:tabs>
          <w:tab w:val="right" w:leader="dot" w:pos="9016"/>
        </w:tabs>
        <w:rPr>
          <w:rFonts w:ascii="Cambria" w:eastAsia="SimSun" w:hAnsi="Cambria" w:cs="SimSun"/>
          <w:noProof/>
          <w:sz w:val="22"/>
          <w:szCs w:val="22"/>
          <w:lang w:val="en-GB"/>
        </w:rPr>
      </w:pPr>
      <w:hyperlink w:anchor="_Toc216894452" w:history="1">
        <w:r>
          <w:rPr>
            <w:rStyle w:val="Hyperlink"/>
            <w:noProof/>
          </w:rPr>
          <w:t>8.0 Appendix</w:t>
        </w:r>
        <w:r>
          <w:rPr>
            <w:noProof/>
            <w:webHidden/>
          </w:rPr>
          <w:tab/>
        </w:r>
        <w:r>
          <w:rPr>
            <w:noProof/>
            <w:webHidden/>
          </w:rPr>
          <w:fldChar w:fldCharType="begin"/>
        </w:r>
        <w:r>
          <w:rPr>
            <w:noProof/>
            <w:webHidden/>
          </w:rPr>
          <w:instrText xml:space="preserve"> PAGEREF _Toc216894452 \h </w:instrText>
        </w:r>
        <w:r>
          <w:rPr>
            <w:noProof/>
            <w:webHidden/>
          </w:rPr>
        </w:r>
        <w:r>
          <w:rPr>
            <w:noProof/>
            <w:webHidden/>
          </w:rPr>
          <w:fldChar w:fldCharType="separate"/>
        </w:r>
        <w:r>
          <w:rPr>
            <w:noProof/>
            <w:webHidden/>
          </w:rPr>
          <w:t>22</w:t>
        </w:r>
        <w:r>
          <w:rPr>
            <w:noProof/>
            <w:webHidden/>
          </w:rPr>
          <w:fldChar w:fldCharType="end"/>
        </w:r>
      </w:hyperlink>
    </w:p>
    <w:p w14:paraId="799E4067" w14:textId="77777777" w:rsidR="00444FD6" w:rsidRDefault="00BA0FD1">
      <w:r>
        <w:rPr>
          <w:b/>
          <w:bCs/>
          <w:noProof/>
        </w:rPr>
        <w:fldChar w:fldCharType="end"/>
      </w:r>
    </w:p>
    <w:p w14:paraId="47199A57" w14:textId="77777777" w:rsidR="00444FD6" w:rsidRDefault="00CC34DB">
      <w:r>
        <w:br w:type="page"/>
      </w:r>
    </w:p>
    <w:p w14:paraId="3C42DD3D" w14:textId="77777777" w:rsidR="00444FD6" w:rsidRDefault="00444FD6">
      <w:pPr>
        <w:pStyle w:val="Heading1"/>
        <w:sectPr w:rsidR="00444FD6">
          <w:footerReference w:type="default" r:id="rId9"/>
          <w:pgSz w:w="11906" w:h="16838" w:code="9"/>
          <w:pgMar w:top="1440" w:right="1440" w:bottom="1440" w:left="1440" w:header="720" w:footer="720" w:gutter="0"/>
          <w:pgNumType w:fmt="lowerRoman" w:start="1"/>
          <w:cols w:space="720"/>
          <w:docGrid w:linePitch="326"/>
        </w:sectPr>
      </w:pPr>
      <w:bookmarkStart w:id="0" w:name="_606zljfsnydd" w:colFirst="0" w:colLast="0"/>
      <w:bookmarkEnd w:id="0"/>
    </w:p>
    <w:p w14:paraId="6C2E3AA2" w14:textId="77777777" w:rsidR="00444FD6" w:rsidRDefault="00CC34DB">
      <w:pPr>
        <w:pStyle w:val="Heading1"/>
      </w:pPr>
      <w:bookmarkStart w:id="1" w:name="_Toc216894413"/>
      <w:r>
        <w:t>1.0 Introduction</w:t>
      </w:r>
      <w:bookmarkEnd w:id="1"/>
    </w:p>
    <w:p w14:paraId="448C5203" w14:textId="77777777" w:rsidR="00444FD6" w:rsidRDefault="00CC34DB">
      <w:r>
        <w:t>This report will provide a more informed discussion regarding the financial health of General Electronics, which is now in trouble over its financial situation in terms of profitability, liquidity and growing leverage. In this report, the amount of investment opportunities that could be pursued with the objective of achieving the best returns on investment and limiting risks that may be encountered will be examined. The capital rationing constraint has a limit threshold of zero or a maximum of GBP60 million</w:t>
      </w:r>
      <w:r>
        <w:t xml:space="preserve"> since the maximum investments will be addressed in the constraint. It will be compared to a blend of financial analysis, corporate failure prediction model and working capital management strategy to create a prescription that would be implemented to improve the future of the company. It will start with the analysis of the general electronic financial statements, that is income statement, balance sheet and cash flow statement. </w:t>
      </w:r>
    </w:p>
    <w:p w14:paraId="56330BFD" w14:textId="77777777" w:rsidR="00444FD6" w:rsidRDefault="00444FD6"/>
    <w:p w14:paraId="7F5FCD03" w14:textId="77777777" w:rsidR="00444FD6" w:rsidRDefault="00CC34DB">
      <w:r>
        <w:t>Besides the analysis of data on the financial statements, the report will also involve the corporate failure prediction models the Altman Z-Score, to determine the likelihood of bankruptcy and financial distress. This will assist the firm to know its risk profile and intervene in the eventuality of its vulnerability. The working capital management analysis will involve the consideration of the cash operating cycle and give a recommendation on how to enhance the resultant liquidity, i.e. appropriating the in</w:t>
      </w:r>
      <w:r>
        <w:t>ventory control, accounts receivable and accounts payable. Lastly, three of the suggested investment projects will be discussed in the report based on investment appraisal computation calculations of Payback Period (PBP), Accounting rate of return (ARR), Net Present Value (NPV), Profitability Index (PI) and Internal Rate of Return (IRR). It is against this that the majority of viable projects will be floated, and these will be based on the financial performance and capital rationing scenarios of General Ele</w:t>
      </w:r>
      <w:r>
        <w:t>ctronics that will act in a guiding hand towards growth and sustainability of the companies.</w:t>
      </w:r>
    </w:p>
    <w:p w14:paraId="1948DFB5" w14:textId="77777777" w:rsidR="00444FD6" w:rsidRDefault="00CC34DB">
      <w:r>
        <w:br w:type="page"/>
      </w:r>
    </w:p>
    <w:p w14:paraId="1BBAE0B9" w14:textId="77777777" w:rsidR="00444FD6" w:rsidRDefault="00CC34DB">
      <w:pPr>
        <w:pStyle w:val="Heading1"/>
      </w:pPr>
      <w:bookmarkStart w:id="2" w:name="_3xizzc4svalg" w:colFirst="0" w:colLast="0"/>
      <w:bookmarkStart w:id="3" w:name="_Toc216894414"/>
      <w:bookmarkEnd w:id="2"/>
      <w:r>
        <w:t>2.0 Financial Health Check</w:t>
      </w:r>
      <w:bookmarkEnd w:id="3"/>
    </w:p>
    <w:p w14:paraId="6B4BD4FF" w14:textId="77777777" w:rsidR="00444FD6" w:rsidRDefault="00CC34DB">
      <w:pPr>
        <w:pStyle w:val="Heading2"/>
      </w:pPr>
      <w:bookmarkStart w:id="4" w:name="_g4hdwjercul5" w:colFirst="0" w:colLast="0"/>
      <w:bookmarkStart w:id="5" w:name="_Toc216894415"/>
      <w:bookmarkEnd w:id="4"/>
      <w:r>
        <w:t>2.1 Analyse the Firm’s Financial Statement</w:t>
      </w:r>
      <w:bookmarkEnd w:id="5"/>
    </w:p>
    <w:p w14:paraId="573738E4" w14:textId="77777777" w:rsidR="00444FD6" w:rsidRDefault="00CC34DB">
      <w:r>
        <w:t>The direction is highly challenging and informative based on the General Electric financial statements of 2020-2024. The income statement reveals that the net income has reduced drastically in the previous years, and in the latest year, 2023, the company has suffered a loss of £98,238 million. This drastic 53% downturn indicates a malfunction in the business's operational parameters, specifically in terms of profitability. The net sales and gross profit have been consistently growing at a negative spiral si</w:t>
      </w:r>
      <w:r>
        <w:t>nce 2020, hence suggesting that there might be a problem in its sales volume or the sales selling philosophy (Hansen, 2024). The balance sheet indicates that shareholder equity declined over time, and the decline is expected to continue in 2023, depicting poor financial status. The current ratio of the company as of 2024 is 1.53, which demonstrates a lack of liquidity of the company, though it is not as bad as the critical value of 1.</w:t>
      </w:r>
    </w:p>
    <w:p w14:paraId="7C8E5F36" w14:textId="77777777" w:rsidR="00444FD6" w:rsidRDefault="00444FD6"/>
    <w:p w14:paraId="7CE79964" w14:textId="77777777" w:rsidR="00444FD6" w:rsidRDefault="00CC34DB">
      <w:pPr>
        <w:pStyle w:val="Heading2"/>
      </w:pPr>
      <w:bookmarkStart w:id="6" w:name="_pb41izm49ntp" w:colFirst="0" w:colLast="0"/>
      <w:bookmarkStart w:id="7" w:name="_Toc216894416"/>
      <w:bookmarkEnd w:id="6"/>
      <w:r>
        <w:t>2.2 Perform Ratio Analysis</w:t>
      </w:r>
      <w:bookmarkEnd w:id="7"/>
    </w:p>
    <w:p w14:paraId="5BF49E6B" w14:textId="77777777" w:rsidR="00444FD6" w:rsidRDefault="00CC34DB">
      <w:pPr>
        <w:pStyle w:val="Heading3"/>
      </w:pPr>
      <w:bookmarkStart w:id="8" w:name="_chxd0tlrb7v1" w:colFirst="0" w:colLast="0"/>
      <w:bookmarkStart w:id="9" w:name="_Toc216894417"/>
      <w:bookmarkEnd w:id="8"/>
      <w:r>
        <w:t>2.2.1 Profitability Ratios</w:t>
      </w:r>
      <w:bookmarkEnd w:id="9"/>
    </w:p>
    <w:p w14:paraId="526E49E8" w14:textId="77777777" w:rsidR="00444FD6" w:rsidRDefault="00444FD6"/>
    <w:p w14:paraId="6C163DB8" w14:textId="77777777" w:rsidR="00444FD6" w:rsidRDefault="00CC34DB">
      <w:r>
        <w:t>Its gross profit margin has ranged between 28.62 and 28.87 since 2020 and 2024. This implies that, regardless of the hurdles that this firm has encountered, the firm has enjoyed a relatively stable position to make gross profits out of its sales. This is, however, below the industry levels, but this is where the company also has to undertake the responsibility of seeing that its cost of sales or pricing policy is also enhanced as it tries to enhance profitability (Sitinjak et al., 2023). The margin went dow</w:t>
      </w:r>
      <w:r>
        <w:t xml:space="preserve">n to a considerable extent in 2023, that is, due to the intensifying cost or deteriorating sales volume. The operating profit margin was negative in 2024 as well, with a value of -3.88 per cent. Such a negative value is terrifying since it means that the operating cost of the company is exceeding the gross profit, and hence it is likely to suffer cash issues. </w:t>
      </w:r>
    </w:p>
    <w:p w14:paraId="2C4AA006" w14:textId="77777777" w:rsidR="00444FD6" w:rsidRDefault="00444FD6"/>
    <w:p w14:paraId="45E9DA79" w14:textId="77777777" w:rsidR="00444FD6" w:rsidRDefault="00CC34DB">
      <w:pPr>
        <w:pStyle w:val="Heading3"/>
      </w:pPr>
      <w:bookmarkStart w:id="10" w:name="_51qbh4uszvgw" w:colFirst="0" w:colLast="0"/>
      <w:bookmarkStart w:id="11" w:name="_Toc216894418"/>
      <w:bookmarkEnd w:id="10"/>
      <w:r>
        <w:t>2.2.2 Liquidity Ratios</w:t>
      </w:r>
      <w:bookmarkEnd w:id="11"/>
    </w:p>
    <w:p w14:paraId="376F3B0F" w14:textId="77777777" w:rsidR="00444FD6" w:rsidRDefault="00444FD6">
      <w:pPr>
        <w:jc w:val="center"/>
      </w:pPr>
    </w:p>
    <w:p w14:paraId="413985E4" w14:textId="77777777" w:rsidR="00444FD6" w:rsidRDefault="00CC34DB">
      <w:r>
        <w:t>The downward trend is observed in the current ratio, whereby both current ratios in 2020 and 2024 have been recorded as 1.82 and 1.53, respectively. It means that the company possesses sufficient current assets to cover its current liabilities in spite of its tendency to approach the view of the critical sphere of 1. A ratio of less than 1 would enhance the probability of liquidity risks (Sitinjak et al., 2023). The company must make efforts to correct the problem of liquidity by managing working capital an</w:t>
      </w:r>
      <w:r>
        <w:t>d cash flows, among others. The quick ratio has not ranked highly in 2024 (1.03), indicating that the company is not able to pay its present debts using the least liquid funds. A ratio below one would mean that the business would not clear the outstanding liabilities should an emergency arise, hence a cause of worry for the creditors and investors regarding the future of the business (Hansen, 2024).</w:t>
      </w:r>
    </w:p>
    <w:p w14:paraId="56D254B1" w14:textId="77777777" w:rsidR="00444FD6" w:rsidRDefault="00444FD6"/>
    <w:p w14:paraId="5E07F479" w14:textId="77777777" w:rsidR="00444FD6" w:rsidRDefault="00CC34DB">
      <w:pPr>
        <w:pStyle w:val="Heading3"/>
      </w:pPr>
      <w:bookmarkStart w:id="12" w:name="_n6mmbbklx5lw" w:colFirst="0" w:colLast="0"/>
      <w:bookmarkStart w:id="13" w:name="_Toc216894419"/>
      <w:bookmarkEnd w:id="12"/>
      <w:r>
        <w:t>2.2.3 Efficiency Ratios</w:t>
      </w:r>
      <w:bookmarkEnd w:id="13"/>
    </w:p>
    <w:p w14:paraId="723AAE8E" w14:textId="77777777" w:rsidR="00444FD6" w:rsidRDefault="00444FD6">
      <w:pPr>
        <w:jc w:val="center"/>
      </w:pPr>
    </w:p>
    <w:p w14:paraId="50476D4E" w14:textId="77777777" w:rsidR="00444FD6" w:rsidRDefault="00CC34DB">
      <w:r>
        <w:t xml:space="preserve">The inventory turnover ratio has been in the range as it was two years ago, due to the values that lie between 2.82 in 2023 and 3.64 in 2020. Although this means that the firm is doing well in the management of its stocks, this ratio can be optimised further in such a way that the firm lowers the cost of carrying and excessive inventories that might lead to cash turnover and profitability (Shapiro and Hanouna, 2019). Accounts receivable turnover has been constant, recording a turnover of 4.75 in 2020 and a </w:t>
      </w:r>
      <w:r>
        <w:t xml:space="preserve">turnover of 3.48 in 2024. The turnover ratio decreases, which is an indication that the firm is becoming slower in terms of the receipt of funds. Improved management of receivables must be done. The pressure on the assets in the assets turnover ratio has been at 1.20 in the year 2020, but decreased to 1.22 in the year 2024. </w:t>
      </w:r>
    </w:p>
    <w:p w14:paraId="5F391C94" w14:textId="77777777" w:rsidR="00444FD6" w:rsidRDefault="00CC34DB">
      <w:r>
        <w:t xml:space="preserve"> </w:t>
      </w:r>
    </w:p>
    <w:p w14:paraId="2D0A5267" w14:textId="77777777" w:rsidR="00444FD6" w:rsidRDefault="00CC34DB">
      <w:pPr>
        <w:pStyle w:val="Heading3"/>
      </w:pPr>
      <w:bookmarkStart w:id="14" w:name="_4eo4cfuaid7" w:colFirst="0" w:colLast="0"/>
      <w:bookmarkStart w:id="15" w:name="_Toc216894420"/>
      <w:bookmarkEnd w:id="14"/>
      <w:r>
        <w:t>2.2.4 Leverage Ratios</w:t>
      </w:r>
      <w:bookmarkEnd w:id="15"/>
    </w:p>
    <w:p w14:paraId="0007FDD5" w14:textId="77777777" w:rsidR="00444FD6" w:rsidRDefault="00444FD6">
      <w:pPr>
        <w:jc w:val="center"/>
      </w:pPr>
    </w:p>
    <w:p w14:paraId="4DA181A3" w14:textId="77777777" w:rsidR="00444FD6" w:rsidRDefault="00CC34DB">
      <w:r>
        <w:t>Its debt-to-equity ratio had grown from 0.63 in 2020 to 1.11 in 2024. It is an encouraging sign that means that more money will be on the debt financing, which is a source of more financial risk. This vast number of debts can further perpetuate the inability of the companies to repay the debt interest and even lead to bankruptcy (Barth and Miller, 2018). Continuously, the ratio of interest coverage turned out to be negative as early as 2023 and reached its lowest in 2024 at -4.55, and this means that the co</w:t>
      </w:r>
      <w:r>
        <w:t>mpany is in a cycle of struggling to cover its interest. This indicates that it is found in a place where it is under severe financial desperation, and chances are that it is either forced to reorganise or recapitalise its debt to keep afloat.</w:t>
      </w:r>
    </w:p>
    <w:p w14:paraId="47F718F7" w14:textId="77777777" w:rsidR="00444FD6" w:rsidRDefault="00CC34DB">
      <w:r>
        <w:t xml:space="preserve"> </w:t>
      </w:r>
    </w:p>
    <w:p w14:paraId="6D859F88" w14:textId="77777777" w:rsidR="00444FD6" w:rsidRDefault="00CC34DB">
      <w:pPr>
        <w:pStyle w:val="Heading3"/>
      </w:pPr>
      <w:bookmarkStart w:id="16" w:name="_qtiri1aejtox" w:colFirst="0" w:colLast="0"/>
      <w:bookmarkStart w:id="17" w:name="_Toc216894421"/>
      <w:bookmarkEnd w:id="16"/>
      <w:r>
        <w:t>2.2.5 Cash Flow Ratios</w:t>
      </w:r>
      <w:bookmarkEnd w:id="17"/>
    </w:p>
    <w:p w14:paraId="3A462283" w14:textId="77777777" w:rsidR="00444FD6" w:rsidRDefault="00444FD6">
      <w:pPr>
        <w:jc w:val="center"/>
      </w:pPr>
    </w:p>
    <w:p w14:paraId="2FA6CA0B" w14:textId="77777777" w:rsidR="00444FD6" w:rsidRDefault="00CC34DB">
      <w:r>
        <w:t>The reason why it is important is that it helps determine the cash-generating capability of a company and the liquidity status of a firm (Madura, 2021). The ratios are used in analysing how the company can use the available funds to pay the current debt and operate the business without necessarily having to depend on external sources of funds. The other important ratios used in depicting the flow of cash include the Operating Cash Flow Ratio, which involves the capability of an organisation to settle its cu</w:t>
      </w:r>
      <w:r>
        <w:t xml:space="preserve">rrent liabilities using cash generated as the organisation goes about its day-to-day activities (Das, 2019). Free Cash flow, which denotes the amount of cash that can be used to meet the growth and pay off debts or dividends to the shareholders. </w:t>
      </w:r>
    </w:p>
    <w:p w14:paraId="2CA1C24B" w14:textId="77777777" w:rsidR="00444FD6" w:rsidRDefault="00444FD6"/>
    <w:p w14:paraId="54A776DC" w14:textId="77777777" w:rsidR="00444FD6" w:rsidRDefault="00CC34DB">
      <w:pPr>
        <w:pStyle w:val="Heading2"/>
      </w:pPr>
      <w:bookmarkStart w:id="18" w:name="_l0igoloiwmqm" w:colFirst="0" w:colLast="0"/>
      <w:bookmarkStart w:id="19" w:name="_Toc216894422"/>
      <w:bookmarkEnd w:id="18"/>
      <w:r>
        <w:t>2.3 Identify trends, strengths and threats.</w:t>
      </w:r>
      <w:bookmarkEnd w:id="19"/>
      <w:r>
        <w:t xml:space="preserve"> </w:t>
      </w:r>
    </w:p>
    <w:p w14:paraId="3787B7EE" w14:textId="77777777" w:rsidR="00444FD6" w:rsidRDefault="00CC34DB">
      <w:r>
        <w:t>The net income declined tremendously, and the operating margin shows a negative value in 2023. The current ratio is moving on a reducing trend, and consequently, it is likely to have liquidity issues in the future. It also has an increasing pattern of debt-to-equity ratio, implying that the company is using a greater proportion of debt to operate its businesses, and therefore, it may fall into insolvency risks unless it is properly managed (Simply Wall St, 2025). The company is experiencing a sustained gros</w:t>
      </w:r>
      <w:r>
        <w:t>s profit margin, which portrays perfect control over its costs in sales. The asset turnover ratio shows that the company has been able to put its resources to effective use. An increasing interest coverage ratio and negative operating profit margin indicate that the company possesses some financial problems, and it must also be rectified soon. This would be a risk to the firm as it will not be able to fund its operation and clear its debts with the negative cash flow by the year 2024.</w:t>
      </w:r>
    </w:p>
    <w:p w14:paraId="6CA7EF6A" w14:textId="77777777" w:rsidR="00444FD6" w:rsidRDefault="00444FD6"/>
    <w:p w14:paraId="5ACB06D5" w14:textId="07EEB575" w:rsidR="00444FD6" w:rsidRDefault="00CC34DB" w:rsidP="00EB4D9A">
      <w:pPr>
        <w:pStyle w:val="Heading2"/>
      </w:pPr>
      <w:bookmarkStart w:id="20" w:name="_hbu19v6twxbe" w:colFirst="0" w:colLast="0"/>
      <w:bookmarkStart w:id="21" w:name="_Toc216894423"/>
      <w:bookmarkEnd w:id="20"/>
      <w:r>
        <w:t>2.4 As a Prediction Model of Corporate Failure.</w:t>
      </w:r>
      <w:bookmarkEnd w:id="21"/>
    </w:p>
    <w:p w14:paraId="39D1FFE2" w14:textId="77777777" w:rsidR="00444FD6" w:rsidRDefault="00CC34DB">
      <w:r>
        <w:t>G</w:t>
      </w:r>
      <w:r>
        <w:t xml:space="preserve">eneral Electronics is a financially dynamic company which is within its Altman Z-score for 2020-24 years to prescribe. The Z-score currently stands at </w:t>
      </w:r>
      <w:r>
        <w:t>2</w:t>
      </w:r>
      <w:r>
        <w:t>.8</w:t>
      </w:r>
      <w:r>
        <w:t>2</w:t>
      </w:r>
      <w:r>
        <w:t xml:space="preserve">, and it is also falling within the safe range between </w:t>
      </w:r>
      <w:r>
        <w:t>1.81</w:t>
      </w:r>
      <w:r>
        <w:t xml:space="preserve"> and </w:t>
      </w:r>
      <w:r>
        <w:t>2.99</w:t>
      </w:r>
      <w:r>
        <w:t>, indicating that the probability of bankruptcy is low. Nevertheless, the trend of the previous year is more likely to be heading in the direction of financial distress in the years 2023 and 2024, by far more so than the trend of the Z-Score would have been reduced to something below 3. Z</w:t>
      </w:r>
      <w:r>
        <w:t xml:space="preserve">-score is </w:t>
      </w:r>
      <w:r>
        <w:t>2.24</w:t>
      </w:r>
      <w:r>
        <w:t xml:space="preserve"> and </w:t>
      </w:r>
      <w:r>
        <w:t>2.82</w:t>
      </w:r>
      <w:r>
        <w:t xml:space="preserve"> in 2023 and 202</w:t>
      </w:r>
      <w:r>
        <w:t>4</w:t>
      </w:r>
      <w:r>
        <w:t xml:space="preserve">, respectively, and this puts the company into the grey zone. This is a sign that the company has been enjoying a stable financial situation in the past, but has </w:t>
      </w:r>
      <w:r>
        <w:t>some</w:t>
      </w:r>
      <w:r>
        <w:t xml:space="preserve"> issues with regard to solvency (Altman et al., 2017). These are ominous signs of the negative percentage value of the growth of profitability and the negative operating income of the past few years. Negative interest coverage ratio and high debt-to-equity ratio of 2024 also bring this financial pressure </w:t>
      </w:r>
      <w:r>
        <w:t xml:space="preserve">into the limelight. The company must be reorganised or refinanced at the earliest opportunity to enable it to improve its financial standing (Rashid et al., </w:t>
      </w:r>
      <w:r>
        <w:t>2</w:t>
      </w:r>
      <w:r>
        <w:t xml:space="preserve">024). The Altman Z-Score is sending a </w:t>
      </w:r>
      <w:r>
        <w:t>decent</w:t>
      </w:r>
      <w:r>
        <w:t xml:space="preserve"> picture that the firm will be in 2024, but it is of critical importance that the company needs to regulate the deteriorating performance of operations and rising dependence on debts. </w:t>
      </w:r>
      <w:r>
        <w:br w:type="page"/>
      </w:r>
    </w:p>
    <w:p w14:paraId="48524729" w14:textId="77777777" w:rsidR="00444FD6" w:rsidRDefault="00CC34DB">
      <w:pPr>
        <w:pStyle w:val="Heading1"/>
      </w:pPr>
      <w:bookmarkStart w:id="22" w:name="_8j3adou8ii7t" w:colFirst="0" w:colLast="0"/>
      <w:bookmarkStart w:id="23" w:name="_Toc216894424"/>
      <w:bookmarkEnd w:id="22"/>
      <w:r>
        <w:t>3.0 Working Capital Management Analysis</w:t>
      </w:r>
      <w:bookmarkEnd w:id="23"/>
    </w:p>
    <w:p w14:paraId="1780C35E" w14:textId="77777777" w:rsidR="00444FD6" w:rsidRDefault="00CC34DB">
      <w:pPr>
        <w:pStyle w:val="Heading2"/>
      </w:pPr>
      <w:bookmarkStart w:id="24" w:name="_ifjg13j5ygjx" w:colFirst="0" w:colLast="0"/>
      <w:bookmarkStart w:id="25" w:name="_Toc216894425"/>
      <w:bookmarkEnd w:id="24"/>
      <w:r>
        <w:t>3.1 Assess Cash Operating Cycle.</w:t>
      </w:r>
      <w:bookmarkEnd w:id="25"/>
    </w:p>
    <w:p w14:paraId="0DC08123" w14:textId="0A7D20DB" w:rsidR="00444FD6" w:rsidRDefault="00CC34DB">
      <w:r>
        <w:t>The analysis of the cash operating cycle (COC) of General Electronics for the 2020-24 period introduces some significant elements of working capital management of the company. The COC of the company is 115.06 days, which suggests that the company can use a lengthy time to convert its own investments in inventory and other receivables to cash, considering the payables (Dehghanfard and Moslemi, 2020). It is worrying because it may be among the indicators that it is not effective in the management of the inven</w:t>
      </w:r>
      <w:r>
        <w:t xml:space="preserve">tory, the rate at which it collects the receivables or supplier payment terms are lengthy. Although Inventory Days (103.12 days) is also relatively high compared to 2024 (103.12 days), it is very average when the industry standards are taken into consideration; still, it can be improved to </w:t>
      </w:r>
      <w:proofErr w:type="spellStart"/>
      <w:r>
        <w:t>minimise</w:t>
      </w:r>
      <w:proofErr w:type="spellEnd"/>
      <w:r>
        <w:t xml:space="preserve"> holding costs.</w:t>
      </w:r>
    </w:p>
    <w:p w14:paraId="3AAAFFBE" w14:textId="73BF522D" w:rsidR="00444FD6" w:rsidRDefault="00CC34DB">
      <w:r>
        <w:t xml:space="preserve">Accounts Receivable Days </w:t>
      </w:r>
      <w:r>
        <w:t>of 105.54 days indicate that the company is taking a very long time to receive its money back from the customers, and this is in itself affecting the cash flow directly. Accounts Payable Days was 2024, which may indicate that it takes a long time for its payable to settle, but it may also indicate that it has over-relied on the payable to finance its operations (Asman et al., 2022). The company must consider reducing the cycle as much as possible to ensure that it is liquid and efficient regarding operation</w:t>
      </w:r>
      <w:r>
        <w:t>s.</w:t>
      </w:r>
    </w:p>
    <w:p w14:paraId="4D21E0A8" w14:textId="77777777" w:rsidR="00444FD6" w:rsidRDefault="00444FD6"/>
    <w:p w14:paraId="27B4758F" w14:textId="77777777" w:rsidR="00444FD6" w:rsidRDefault="00444FD6"/>
    <w:p w14:paraId="510EB156" w14:textId="77777777" w:rsidR="00444FD6" w:rsidRDefault="00CC34DB">
      <w:pPr>
        <w:pStyle w:val="Heading2"/>
      </w:pPr>
      <w:bookmarkStart w:id="26" w:name="_brgwygwlb8hj" w:colFirst="0" w:colLast="0"/>
      <w:bookmarkStart w:id="27" w:name="_Toc216894426"/>
      <w:bookmarkEnd w:id="26"/>
      <w:r>
        <w:t>3.2 Recommend Strategies to Improve Liquidity</w:t>
      </w:r>
      <w:bookmarkEnd w:id="27"/>
    </w:p>
    <w:p w14:paraId="3BB60789" w14:textId="77777777" w:rsidR="00444FD6" w:rsidRDefault="00CC34DB">
      <w:r>
        <w:t>To improve liquidity, General Electric should take measures that will help in lowering the Cash Operating Cycle (COC) (Ndruru, 2025). Among the main recommendations, the following ones are possible to mention:</w:t>
      </w:r>
    </w:p>
    <w:p w14:paraId="514BDDB2" w14:textId="77777777" w:rsidR="00444FD6" w:rsidRDefault="00444FD6"/>
    <w:p w14:paraId="6684E814" w14:textId="77777777" w:rsidR="00444FD6" w:rsidRDefault="00CC34DB">
      <w:pPr>
        <w:pStyle w:val="Heading3"/>
      </w:pPr>
      <w:bookmarkStart w:id="28" w:name="_6vgukqlghbx3" w:colFirst="0" w:colLast="0"/>
      <w:bookmarkStart w:id="29" w:name="_Toc216894427"/>
      <w:bookmarkEnd w:id="28"/>
      <w:r>
        <w:t>3.2.1 Supply chain inventory management:</w:t>
      </w:r>
      <w:bookmarkEnd w:id="29"/>
    </w:p>
    <w:p w14:paraId="13C82F1F" w14:textId="77777777" w:rsidR="00444FD6" w:rsidRDefault="00CC34DB">
      <w:r>
        <w:t>Inventory Days of 2024 is 103.12days, and it implies that it has too long an inventory. Just-in-time (JIT) inventory systems, or more sophisticated demand forecasting methods, could be a possibility in order to decrease inventory, reduce holding costs and cash (Maverick, 2024). To move the accumulated stocks, the company can also enhance the turnover of the inventory by negotiating the best terms with the suppliers along the supply chain or implementing lean inventory management.</w:t>
      </w:r>
    </w:p>
    <w:p w14:paraId="01C4624D" w14:textId="77777777" w:rsidR="00444FD6" w:rsidRDefault="00444FD6"/>
    <w:p w14:paraId="65FBD3A0" w14:textId="77777777" w:rsidR="00444FD6" w:rsidRDefault="00CC34DB">
      <w:pPr>
        <w:pStyle w:val="Heading3"/>
      </w:pPr>
      <w:bookmarkStart w:id="30" w:name="_bg32qj3789p0" w:colFirst="0" w:colLast="0"/>
      <w:bookmarkStart w:id="31" w:name="_Toc216894428"/>
      <w:bookmarkEnd w:id="30"/>
      <w:r>
        <w:t>3.2.2 Reported Accelerated Accounts Receivable Collection:</w:t>
      </w:r>
      <w:bookmarkEnd w:id="31"/>
    </w:p>
    <w:p w14:paraId="08F28F0D" w14:textId="77777777" w:rsidR="00444FD6" w:rsidRDefault="00CC34DB">
      <w:r>
        <w:t xml:space="preserve">This company currently has an Accounts Receivable Days </w:t>
      </w:r>
      <w:r>
        <w:t>of 105.54 days, which is very high and aims to improve the collections in 2024. The company must think about the ways of offering incentives as a form of development in the form of discounts or penalties due to late payment (Ndruru, 2025). Restricting the terms of credit of the customers, particularly those who have been registered with bad credit histories, would also contribute to solving the receivables outstanding. Tracking of existing lists on outstanding invoices can be ensured by installing automated</w:t>
      </w:r>
      <w:r>
        <w:t xml:space="preserve"> systems for managing accounts receivable.</w:t>
      </w:r>
    </w:p>
    <w:p w14:paraId="5C669BBF" w14:textId="77777777" w:rsidR="00444FD6" w:rsidRDefault="00444FD6"/>
    <w:p w14:paraId="6771C6CD" w14:textId="77777777" w:rsidR="00444FD6" w:rsidRDefault="00CC34DB">
      <w:pPr>
        <w:pStyle w:val="Heading3"/>
      </w:pPr>
      <w:bookmarkStart w:id="32" w:name="_xik4u8a39ki" w:colFirst="0" w:colLast="0"/>
      <w:bookmarkStart w:id="33" w:name="_Toc216894429"/>
      <w:bookmarkEnd w:id="32"/>
      <w:r>
        <w:t>3.2.3 Optimise Supplier Payment Terms:</w:t>
      </w:r>
      <w:bookmarkEnd w:id="33"/>
    </w:p>
    <w:p w14:paraId="12E48D34" w14:textId="77777777" w:rsidR="00444FD6" w:rsidRDefault="00CC34DB">
      <w:r>
        <w:t xml:space="preserve">The Accounts Payable Days of 93.60 days is a good sign of the obtaining of the suppliers' </w:t>
      </w:r>
      <w:r>
        <w:t>credit, but the company must not overdo such credit. Good working relationships with the main suppliers to negotiate better terms conducive to payment might help to develop a balance between cash flow and destroying relationships with the suppliers. Rather, negotiating early payments and the company could make use of some patterns of discovering its payment and cash in reserve that can be capitalised in its operations (J.P. Morgan, 2024).</w:t>
      </w:r>
    </w:p>
    <w:p w14:paraId="6509B87D" w14:textId="77777777" w:rsidR="00444FD6" w:rsidRDefault="00444FD6"/>
    <w:p w14:paraId="40F780E1" w14:textId="77777777" w:rsidR="00444FD6" w:rsidRDefault="00CC34DB">
      <w:r>
        <w:t>Considering the management of inventory, the management of receivables and payables may assist the company to advertise its efficiency in working and liquidity.</w:t>
      </w:r>
    </w:p>
    <w:p w14:paraId="72182009" w14:textId="77777777" w:rsidR="00444FD6" w:rsidRDefault="00444FD6"/>
    <w:p w14:paraId="2291F37B" w14:textId="77777777" w:rsidR="00444FD6" w:rsidRDefault="00444FD6"/>
    <w:p w14:paraId="5436730D" w14:textId="77777777" w:rsidR="00444FD6" w:rsidRDefault="00CC34DB">
      <w:pPr>
        <w:pStyle w:val="Heading2"/>
      </w:pPr>
      <w:bookmarkStart w:id="34" w:name="_wot2t9wtbgl" w:colFirst="0" w:colLast="0"/>
      <w:bookmarkStart w:id="35" w:name="_Toc216894430"/>
      <w:bookmarkEnd w:id="34"/>
      <w:r>
        <w:t>3.3 Compare Short-term Financing and Long-term Financing.</w:t>
      </w:r>
      <w:bookmarkEnd w:id="35"/>
    </w:p>
    <w:p w14:paraId="47E88A7F" w14:textId="77777777" w:rsidR="00444FD6" w:rsidRDefault="00CC34DB">
      <w:pPr>
        <w:pStyle w:val="Heading3"/>
      </w:pPr>
      <w:bookmarkStart w:id="36" w:name="_cqe5onyu21wc" w:colFirst="0" w:colLast="0"/>
      <w:bookmarkStart w:id="37" w:name="_Toc216894431"/>
      <w:bookmarkEnd w:id="36"/>
      <w:r>
        <w:t>3.3.1 Short-Term Financing:</w:t>
      </w:r>
      <w:bookmarkEnd w:id="37"/>
    </w:p>
    <w:p w14:paraId="3F15FCA2" w14:textId="77777777" w:rsidR="00444FD6" w:rsidRDefault="00CC34DB">
      <w:r>
        <w:t xml:space="preserve">In the short-term financing, the short working capital financing is normally taken care of. They come in terms of lines of credit, overdraft and short-term loans. Short-term financing is the best method of financing short-term cash shortages due to seasonality or the delay in payment of cash (Baresa et al., 2017). The short-term finance is a fast form of money which enables the company to have money in case of urgent cash flows. The loan amount and terms are usually low; hence, the interest will usually be </w:t>
      </w:r>
      <w:r>
        <w:t xml:space="preserve">low compared to the long-term loans (Gandhi and Nasit, 2022). The short-term funds are usually geared towards responding to the short-term working capital needs, like how to respond to short term liquidity crises or seasonality of business operations. It consists of the following types of options: lines of credit, overdrafts, and short-term loans (Gandhi and Nasit, 2022). </w:t>
      </w:r>
    </w:p>
    <w:p w14:paraId="4989AC2A" w14:textId="77777777" w:rsidR="00444FD6" w:rsidRDefault="00444FD6"/>
    <w:p w14:paraId="419EB4E1" w14:textId="77777777" w:rsidR="00444FD6" w:rsidRDefault="00CC34DB">
      <w:pPr>
        <w:pStyle w:val="Heading3"/>
      </w:pPr>
      <w:bookmarkStart w:id="38" w:name="_ue8kyahz2nfv" w:colFirst="0" w:colLast="0"/>
      <w:bookmarkStart w:id="39" w:name="_Toc216894432"/>
      <w:bookmarkEnd w:id="38"/>
      <w:r>
        <w:t>3.3.2 Long-Term Financing:</w:t>
      </w:r>
      <w:bookmarkEnd w:id="39"/>
    </w:p>
    <w:p w14:paraId="008DEB9E" w14:textId="77777777" w:rsidR="00444FD6" w:rsidRDefault="00CC34DB">
      <w:r>
        <w:t>Examples of some of the provisions in long-term financing are long-term loan financing, long-term equity financing and long-term financing, which has bonds (Kontuš, 2017). Long-term financing and major capital expenditure, which form long-term financing, are the best to finance major capital expenditure, such as acquisitions, machinery or other large. Long-term financing offers a better, more predictable and consistent source of funds over a longer span, which is good with regard to major capital investment</w:t>
      </w:r>
      <w:r>
        <w:t xml:space="preserve"> planning. </w:t>
      </w:r>
    </w:p>
    <w:p w14:paraId="5F94B1A3" w14:textId="77777777" w:rsidR="00444FD6" w:rsidRDefault="00444FD6"/>
    <w:p w14:paraId="666F9E9E" w14:textId="77777777" w:rsidR="00444FD6" w:rsidRDefault="00CC34DB">
      <w:r>
        <w:t>The short-term financing is the one that should be used to handle the short-term requirements within the short run, such as a season of working capital. It is liberal, cheaper, and easily dispensed (Gandhi and Nasit, 2022). The long-term sources of finance, on the one hand, are in a more favourable position to finance the long-term investments and the capital expenditure, as well as the strategic projects. It is stable, and it is characterised by low rates of interest.</w:t>
      </w:r>
    </w:p>
    <w:p w14:paraId="632507FC" w14:textId="77777777" w:rsidR="00444FD6" w:rsidRDefault="00CC34DB">
      <w:r>
        <w:t>They are the most flexible and available forms of financing that are conveniently easy to obtain and necessitate minimal paperwork. Nevertheless, as long-term financing has a shorter life, most of it is marked by the increase in the interest rate, not to mention the refinancing and the further risk of adding cumulative interest (Baresa et al., 2017). Long-term financing, on the other hand, targets financing a big capital expenditure or a huge growth expenditure, like the acquisition or development of infras</w:t>
      </w:r>
      <w:r>
        <w:t>tructure. It engages such instruments as bonds, long-term loans, and equity financing (Kontu, 2017). The process, on the other hand, is less adaptable, unlike long-term financing, which is less expensive but not costly in the long run, and the process is more costly and time-consuming to perform. Also, it is a risk of a long-term uncommitted debt, which is more binding.</w:t>
      </w:r>
    </w:p>
    <w:p w14:paraId="1EB040AA" w14:textId="77777777" w:rsidR="00444FD6" w:rsidRDefault="00CC34DB">
      <w:r>
        <w:br w:type="page"/>
      </w:r>
    </w:p>
    <w:p w14:paraId="6AAD85BC" w14:textId="77777777" w:rsidR="00444FD6" w:rsidRDefault="00CC34DB">
      <w:pPr>
        <w:pStyle w:val="Heading1"/>
      </w:pPr>
      <w:bookmarkStart w:id="40" w:name="_8w3m10vhqp41" w:colFirst="0" w:colLast="0"/>
      <w:bookmarkStart w:id="41" w:name="_Toc216894433"/>
      <w:bookmarkEnd w:id="40"/>
      <w:r>
        <w:t>4.0 Strategic Financial Restructuring Plan</w:t>
      </w:r>
      <w:bookmarkEnd w:id="41"/>
    </w:p>
    <w:p w14:paraId="1DF05E2E" w14:textId="77777777" w:rsidR="00444FD6" w:rsidRDefault="00CC34DB">
      <w:pPr>
        <w:pStyle w:val="Heading2"/>
      </w:pPr>
      <w:bookmarkStart w:id="42" w:name="_kpn7lv6ail5v" w:colFirst="0" w:colLast="0"/>
      <w:bookmarkStart w:id="43" w:name="_Toc216894434"/>
      <w:bookmarkEnd w:id="42"/>
      <w:r>
        <w:t>4.1 Suggest Restructuring alternatives.</w:t>
      </w:r>
      <w:bookmarkEnd w:id="43"/>
    </w:p>
    <w:p w14:paraId="2959DF3B" w14:textId="77777777" w:rsidR="00444FD6" w:rsidRDefault="00CC34DB">
      <w:r>
        <w:t xml:space="preserve">With General Electronics experiencing poor performance, especially with its slumping profits, increasing debts and business operations no longer being profitable, a strategic financial restructuring initiative proved to be the only way of surviving and remaining alive in the long run (The Case Centre, 2022). </w:t>
      </w:r>
    </w:p>
    <w:p w14:paraId="77D5B013" w14:textId="77777777" w:rsidR="00444FD6" w:rsidRDefault="00444FD6"/>
    <w:p w14:paraId="5BD0BA58" w14:textId="77777777" w:rsidR="00444FD6" w:rsidRDefault="00CC34DB">
      <w:pPr>
        <w:pStyle w:val="Heading3"/>
      </w:pPr>
      <w:bookmarkStart w:id="44" w:name="_5b1v1vcbtw82" w:colFirst="0" w:colLast="0"/>
      <w:bookmarkStart w:id="45" w:name="_Toc216894435"/>
      <w:bookmarkEnd w:id="44"/>
      <w:r>
        <w:t>4.2.1 Divestiture:</w:t>
      </w:r>
      <w:bookmarkEnd w:id="45"/>
    </w:p>
    <w:p w14:paraId="71899BF4" w14:textId="77777777" w:rsidR="00444FD6" w:rsidRDefault="00CC34DB">
      <w:r>
        <w:t>Divestiture entails the sale of assets or business entities by not exploiting core operations that are low-yielding or do not meet the long-term company strategic goals (Liu, 2025). This should be filtered at General Electronics, where the business regions or subsidiaries are experiencing reduced profits or low profitability. The sales proceeds can be made available to offset the debt, interests and invest in the high-growth sectors. This would also reduce the operations and enable the management to concent</w:t>
      </w:r>
      <w:r>
        <w:t xml:space="preserve">rate on the core areas of business in order to maximise efficiency and profitability through divestiture. </w:t>
      </w:r>
    </w:p>
    <w:p w14:paraId="4730E59D" w14:textId="77777777" w:rsidR="00444FD6" w:rsidRDefault="00444FD6"/>
    <w:p w14:paraId="39E5892F" w14:textId="77777777" w:rsidR="00444FD6" w:rsidRDefault="00CC34DB">
      <w:pPr>
        <w:pStyle w:val="Heading3"/>
      </w:pPr>
      <w:bookmarkStart w:id="46" w:name="_xwuxcvmrd344" w:colFirst="0" w:colLast="0"/>
      <w:bookmarkStart w:id="47" w:name="_Toc216894436"/>
      <w:bookmarkEnd w:id="46"/>
      <w:r>
        <w:t>4.2.2 Merger or Acquisition:</w:t>
      </w:r>
      <w:bookmarkEnd w:id="47"/>
    </w:p>
    <w:p w14:paraId="35CC9F0D" w14:textId="77777777" w:rsidR="00444FD6" w:rsidRDefault="00CC34DB">
      <w:r>
        <w:t>The other course of action will be a strategic acquisition or a merger. Should the company merge with a company not as broad in the same or a related area, it will be in a position to acquire market share, decrease the competition and achieve economies of scale (Liu, 2025). Another possible direction may be an acquisition of a rival or a company with positive cash flows and carrying low levels of debt that may result in valuable resources and sources of revenue. The alternative will enhance flexibility with</w:t>
      </w:r>
      <w:r>
        <w:t>in the operations as well as assist the company in saving the fixed costs per unit (The Case Centre, 2022). The example of General Electronics would be acquiring a company that has a viable market share but is not liquid, hence it would utilise its financial position and increase its ability to operate and market share.</w:t>
      </w:r>
    </w:p>
    <w:p w14:paraId="05FE7A70" w14:textId="77777777" w:rsidR="00444FD6" w:rsidRDefault="00444FD6"/>
    <w:p w14:paraId="0EABBD75" w14:textId="77777777" w:rsidR="00444FD6" w:rsidRDefault="00CC34DB">
      <w:pPr>
        <w:pStyle w:val="Heading3"/>
      </w:pPr>
      <w:bookmarkStart w:id="48" w:name="_2lq6le14ypn7" w:colFirst="0" w:colLast="0"/>
      <w:bookmarkStart w:id="49" w:name="_Toc216894437"/>
      <w:bookmarkEnd w:id="48"/>
      <w:r>
        <w:t>4.2.3 Equity Injection:</w:t>
      </w:r>
      <w:bookmarkEnd w:id="49"/>
    </w:p>
    <w:p w14:paraId="6D8FEFC4" w14:textId="77777777" w:rsidR="00444FD6" w:rsidRDefault="00CC34DB">
      <w:r>
        <w:t>The issue of increasing the capital concentration or capital structure of the firm might be either instigated by equity infusion of the current operational managers or new investors. The institutional investor or individual equity firms would also be in a position to gain funds without the additional burden due to the emergence of another problem (Iancu et al., 2017). This would minimise the dependence of the company on debt financing, one of the sources of heavy leverage and interest. The equity introducti</w:t>
      </w:r>
      <w:r>
        <w:t xml:space="preserve">on would stimulate the debt-to-equity ratio, which has risen between 0.63 and 1.11 in 2020 and 2024, respectively, which assumes a greater level of financial risk. </w:t>
      </w:r>
    </w:p>
    <w:p w14:paraId="45EE303C" w14:textId="77777777" w:rsidR="00444FD6" w:rsidRDefault="00444FD6"/>
    <w:p w14:paraId="5DBD3534" w14:textId="77777777" w:rsidR="00444FD6" w:rsidRDefault="00444FD6"/>
    <w:p w14:paraId="3EAEE9B4" w14:textId="77777777" w:rsidR="00444FD6" w:rsidRDefault="00CC34DB">
      <w:pPr>
        <w:pStyle w:val="Heading2"/>
      </w:pPr>
      <w:bookmarkStart w:id="50" w:name="_k8407xh76x76" w:colFirst="0" w:colLast="0"/>
      <w:bookmarkStart w:id="51" w:name="_Toc216894438"/>
      <w:bookmarkEnd w:id="50"/>
      <w:r>
        <w:t>4.2 Evaluate Impacts on Shareholder Value, Debt Structure, and Operational Flexibility</w:t>
      </w:r>
      <w:bookmarkEnd w:id="51"/>
    </w:p>
    <w:p w14:paraId="574861C0" w14:textId="77777777" w:rsidR="00444FD6" w:rsidRDefault="00CC34DB">
      <w:r>
        <w:t>The multiple impacts of the reorganisation options on shareholder value, debt structure and freedom of operations of General Electronics will be diverse.</w:t>
      </w:r>
    </w:p>
    <w:p w14:paraId="0EDAE7E8" w14:textId="77777777" w:rsidR="00444FD6" w:rsidRDefault="00444FD6"/>
    <w:p w14:paraId="7EFF6AFF" w14:textId="77777777" w:rsidR="00444FD6" w:rsidRDefault="00CC34DB">
      <w:pPr>
        <w:pStyle w:val="Heading3"/>
      </w:pPr>
      <w:bookmarkStart w:id="52" w:name="_v4dmgt592rvb" w:colFirst="0" w:colLast="0"/>
      <w:bookmarkStart w:id="53" w:name="_Toc216894439"/>
      <w:bookmarkEnd w:id="52"/>
      <w:r>
        <w:t>4.2.1 Shareholder Value:</w:t>
      </w:r>
      <w:bookmarkEnd w:id="53"/>
    </w:p>
    <w:p w14:paraId="27B8AFED" w14:textId="77777777" w:rsidR="00444FD6" w:rsidRDefault="00CC34DB">
      <w:r>
        <w:t>The strategic merger or acquisition would be associated with shareholder value addition through increasing market share, profitability and long-term opportunities of the firm (Wang, 2024). Some of the outcomes that can be realised with the use of a successful merger or acquisition include cost synergy, better competitive advantage and better financial performance. This example of the company can enlarge the markets, minimise the cost of operations, and enjoy the advantages of economies of scale (Iancu et al</w:t>
      </w:r>
      <w:r>
        <w:t xml:space="preserve">., 2017). The settling of the debt through the infusion of equity can lead to the shareholders enjoying the increased value in the long run through the reduction of the financial risk, and also strengthening the balance sheet. </w:t>
      </w:r>
    </w:p>
    <w:p w14:paraId="7341D12A" w14:textId="77777777" w:rsidR="00444FD6" w:rsidRDefault="00444FD6"/>
    <w:p w14:paraId="3F022FB2" w14:textId="77777777" w:rsidR="00444FD6" w:rsidRDefault="00CC34DB">
      <w:pPr>
        <w:pStyle w:val="Heading3"/>
      </w:pPr>
      <w:bookmarkStart w:id="54" w:name="_lrt5oaqzx74m" w:colFirst="0" w:colLast="0"/>
      <w:bookmarkStart w:id="55" w:name="_Toc216894440"/>
      <w:bookmarkEnd w:id="54"/>
      <w:r>
        <w:t>4.2.2 Debt Structure:</w:t>
      </w:r>
      <w:bookmarkEnd w:id="55"/>
    </w:p>
    <w:p w14:paraId="51EC87AB" w14:textId="77777777" w:rsidR="00444FD6" w:rsidRDefault="00CC34DB">
      <w:r>
        <w:t>Restructuring would be a strain on GE's debt structure. This would reduce the leverage and promote the balance sheet, which would be achieved through a business organisation that is more financially stable in terms of a divestiture or a merger. The debt-to-equity ratio stands at 1.11, and so long as the assets are liquidated or the merger operation is held at high interest rates on the debt, the company will raise the amount that exists between the assets, the debt and the equity. Bringing equity would tran</w:t>
      </w:r>
      <w:r>
        <w:t>slate into a direct reduction in the debts of the firm, hence financial leverage.</w:t>
      </w:r>
    </w:p>
    <w:p w14:paraId="7A1D9A50" w14:textId="77777777" w:rsidR="00444FD6" w:rsidRDefault="00444FD6"/>
    <w:p w14:paraId="5CB5DE2E" w14:textId="77777777" w:rsidR="00444FD6" w:rsidRDefault="00CC34DB">
      <w:pPr>
        <w:pStyle w:val="Heading3"/>
      </w:pPr>
      <w:bookmarkStart w:id="56" w:name="_vc3zc0ezfh3j" w:colFirst="0" w:colLast="0"/>
      <w:bookmarkStart w:id="57" w:name="_Toc216894441"/>
      <w:bookmarkEnd w:id="56"/>
      <w:r>
        <w:t>4.2.3 Operational Flexibility:</w:t>
      </w:r>
      <w:bookmarkEnd w:id="57"/>
    </w:p>
    <w:p w14:paraId="481972F0" w14:textId="77777777" w:rsidR="00444FD6" w:rsidRDefault="00CC34DB">
      <w:r>
        <w:t>The currently observed weaknesses in the behaviours of General Electronics are captured in the narrative of the falling operating profit margin. The merger or acquisition would give operations flexibility to a high degree; the operations entail synergies that will see the duplication of roles being removed and utilising the supply chains to optimise them. This would render it more profitable, and the management will be left with a position to invest in those ventures that would generate returns (Wang, 2024)</w:t>
      </w:r>
      <w:r>
        <w:t xml:space="preserve">. Secondly, they need to dispose of businesses that do not fit into the competitive advantages of the company, as doing so will enable the business to concentrate on the most viable and profitable business that will result in even greater resource allocation. </w:t>
      </w:r>
    </w:p>
    <w:p w14:paraId="135B2E11" w14:textId="77777777" w:rsidR="00444FD6" w:rsidRDefault="00444FD6"/>
    <w:p w14:paraId="2C030397" w14:textId="77777777" w:rsidR="00444FD6" w:rsidRDefault="00CC34DB">
      <w:pPr>
        <w:pStyle w:val="Heading2"/>
      </w:pPr>
      <w:bookmarkStart w:id="58" w:name="_fdn3wom9770" w:colFirst="0" w:colLast="0"/>
      <w:bookmarkStart w:id="59" w:name="_Toc216894442"/>
      <w:bookmarkEnd w:id="58"/>
      <w:r>
        <w:t>4.3 Include International and Ethical Considerations</w:t>
      </w:r>
      <w:bookmarkEnd w:id="59"/>
    </w:p>
    <w:p w14:paraId="0AAD814A" w14:textId="77777777" w:rsidR="00444FD6" w:rsidRDefault="00CC34DB">
      <w:r>
        <w:t>In the restructuring by divestiture, as an injection of equity or a trans-national acquisition, the consideration is to both the international and ethical considerations.</w:t>
      </w:r>
    </w:p>
    <w:p w14:paraId="3D45A7A9" w14:textId="77777777" w:rsidR="00444FD6" w:rsidRDefault="00444FD6"/>
    <w:p w14:paraId="343DC594" w14:textId="77777777" w:rsidR="00444FD6" w:rsidRDefault="00CC34DB">
      <w:pPr>
        <w:pStyle w:val="Heading3"/>
      </w:pPr>
      <w:bookmarkStart w:id="60" w:name="_fasjajxz1csr" w:colFirst="0" w:colLast="0"/>
      <w:bookmarkStart w:id="61" w:name="_Toc216894443"/>
      <w:bookmarkEnd w:id="60"/>
      <w:r>
        <w:t>4.3.1 Taxation-Regulatory Compliance.</w:t>
      </w:r>
      <w:bookmarkEnd w:id="61"/>
    </w:p>
    <w:p w14:paraId="40D187AC" w14:textId="77777777" w:rsidR="00444FD6" w:rsidRDefault="00CC34DB">
      <w:r>
        <w:t>The sale of the parts of the business or merger could appeal to various jurisdictions, whether it is the parent of capital gains tax, regulatory arguments or the cost to exit. The foreign investment regulations subject the foreign investors to scrutiny on the one hand on the transfer pricing regulation, or on the other hand on the anti-money laundering laws, regarding the equity injection by the foreign investors. Otherwise, they can be punishable, publicised, this is the last thing the company should be at</w:t>
      </w:r>
      <w:r>
        <w:t xml:space="preserve"> a time when it is on its knees. The other areas of restructuring that need to be considered are due diligence of taxes, open disclosure and cross-border tax adherence law.</w:t>
      </w:r>
    </w:p>
    <w:p w14:paraId="414EA135" w14:textId="77777777" w:rsidR="00444FD6" w:rsidRDefault="00444FD6"/>
    <w:p w14:paraId="008B524A" w14:textId="77777777" w:rsidR="00444FD6" w:rsidRDefault="00CC34DB">
      <w:pPr>
        <w:pStyle w:val="Heading3"/>
      </w:pPr>
      <w:bookmarkStart w:id="62" w:name="_z2gvaghy4xyb" w:colFirst="0" w:colLast="0"/>
      <w:bookmarkStart w:id="63" w:name="_Toc216894444"/>
      <w:bookmarkEnd w:id="62"/>
      <w:r>
        <w:t>4.3.2 Currency Risk and Inflation Exposure.</w:t>
      </w:r>
      <w:bookmarkEnd w:id="63"/>
    </w:p>
    <w:p w14:paraId="7BE080CD" w14:textId="77777777" w:rsidR="00444FD6" w:rsidRDefault="00CC34DB">
      <w:r>
        <w:t>When the company is acquiring and selling assets in this foreign country, the actual proceeds, assets and earnings of the company could be affected by the fluctuation of the currency (Pendar et al., 2019). One of them would include the sale proceeds, which would lose value since an appreciation of a local currency would be achieved before conversion. The inflation risk in the foreign markets can lead to an increase in the cost of goods sold, which lowers the margins, and this is not good considering that th</w:t>
      </w:r>
      <w:r>
        <w:t xml:space="preserve">e margins are already being realised (Iancu et al., 2017). The company will look into alleviating this by hedging the foreign currency using forwards, swaps, or by counterbalancing revenues and expenditures in that specific currency. </w:t>
      </w:r>
    </w:p>
    <w:p w14:paraId="6EBA20D9" w14:textId="77777777" w:rsidR="00444FD6" w:rsidRDefault="00444FD6"/>
    <w:p w14:paraId="758B0B1B" w14:textId="77777777" w:rsidR="00444FD6" w:rsidRDefault="00CC34DB">
      <w:pPr>
        <w:pStyle w:val="Heading3"/>
      </w:pPr>
      <w:bookmarkStart w:id="64" w:name="_dlmk39v8ph8c" w:colFirst="0" w:colLast="0"/>
      <w:bookmarkStart w:id="65" w:name="_Toc216894445"/>
      <w:bookmarkEnd w:id="64"/>
      <w:r>
        <w:t>4.3.3 Corporate Social Obligations (CSR) Ethical Obligations.</w:t>
      </w:r>
      <w:bookmarkEnd w:id="65"/>
    </w:p>
    <w:p w14:paraId="723608C3" w14:textId="77777777" w:rsidR="00444FD6" w:rsidRDefault="00CC34DB">
      <w:r>
        <w:t>M&amp;A or divestitures can result in the lay-off of staff members, the relocation of staff, or changes to the working conditions. (McGrath and Jonker, 2023) The company should treat its staff fairly, i.e. paying severance, retraining of employees, and open communication ethically. In order to manufacture the goods, it has to reduce the cost of production either through outsourcing or by relocating the manufacturing units to other countries, where labour cost is lower, yet the manufacturing process should not c</w:t>
      </w:r>
      <w:r>
        <w:t>ompromise on labour and environment, and the company loses market share (Gratton, 2024). The investors in the instance of being injected may find themselves desiring to be transparent, managed and in conformity with the standards of ESG.</w:t>
      </w:r>
    </w:p>
    <w:p w14:paraId="1DFB07B8" w14:textId="77777777" w:rsidR="00444FD6" w:rsidRDefault="00444FD6"/>
    <w:p w14:paraId="4263E075" w14:textId="77777777" w:rsidR="00444FD6" w:rsidRDefault="00CC34DB">
      <w:r>
        <w:br w:type="page"/>
      </w:r>
    </w:p>
    <w:p w14:paraId="0CA6AE57" w14:textId="77777777" w:rsidR="00444FD6" w:rsidRDefault="00CC34DB">
      <w:pPr>
        <w:pStyle w:val="Heading1"/>
      </w:pPr>
      <w:bookmarkStart w:id="66" w:name="_x6oib1gfqxei" w:colFirst="0" w:colLast="0"/>
      <w:bookmarkStart w:id="67" w:name="_Toc216894446"/>
      <w:bookmarkEnd w:id="66"/>
      <w:r>
        <w:t>5.0 Investment Appraisal and Capital Budgeting</w:t>
      </w:r>
      <w:bookmarkEnd w:id="67"/>
    </w:p>
    <w:p w14:paraId="717AFE2B" w14:textId="77777777" w:rsidR="00444FD6" w:rsidRDefault="00CC34DB">
      <w:pPr>
        <w:pStyle w:val="Heading2"/>
      </w:pPr>
      <w:bookmarkStart w:id="68" w:name="_rfvxi9ve72si" w:colFirst="0" w:colLast="0"/>
      <w:bookmarkStart w:id="69" w:name="_Toc216894447"/>
      <w:bookmarkEnd w:id="68"/>
      <w:r>
        <w:t>5.1 The project details</w:t>
      </w:r>
      <w:bookmarkEnd w:id="69"/>
    </w:p>
    <w:p w14:paraId="1675AB2A" w14:textId="77777777" w:rsidR="00444FD6" w:rsidRDefault="00CC34DB">
      <w:pPr>
        <w:rPr>
          <w:b/>
          <w:bCs/>
        </w:rPr>
      </w:pPr>
      <w:r>
        <w:rPr>
          <w:b/>
          <w:bCs/>
        </w:rPr>
        <w:t>Project A:</w:t>
      </w:r>
    </w:p>
    <w:p w14:paraId="3B34212E" w14:textId="77777777" w:rsidR="00444FD6" w:rsidRDefault="00CC34DB">
      <w:r>
        <w:t>Project A is currently having a payback period of 3.</w:t>
      </w:r>
      <w:r>
        <w:t>4</w:t>
      </w:r>
      <w:r>
        <w:t xml:space="preserve"> years,</w:t>
      </w:r>
      <w:r>
        <w:t xml:space="preserve"> which means that the company can recoup the initial £40m that it had invested in the project in the short term. This is good in terms of liquidity, but the NPV of the £1.32m project would imply a low level of profitability (Abor, 2016). The ARR of 7 is not strong enough compared to the availability of other alternatives, and it means that internalisation on investment is not high. In spite of the fact that the comparatively quick payback reflects the payback in some respect, it can be observed that the coi</w:t>
      </w:r>
      <w:r>
        <w:t>ned value supported by the help of such a project is limited by the assistance of the NPV. Project 1 will achieve a Profitability Index (PI) of 1.033 and an Internal Rate of Return (IRR) of 11.33%. Going by its PI, which is greater than 1, then it means that the project is profitable and generates a higher percentage than its cost of investment. IRR 11.33 is above the necessary rate of interest as well, which means that this project is a good and viable investment with high chances of good returns and finan</w:t>
      </w:r>
      <w:r>
        <w:t>cial gains.</w:t>
      </w:r>
    </w:p>
    <w:p w14:paraId="59E9C105" w14:textId="77777777" w:rsidR="00444FD6" w:rsidRDefault="00444FD6"/>
    <w:p w14:paraId="779EB873" w14:textId="77777777" w:rsidR="00444FD6" w:rsidRDefault="00CC34DB">
      <w:pPr>
        <w:rPr>
          <w:b/>
          <w:bCs/>
        </w:rPr>
      </w:pPr>
      <w:r>
        <w:rPr>
          <w:b/>
          <w:bCs/>
        </w:rPr>
        <w:t>Project B:</w:t>
      </w:r>
    </w:p>
    <w:p w14:paraId="1F17199A" w14:textId="77777777" w:rsidR="00444FD6" w:rsidRDefault="00CC34DB">
      <w:r>
        <w:t>That is Project B, whose payback period is 5 years, which cannot be considered an attractive project in the case of limited capital and where liquidity is valued. The 0 per cent ARR indicates that the project is not realising any returns that could be considered substantial, and in a way, breaks even (Michelon et al., 2020). In addition, the NPV of -£7.24m will evidence that the project is not a good one to undertake as it destroys value rather than generating it. Project B is not an option to pursue due to</w:t>
      </w:r>
      <w:r>
        <w:t xml:space="preserve"> the fact that it is not profitable and it does not provide any form of tangible returns on the investment, and therefore, it is a bad project to invest in, compared to other projects with high returns and payback. The Profitability Index (PI) of Project 2 is 0.758, and the Internal Rate of Return (IRR) is 0. The PI of this project is less than 1, and this means that the project is not profitable since the present value of the cash inflows is not equal to the initial investment. The 0% IRR also indicates th</w:t>
      </w:r>
      <w:r>
        <w:t>at the project does not yield any returns to the investor, hence it is not a good investment destination with little financial value.</w:t>
      </w:r>
    </w:p>
    <w:p w14:paraId="543DEC28" w14:textId="77777777" w:rsidR="00444FD6" w:rsidRDefault="00444FD6"/>
    <w:p w14:paraId="669991BF" w14:textId="77777777" w:rsidR="00444FD6" w:rsidRDefault="00CC34DB">
      <w:pPr>
        <w:rPr>
          <w:b/>
          <w:bCs/>
        </w:rPr>
      </w:pPr>
      <w:r>
        <w:rPr>
          <w:b/>
          <w:bCs/>
        </w:rPr>
        <w:t>Project C:</w:t>
      </w:r>
    </w:p>
    <w:p w14:paraId="2C7936B6" w14:textId="77777777" w:rsidR="00444FD6" w:rsidRDefault="00CC34DB">
      <w:r>
        <w:t>Project C's payback period is the most suitable where capital rationing is involved because it enables the company to recover its £50m outlay within the shortest time required, and it is the best payback period of 3-2 years. It is also the one with the most NPV of £4.29m, meaning that it will create colossal value in the process of its operations. The ARR of the projects stands at the highest as 10 per cent, which is a good ROI. Project C is doing satisfactorily financially as it is highly profitable and wi</w:t>
      </w:r>
      <w:r>
        <w:t>ll pay back in the short term (Kengatharan, 2016). It offers optimum worth to the amount of money invested; thus, it is the most preferable investment to make in terms of capital rationing. It is a good combination between profitability, liquidity and risk and hence the most suitable one to use. The Profitability Index(PI) of Project 3 is 1.085 with an Internal rate of return(IRR) of 12.72%. The PI of 1.085 denotes that the project will yield greater profit than the cost of the project, hence it is a good i</w:t>
      </w:r>
      <w:r>
        <w:t>nvestment. It has a high profitability and good financial performance, as the IRR is greater than the required returns at 12.72%. This venture is one whose value is worth investing in.</w:t>
      </w:r>
    </w:p>
    <w:p w14:paraId="4134B44A" w14:textId="77777777" w:rsidR="00444FD6" w:rsidRDefault="00444FD6"/>
    <w:p w14:paraId="1DF5625C" w14:textId="77777777" w:rsidR="00444FD6" w:rsidRDefault="00CC34DB">
      <w:pPr>
        <w:pStyle w:val="Heading2"/>
      </w:pPr>
      <w:bookmarkStart w:id="70" w:name="_m1wxp399xcy0" w:colFirst="0" w:colLast="0"/>
      <w:bookmarkStart w:id="71" w:name="_Toc216894448"/>
      <w:bookmarkEnd w:id="70"/>
      <w:r>
        <w:t>5.2 Final Investment Recommendation</w:t>
      </w:r>
      <w:bookmarkEnd w:id="71"/>
    </w:p>
    <w:p w14:paraId="69CB3757" w14:textId="31051103" w:rsidR="00444FD6" w:rsidRDefault="00CC34DB">
      <w:r>
        <w:t>The provided limit of capital rationing is £60 million, and thus the company has to select the most profitable and economically feasible projects. Project C is the most optimal investment (Abor, 2016). This project is the best on the basis of the best NPV total of GBP4.29m and the best ROI of 10. The assurance of the short payback period</w:t>
      </w:r>
      <w:r>
        <w:t xml:space="preserve"> is that the original investment in this project, £50M, will be recouped in the first instance, which is crucial in ensuring liquidity (Michelon et al., 2020). The high rates of payback cause the company to plough the capital into other projects or other running needs. Project C is more profitable than any other project since it will be indicated that its NPV and ARR will be positive, but each will yield high returns. </w:t>
      </w:r>
    </w:p>
    <w:p w14:paraId="3416EF3B" w14:textId="2BB22B61" w:rsidR="00444FD6" w:rsidRDefault="00CC34DB">
      <w:r>
        <w:t>Project A, which has a start-up capital of £40 million, has also been considered as another good alternative. It will put forward a good NPV of £1.32m and ARR of 7, which is a good payoff on investment. Although a 3.</w:t>
      </w:r>
      <w:r>
        <w:t>4</w:t>
      </w:r>
      <w:r>
        <w:t xml:space="preserve">-year payback period is </w:t>
      </w:r>
      <w:r w:rsidR="00BA0FD1">
        <w:t>almost same as</w:t>
      </w:r>
      <w:r>
        <w:t xml:space="preserve"> Project C, it can provide rather rapid capital recovery, which becomes a contributing element to liquidity as well. The NPV value of Project A, though lower than that of Project C, is an addition to the value, and this will swell the level of profitability (Bierman, 2020). The risks of the project A are also not so high, as the cash flow it contains is less volatile and contains a constant inflow. Project A is a viable project that will be used to complement Project C within the GBP60 million budget.</w:t>
      </w:r>
    </w:p>
    <w:p w14:paraId="6EE4701D" w14:textId="77777777" w:rsidR="00444FD6" w:rsidRDefault="00CC34DB">
      <w:r>
        <w:t>Project B will, however, be excluded as it has a negative NPV of - £7. 24m and 0 ARR, which implies that it will not yield returns to invest in it. It will not create value on the project but rather cause it to die, hence fail as an inappropriate decision. It is also not attractive, has a low payback of 5 years, which makes it even less attractive; in circumstances where liquidity is an issue and capital must be utilised in the maximum capacity possible. Project C and Project A have been proposed to be comm</w:t>
      </w:r>
      <w:r>
        <w:t>itted with a serious eye on the capital base, limiting £60 million, and this is due to a serious consideration of profitability, liquidity and character of the project.</w:t>
      </w:r>
    </w:p>
    <w:p w14:paraId="0985E4C6" w14:textId="77777777" w:rsidR="006551A2" w:rsidRDefault="006551A2"/>
    <w:p w14:paraId="4CAE05E4" w14:textId="77777777" w:rsidR="00444FD6" w:rsidRDefault="00CC34DB">
      <w:pPr>
        <w:pStyle w:val="Heading2"/>
      </w:pPr>
      <w:bookmarkStart w:id="72" w:name="_clobmi6i1c22" w:colFirst="0" w:colLast="0"/>
      <w:bookmarkStart w:id="73" w:name="_Toc216894449"/>
      <w:bookmarkEnd w:id="72"/>
      <w:r>
        <w:t>5.3 Justification for the Recommendation</w:t>
      </w:r>
      <w:bookmarkEnd w:id="73"/>
    </w:p>
    <w:p w14:paraId="4B24D152" w14:textId="77777777" w:rsidR="00444FD6" w:rsidRDefault="00CC34DB">
      <w:pPr>
        <w:rPr>
          <w:b/>
          <w:bCs/>
        </w:rPr>
      </w:pPr>
      <w:r>
        <w:rPr>
          <w:b/>
          <w:bCs/>
        </w:rPr>
        <w:t>Profitability</w:t>
      </w:r>
    </w:p>
    <w:p w14:paraId="5E7F1A4B" w14:textId="77777777" w:rsidR="00444FD6" w:rsidRDefault="00CC34DB">
      <w:r>
        <w:t>Project C would be the most appropriate ROI as Project C is presented by an NPV of £4.29m and an ARR of 10%. This means that the project will start up with investments of over GBP50m, and good project profits are expected to be achieved. NpV will document that the cost of the discounted cash inflows in future is significantly higher than the cost since it is a highly lucrative project for the company (Kengatharan, 2016). Besides this, the ARR 10 per cent is the highest of the three projects, implying that P</w:t>
      </w:r>
      <w:r>
        <w:t>roject C will enable the highest returns in terms of its investment. The profitability will be supported by its cash gains in the following years, especially in Year 4 (£25m). Project A, comparatively, has a low NPV of £1.32m and an ARR of 7, which does not appear to be excessively high as in Project C.</w:t>
      </w:r>
    </w:p>
    <w:p w14:paraId="4D20917A" w14:textId="77777777" w:rsidR="00444FD6" w:rsidRDefault="00444FD6"/>
    <w:p w14:paraId="7579D42D" w14:textId="77777777" w:rsidR="00444FD6" w:rsidRDefault="00CC34DB">
      <w:pPr>
        <w:rPr>
          <w:b/>
          <w:bCs/>
        </w:rPr>
      </w:pPr>
      <w:r>
        <w:rPr>
          <w:b/>
          <w:bCs/>
        </w:rPr>
        <w:t>Liquidity</w:t>
      </w:r>
    </w:p>
    <w:p w14:paraId="5DCDC0E6" w14:textId="77777777" w:rsidR="00444FD6" w:rsidRDefault="00CC34DB">
      <w:r>
        <w:t>The liquidity is also a significant focus in the circumstances of capital rationing, where once the capital is recovered quickly, it must be spent back. The rationale behind the fact that project C has the least chance of falling below the payback period of 3.</w:t>
      </w:r>
      <w:r>
        <w:t>6</w:t>
      </w:r>
      <w:r>
        <w:t xml:space="preserve"> years is that the company is able to comfortably invest the 50m in other investment projects or pay off its operations. This rapid recovery will contribute to the improvement of the cash flow position of the company, as the company will be able to invest the cash in other lucrative projects (Michelon et al., 2020). Project A is a payoff of 3.</w:t>
      </w:r>
      <w:r>
        <w:t xml:space="preserve">4 </w:t>
      </w:r>
      <w:r>
        <w:t>years old and not very slow with regard to the beginning investment recovery. It also has a longer liquidity but is also meaningful because it guarantees that liqui</w:t>
      </w:r>
      <w:r>
        <w:t xml:space="preserve">dity is sufficient, as in Project C, it can be reinvested back and allow the firm to be more flexible. </w:t>
      </w:r>
    </w:p>
    <w:p w14:paraId="396E2FD1" w14:textId="77777777" w:rsidR="00444FD6" w:rsidRDefault="00CC34DB">
      <w:pPr>
        <w:rPr>
          <w:b/>
          <w:bCs/>
        </w:rPr>
      </w:pPr>
      <w:r>
        <w:rPr>
          <w:b/>
          <w:bCs/>
        </w:rPr>
        <w:t>Risk Characteristics</w:t>
      </w:r>
    </w:p>
    <w:p w14:paraId="532D2CDB" w14:textId="77777777" w:rsidR="00444FD6" w:rsidRDefault="00CC34DB">
      <w:r>
        <w:t>As much as Project C is more profitable due to higher NPV</w:t>
      </w:r>
      <w:r>
        <w:t xml:space="preserve">,PI </w:t>
      </w:r>
      <w:r>
        <w:t>and ARR, inflows in this project have a high degree of volatility in later years; Years 3 and 4 incur higher-than-average inflows. These are, however, offset by the positive NPV and high returns (Bierman, 2020). It is a mediocre risk exposure to the volatility of cash flows, in that the kind of risk it exposes the company to does not give it a high net profitability in Project C, making it an attractive investment. The cash flows of Project A can be predicted as the inflows are relatively predictable in</w:t>
      </w:r>
      <w:r>
        <w:t xml:space="preserve"> the next five years compared to Project C. Project A is a less risky deal and is therefore safe concerning the predictable returns. </w:t>
      </w:r>
    </w:p>
    <w:p w14:paraId="071EB5CA" w14:textId="77777777" w:rsidR="00444FD6" w:rsidRDefault="00444FD6"/>
    <w:p w14:paraId="4030ACE5" w14:textId="77777777" w:rsidR="00444FD6" w:rsidRDefault="00CC34DB">
      <w:r>
        <w:t>The shareholder value will maximise with the capital rationing constraint, whereby the investment in Project C and Project A will be maximised. Project C is the most profitable and cash flow that has moderate volatility compared to stable and consistent returns with Project A hence can not be held on Project B can not be held on as it has no profit and has negative NPV.</w:t>
      </w:r>
    </w:p>
    <w:p w14:paraId="2665B4F8" w14:textId="77777777" w:rsidR="00444FD6" w:rsidRDefault="00CC34DB">
      <w:r>
        <w:br w:type="page"/>
      </w:r>
    </w:p>
    <w:p w14:paraId="26DC5786" w14:textId="77777777" w:rsidR="00444FD6" w:rsidRDefault="00CC34DB">
      <w:pPr>
        <w:pStyle w:val="Heading1"/>
      </w:pPr>
      <w:bookmarkStart w:id="74" w:name="_rmjwm4m9o0iv" w:colFirst="0" w:colLast="0"/>
      <w:bookmarkStart w:id="75" w:name="_Toc216894450"/>
      <w:bookmarkEnd w:id="74"/>
      <w:r>
        <w:t>6.0 Conclusion</w:t>
      </w:r>
      <w:bookmarkEnd w:id="75"/>
    </w:p>
    <w:p w14:paraId="6E1689D1" w14:textId="77777777" w:rsidR="00444FD6" w:rsidRDefault="00CC34DB">
      <w:r>
        <w:t>The report has given a financial diagnosis of the health of the company, and various analysis tools have been used to ascertain the profitability of the company, liquidity and efficiency. The ratio analysis and threats cited have the form of liquidity issues and inefficiencies that need to be addressed to ensure growth in the long term. Predictive Altman Z-Score corporate failure model has played an instrumental role in the explanation of the probability of financial potentiality and actions that ought to b</w:t>
      </w:r>
      <w:r>
        <w:t xml:space="preserve">e implemented in order to reorganise. The working capital management has stated that it has opportunities to enhance liquidity and effectiveness of the cash operating cycle to ensure that the firm will have adequate short-term assets to pay off its liabilities. The tool on how the firm can finance growth without compromising on risk has been offered by recommendations of the short-term as well as long-term financing proposals. The study of the investment project has provided the financial plan with a solid </w:t>
      </w:r>
      <w:r>
        <w:t>background on financial decision-making, where the consumer can be assured that this company will invest in projects.</w:t>
      </w:r>
    </w:p>
    <w:p w14:paraId="71B20478" w14:textId="77777777" w:rsidR="00444FD6" w:rsidRDefault="00444FD6">
      <w:pPr>
        <w:pStyle w:val="Heading1"/>
        <w:jc w:val="left"/>
      </w:pPr>
      <w:bookmarkStart w:id="76" w:name="_hk0woigeppji" w:colFirst="0" w:colLast="0"/>
      <w:bookmarkEnd w:id="76"/>
    </w:p>
    <w:p w14:paraId="55625EDC" w14:textId="77777777" w:rsidR="00444FD6" w:rsidRDefault="00CC34DB">
      <w:r>
        <w:br w:type="page"/>
      </w:r>
    </w:p>
    <w:p w14:paraId="39DE1416" w14:textId="77777777" w:rsidR="00444FD6" w:rsidRDefault="00CC34DB">
      <w:pPr>
        <w:pStyle w:val="Heading1"/>
      </w:pPr>
      <w:bookmarkStart w:id="77" w:name="_dpxjmughffps" w:colFirst="0" w:colLast="0"/>
      <w:bookmarkStart w:id="78" w:name="_Toc216894451"/>
      <w:bookmarkEnd w:id="77"/>
      <w:r>
        <w:t>7.0 References</w:t>
      </w:r>
      <w:bookmarkEnd w:id="78"/>
    </w:p>
    <w:p w14:paraId="17B554A1" w14:textId="77777777" w:rsidR="00444FD6" w:rsidRDefault="00CC34DB">
      <w:pPr>
        <w:rPr>
          <w:lang w:val="en-GB"/>
        </w:rPr>
      </w:pPr>
      <w:r>
        <w:rPr>
          <w:lang w:val="en-GB"/>
        </w:rPr>
        <w:t xml:space="preserve">Abor, J.Y. (2016). Evaluating Capital Investment Decisions: Capital Budgeting. </w:t>
      </w:r>
      <w:r>
        <w:rPr>
          <w:i/>
          <w:iCs/>
          <w:lang w:val="en-GB"/>
        </w:rPr>
        <w:t>Entrepreneurial Finance for MSMEs</w:t>
      </w:r>
      <w:r>
        <w:rPr>
          <w:lang w:val="en-GB"/>
        </w:rPr>
        <w:t>, [online] pp.293–320. doi:https://doi.org/10.1007/978-3-319-34021-0_12.</w:t>
      </w:r>
    </w:p>
    <w:p w14:paraId="227C66A7" w14:textId="77777777" w:rsidR="00444FD6" w:rsidRDefault="00CC34DB">
      <w:pPr>
        <w:rPr>
          <w:lang w:val="en-GB"/>
        </w:rPr>
      </w:pPr>
      <w:r>
        <w:rPr>
          <w:lang w:val="en-GB"/>
        </w:rPr>
        <w:t xml:space="preserve">Altman, E.I., Iwanicz-Drozdowska, M., Laitinen, E.K. and Suvas, A. (2017). Financial Distress Prediction in an International Context: A Review and Empirical Analysis of Altman’s Z- Score Model. </w:t>
      </w:r>
      <w:r>
        <w:rPr>
          <w:i/>
          <w:iCs/>
          <w:lang w:val="en-GB"/>
        </w:rPr>
        <w:t>Journal of International Financial Management &amp; Accounting</w:t>
      </w:r>
      <w:r>
        <w:rPr>
          <w:lang w:val="en-GB"/>
        </w:rPr>
        <w:t>, 28(2), pp.131–171. doi:https://doi.org/10.1111/jifm.12053.</w:t>
      </w:r>
    </w:p>
    <w:p w14:paraId="197AD70F" w14:textId="77777777" w:rsidR="00444FD6" w:rsidRDefault="00CC34DB">
      <w:pPr>
        <w:rPr>
          <w:lang w:val="en-GB"/>
        </w:rPr>
      </w:pPr>
      <w:r>
        <w:rPr>
          <w:lang w:val="en-GB"/>
        </w:rPr>
        <w:t xml:space="preserve">Asman, F.N., Fernandez, D., Jamaludin, N.A., Omar Zaki, H. and Ghazali, A.W. (2022). Cash Conversion Cycle and the Firm’s Performance. </w:t>
      </w:r>
      <w:r>
        <w:rPr>
          <w:i/>
          <w:iCs/>
          <w:lang w:val="en-GB"/>
        </w:rPr>
        <w:t>International Journal of Academic Research in Business and Social Sciences</w:t>
      </w:r>
      <w:r>
        <w:rPr>
          <w:lang w:val="en-GB"/>
        </w:rPr>
        <w:t xml:space="preserve">, 12(11). </w:t>
      </w:r>
    </w:p>
    <w:p w14:paraId="18990B61" w14:textId="77777777" w:rsidR="00444FD6" w:rsidRDefault="00CC34DB">
      <w:pPr>
        <w:rPr>
          <w:lang w:val="en-GB"/>
        </w:rPr>
      </w:pPr>
      <w:r>
        <w:rPr>
          <w:lang w:val="en-GB"/>
        </w:rPr>
        <w:t>doi:https://doi.org/10.6007/ijarbss/v12-i11/15276.</w:t>
      </w:r>
    </w:p>
    <w:p w14:paraId="4256532B" w14:textId="77777777" w:rsidR="00444FD6" w:rsidRDefault="00CC34DB">
      <w:pPr>
        <w:rPr>
          <w:lang w:val="en-GB"/>
        </w:rPr>
      </w:pPr>
      <w:r>
        <w:rPr>
          <w:lang w:val="en-GB"/>
        </w:rPr>
        <w:t xml:space="preserve">Baresa, S., Bogdan, S. and Ivanovic, Z. (2017). Specific form of short-term financing. </w:t>
      </w:r>
      <w:r>
        <w:rPr>
          <w:i/>
          <w:iCs/>
          <w:lang w:val="en-GB"/>
        </w:rPr>
        <w:t>UTMS Journal of Economics</w:t>
      </w:r>
      <w:r>
        <w:rPr>
          <w:lang w:val="en-GB"/>
        </w:rPr>
        <w:t>, [online] 8(2), pp.119–129. Available at: https://www.econstor.eu/handle/10419/195300.</w:t>
      </w:r>
    </w:p>
    <w:p w14:paraId="04C164AD" w14:textId="77777777" w:rsidR="00444FD6" w:rsidRDefault="00CC34DB">
      <w:pPr>
        <w:rPr>
          <w:lang w:val="en-GB"/>
        </w:rPr>
      </w:pPr>
      <w:r>
        <w:rPr>
          <w:lang w:val="en-GB"/>
        </w:rPr>
        <w:t xml:space="preserve">Barth, J.R. and Miller, S.M. (2018). Benefits and costs of a higher bank ‘leverage ratio’. </w:t>
      </w:r>
      <w:r>
        <w:rPr>
          <w:i/>
          <w:iCs/>
          <w:lang w:val="en-GB"/>
        </w:rPr>
        <w:t>Journal of Financial Stability</w:t>
      </w:r>
      <w:r>
        <w:rPr>
          <w:lang w:val="en-GB"/>
        </w:rPr>
        <w:t>, 38, pp.37–52. doi:https://doi.org/10.1016/j.jfs.2018.07.001.</w:t>
      </w:r>
    </w:p>
    <w:p w14:paraId="0A400257" w14:textId="77777777" w:rsidR="00444FD6" w:rsidRDefault="00CC34DB">
      <w:pPr>
        <w:rPr>
          <w:lang w:val="en-GB"/>
        </w:rPr>
      </w:pPr>
      <w:r>
        <w:rPr>
          <w:lang w:val="en-GB"/>
        </w:rPr>
        <w:t xml:space="preserve">Bierman, H. (2020). Capital Budgeting. </w:t>
      </w:r>
      <w:r>
        <w:rPr>
          <w:i/>
          <w:iCs/>
          <w:lang w:val="en-GB"/>
        </w:rPr>
        <w:t>Handbook of Financial Planning and Control</w:t>
      </w:r>
      <w:r>
        <w:rPr>
          <w:lang w:val="en-GB"/>
        </w:rPr>
        <w:t>, pp.77–89. doi:https://doi.org/10.4324/9781003062165-7.</w:t>
      </w:r>
    </w:p>
    <w:p w14:paraId="54A66DA4" w14:textId="77777777" w:rsidR="00444FD6" w:rsidRDefault="00CC34DB">
      <w:pPr>
        <w:rPr>
          <w:lang w:val="en-GB"/>
        </w:rPr>
      </w:pPr>
      <w:r>
        <w:rPr>
          <w:lang w:val="en-GB"/>
        </w:rPr>
        <w:t xml:space="preserve">Das, S. (2019). Cash flow ratios and financial performance: A comparative study. </w:t>
      </w:r>
      <w:r>
        <w:rPr>
          <w:i/>
          <w:iCs/>
          <w:lang w:val="en-GB"/>
        </w:rPr>
        <w:t>Accounting</w:t>
      </w:r>
      <w:r>
        <w:rPr>
          <w:lang w:val="en-GB"/>
        </w:rPr>
        <w:t>, [online] 5, pp.1–20. doi:https://doi.org/10.5267/j.ac.2018.06.004.</w:t>
      </w:r>
    </w:p>
    <w:p w14:paraId="0FC90299" w14:textId="6128CC91" w:rsidR="00444FD6" w:rsidRDefault="00CC34DB">
      <w:pPr>
        <w:rPr>
          <w:lang w:val="en-GB"/>
        </w:rPr>
      </w:pPr>
      <w:r>
        <w:rPr>
          <w:lang w:val="en-GB"/>
        </w:rPr>
        <w:t xml:space="preserve">Dehghanfard, K. and Moslemi, A. (2020). </w:t>
      </w:r>
      <w:r>
        <w:rPr>
          <w:i/>
          <w:iCs/>
          <w:lang w:val="en-GB"/>
        </w:rPr>
        <w:t>Inflation, Operating Cycle, Cash Holding</w:t>
      </w:r>
      <w:r>
        <w:rPr>
          <w:lang w:val="en-GB"/>
        </w:rPr>
        <w:t xml:space="preserve">. [online] Available at: https://www.sid.ir/fileserver/je/53002420170307.pdf </w:t>
      </w:r>
    </w:p>
    <w:p w14:paraId="2D756F24" w14:textId="753CB90E" w:rsidR="00444FD6" w:rsidRDefault="00CC34DB">
      <w:pPr>
        <w:rPr>
          <w:lang w:val="en-GB"/>
        </w:rPr>
      </w:pPr>
      <w:r>
        <w:rPr>
          <w:lang w:val="en-GB"/>
        </w:rPr>
        <w:t xml:space="preserve">Gandhi, J. and Nasit, A. (2022). </w:t>
      </w:r>
      <w:r>
        <w:rPr>
          <w:i/>
          <w:iCs/>
          <w:lang w:val="en-GB"/>
        </w:rPr>
        <w:t>Comparison of Short-Term Financing Options: Factoring as the Best Alternative</w:t>
      </w:r>
      <w:r>
        <w:rPr>
          <w:lang w:val="en-GB"/>
        </w:rPr>
        <w:t xml:space="preserve">. [online] Available at: https://rku.ac.in/icostart2022/books/14-management-jenil-gandhi-(127-141).pdf </w:t>
      </w:r>
    </w:p>
    <w:p w14:paraId="0D357D77" w14:textId="35943AE2" w:rsidR="00444FD6" w:rsidRDefault="00CC34DB">
      <w:pPr>
        <w:rPr>
          <w:lang w:val="en-GB"/>
        </w:rPr>
      </w:pPr>
      <w:r>
        <w:rPr>
          <w:lang w:val="en-GB"/>
        </w:rPr>
        <w:t xml:space="preserve">Gratton, P. (2024). </w:t>
      </w:r>
      <w:r>
        <w:rPr>
          <w:i/>
          <w:iCs/>
          <w:lang w:val="en-GB"/>
        </w:rPr>
        <w:t>Why Social Responsibility Matters to Businesses</w:t>
      </w:r>
      <w:r>
        <w:rPr>
          <w:lang w:val="en-GB"/>
        </w:rPr>
        <w:t xml:space="preserve">. [online] Investopedia. Available at: https://www.investopedia.com/ask/answers/041015/why-social-responsibility-important-business.asp </w:t>
      </w:r>
    </w:p>
    <w:p w14:paraId="581AF959" w14:textId="12A3C00E" w:rsidR="00444FD6" w:rsidRDefault="00CC34DB">
      <w:pPr>
        <w:rPr>
          <w:lang w:val="en-GB"/>
        </w:rPr>
      </w:pPr>
      <w:r>
        <w:rPr>
          <w:lang w:val="en-GB"/>
        </w:rPr>
        <w:t xml:space="preserve">Hansen, S. (2024). </w:t>
      </w:r>
      <w:r>
        <w:rPr>
          <w:i/>
          <w:iCs/>
          <w:lang w:val="en-GB"/>
        </w:rPr>
        <w:t>The Rise and Fall of General Electric</w:t>
      </w:r>
      <w:r>
        <w:rPr>
          <w:lang w:val="en-GB"/>
        </w:rPr>
        <w:t xml:space="preserve">. [online] Investopedia. Available at: https://www.investopedia.com/insights/rise-and-fall-ge/ </w:t>
      </w:r>
    </w:p>
    <w:p w14:paraId="1DDCB13D" w14:textId="77777777" w:rsidR="00444FD6" w:rsidRDefault="00CC34DB">
      <w:pPr>
        <w:rPr>
          <w:lang w:val="en-GB"/>
        </w:rPr>
      </w:pPr>
      <w:r>
        <w:rPr>
          <w:lang w:val="en-GB"/>
        </w:rPr>
        <w:t xml:space="preserve">Iancu, D.A., </w:t>
      </w:r>
      <w:r>
        <w:rPr>
          <w:lang w:val="en-GB"/>
        </w:rPr>
        <w:t xml:space="preserve">Trichakis, N. and Tsoukalas, G. (2017). Is Operating Flexibility Harmful Under Debt? </w:t>
      </w:r>
      <w:r>
        <w:rPr>
          <w:i/>
          <w:iCs/>
          <w:lang w:val="en-GB"/>
        </w:rPr>
        <w:t>Management Science</w:t>
      </w:r>
      <w:r>
        <w:rPr>
          <w:lang w:val="en-GB"/>
        </w:rPr>
        <w:t>, [online] 63(6), pp.1730–1761. doi:https://doi.org/10.1287/mnsc.2015.2415.</w:t>
      </w:r>
    </w:p>
    <w:p w14:paraId="368825D6" w14:textId="72C8788A" w:rsidR="00444FD6" w:rsidRDefault="00CC34DB">
      <w:pPr>
        <w:rPr>
          <w:lang w:val="en-GB"/>
        </w:rPr>
      </w:pPr>
      <w:r>
        <w:rPr>
          <w:lang w:val="en-GB"/>
        </w:rPr>
        <w:t xml:space="preserve">J.P. Morgan (2024). </w:t>
      </w:r>
      <w:r>
        <w:rPr>
          <w:i/>
          <w:iCs/>
          <w:lang w:val="en-GB"/>
        </w:rPr>
        <w:t>3 Tips to Maximise Liquidity in Uncertain Times | J.P. Morgan Chase</w:t>
      </w:r>
      <w:r>
        <w:rPr>
          <w:lang w:val="en-GB"/>
        </w:rPr>
        <w:t xml:space="preserve">. [online] Jpmorgan.com. Available at: https://www.jpmorgan.com/insights/treasury/liquidity-management/3-tips-to-maximize-liquidity-in-uncertain-times </w:t>
      </w:r>
    </w:p>
    <w:p w14:paraId="202050D2" w14:textId="71B9E0D3" w:rsidR="00444FD6" w:rsidRDefault="00CC34DB">
      <w:pPr>
        <w:rPr>
          <w:lang w:val="en-GB"/>
        </w:rPr>
      </w:pPr>
      <w:r>
        <w:rPr>
          <w:lang w:val="en-GB"/>
        </w:rPr>
        <w:t xml:space="preserve">Kengatharan, L. (2016). Capital Budgeting Theory and Practice: A Review and Agenda for Future Research. </w:t>
      </w:r>
      <w:r>
        <w:rPr>
          <w:i/>
          <w:iCs/>
          <w:lang w:val="en-GB"/>
        </w:rPr>
        <w:t>Applied Economics and Finance</w:t>
      </w:r>
      <w:r>
        <w:rPr>
          <w:lang w:val="en-GB"/>
        </w:rPr>
        <w:t xml:space="preserve">, [online] 3(2), pp.15–38. Available at: https://ideas.repec.org/a/rfa/aefjnl/v3y2016i2p15-38.html </w:t>
      </w:r>
    </w:p>
    <w:p w14:paraId="12C9461C" w14:textId="77777777" w:rsidR="00444FD6" w:rsidRDefault="00CC34DB">
      <w:pPr>
        <w:rPr>
          <w:lang w:val="en-GB"/>
        </w:rPr>
      </w:pPr>
      <w:r>
        <w:rPr>
          <w:lang w:val="en-GB"/>
        </w:rPr>
        <w:t xml:space="preserve">Kontuš, E. (2017). Financing Management of Companies. </w:t>
      </w:r>
      <w:r>
        <w:rPr>
          <w:i/>
          <w:iCs/>
          <w:lang w:val="en-GB"/>
        </w:rPr>
        <w:t>Governing Business Systems</w:t>
      </w:r>
      <w:r>
        <w:rPr>
          <w:lang w:val="en-GB"/>
        </w:rPr>
        <w:t>, pp.1–23. doi:https://doi.org/10.1007/978-3-319-66036-3_1.</w:t>
      </w:r>
    </w:p>
    <w:p w14:paraId="4E934E07" w14:textId="77777777" w:rsidR="00444FD6" w:rsidRDefault="00CC34DB">
      <w:pPr>
        <w:rPr>
          <w:lang w:val="en-GB"/>
        </w:rPr>
      </w:pPr>
      <w:r>
        <w:rPr>
          <w:lang w:val="en-GB"/>
        </w:rPr>
        <w:t xml:space="preserve">Liu, Y. (2025). Financial Analysis of General Electric Company. </w:t>
      </w:r>
      <w:r>
        <w:rPr>
          <w:i/>
          <w:iCs/>
          <w:lang w:val="en-GB"/>
        </w:rPr>
        <w:t>Advances in economics, business and management research/Advances in Economics, Business and Management Research</w:t>
      </w:r>
      <w:r>
        <w:rPr>
          <w:lang w:val="en-GB"/>
        </w:rPr>
        <w:t>, [online] pp.285–296. doi:https://doi.org/10.2991/978-94-6463-835-6_31.</w:t>
      </w:r>
    </w:p>
    <w:p w14:paraId="042542AE" w14:textId="77777777" w:rsidR="00444FD6" w:rsidRDefault="00CC34DB">
      <w:pPr>
        <w:rPr>
          <w:lang w:val="en-GB"/>
        </w:rPr>
      </w:pPr>
      <w:r>
        <w:rPr>
          <w:lang w:val="en-GB"/>
        </w:rPr>
        <w:t xml:space="preserve">Madura, J. (2021). </w:t>
      </w:r>
      <w:r>
        <w:rPr>
          <w:i/>
          <w:iCs/>
          <w:lang w:val="en-GB"/>
        </w:rPr>
        <w:t>International Financial Management</w:t>
      </w:r>
      <w:r>
        <w:rPr>
          <w:lang w:val="en-GB"/>
        </w:rPr>
        <w:t>. 14th ed. South Melbourne, Australia: Cengage Learning Australia.</w:t>
      </w:r>
    </w:p>
    <w:p w14:paraId="247BC269" w14:textId="24F4B948" w:rsidR="00444FD6" w:rsidRDefault="00CC34DB">
      <w:pPr>
        <w:rPr>
          <w:lang w:val="en-GB"/>
        </w:rPr>
      </w:pPr>
      <w:r>
        <w:rPr>
          <w:lang w:val="en-GB"/>
        </w:rPr>
        <w:t xml:space="preserve">Maverick, J.B. (2024). </w:t>
      </w:r>
      <w:r>
        <w:rPr>
          <w:i/>
          <w:iCs/>
          <w:lang w:val="en-GB"/>
        </w:rPr>
        <w:t>How Can a Company Quickly Increase Its Liquidity Ratio?</w:t>
      </w:r>
      <w:r>
        <w:rPr>
          <w:lang w:val="en-GB"/>
        </w:rPr>
        <w:t xml:space="preserve"> [online] Investopedia. Available at: https://www.investopedia.com/ask/answers/011215/how-can-company-quickly-increase-its-liquidity-ratio.asp </w:t>
      </w:r>
    </w:p>
    <w:p w14:paraId="3ADE0EA3" w14:textId="416EBC75" w:rsidR="00444FD6" w:rsidRDefault="00CC34DB">
      <w:pPr>
        <w:rPr>
          <w:lang w:val="en-GB"/>
        </w:rPr>
      </w:pPr>
      <w:r>
        <w:rPr>
          <w:lang w:val="en-GB"/>
        </w:rPr>
        <w:t xml:space="preserve">McGrath, A. and Jonker, A. (2023). </w:t>
      </w:r>
      <w:r>
        <w:rPr>
          <w:i/>
          <w:iCs/>
          <w:lang w:val="en-GB"/>
        </w:rPr>
        <w:t>Corporate social responsibility</w:t>
      </w:r>
      <w:r>
        <w:rPr>
          <w:lang w:val="en-GB"/>
        </w:rPr>
        <w:t xml:space="preserve">. [online] Ibm.com. Available at: https://www.ibm.com/think/topics/corporate-social-responsibility </w:t>
      </w:r>
    </w:p>
    <w:p w14:paraId="73E44A8B" w14:textId="77777777" w:rsidR="00444FD6" w:rsidRDefault="00CC34DB">
      <w:pPr>
        <w:rPr>
          <w:lang w:val="en-GB"/>
        </w:rPr>
      </w:pPr>
      <w:r>
        <w:rPr>
          <w:lang w:val="en-GB"/>
        </w:rPr>
        <w:t xml:space="preserve">Michelon, P. de S., Lunkes, R.J. and Bornia, A.C. (2020). Capital budgeting: a systematic review of the literature. </w:t>
      </w:r>
      <w:r>
        <w:rPr>
          <w:i/>
          <w:iCs/>
          <w:lang w:val="en-GB"/>
        </w:rPr>
        <w:t>Production</w:t>
      </w:r>
      <w:r>
        <w:rPr>
          <w:lang w:val="en-GB"/>
        </w:rPr>
        <w:t>, [online] 30(2). doi:https://doi.org/10.1590/0103-6513.20190020.</w:t>
      </w:r>
    </w:p>
    <w:p w14:paraId="180CB3B4" w14:textId="77777777" w:rsidR="00444FD6" w:rsidRDefault="00CC34DB">
      <w:pPr>
        <w:rPr>
          <w:lang w:val="en-GB"/>
        </w:rPr>
      </w:pPr>
      <w:r>
        <w:rPr>
          <w:lang w:val="en-GB"/>
        </w:rPr>
        <w:t xml:space="preserve">Ndruru, F. (2025). The Role of Liquidity Management in Enhancing Corporate Financial Stability: A Systematic Literature Review on Cash Reserves and Marketable Securities Strategies. </w:t>
      </w:r>
      <w:r>
        <w:rPr>
          <w:i/>
          <w:iCs/>
          <w:lang w:val="en-GB"/>
        </w:rPr>
        <w:t>PRODUCTIVITY: Journal of Integrated Business, Management, and Accounting Research</w:t>
      </w:r>
      <w:r>
        <w:rPr>
          <w:lang w:val="en-GB"/>
        </w:rPr>
        <w:t>, [online] 2(1), pp.09-17. doi:https://doi.org/10.54373/product.v2i1.51.</w:t>
      </w:r>
    </w:p>
    <w:p w14:paraId="3A56C7F3" w14:textId="77777777" w:rsidR="00444FD6" w:rsidRDefault="00CC34DB">
      <w:pPr>
        <w:rPr>
          <w:lang w:val="en-GB"/>
        </w:rPr>
      </w:pPr>
      <w:r>
        <w:rPr>
          <w:lang w:val="en-GB"/>
        </w:rPr>
        <w:t xml:space="preserve">Pendar, M., Tayar, H. and Karimeh, S. (2019). The impact of financial flexibility on capital structure decisions: Some empirical evidence. </w:t>
      </w:r>
      <w:r>
        <w:rPr>
          <w:i/>
          <w:iCs/>
          <w:lang w:val="en-GB"/>
        </w:rPr>
        <w:t>Management Science Letters</w:t>
      </w:r>
      <w:r>
        <w:rPr>
          <w:lang w:val="en-GB"/>
        </w:rPr>
        <w:t>, pp.133–138. doi:https://doi.org/10.5267/j.msl.2018.10.010.</w:t>
      </w:r>
    </w:p>
    <w:p w14:paraId="2E417AAA" w14:textId="77777777" w:rsidR="00444FD6" w:rsidRDefault="00CC34DB">
      <w:pPr>
        <w:rPr>
          <w:lang w:val="en-GB"/>
        </w:rPr>
      </w:pPr>
      <w:r>
        <w:rPr>
          <w:lang w:val="en-GB"/>
        </w:rPr>
        <w:t xml:space="preserve">Rashid, F., Khan, R.A. and Qureshi, I.H. (2024). A Comprehensive Review of the Altman Z-Score Model Across Industries. </w:t>
      </w:r>
      <w:r>
        <w:rPr>
          <w:i/>
          <w:iCs/>
          <w:lang w:val="en-GB"/>
        </w:rPr>
        <w:t>SSRN Electronic Journal</w:t>
      </w:r>
      <w:r>
        <w:rPr>
          <w:lang w:val="en-GB"/>
        </w:rPr>
        <w:t>. Doi:https://doi.org/10.2139/ssrn.5044057.</w:t>
      </w:r>
    </w:p>
    <w:p w14:paraId="210B86E1" w14:textId="77777777" w:rsidR="00444FD6" w:rsidRDefault="00CC34DB">
      <w:pPr>
        <w:rPr>
          <w:lang w:val="en-GB"/>
        </w:rPr>
      </w:pPr>
      <w:r>
        <w:rPr>
          <w:lang w:val="en-GB"/>
        </w:rPr>
        <w:t xml:space="preserve">Shapiro, A.C. and Hanouna, P. (2019). </w:t>
      </w:r>
      <w:r>
        <w:rPr>
          <w:i/>
          <w:iCs/>
          <w:lang w:val="en-GB"/>
        </w:rPr>
        <w:t>Multinational Financial Management</w:t>
      </w:r>
      <w:r>
        <w:rPr>
          <w:lang w:val="en-GB"/>
        </w:rPr>
        <w:t>. 11th ed. Hoboken, Nj: Wiley.</w:t>
      </w:r>
    </w:p>
    <w:p w14:paraId="52422547" w14:textId="352E7848" w:rsidR="00444FD6" w:rsidRDefault="00CC34DB">
      <w:pPr>
        <w:rPr>
          <w:lang w:val="en-GB"/>
        </w:rPr>
      </w:pPr>
      <w:r>
        <w:rPr>
          <w:lang w:val="en-GB"/>
        </w:rPr>
        <w:t xml:space="preserve">Simply Wall St (2025). </w:t>
      </w:r>
      <w:r>
        <w:rPr>
          <w:i/>
          <w:iCs/>
          <w:lang w:val="en-GB"/>
        </w:rPr>
        <w:t xml:space="preserve">Portland General Electric’s (NYSE: </w:t>
      </w:r>
      <w:r>
        <w:rPr>
          <w:i/>
          <w:iCs/>
          <w:lang w:val="en-GB"/>
        </w:rPr>
        <w:t>POR) Profits May Not Reveal Underlying Issues</w:t>
      </w:r>
      <w:r>
        <w:rPr>
          <w:lang w:val="en-GB"/>
        </w:rPr>
        <w:t xml:space="preserve">. [online] Yahoo Finance. Available at: https://finance.yahoo.com/news/portland-general-electrics-nyse-por-103915017.html </w:t>
      </w:r>
    </w:p>
    <w:p w14:paraId="4E9CEFD5" w14:textId="77777777" w:rsidR="00444FD6" w:rsidRDefault="00CC34DB">
      <w:pPr>
        <w:rPr>
          <w:lang w:val="en-GB"/>
        </w:rPr>
      </w:pPr>
      <w:r>
        <w:rPr>
          <w:lang w:val="en-GB"/>
        </w:rPr>
        <w:t xml:space="preserve">Sitinjak, C., Johanna, A., Avinash, B. and Bevoor, B. (2023). Financial Management: A System of Relations for Optimising Enterprise Finances – a Review. </w:t>
      </w:r>
      <w:r>
        <w:rPr>
          <w:i/>
          <w:iCs/>
          <w:lang w:val="en-GB"/>
        </w:rPr>
        <w:t>Journal Markcount Finance</w:t>
      </w:r>
      <w:r>
        <w:rPr>
          <w:lang w:val="en-GB"/>
        </w:rPr>
        <w:t>, 1(3), pp.160–170. doi:https://doi.org/10.55849/jmf.v1i3.104.</w:t>
      </w:r>
    </w:p>
    <w:p w14:paraId="75A98C74" w14:textId="75F5719C" w:rsidR="00444FD6" w:rsidRDefault="00CC34DB">
      <w:pPr>
        <w:rPr>
          <w:lang w:val="en-GB"/>
        </w:rPr>
      </w:pPr>
      <w:r>
        <w:rPr>
          <w:lang w:val="en-GB"/>
        </w:rPr>
        <w:t xml:space="preserve">The Case Centre (2022). </w:t>
      </w:r>
      <w:r>
        <w:rPr>
          <w:i/>
          <w:iCs/>
          <w:lang w:val="en-GB"/>
        </w:rPr>
        <w:t>General Electric’s Restructuring: A Strategic Move? - The Case Centre</w:t>
      </w:r>
      <w:r>
        <w:rPr>
          <w:lang w:val="en-GB"/>
        </w:rPr>
        <w:t xml:space="preserve">. [online] The Case Centre. Available at: https://www.thecasecentre.org/products/view?id=183633 </w:t>
      </w:r>
    </w:p>
    <w:p w14:paraId="047E2253" w14:textId="77777777" w:rsidR="00444FD6" w:rsidRDefault="00CC34DB">
      <w:pPr>
        <w:rPr>
          <w:lang w:val="en-GB"/>
        </w:rPr>
      </w:pPr>
      <w:r>
        <w:rPr>
          <w:lang w:val="en-GB"/>
        </w:rPr>
        <w:t xml:space="preserve">Wang, D. (2024). The Role of Fair Value Accounting in Debt Structure Decisions: Evidence from Priority Structure and Financial Flexibility. </w:t>
      </w:r>
      <w:r>
        <w:rPr>
          <w:i/>
          <w:iCs/>
          <w:lang w:val="en-GB"/>
        </w:rPr>
        <w:t>The International Journal of Accounting</w:t>
      </w:r>
      <w:r>
        <w:rPr>
          <w:lang w:val="en-GB"/>
        </w:rPr>
        <w:t>, 59(03). doi:https://doi.org/10.1142/s1094406024500173.</w:t>
      </w:r>
    </w:p>
    <w:p w14:paraId="75F77815" w14:textId="77777777" w:rsidR="00444FD6" w:rsidRDefault="00CC34DB">
      <w:r>
        <w:br w:type="page"/>
      </w:r>
    </w:p>
    <w:p w14:paraId="31C6A4BB" w14:textId="77777777" w:rsidR="00444FD6" w:rsidRDefault="00CC34DB">
      <w:pPr>
        <w:pStyle w:val="Heading1"/>
      </w:pPr>
      <w:bookmarkStart w:id="79" w:name="_jrtznoy4zir3" w:colFirst="0" w:colLast="0"/>
      <w:bookmarkStart w:id="80" w:name="_Toc216894452"/>
      <w:bookmarkEnd w:id="79"/>
      <w:r>
        <w:t>8.0 Appendix</w:t>
      </w:r>
      <w:bookmarkEnd w:id="80"/>
    </w:p>
    <w:p w14:paraId="2CAA7160" w14:textId="77777777" w:rsidR="00444FD6" w:rsidRDefault="00CC34DB">
      <w:pPr>
        <w:rPr>
          <w:b/>
          <w:bCs/>
        </w:rPr>
      </w:pPr>
      <w:r>
        <w:rPr>
          <w:b/>
          <w:bCs/>
        </w:rPr>
        <w:t>Profitability Ratio</w:t>
      </w:r>
    </w:p>
    <w:tbl>
      <w:tblPr>
        <w:tblStyle w:val="GridTable1Light-Accent61"/>
        <w:tblW w:w="7221" w:type="dxa"/>
        <w:tblLook w:val="04A0" w:firstRow="1" w:lastRow="0" w:firstColumn="1" w:lastColumn="0" w:noHBand="0" w:noVBand="1"/>
      </w:tblPr>
      <w:tblGrid>
        <w:gridCol w:w="634"/>
        <w:gridCol w:w="896"/>
        <w:gridCol w:w="897"/>
        <w:gridCol w:w="855"/>
        <w:gridCol w:w="1105"/>
        <w:gridCol w:w="897"/>
        <w:gridCol w:w="1105"/>
        <w:gridCol w:w="875"/>
        <w:gridCol w:w="897"/>
        <w:gridCol w:w="855"/>
      </w:tblGrid>
      <w:tr w:rsidR="00444FD6" w14:paraId="3B72B6D1" w14:textId="77777777" w:rsidTr="00444FD6">
        <w:trPr>
          <w:cnfStyle w:val="100000000000" w:firstRow="1" w:lastRow="0" w:firstColumn="0" w:lastColumn="0" w:oddVBand="0" w:evenVBand="0" w:oddHBand="0" w:evenHBand="0" w:firstRowFirstColumn="0" w:firstRowLastColumn="0" w:lastRowFirstColumn="0" w:lastRowLastColumn="0"/>
          <w:trHeight w:val="1398"/>
        </w:trPr>
        <w:tc>
          <w:tcPr>
            <w:cnfStyle w:val="001000000000" w:firstRow="0" w:lastRow="0" w:firstColumn="1" w:lastColumn="0" w:oddVBand="0" w:evenVBand="0" w:oddHBand="0" w:evenHBand="0" w:firstRowFirstColumn="0" w:firstRowLastColumn="0" w:lastRowFirstColumn="0" w:lastRowLastColumn="0"/>
            <w:tcW w:w="501" w:type="dxa"/>
            <w:hideMark/>
          </w:tcPr>
          <w:p w14:paraId="21CC48BE" w14:textId="77777777" w:rsidR="00444FD6" w:rsidRDefault="00CC34DB">
            <w:pPr>
              <w:jc w:val="center"/>
              <w:rPr>
                <w:rFonts w:eastAsia="Times New Roman"/>
                <w:color w:val="000000"/>
                <w:sz w:val="22"/>
                <w:szCs w:val="22"/>
              </w:rPr>
            </w:pPr>
            <w:r>
              <w:rPr>
                <w:rFonts w:eastAsia="Times New Roman"/>
                <w:color w:val="000000"/>
                <w:sz w:val="22"/>
                <w:szCs w:val="22"/>
              </w:rPr>
              <w:t>Year</w:t>
            </w:r>
          </w:p>
        </w:tc>
        <w:tc>
          <w:tcPr>
            <w:tcW w:w="718" w:type="dxa"/>
            <w:hideMark/>
          </w:tcPr>
          <w:p w14:paraId="350F64D6"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Gross Profit (£m)</w:t>
            </w:r>
          </w:p>
        </w:tc>
        <w:tc>
          <w:tcPr>
            <w:tcW w:w="718" w:type="dxa"/>
            <w:hideMark/>
          </w:tcPr>
          <w:p w14:paraId="2A9C27FB"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Net Sales (£m)</w:t>
            </w:r>
          </w:p>
        </w:tc>
        <w:tc>
          <w:tcPr>
            <w:tcW w:w="683" w:type="dxa"/>
            <w:hideMark/>
          </w:tcPr>
          <w:p w14:paraId="43B6918A"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Gross Profit Margin (%)</w:t>
            </w:r>
          </w:p>
        </w:tc>
        <w:tc>
          <w:tcPr>
            <w:tcW w:w="891" w:type="dxa"/>
            <w:hideMark/>
          </w:tcPr>
          <w:p w14:paraId="4DFA2E4D"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Operating Income (£m)</w:t>
            </w:r>
          </w:p>
        </w:tc>
        <w:tc>
          <w:tcPr>
            <w:tcW w:w="718" w:type="dxa"/>
            <w:hideMark/>
          </w:tcPr>
          <w:p w14:paraId="11CF31A4"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Net Sales (£m)</w:t>
            </w:r>
          </w:p>
        </w:tc>
        <w:tc>
          <w:tcPr>
            <w:tcW w:w="891" w:type="dxa"/>
            <w:hideMark/>
          </w:tcPr>
          <w:p w14:paraId="54B0291C"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Operating Profit Margin (%)</w:t>
            </w:r>
          </w:p>
        </w:tc>
        <w:tc>
          <w:tcPr>
            <w:tcW w:w="700" w:type="dxa"/>
            <w:hideMark/>
          </w:tcPr>
          <w:p w14:paraId="0525EA6C"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Net Income (£m)</w:t>
            </w:r>
          </w:p>
        </w:tc>
        <w:tc>
          <w:tcPr>
            <w:tcW w:w="718" w:type="dxa"/>
            <w:hideMark/>
          </w:tcPr>
          <w:p w14:paraId="1A9EDD25"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Net Sales (£m)</w:t>
            </w:r>
          </w:p>
        </w:tc>
        <w:tc>
          <w:tcPr>
            <w:tcW w:w="683" w:type="dxa"/>
            <w:noWrap/>
            <w:hideMark/>
          </w:tcPr>
          <w:p w14:paraId="5B9698D9" w14:textId="77777777" w:rsidR="00444FD6" w:rsidRDefault="00CC34DB">
            <w:pPr>
              <w:cnfStyle w:val="100000000000" w:firstRow="1"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Net Profit Margin (%)</w:t>
            </w:r>
          </w:p>
        </w:tc>
      </w:tr>
      <w:tr w:rsidR="00444FD6" w14:paraId="59B32351" w14:textId="77777777" w:rsidTr="00444FD6">
        <w:trPr>
          <w:trHeight w:val="349"/>
        </w:trPr>
        <w:tc>
          <w:tcPr>
            <w:cnfStyle w:val="001000000000" w:firstRow="0" w:lastRow="0" w:firstColumn="1" w:lastColumn="0" w:oddVBand="0" w:evenVBand="0" w:oddHBand="0" w:evenHBand="0" w:firstRowFirstColumn="0" w:firstRowLastColumn="0" w:lastRowFirstColumn="0" w:lastRowLastColumn="0"/>
            <w:tcW w:w="501" w:type="dxa"/>
            <w:hideMark/>
          </w:tcPr>
          <w:p w14:paraId="3ADC3EAD" w14:textId="77777777" w:rsidR="00444FD6" w:rsidRDefault="00CC34DB">
            <w:pPr>
              <w:rPr>
                <w:rFonts w:eastAsia="Times New Roman"/>
                <w:color w:val="000000"/>
                <w:sz w:val="22"/>
                <w:szCs w:val="22"/>
              </w:rPr>
            </w:pPr>
            <w:r>
              <w:rPr>
                <w:rFonts w:eastAsia="Times New Roman"/>
                <w:color w:val="000000"/>
                <w:sz w:val="22"/>
                <w:szCs w:val="22"/>
              </w:rPr>
              <w:t>2024</w:t>
            </w:r>
          </w:p>
        </w:tc>
        <w:tc>
          <w:tcPr>
            <w:tcW w:w="718" w:type="dxa"/>
            <w:hideMark/>
          </w:tcPr>
          <w:p w14:paraId="2E5D4904"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113,994</w:t>
            </w:r>
          </w:p>
        </w:tc>
        <w:tc>
          <w:tcPr>
            <w:tcW w:w="718" w:type="dxa"/>
            <w:hideMark/>
          </w:tcPr>
          <w:p w14:paraId="4BC6F3F2"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394,879</w:t>
            </w:r>
          </w:p>
        </w:tc>
        <w:tc>
          <w:tcPr>
            <w:tcW w:w="683" w:type="dxa"/>
            <w:hideMark/>
          </w:tcPr>
          <w:p w14:paraId="2A896E6C"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28.87%</w:t>
            </w:r>
          </w:p>
        </w:tc>
        <w:tc>
          <w:tcPr>
            <w:tcW w:w="891" w:type="dxa"/>
            <w:hideMark/>
          </w:tcPr>
          <w:p w14:paraId="755DE119"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-15,297</w:t>
            </w:r>
          </w:p>
        </w:tc>
        <w:tc>
          <w:tcPr>
            <w:tcW w:w="718" w:type="dxa"/>
            <w:hideMark/>
          </w:tcPr>
          <w:p w14:paraId="2D91814E"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394,879</w:t>
            </w:r>
          </w:p>
        </w:tc>
        <w:tc>
          <w:tcPr>
            <w:tcW w:w="891" w:type="dxa"/>
            <w:hideMark/>
          </w:tcPr>
          <w:p w14:paraId="421A6587"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-3.87%</w:t>
            </w:r>
          </w:p>
        </w:tc>
        <w:tc>
          <w:tcPr>
            <w:tcW w:w="700" w:type="dxa"/>
            <w:hideMark/>
          </w:tcPr>
          <w:p w14:paraId="09B5BDDE"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-24,029</w:t>
            </w:r>
          </w:p>
        </w:tc>
        <w:tc>
          <w:tcPr>
            <w:tcW w:w="718" w:type="dxa"/>
            <w:hideMark/>
          </w:tcPr>
          <w:p w14:paraId="1C41AE9D"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394,879</w:t>
            </w:r>
          </w:p>
        </w:tc>
        <w:tc>
          <w:tcPr>
            <w:tcW w:w="683" w:type="dxa"/>
            <w:noWrap/>
            <w:hideMark/>
          </w:tcPr>
          <w:p w14:paraId="1ED48305"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-6.09%</w:t>
            </w:r>
          </w:p>
        </w:tc>
      </w:tr>
      <w:tr w:rsidR="00444FD6" w14:paraId="38D4809E" w14:textId="77777777" w:rsidTr="00444FD6">
        <w:trPr>
          <w:trHeight w:val="349"/>
        </w:trPr>
        <w:tc>
          <w:tcPr>
            <w:cnfStyle w:val="001000000000" w:firstRow="0" w:lastRow="0" w:firstColumn="1" w:lastColumn="0" w:oddVBand="0" w:evenVBand="0" w:oddHBand="0" w:evenHBand="0" w:firstRowFirstColumn="0" w:firstRowLastColumn="0" w:lastRowFirstColumn="0" w:lastRowLastColumn="0"/>
            <w:tcW w:w="501" w:type="dxa"/>
            <w:hideMark/>
          </w:tcPr>
          <w:p w14:paraId="485EC5B9" w14:textId="77777777" w:rsidR="00444FD6" w:rsidRDefault="00CC34DB">
            <w:pPr>
              <w:rPr>
                <w:rFonts w:eastAsia="Times New Roman"/>
                <w:color w:val="000000"/>
                <w:sz w:val="22"/>
                <w:szCs w:val="22"/>
              </w:rPr>
            </w:pPr>
            <w:r>
              <w:rPr>
                <w:rFonts w:eastAsia="Times New Roman"/>
                <w:color w:val="000000"/>
                <w:sz w:val="22"/>
                <w:szCs w:val="22"/>
              </w:rPr>
              <w:t>2023</w:t>
            </w:r>
          </w:p>
        </w:tc>
        <w:tc>
          <w:tcPr>
            <w:tcW w:w="718" w:type="dxa"/>
            <w:hideMark/>
          </w:tcPr>
          <w:p w14:paraId="76D4283D"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97,560</w:t>
            </w:r>
          </w:p>
        </w:tc>
        <w:tc>
          <w:tcPr>
            <w:tcW w:w="718" w:type="dxa"/>
            <w:hideMark/>
          </w:tcPr>
          <w:p w14:paraId="4418AACA"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420,457</w:t>
            </w:r>
          </w:p>
        </w:tc>
        <w:tc>
          <w:tcPr>
            <w:tcW w:w="683" w:type="dxa"/>
            <w:hideMark/>
          </w:tcPr>
          <w:p w14:paraId="015CE02D"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23.20%</w:t>
            </w:r>
          </w:p>
        </w:tc>
        <w:tc>
          <w:tcPr>
            <w:tcW w:w="891" w:type="dxa"/>
            <w:hideMark/>
          </w:tcPr>
          <w:p w14:paraId="6310DB30"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-85,301</w:t>
            </w:r>
          </w:p>
        </w:tc>
        <w:tc>
          <w:tcPr>
            <w:tcW w:w="718" w:type="dxa"/>
            <w:hideMark/>
          </w:tcPr>
          <w:p w14:paraId="18B5AD2A"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420,457</w:t>
            </w:r>
          </w:p>
        </w:tc>
        <w:tc>
          <w:tcPr>
            <w:tcW w:w="891" w:type="dxa"/>
            <w:hideMark/>
          </w:tcPr>
          <w:p w14:paraId="0CC0D258"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-20.29%</w:t>
            </w:r>
          </w:p>
        </w:tc>
        <w:tc>
          <w:tcPr>
            <w:tcW w:w="700" w:type="dxa"/>
            <w:hideMark/>
          </w:tcPr>
          <w:p w14:paraId="5C522247"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-98,238</w:t>
            </w:r>
          </w:p>
        </w:tc>
        <w:tc>
          <w:tcPr>
            <w:tcW w:w="718" w:type="dxa"/>
            <w:hideMark/>
          </w:tcPr>
          <w:p w14:paraId="55F9F35B"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420,457</w:t>
            </w:r>
          </w:p>
        </w:tc>
        <w:tc>
          <w:tcPr>
            <w:tcW w:w="683" w:type="dxa"/>
            <w:noWrap/>
            <w:hideMark/>
          </w:tcPr>
          <w:p w14:paraId="70F9C3AC"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-23.36%</w:t>
            </w:r>
          </w:p>
        </w:tc>
      </w:tr>
      <w:tr w:rsidR="00444FD6" w14:paraId="5FD1C7B1" w14:textId="77777777" w:rsidTr="00444FD6">
        <w:trPr>
          <w:trHeight w:val="349"/>
        </w:trPr>
        <w:tc>
          <w:tcPr>
            <w:cnfStyle w:val="001000000000" w:firstRow="0" w:lastRow="0" w:firstColumn="1" w:lastColumn="0" w:oddVBand="0" w:evenVBand="0" w:oddHBand="0" w:evenHBand="0" w:firstRowFirstColumn="0" w:firstRowLastColumn="0" w:lastRowFirstColumn="0" w:lastRowLastColumn="0"/>
            <w:tcW w:w="501" w:type="dxa"/>
            <w:hideMark/>
          </w:tcPr>
          <w:p w14:paraId="4B56ECDD" w14:textId="77777777" w:rsidR="00444FD6" w:rsidRDefault="00CC34DB">
            <w:pPr>
              <w:rPr>
                <w:rFonts w:eastAsia="Times New Roman"/>
                <w:color w:val="000000"/>
                <w:sz w:val="22"/>
                <w:szCs w:val="22"/>
              </w:rPr>
            </w:pPr>
            <w:r>
              <w:rPr>
                <w:rFonts w:eastAsia="Times New Roman"/>
                <w:color w:val="000000"/>
                <w:sz w:val="22"/>
                <w:szCs w:val="22"/>
              </w:rPr>
              <w:t>2022</w:t>
            </w:r>
          </w:p>
        </w:tc>
        <w:tc>
          <w:tcPr>
            <w:tcW w:w="718" w:type="dxa"/>
            <w:hideMark/>
          </w:tcPr>
          <w:p w14:paraId="60C9AE5A"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152,292</w:t>
            </w:r>
          </w:p>
        </w:tc>
        <w:tc>
          <w:tcPr>
            <w:tcW w:w="718" w:type="dxa"/>
            <w:hideMark/>
          </w:tcPr>
          <w:p w14:paraId="3432AB42"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542,751</w:t>
            </w:r>
          </w:p>
        </w:tc>
        <w:tc>
          <w:tcPr>
            <w:tcW w:w="683" w:type="dxa"/>
            <w:hideMark/>
          </w:tcPr>
          <w:p w14:paraId="16E0C06C"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28.06%</w:t>
            </w:r>
          </w:p>
        </w:tc>
        <w:tc>
          <w:tcPr>
            <w:tcW w:w="891" w:type="dxa"/>
            <w:hideMark/>
          </w:tcPr>
          <w:p w14:paraId="4742A09D"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14,548</w:t>
            </w:r>
          </w:p>
        </w:tc>
        <w:tc>
          <w:tcPr>
            <w:tcW w:w="718" w:type="dxa"/>
            <w:hideMark/>
          </w:tcPr>
          <w:p w14:paraId="62187569"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542,751</w:t>
            </w:r>
          </w:p>
        </w:tc>
        <w:tc>
          <w:tcPr>
            <w:tcW w:w="891" w:type="dxa"/>
            <w:hideMark/>
          </w:tcPr>
          <w:p w14:paraId="5F5D16D5"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2.68%</w:t>
            </w:r>
          </w:p>
        </w:tc>
        <w:tc>
          <w:tcPr>
            <w:tcW w:w="700" w:type="dxa"/>
            <w:hideMark/>
          </w:tcPr>
          <w:p w14:paraId="1141D37B"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407</w:t>
            </w:r>
          </w:p>
        </w:tc>
        <w:tc>
          <w:tcPr>
            <w:tcW w:w="718" w:type="dxa"/>
            <w:hideMark/>
          </w:tcPr>
          <w:p w14:paraId="255AD0F4"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542,751</w:t>
            </w:r>
          </w:p>
        </w:tc>
        <w:tc>
          <w:tcPr>
            <w:tcW w:w="683" w:type="dxa"/>
            <w:noWrap/>
            <w:hideMark/>
          </w:tcPr>
          <w:p w14:paraId="280EEE1E"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0.07%</w:t>
            </w:r>
          </w:p>
        </w:tc>
      </w:tr>
      <w:tr w:rsidR="00444FD6" w14:paraId="42488FD8" w14:textId="77777777" w:rsidTr="00444FD6">
        <w:trPr>
          <w:trHeight w:val="349"/>
        </w:trPr>
        <w:tc>
          <w:tcPr>
            <w:cnfStyle w:val="001000000000" w:firstRow="0" w:lastRow="0" w:firstColumn="1" w:lastColumn="0" w:oddVBand="0" w:evenVBand="0" w:oddHBand="0" w:evenHBand="0" w:firstRowFirstColumn="0" w:firstRowLastColumn="0" w:lastRowFirstColumn="0" w:lastRowLastColumn="0"/>
            <w:tcW w:w="501" w:type="dxa"/>
            <w:hideMark/>
          </w:tcPr>
          <w:p w14:paraId="0DE6C67E" w14:textId="77777777" w:rsidR="00444FD6" w:rsidRDefault="00CC34DB">
            <w:pPr>
              <w:rPr>
                <w:rFonts w:eastAsia="Times New Roman"/>
                <w:color w:val="000000"/>
                <w:sz w:val="22"/>
                <w:szCs w:val="22"/>
              </w:rPr>
            </w:pPr>
            <w:r>
              <w:rPr>
                <w:rFonts w:eastAsia="Times New Roman"/>
                <w:color w:val="000000"/>
                <w:sz w:val="22"/>
                <w:szCs w:val="22"/>
              </w:rPr>
              <w:t>2021</w:t>
            </w:r>
          </w:p>
        </w:tc>
        <w:tc>
          <w:tcPr>
            <w:tcW w:w="718" w:type="dxa"/>
            <w:hideMark/>
          </w:tcPr>
          <w:p w14:paraId="6959868B"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173,016</w:t>
            </w:r>
          </w:p>
        </w:tc>
        <w:tc>
          <w:tcPr>
            <w:tcW w:w="718" w:type="dxa"/>
            <w:hideMark/>
          </w:tcPr>
          <w:p w14:paraId="2A8B7A3C"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601,602</w:t>
            </w:r>
          </w:p>
        </w:tc>
        <w:tc>
          <w:tcPr>
            <w:tcW w:w="683" w:type="dxa"/>
            <w:hideMark/>
          </w:tcPr>
          <w:p w14:paraId="43DD0D50"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28.76%</w:t>
            </w:r>
          </w:p>
        </w:tc>
        <w:tc>
          <w:tcPr>
            <w:tcW w:w="891" w:type="dxa"/>
            <w:hideMark/>
          </w:tcPr>
          <w:p w14:paraId="125494C6"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23,253</w:t>
            </w:r>
          </w:p>
        </w:tc>
        <w:tc>
          <w:tcPr>
            <w:tcW w:w="718" w:type="dxa"/>
            <w:hideMark/>
          </w:tcPr>
          <w:p w14:paraId="51DC3A2F"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601,602</w:t>
            </w:r>
          </w:p>
        </w:tc>
        <w:tc>
          <w:tcPr>
            <w:tcW w:w="891" w:type="dxa"/>
            <w:hideMark/>
          </w:tcPr>
          <w:p w14:paraId="08B0F724"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3.87%</w:t>
            </w:r>
          </w:p>
        </w:tc>
        <w:tc>
          <w:tcPr>
            <w:tcW w:w="700" w:type="dxa"/>
            <w:hideMark/>
          </w:tcPr>
          <w:p w14:paraId="0805E04C"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5,301</w:t>
            </w:r>
          </w:p>
        </w:tc>
        <w:tc>
          <w:tcPr>
            <w:tcW w:w="718" w:type="dxa"/>
            <w:hideMark/>
          </w:tcPr>
          <w:p w14:paraId="647A6A45"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601,602</w:t>
            </w:r>
          </w:p>
        </w:tc>
        <w:tc>
          <w:tcPr>
            <w:tcW w:w="683" w:type="dxa"/>
            <w:noWrap/>
            <w:hideMark/>
          </w:tcPr>
          <w:p w14:paraId="474BCEC7"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0.88%</w:t>
            </w:r>
          </w:p>
        </w:tc>
      </w:tr>
      <w:tr w:rsidR="00444FD6" w14:paraId="1DA75668" w14:textId="77777777" w:rsidTr="00444FD6">
        <w:trPr>
          <w:trHeight w:val="349"/>
        </w:trPr>
        <w:tc>
          <w:tcPr>
            <w:cnfStyle w:val="001000000000" w:firstRow="0" w:lastRow="0" w:firstColumn="1" w:lastColumn="0" w:oddVBand="0" w:evenVBand="0" w:oddHBand="0" w:evenHBand="0" w:firstRowFirstColumn="0" w:firstRowLastColumn="0" w:lastRowFirstColumn="0" w:lastRowLastColumn="0"/>
            <w:tcW w:w="501" w:type="dxa"/>
            <w:hideMark/>
          </w:tcPr>
          <w:p w14:paraId="74C32C5B" w14:textId="77777777" w:rsidR="00444FD6" w:rsidRDefault="00CC34DB">
            <w:pPr>
              <w:rPr>
                <w:rFonts w:eastAsia="Times New Roman"/>
                <w:color w:val="000000"/>
                <w:sz w:val="22"/>
                <w:szCs w:val="22"/>
              </w:rPr>
            </w:pPr>
            <w:r>
              <w:rPr>
                <w:rFonts w:eastAsia="Times New Roman"/>
                <w:color w:val="000000"/>
                <w:sz w:val="22"/>
                <w:szCs w:val="22"/>
              </w:rPr>
              <w:t>2020</w:t>
            </w:r>
          </w:p>
        </w:tc>
        <w:tc>
          <w:tcPr>
            <w:tcW w:w="718" w:type="dxa"/>
            <w:hideMark/>
          </w:tcPr>
          <w:p w14:paraId="7E89858F"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176,256</w:t>
            </w:r>
          </w:p>
        </w:tc>
        <w:tc>
          <w:tcPr>
            <w:tcW w:w="718" w:type="dxa"/>
            <w:hideMark/>
          </w:tcPr>
          <w:p w14:paraId="7CD5AB5E"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614,680</w:t>
            </w:r>
          </w:p>
        </w:tc>
        <w:tc>
          <w:tcPr>
            <w:tcW w:w="683" w:type="dxa"/>
            <w:hideMark/>
          </w:tcPr>
          <w:p w14:paraId="2C1C2F0F"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28.67%</w:t>
            </w:r>
          </w:p>
        </w:tc>
        <w:tc>
          <w:tcPr>
            <w:tcW w:w="891" w:type="dxa"/>
            <w:hideMark/>
          </w:tcPr>
          <w:p w14:paraId="50461A4E"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37,267</w:t>
            </w:r>
          </w:p>
        </w:tc>
        <w:tc>
          <w:tcPr>
            <w:tcW w:w="718" w:type="dxa"/>
            <w:hideMark/>
          </w:tcPr>
          <w:p w14:paraId="2C6C0398"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614,680</w:t>
            </w:r>
          </w:p>
        </w:tc>
        <w:tc>
          <w:tcPr>
            <w:tcW w:w="891" w:type="dxa"/>
            <w:hideMark/>
          </w:tcPr>
          <w:p w14:paraId="46D2AF37"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6.06%</w:t>
            </w:r>
          </w:p>
        </w:tc>
        <w:tc>
          <w:tcPr>
            <w:tcW w:w="700" w:type="dxa"/>
            <w:hideMark/>
          </w:tcPr>
          <w:p w14:paraId="1B98B862"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38,572</w:t>
            </w:r>
          </w:p>
        </w:tc>
        <w:tc>
          <w:tcPr>
            <w:tcW w:w="718" w:type="dxa"/>
            <w:hideMark/>
          </w:tcPr>
          <w:p w14:paraId="4CE6548D"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614,680</w:t>
            </w:r>
          </w:p>
        </w:tc>
        <w:tc>
          <w:tcPr>
            <w:tcW w:w="683" w:type="dxa"/>
            <w:noWrap/>
            <w:hideMark/>
          </w:tcPr>
          <w:p w14:paraId="3B4693F8"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6.28%</w:t>
            </w:r>
          </w:p>
        </w:tc>
      </w:tr>
    </w:tbl>
    <w:p w14:paraId="37AA87EF" w14:textId="77777777" w:rsidR="00444FD6" w:rsidRDefault="00CC34DB">
      <w:pPr>
        <w:jc w:val="right"/>
      </w:pPr>
      <w:r>
        <w:rPr>
          <w:noProof/>
        </w:rPr>
        <w:drawing>
          <wp:inline distT="0" distB="0" distL="0" distR="0" wp14:anchorId="238DDFC8" wp14:editId="14CEB43B">
            <wp:extent cx="5731510" cy="2169490"/>
            <wp:effectExtent l="0" t="0" r="2540" b="2540"/>
            <wp:docPr id="1027"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srcRect/>
                    <a:stretch/>
                  </pic:blipFill>
                  <pic:spPr>
                    <a:xfrm>
                      <a:off x="0" y="0"/>
                      <a:ext cx="5731510" cy="2169490"/>
                    </a:xfrm>
                    <a:prstGeom prst="rect">
                      <a:avLst/>
                    </a:prstGeom>
                  </pic:spPr>
                </pic:pic>
              </a:graphicData>
            </a:graphic>
          </wp:inline>
        </w:drawing>
      </w:r>
    </w:p>
    <w:p w14:paraId="242D9F7D" w14:textId="77777777" w:rsidR="00444FD6" w:rsidRDefault="00444FD6"/>
    <w:tbl>
      <w:tblPr>
        <w:tblStyle w:val="GridTable3-Accent31"/>
        <w:tblW w:w="8973" w:type="dxa"/>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979"/>
        <w:gridCol w:w="1202"/>
        <w:gridCol w:w="1255"/>
        <w:gridCol w:w="1184"/>
        <w:gridCol w:w="1202"/>
        <w:gridCol w:w="1967"/>
        <w:gridCol w:w="1184"/>
      </w:tblGrid>
      <w:tr w:rsidR="00444FD6" w14:paraId="52C1C02E" w14:textId="77777777" w:rsidTr="00444FD6">
        <w:trPr>
          <w:cnfStyle w:val="100000000000" w:firstRow="1" w:lastRow="0" w:firstColumn="0" w:lastColumn="0" w:oddVBand="0" w:evenVBand="0" w:oddHBand="0" w:evenHBand="0" w:firstRowFirstColumn="0" w:firstRowLastColumn="0" w:lastRowFirstColumn="0" w:lastRowLastColumn="0"/>
          <w:trHeight w:val="1247"/>
        </w:trPr>
        <w:tc>
          <w:tcPr>
            <w:cnfStyle w:val="001000000100" w:firstRow="0" w:lastRow="0" w:firstColumn="1" w:lastColumn="0" w:oddVBand="0" w:evenVBand="0" w:oddHBand="0" w:evenHBand="0" w:firstRowFirstColumn="1" w:firstRowLastColumn="0" w:lastRowFirstColumn="0" w:lastRowLastColumn="0"/>
            <w:tcW w:w="979" w:type="dxa"/>
            <w:tcBorders>
              <w:top w:val="none" w:sz="0" w:space="0" w:color="auto"/>
              <w:left w:val="none" w:sz="0" w:space="0" w:color="auto"/>
              <w:bottom w:val="none" w:sz="0" w:space="0" w:color="auto"/>
              <w:right w:val="none" w:sz="0" w:space="0" w:color="auto"/>
            </w:tcBorders>
            <w:hideMark/>
          </w:tcPr>
          <w:p w14:paraId="054C32B7" w14:textId="77777777" w:rsidR="00444FD6" w:rsidRDefault="00CC34DB">
            <w:pPr>
              <w:jc w:val="center"/>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Year</w:t>
            </w:r>
          </w:p>
        </w:tc>
        <w:tc>
          <w:tcPr>
            <w:tcW w:w="1202" w:type="dxa"/>
            <w:tcBorders>
              <w:top w:val="none" w:sz="0" w:space="0" w:color="auto"/>
              <w:left w:val="none" w:sz="0" w:space="0" w:color="auto"/>
              <w:right w:val="none" w:sz="0" w:space="0" w:color="auto"/>
            </w:tcBorders>
            <w:hideMark/>
          </w:tcPr>
          <w:p w14:paraId="574241B7"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Net Income (£m)</w:t>
            </w:r>
          </w:p>
        </w:tc>
        <w:tc>
          <w:tcPr>
            <w:tcW w:w="1255" w:type="dxa"/>
            <w:tcBorders>
              <w:top w:val="none" w:sz="0" w:space="0" w:color="auto"/>
              <w:left w:val="none" w:sz="0" w:space="0" w:color="auto"/>
              <w:right w:val="none" w:sz="0" w:space="0" w:color="auto"/>
            </w:tcBorders>
            <w:hideMark/>
          </w:tcPr>
          <w:p w14:paraId="23DFDBE7"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Total Assets (£m)</w:t>
            </w:r>
          </w:p>
        </w:tc>
        <w:tc>
          <w:tcPr>
            <w:tcW w:w="1184" w:type="dxa"/>
            <w:tcBorders>
              <w:top w:val="none" w:sz="0" w:space="0" w:color="auto"/>
              <w:left w:val="none" w:sz="0" w:space="0" w:color="auto"/>
              <w:right w:val="none" w:sz="0" w:space="0" w:color="auto"/>
            </w:tcBorders>
            <w:hideMark/>
          </w:tcPr>
          <w:p w14:paraId="5E03FF43"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Return on Assets (%)</w:t>
            </w:r>
          </w:p>
        </w:tc>
        <w:tc>
          <w:tcPr>
            <w:tcW w:w="1202" w:type="dxa"/>
            <w:tcBorders>
              <w:top w:val="none" w:sz="0" w:space="0" w:color="auto"/>
              <w:left w:val="none" w:sz="0" w:space="0" w:color="auto"/>
              <w:right w:val="none" w:sz="0" w:space="0" w:color="auto"/>
            </w:tcBorders>
            <w:hideMark/>
          </w:tcPr>
          <w:p w14:paraId="5A649F14"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Net Income (£m)</w:t>
            </w:r>
          </w:p>
        </w:tc>
        <w:tc>
          <w:tcPr>
            <w:tcW w:w="1967" w:type="dxa"/>
            <w:tcBorders>
              <w:top w:val="none" w:sz="0" w:space="0" w:color="auto"/>
              <w:left w:val="none" w:sz="0" w:space="0" w:color="auto"/>
              <w:right w:val="none" w:sz="0" w:space="0" w:color="auto"/>
            </w:tcBorders>
            <w:hideMark/>
          </w:tcPr>
          <w:p w14:paraId="6137B820"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Shareholders' Equity (£m)</w:t>
            </w:r>
          </w:p>
        </w:tc>
        <w:tc>
          <w:tcPr>
            <w:tcW w:w="1184" w:type="dxa"/>
            <w:tcBorders>
              <w:top w:val="none" w:sz="0" w:space="0" w:color="auto"/>
              <w:left w:val="none" w:sz="0" w:space="0" w:color="auto"/>
              <w:right w:val="none" w:sz="0" w:space="0" w:color="auto"/>
            </w:tcBorders>
            <w:hideMark/>
          </w:tcPr>
          <w:p w14:paraId="319F991D"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Return on Assets (%)</w:t>
            </w:r>
          </w:p>
        </w:tc>
      </w:tr>
      <w:tr w:rsidR="00444FD6" w14:paraId="10123E1E" w14:textId="77777777" w:rsidTr="00444FD6">
        <w:trPr>
          <w:cnfStyle w:val="000000100000" w:firstRow="0" w:lastRow="0" w:firstColumn="0" w:lastColumn="0" w:oddVBand="0" w:evenVBand="0" w:oddHBand="1" w:evenHBand="0" w:firstRowFirstColumn="0" w:firstRowLastColumn="0" w:lastRowFirstColumn="0" w:lastRowLastColumn="0"/>
          <w:trHeight w:val="311"/>
        </w:trPr>
        <w:tc>
          <w:tcPr>
            <w:cnfStyle w:val="001000000000" w:firstRow="0" w:lastRow="0" w:firstColumn="1" w:lastColumn="0" w:oddVBand="0" w:evenVBand="0" w:oddHBand="0" w:evenHBand="0" w:firstRowFirstColumn="0" w:firstRowLastColumn="0" w:lastRowFirstColumn="0" w:lastRowLastColumn="0"/>
            <w:tcW w:w="979" w:type="dxa"/>
            <w:tcBorders>
              <w:top w:val="none" w:sz="0" w:space="0" w:color="auto"/>
              <w:left w:val="none" w:sz="0" w:space="0" w:color="auto"/>
              <w:bottom w:val="none" w:sz="0" w:space="0" w:color="auto"/>
            </w:tcBorders>
            <w:hideMark/>
          </w:tcPr>
          <w:p w14:paraId="6DF68BF6" w14:textId="77777777" w:rsidR="00444FD6" w:rsidRDefault="00CC34DB">
            <w:pPr>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2024</w:t>
            </w:r>
          </w:p>
        </w:tc>
        <w:tc>
          <w:tcPr>
            <w:tcW w:w="1202" w:type="dxa"/>
            <w:hideMark/>
          </w:tcPr>
          <w:p w14:paraId="266441BF"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-24,029</w:t>
            </w:r>
          </w:p>
        </w:tc>
        <w:tc>
          <w:tcPr>
            <w:tcW w:w="1255" w:type="dxa"/>
            <w:hideMark/>
          </w:tcPr>
          <w:p w14:paraId="6F3B0D15"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323,354</w:t>
            </w:r>
          </w:p>
        </w:tc>
        <w:tc>
          <w:tcPr>
            <w:tcW w:w="1184" w:type="dxa"/>
            <w:hideMark/>
          </w:tcPr>
          <w:p w14:paraId="4771D085"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-7.43%</w:t>
            </w:r>
          </w:p>
        </w:tc>
        <w:tc>
          <w:tcPr>
            <w:tcW w:w="1202" w:type="dxa"/>
            <w:hideMark/>
          </w:tcPr>
          <w:p w14:paraId="74595BC0"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-24,029</w:t>
            </w:r>
          </w:p>
        </w:tc>
        <w:tc>
          <w:tcPr>
            <w:tcW w:w="1967" w:type="dxa"/>
            <w:hideMark/>
          </w:tcPr>
          <w:p w14:paraId="2321C1FF"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153,105</w:t>
            </w:r>
          </w:p>
        </w:tc>
        <w:tc>
          <w:tcPr>
            <w:tcW w:w="1184" w:type="dxa"/>
            <w:hideMark/>
          </w:tcPr>
          <w:p w14:paraId="611C2708"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-15.69%</w:t>
            </w:r>
          </w:p>
        </w:tc>
      </w:tr>
      <w:tr w:rsidR="00444FD6" w14:paraId="01C8485D" w14:textId="77777777" w:rsidTr="00444FD6">
        <w:trPr>
          <w:trHeight w:val="311"/>
        </w:trPr>
        <w:tc>
          <w:tcPr>
            <w:cnfStyle w:val="001000000000" w:firstRow="0" w:lastRow="0" w:firstColumn="1" w:lastColumn="0" w:oddVBand="0" w:evenVBand="0" w:oddHBand="0" w:evenHBand="0" w:firstRowFirstColumn="0" w:firstRowLastColumn="0" w:lastRowFirstColumn="0" w:lastRowLastColumn="0"/>
            <w:tcW w:w="979" w:type="dxa"/>
            <w:tcBorders>
              <w:top w:val="none" w:sz="0" w:space="0" w:color="auto"/>
              <w:left w:val="none" w:sz="0" w:space="0" w:color="auto"/>
              <w:bottom w:val="none" w:sz="0" w:space="0" w:color="auto"/>
            </w:tcBorders>
            <w:hideMark/>
          </w:tcPr>
          <w:p w14:paraId="26E5C111" w14:textId="77777777" w:rsidR="00444FD6" w:rsidRDefault="00CC34DB">
            <w:pPr>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2023</w:t>
            </w:r>
          </w:p>
        </w:tc>
        <w:tc>
          <w:tcPr>
            <w:tcW w:w="1202" w:type="dxa"/>
            <w:hideMark/>
          </w:tcPr>
          <w:p w14:paraId="572C7D8B"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-98,238</w:t>
            </w:r>
          </w:p>
        </w:tc>
        <w:tc>
          <w:tcPr>
            <w:tcW w:w="1255" w:type="dxa"/>
            <w:hideMark/>
          </w:tcPr>
          <w:p w14:paraId="60D92B90"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355,872</w:t>
            </w:r>
          </w:p>
        </w:tc>
        <w:tc>
          <w:tcPr>
            <w:tcW w:w="1184" w:type="dxa"/>
            <w:hideMark/>
          </w:tcPr>
          <w:p w14:paraId="06692D00"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-27.60%</w:t>
            </w:r>
          </w:p>
        </w:tc>
        <w:tc>
          <w:tcPr>
            <w:tcW w:w="1202" w:type="dxa"/>
            <w:hideMark/>
          </w:tcPr>
          <w:p w14:paraId="0BF00BE1"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-98,238</w:t>
            </w:r>
          </w:p>
        </w:tc>
        <w:tc>
          <w:tcPr>
            <w:tcW w:w="1967" w:type="dxa"/>
            <w:hideMark/>
          </w:tcPr>
          <w:p w14:paraId="13047708"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178,920</w:t>
            </w:r>
          </w:p>
        </w:tc>
        <w:tc>
          <w:tcPr>
            <w:tcW w:w="1184" w:type="dxa"/>
            <w:hideMark/>
          </w:tcPr>
          <w:p w14:paraId="2D571B8A"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-54.91%</w:t>
            </w:r>
          </w:p>
        </w:tc>
      </w:tr>
      <w:tr w:rsidR="00444FD6" w14:paraId="75757DE3" w14:textId="77777777" w:rsidTr="00444FD6">
        <w:trPr>
          <w:cnfStyle w:val="000000100000" w:firstRow="0" w:lastRow="0" w:firstColumn="0" w:lastColumn="0" w:oddVBand="0" w:evenVBand="0" w:oddHBand="1" w:evenHBand="0" w:firstRowFirstColumn="0" w:firstRowLastColumn="0" w:lastRowFirstColumn="0" w:lastRowLastColumn="0"/>
          <w:trHeight w:val="311"/>
        </w:trPr>
        <w:tc>
          <w:tcPr>
            <w:cnfStyle w:val="001000000000" w:firstRow="0" w:lastRow="0" w:firstColumn="1" w:lastColumn="0" w:oddVBand="0" w:evenVBand="0" w:oddHBand="0" w:evenHBand="0" w:firstRowFirstColumn="0" w:firstRowLastColumn="0" w:lastRowFirstColumn="0" w:lastRowLastColumn="0"/>
            <w:tcW w:w="979" w:type="dxa"/>
            <w:tcBorders>
              <w:top w:val="none" w:sz="0" w:space="0" w:color="auto"/>
              <w:left w:val="none" w:sz="0" w:space="0" w:color="auto"/>
              <w:bottom w:val="none" w:sz="0" w:space="0" w:color="auto"/>
            </w:tcBorders>
            <w:hideMark/>
          </w:tcPr>
          <w:p w14:paraId="7B8CD958" w14:textId="77777777" w:rsidR="00444FD6" w:rsidRDefault="00CC34DB">
            <w:pPr>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2022</w:t>
            </w:r>
          </w:p>
        </w:tc>
        <w:tc>
          <w:tcPr>
            <w:tcW w:w="1202" w:type="dxa"/>
            <w:hideMark/>
          </w:tcPr>
          <w:p w14:paraId="657B02B3"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407</w:t>
            </w:r>
          </w:p>
        </w:tc>
        <w:tc>
          <w:tcPr>
            <w:tcW w:w="1255" w:type="dxa"/>
            <w:hideMark/>
          </w:tcPr>
          <w:p w14:paraId="3B2375DA"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504,163</w:t>
            </w:r>
          </w:p>
        </w:tc>
        <w:tc>
          <w:tcPr>
            <w:tcW w:w="1184" w:type="dxa"/>
            <w:hideMark/>
          </w:tcPr>
          <w:p w14:paraId="5A6D0A74"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0.08%</w:t>
            </w:r>
          </w:p>
        </w:tc>
        <w:tc>
          <w:tcPr>
            <w:tcW w:w="1202" w:type="dxa"/>
            <w:hideMark/>
          </w:tcPr>
          <w:p w14:paraId="2436F150"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407</w:t>
            </w:r>
          </w:p>
        </w:tc>
        <w:tc>
          <w:tcPr>
            <w:tcW w:w="1967" w:type="dxa"/>
            <w:hideMark/>
          </w:tcPr>
          <w:p w14:paraId="6AD4567D"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268,406</w:t>
            </w:r>
          </w:p>
        </w:tc>
        <w:tc>
          <w:tcPr>
            <w:tcW w:w="1184" w:type="dxa"/>
            <w:hideMark/>
          </w:tcPr>
          <w:p w14:paraId="6F06DDBD"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0.15%</w:t>
            </w:r>
          </w:p>
        </w:tc>
      </w:tr>
      <w:tr w:rsidR="00444FD6" w14:paraId="3059803B" w14:textId="77777777" w:rsidTr="00444FD6">
        <w:trPr>
          <w:trHeight w:val="311"/>
        </w:trPr>
        <w:tc>
          <w:tcPr>
            <w:cnfStyle w:val="001000000000" w:firstRow="0" w:lastRow="0" w:firstColumn="1" w:lastColumn="0" w:oddVBand="0" w:evenVBand="0" w:oddHBand="0" w:evenHBand="0" w:firstRowFirstColumn="0" w:firstRowLastColumn="0" w:lastRowFirstColumn="0" w:lastRowLastColumn="0"/>
            <w:tcW w:w="979" w:type="dxa"/>
            <w:tcBorders>
              <w:top w:val="none" w:sz="0" w:space="0" w:color="auto"/>
              <w:left w:val="none" w:sz="0" w:space="0" w:color="auto"/>
              <w:bottom w:val="none" w:sz="0" w:space="0" w:color="auto"/>
            </w:tcBorders>
            <w:hideMark/>
          </w:tcPr>
          <w:p w14:paraId="376B72C3" w14:textId="77777777" w:rsidR="00444FD6" w:rsidRDefault="00CC34DB">
            <w:pPr>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2021</w:t>
            </w:r>
          </w:p>
        </w:tc>
        <w:tc>
          <w:tcPr>
            <w:tcW w:w="1202" w:type="dxa"/>
            <w:hideMark/>
          </w:tcPr>
          <w:p w14:paraId="301E8213"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5,301</w:t>
            </w:r>
          </w:p>
        </w:tc>
        <w:tc>
          <w:tcPr>
            <w:tcW w:w="1255" w:type="dxa"/>
            <w:hideMark/>
          </w:tcPr>
          <w:p w14:paraId="1D70E793"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510,348</w:t>
            </w:r>
          </w:p>
        </w:tc>
        <w:tc>
          <w:tcPr>
            <w:tcW w:w="1184" w:type="dxa"/>
            <w:hideMark/>
          </w:tcPr>
          <w:p w14:paraId="0F70AF9F"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1.04%</w:t>
            </w:r>
          </w:p>
        </w:tc>
        <w:tc>
          <w:tcPr>
            <w:tcW w:w="1202" w:type="dxa"/>
            <w:hideMark/>
          </w:tcPr>
          <w:p w14:paraId="710E2998"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5,301</w:t>
            </w:r>
          </w:p>
        </w:tc>
        <w:tc>
          <w:tcPr>
            <w:tcW w:w="1967" w:type="dxa"/>
            <w:hideMark/>
          </w:tcPr>
          <w:p w14:paraId="475EAD52"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275,949</w:t>
            </w:r>
          </w:p>
        </w:tc>
        <w:tc>
          <w:tcPr>
            <w:tcW w:w="1184" w:type="dxa"/>
            <w:hideMark/>
          </w:tcPr>
          <w:p w14:paraId="162BFB6F"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1.92%</w:t>
            </w:r>
          </w:p>
        </w:tc>
      </w:tr>
      <w:tr w:rsidR="00444FD6" w14:paraId="0E867FB0" w14:textId="77777777" w:rsidTr="00444FD6">
        <w:trPr>
          <w:cnfStyle w:val="000000100000" w:firstRow="0" w:lastRow="0" w:firstColumn="0" w:lastColumn="0" w:oddVBand="0" w:evenVBand="0" w:oddHBand="1" w:evenHBand="0" w:firstRowFirstColumn="0" w:firstRowLastColumn="0" w:lastRowFirstColumn="0" w:lastRowLastColumn="0"/>
          <w:trHeight w:val="311"/>
        </w:trPr>
        <w:tc>
          <w:tcPr>
            <w:cnfStyle w:val="001000000000" w:firstRow="0" w:lastRow="0" w:firstColumn="1" w:lastColumn="0" w:oddVBand="0" w:evenVBand="0" w:oddHBand="0" w:evenHBand="0" w:firstRowFirstColumn="0" w:firstRowLastColumn="0" w:lastRowFirstColumn="0" w:lastRowLastColumn="0"/>
            <w:tcW w:w="979" w:type="dxa"/>
            <w:tcBorders>
              <w:top w:val="none" w:sz="0" w:space="0" w:color="auto"/>
              <w:left w:val="none" w:sz="0" w:space="0" w:color="auto"/>
              <w:bottom w:val="none" w:sz="0" w:space="0" w:color="auto"/>
            </w:tcBorders>
            <w:hideMark/>
          </w:tcPr>
          <w:p w14:paraId="74992608" w14:textId="77777777" w:rsidR="00444FD6" w:rsidRDefault="00CC34DB">
            <w:pPr>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2020</w:t>
            </w:r>
          </w:p>
        </w:tc>
        <w:tc>
          <w:tcPr>
            <w:tcW w:w="1202" w:type="dxa"/>
            <w:hideMark/>
          </w:tcPr>
          <w:p w14:paraId="3254EF80"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38,572</w:t>
            </w:r>
          </w:p>
        </w:tc>
        <w:tc>
          <w:tcPr>
            <w:tcW w:w="1255" w:type="dxa"/>
            <w:hideMark/>
          </w:tcPr>
          <w:p w14:paraId="7F74DF3B"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510,290</w:t>
            </w:r>
          </w:p>
        </w:tc>
        <w:tc>
          <w:tcPr>
            <w:tcW w:w="1184" w:type="dxa"/>
            <w:hideMark/>
          </w:tcPr>
          <w:p w14:paraId="41A4E38D"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7.56%</w:t>
            </w:r>
          </w:p>
        </w:tc>
        <w:tc>
          <w:tcPr>
            <w:tcW w:w="1202" w:type="dxa"/>
            <w:hideMark/>
          </w:tcPr>
          <w:p w14:paraId="6DBA817F"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38,572</w:t>
            </w:r>
          </w:p>
        </w:tc>
        <w:tc>
          <w:tcPr>
            <w:tcW w:w="1967" w:type="dxa"/>
            <w:hideMark/>
          </w:tcPr>
          <w:p w14:paraId="2706C6D8"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313,301</w:t>
            </w:r>
          </w:p>
        </w:tc>
        <w:tc>
          <w:tcPr>
            <w:tcW w:w="1184" w:type="dxa"/>
            <w:hideMark/>
          </w:tcPr>
          <w:p w14:paraId="4A0720EA"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12.31%</w:t>
            </w:r>
          </w:p>
        </w:tc>
      </w:tr>
    </w:tbl>
    <w:p w14:paraId="58DD2BC6" w14:textId="77777777" w:rsidR="00444FD6" w:rsidRDefault="00444FD6"/>
    <w:p w14:paraId="37E5248B" w14:textId="77777777" w:rsidR="00444FD6" w:rsidRDefault="00CC34DB">
      <w:pPr>
        <w:rPr>
          <w:b/>
          <w:bCs/>
        </w:rPr>
      </w:pPr>
      <w:r>
        <w:rPr>
          <w:b/>
          <w:bCs/>
        </w:rPr>
        <w:t xml:space="preserve">Liquidity Ratios </w:t>
      </w:r>
    </w:p>
    <w:p w14:paraId="6CB7CBA0" w14:textId="77777777" w:rsidR="00444FD6" w:rsidRDefault="00CC34DB">
      <w:pPr>
        <w:rPr>
          <w:b/>
          <w:bCs/>
        </w:rPr>
      </w:pPr>
      <w:r>
        <w:rPr>
          <w:noProof/>
        </w:rPr>
        <w:drawing>
          <wp:inline distT="0" distB="0" distL="0" distR="0" wp14:anchorId="58E4F43A" wp14:editId="627A4922">
            <wp:extent cx="4596765" cy="3298190"/>
            <wp:effectExtent l="0" t="0" r="0" b="0"/>
            <wp:docPr id="1028"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cstate="print"/>
                    <a:srcRect/>
                    <a:stretch/>
                  </pic:blipFill>
                  <pic:spPr>
                    <a:xfrm>
                      <a:off x="0" y="0"/>
                      <a:ext cx="4596765" cy="3298190"/>
                    </a:xfrm>
                    <a:prstGeom prst="rect">
                      <a:avLst/>
                    </a:prstGeom>
                  </pic:spPr>
                </pic:pic>
              </a:graphicData>
            </a:graphic>
          </wp:inline>
        </w:drawing>
      </w:r>
    </w:p>
    <w:tbl>
      <w:tblPr>
        <w:tblStyle w:val="GridTable3-Accent31"/>
        <w:tblW w:w="5000" w:type="pct"/>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556"/>
        <w:gridCol w:w="770"/>
        <w:gridCol w:w="922"/>
        <w:gridCol w:w="769"/>
        <w:gridCol w:w="770"/>
        <w:gridCol w:w="1033"/>
        <w:gridCol w:w="922"/>
        <w:gridCol w:w="642"/>
        <w:gridCol w:w="1075"/>
        <w:gridCol w:w="922"/>
        <w:gridCol w:w="599"/>
      </w:tblGrid>
      <w:tr w:rsidR="00444FD6" w14:paraId="5DA17A67" w14:textId="77777777" w:rsidTr="00444FD6">
        <w:trPr>
          <w:cnfStyle w:val="100000000000" w:firstRow="1" w:lastRow="0" w:firstColumn="0" w:lastColumn="0" w:oddVBand="0" w:evenVBand="0" w:oddHBand="0" w:evenHBand="0" w:firstRowFirstColumn="0" w:firstRowLastColumn="0" w:lastRowFirstColumn="0" w:lastRowLastColumn="0"/>
          <w:trHeight w:val="1307"/>
        </w:trPr>
        <w:tc>
          <w:tcPr>
            <w:cnfStyle w:val="001000000100" w:firstRow="0" w:lastRow="0" w:firstColumn="1" w:lastColumn="0" w:oddVBand="0" w:evenVBand="0" w:oddHBand="0" w:evenHBand="0" w:firstRowFirstColumn="1" w:firstRowLastColumn="0" w:lastRowFirstColumn="0" w:lastRowLastColumn="0"/>
            <w:tcW w:w="310" w:type="pct"/>
            <w:tcBorders>
              <w:top w:val="none" w:sz="0" w:space="0" w:color="auto"/>
              <w:left w:val="none" w:sz="0" w:space="0" w:color="auto"/>
              <w:bottom w:val="none" w:sz="0" w:space="0" w:color="auto"/>
              <w:right w:val="none" w:sz="0" w:space="0" w:color="auto"/>
            </w:tcBorders>
            <w:hideMark/>
          </w:tcPr>
          <w:p w14:paraId="620B9EE0" w14:textId="77777777" w:rsidR="00444FD6" w:rsidRDefault="00CC34DB">
            <w:pPr>
              <w:jc w:val="center"/>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Year</w:t>
            </w:r>
          </w:p>
        </w:tc>
        <w:tc>
          <w:tcPr>
            <w:tcW w:w="440" w:type="pct"/>
            <w:tcBorders>
              <w:top w:val="none" w:sz="0" w:space="0" w:color="auto"/>
              <w:left w:val="none" w:sz="0" w:space="0" w:color="auto"/>
              <w:right w:val="none" w:sz="0" w:space="0" w:color="auto"/>
            </w:tcBorders>
            <w:hideMark/>
          </w:tcPr>
          <w:p w14:paraId="72DAEAD6"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Current Assets (£m)</w:t>
            </w:r>
          </w:p>
        </w:tc>
        <w:tc>
          <w:tcPr>
            <w:tcW w:w="506" w:type="pct"/>
            <w:tcBorders>
              <w:top w:val="none" w:sz="0" w:space="0" w:color="auto"/>
              <w:left w:val="none" w:sz="0" w:space="0" w:color="auto"/>
              <w:right w:val="none" w:sz="0" w:space="0" w:color="auto"/>
            </w:tcBorders>
            <w:hideMark/>
          </w:tcPr>
          <w:p w14:paraId="5370106C"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Current Liabilities (£m)</w:t>
            </w:r>
          </w:p>
        </w:tc>
        <w:tc>
          <w:tcPr>
            <w:tcW w:w="427" w:type="pct"/>
            <w:tcBorders>
              <w:top w:val="none" w:sz="0" w:space="0" w:color="auto"/>
              <w:left w:val="none" w:sz="0" w:space="0" w:color="auto"/>
              <w:right w:val="none" w:sz="0" w:space="0" w:color="auto"/>
            </w:tcBorders>
            <w:hideMark/>
          </w:tcPr>
          <w:p w14:paraId="0D32E2AB"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Current Ratio</w:t>
            </w:r>
          </w:p>
        </w:tc>
        <w:tc>
          <w:tcPr>
            <w:tcW w:w="440" w:type="pct"/>
            <w:tcBorders>
              <w:top w:val="none" w:sz="0" w:space="0" w:color="auto"/>
              <w:left w:val="none" w:sz="0" w:space="0" w:color="auto"/>
              <w:right w:val="none" w:sz="0" w:space="0" w:color="auto"/>
            </w:tcBorders>
            <w:hideMark/>
          </w:tcPr>
          <w:p w14:paraId="742E6F05"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Current Assets (£m)</w:t>
            </w:r>
          </w:p>
        </w:tc>
        <w:tc>
          <w:tcPr>
            <w:tcW w:w="586" w:type="pct"/>
            <w:tcBorders>
              <w:top w:val="none" w:sz="0" w:space="0" w:color="auto"/>
              <w:left w:val="none" w:sz="0" w:space="0" w:color="auto"/>
              <w:right w:val="none" w:sz="0" w:space="0" w:color="auto"/>
            </w:tcBorders>
            <w:hideMark/>
          </w:tcPr>
          <w:p w14:paraId="3465F5CC"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Inventories (£m)</w:t>
            </w:r>
          </w:p>
        </w:tc>
        <w:tc>
          <w:tcPr>
            <w:tcW w:w="506" w:type="pct"/>
            <w:tcBorders>
              <w:top w:val="none" w:sz="0" w:space="0" w:color="auto"/>
              <w:left w:val="none" w:sz="0" w:space="0" w:color="auto"/>
              <w:right w:val="none" w:sz="0" w:space="0" w:color="auto"/>
            </w:tcBorders>
            <w:hideMark/>
          </w:tcPr>
          <w:p w14:paraId="46936B00"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Current Liabilities (£m)</w:t>
            </w:r>
          </w:p>
        </w:tc>
        <w:tc>
          <w:tcPr>
            <w:tcW w:w="345" w:type="pct"/>
            <w:tcBorders>
              <w:top w:val="none" w:sz="0" w:space="0" w:color="auto"/>
              <w:left w:val="none" w:sz="0" w:space="0" w:color="auto"/>
              <w:right w:val="none" w:sz="0" w:space="0" w:color="auto"/>
            </w:tcBorders>
            <w:hideMark/>
          </w:tcPr>
          <w:p w14:paraId="207CBB50"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Quick Ratio</w:t>
            </w:r>
          </w:p>
        </w:tc>
        <w:tc>
          <w:tcPr>
            <w:tcW w:w="597" w:type="pct"/>
            <w:tcBorders>
              <w:top w:val="none" w:sz="0" w:space="0" w:color="auto"/>
              <w:left w:val="none" w:sz="0" w:space="0" w:color="auto"/>
              <w:right w:val="none" w:sz="0" w:space="0" w:color="auto"/>
            </w:tcBorders>
            <w:hideMark/>
          </w:tcPr>
          <w:p w14:paraId="6C2ABD82"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Cash and Cash Equivalents (£m)</w:t>
            </w:r>
          </w:p>
        </w:tc>
        <w:tc>
          <w:tcPr>
            <w:tcW w:w="506" w:type="pct"/>
            <w:tcBorders>
              <w:top w:val="none" w:sz="0" w:space="0" w:color="auto"/>
              <w:left w:val="none" w:sz="0" w:space="0" w:color="auto"/>
              <w:right w:val="none" w:sz="0" w:space="0" w:color="auto"/>
            </w:tcBorders>
            <w:hideMark/>
          </w:tcPr>
          <w:p w14:paraId="3EB50F13"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Current Liabilities (£m)</w:t>
            </w:r>
          </w:p>
        </w:tc>
        <w:tc>
          <w:tcPr>
            <w:tcW w:w="336" w:type="pct"/>
            <w:tcBorders>
              <w:top w:val="none" w:sz="0" w:space="0" w:color="auto"/>
              <w:left w:val="none" w:sz="0" w:space="0" w:color="auto"/>
              <w:right w:val="none" w:sz="0" w:space="0" w:color="auto"/>
            </w:tcBorders>
            <w:hideMark/>
          </w:tcPr>
          <w:p w14:paraId="4310267E"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Cash Ratio</w:t>
            </w:r>
          </w:p>
        </w:tc>
      </w:tr>
      <w:tr w:rsidR="00444FD6" w14:paraId="3CB71001" w14:textId="77777777" w:rsidTr="00444FD6">
        <w:trPr>
          <w:cnfStyle w:val="000000100000" w:firstRow="0" w:lastRow="0" w:firstColumn="0" w:lastColumn="0" w:oddVBand="0" w:evenVBand="0" w:oddHBand="1" w:evenHBand="0" w:firstRowFirstColumn="0" w:firstRowLastColumn="0" w:lastRowFirstColumn="0" w:lastRowLastColumn="0"/>
          <w:trHeight w:val="326"/>
        </w:trPr>
        <w:tc>
          <w:tcPr>
            <w:cnfStyle w:val="001000000000" w:firstRow="0" w:lastRow="0" w:firstColumn="1" w:lastColumn="0" w:oddVBand="0" w:evenVBand="0" w:oddHBand="0" w:evenHBand="0" w:firstRowFirstColumn="0" w:firstRowLastColumn="0" w:lastRowFirstColumn="0" w:lastRowLastColumn="0"/>
            <w:tcW w:w="310" w:type="pct"/>
            <w:tcBorders>
              <w:top w:val="none" w:sz="0" w:space="0" w:color="auto"/>
              <w:left w:val="none" w:sz="0" w:space="0" w:color="auto"/>
              <w:bottom w:val="none" w:sz="0" w:space="0" w:color="auto"/>
            </w:tcBorders>
            <w:hideMark/>
          </w:tcPr>
          <w:p w14:paraId="16E197F7" w14:textId="77777777" w:rsidR="00444FD6" w:rsidRDefault="00CC34DB">
            <w:pPr>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2024</w:t>
            </w:r>
          </w:p>
        </w:tc>
        <w:tc>
          <w:tcPr>
            <w:tcW w:w="440" w:type="pct"/>
            <w:hideMark/>
          </w:tcPr>
          <w:p w14:paraId="678F8A56"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242,494</w:t>
            </w:r>
          </w:p>
        </w:tc>
        <w:tc>
          <w:tcPr>
            <w:tcW w:w="506" w:type="pct"/>
            <w:hideMark/>
          </w:tcPr>
          <w:p w14:paraId="08BAFA82"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158,291</w:t>
            </w:r>
          </w:p>
        </w:tc>
        <w:tc>
          <w:tcPr>
            <w:tcW w:w="427" w:type="pct"/>
            <w:hideMark/>
          </w:tcPr>
          <w:p w14:paraId="08290AF9"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1.532</w:t>
            </w:r>
          </w:p>
        </w:tc>
        <w:tc>
          <w:tcPr>
            <w:tcW w:w="440" w:type="pct"/>
            <w:hideMark/>
          </w:tcPr>
          <w:p w14:paraId="29969959"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242,494</w:t>
            </w:r>
          </w:p>
        </w:tc>
        <w:tc>
          <w:tcPr>
            <w:tcW w:w="586" w:type="pct"/>
            <w:hideMark/>
          </w:tcPr>
          <w:p w14:paraId="1185A93A"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79,355</w:t>
            </w:r>
          </w:p>
        </w:tc>
        <w:tc>
          <w:tcPr>
            <w:tcW w:w="506" w:type="pct"/>
            <w:hideMark/>
          </w:tcPr>
          <w:p w14:paraId="4FB9CAE5"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158,291</w:t>
            </w:r>
          </w:p>
        </w:tc>
        <w:tc>
          <w:tcPr>
            <w:tcW w:w="345" w:type="pct"/>
            <w:hideMark/>
          </w:tcPr>
          <w:p w14:paraId="25A98F35"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1.03</w:t>
            </w:r>
          </w:p>
        </w:tc>
        <w:tc>
          <w:tcPr>
            <w:tcW w:w="597" w:type="pct"/>
            <w:hideMark/>
          </w:tcPr>
          <w:p w14:paraId="74E799D3"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26,783</w:t>
            </w:r>
          </w:p>
        </w:tc>
        <w:tc>
          <w:tcPr>
            <w:tcW w:w="506" w:type="pct"/>
            <w:hideMark/>
          </w:tcPr>
          <w:p w14:paraId="74052EFB"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158,291</w:t>
            </w:r>
          </w:p>
        </w:tc>
        <w:tc>
          <w:tcPr>
            <w:tcW w:w="336" w:type="pct"/>
            <w:hideMark/>
          </w:tcPr>
          <w:p w14:paraId="05E852A4"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0.169</w:t>
            </w:r>
          </w:p>
        </w:tc>
      </w:tr>
      <w:tr w:rsidR="00444FD6" w14:paraId="0BEECBBB" w14:textId="77777777" w:rsidTr="00444FD6">
        <w:trPr>
          <w:trHeight w:val="326"/>
        </w:trPr>
        <w:tc>
          <w:tcPr>
            <w:cnfStyle w:val="001000000000" w:firstRow="0" w:lastRow="0" w:firstColumn="1" w:lastColumn="0" w:oddVBand="0" w:evenVBand="0" w:oddHBand="0" w:evenHBand="0" w:firstRowFirstColumn="0" w:firstRowLastColumn="0" w:lastRowFirstColumn="0" w:lastRowLastColumn="0"/>
            <w:tcW w:w="310" w:type="pct"/>
            <w:tcBorders>
              <w:top w:val="none" w:sz="0" w:space="0" w:color="auto"/>
              <w:left w:val="none" w:sz="0" w:space="0" w:color="auto"/>
              <w:bottom w:val="none" w:sz="0" w:space="0" w:color="auto"/>
            </w:tcBorders>
            <w:hideMark/>
          </w:tcPr>
          <w:p w14:paraId="55EDD991" w14:textId="77777777" w:rsidR="00444FD6" w:rsidRDefault="00CC34DB">
            <w:pPr>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2023</w:t>
            </w:r>
          </w:p>
        </w:tc>
        <w:tc>
          <w:tcPr>
            <w:tcW w:w="440" w:type="pct"/>
            <w:hideMark/>
          </w:tcPr>
          <w:p w14:paraId="20C07C66"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258,851</w:t>
            </w:r>
          </w:p>
        </w:tc>
        <w:tc>
          <w:tcPr>
            <w:tcW w:w="506" w:type="pct"/>
            <w:hideMark/>
          </w:tcPr>
          <w:p w14:paraId="13711E0A"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161,148</w:t>
            </w:r>
          </w:p>
        </w:tc>
        <w:tc>
          <w:tcPr>
            <w:tcW w:w="427" w:type="pct"/>
            <w:hideMark/>
          </w:tcPr>
          <w:p w14:paraId="759A15F5"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1.606</w:t>
            </w:r>
          </w:p>
        </w:tc>
        <w:tc>
          <w:tcPr>
            <w:tcW w:w="440" w:type="pct"/>
            <w:hideMark/>
          </w:tcPr>
          <w:p w14:paraId="33495E47"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258,851</w:t>
            </w:r>
          </w:p>
        </w:tc>
        <w:tc>
          <w:tcPr>
            <w:tcW w:w="586" w:type="pct"/>
            <w:hideMark/>
          </w:tcPr>
          <w:p w14:paraId="20B29074"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88,273</w:t>
            </w:r>
          </w:p>
        </w:tc>
        <w:tc>
          <w:tcPr>
            <w:tcW w:w="506" w:type="pct"/>
            <w:hideMark/>
          </w:tcPr>
          <w:p w14:paraId="7D5C70A1"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161,148</w:t>
            </w:r>
          </w:p>
        </w:tc>
        <w:tc>
          <w:tcPr>
            <w:tcW w:w="345" w:type="pct"/>
            <w:hideMark/>
          </w:tcPr>
          <w:p w14:paraId="5E59BD0F"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1.06</w:t>
            </w:r>
          </w:p>
        </w:tc>
        <w:tc>
          <w:tcPr>
            <w:tcW w:w="597" w:type="pct"/>
            <w:hideMark/>
          </w:tcPr>
          <w:p w14:paraId="33B6C9EF"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42,751</w:t>
            </w:r>
          </w:p>
        </w:tc>
        <w:tc>
          <w:tcPr>
            <w:tcW w:w="506" w:type="pct"/>
            <w:hideMark/>
          </w:tcPr>
          <w:p w14:paraId="066D955E"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161,148</w:t>
            </w:r>
          </w:p>
        </w:tc>
        <w:tc>
          <w:tcPr>
            <w:tcW w:w="336" w:type="pct"/>
            <w:hideMark/>
          </w:tcPr>
          <w:p w14:paraId="3507EBD3"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0.265</w:t>
            </w:r>
          </w:p>
        </w:tc>
      </w:tr>
      <w:tr w:rsidR="00444FD6" w14:paraId="0DD9CB63" w14:textId="77777777" w:rsidTr="00444FD6">
        <w:trPr>
          <w:cnfStyle w:val="000000100000" w:firstRow="0" w:lastRow="0" w:firstColumn="0" w:lastColumn="0" w:oddVBand="0" w:evenVBand="0" w:oddHBand="1" w:evenHBand="0" w:firstRowFirstColumn="0" w:firstRowLastColumn="0" w:lastRowFirstColumn="0" w:lastRowLastColumn="0"/>
          <w:trHeight w:val="326"/>
        </w:trPr>
        <w:tc>
          <w:tcPr>
            <w:cnfStyle w:val="001000000000" w:firstRow="0" w:lastRow="0" w:firstColumn="1" w:lastColumn="0" w:oddVBand="0" w:evenVBand="0" w:oddHBand="0" w:evenHBand="0" w:firstRowFirstColumn="0" w:firstRowLastColumn="0" w:lastRowFirstColumn="0" w:lastRowLastColumn="0"/>
            <w:tcW w:w="310" w:type="pct"/>
            <w:tcBorders>
              <w:top w:val="none" w:sz="0" w:space="0" w:color="auto"/>
              <w:left w:val="none" w:sz="0" w:space="0" w:color="auto"/>
              <w:bottom w:val="none" w:sz="0" w:space="0" w:color="auto"/>
            </w:tcBorders>
            <w:hideMark/>
          </w:tcPr>
          <w:p w14:paraId="630A82BF" w14:textId="77777777" w:rsidR="00444FD6" w:rsidRDefault="00CC34DB">
            <w:pPr>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2022</w:t>
            </w:r>
          </w:p>
        </w:tc>
        <w:tc>
          <w:tcPr>
            <w:tcW w:w="440" w:type="pct"/>
            <w:hideMark/>
          </w:tcPr>
          <w:p w14:paraId="2546D3F9"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338,040</w:t>
            </w:r>
          </w:p>
        </w:tc>
        <w:tc>
          <w:tcPr>
            <w:tcW w:w="506" w:type="pct"/>
            <w:hideMark/>
          </w:tcPr>
          <w:p w14:paraId="293EB13A"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216,473</w:t>
            </w:r>
          </w:p>
        </w:tc>
        <w:tc>
          <w:tcPr>
            <w:tcW w:w="427" w:type="pct"/>
            <w:hideMark/>
          </w:tcPr>
          <w:p w14:paraId="6521D9A1"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1.562</w:t>
            </w:r>
          </w:p>
        </w:tc>
        <w:tc>
          <w:tcPr>
            <w:tcW w:w="440" w:type="pct"/>
            <w:hideMark/>
          </w:tcPr>
          <w:p w14:paraId="5EA6F457"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338,040</w:t>
            </w:r>
          </w:p>
        </w:tc>
        <w:tc>
          <w:tcPr>
            <w:tcW w:w="586" w:type="pct"/>
            <w:hideMark/>
          </w:tcPr>
          <w:p w14:paraId="45F89B4D"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140,181</w:t>
            </w:r>
          </w:p>
        </w:tc>
        <w:tc>
          <w:tcPr>
            <w:tcW w:w="506" w:type="pct"/>
            <w:hideMark/>
          </w:tcPr>
          <w:p w14:paraId="6D6AAFD0"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216,473</w:t>
            </w:r>
          </w:p>
        </w:tc>
        <w:tc>
          <w:tcPr>
            <w:tcW w:w="345" w:type="pct"/>
            <w:hideMark/>
          </w:tcPr>
          <w:p w14:paraId="30E7AC69"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0.91</w:t>
            </w:r>
          </w:p>
        </w:tc>
        <w:tc>
          <w:tcPr>
            <w:tcW w:w="597" w:type="pct"/>
            <w:hideMark/>
          </w:tcPr>
          <w:p w14:paraId="42CDF68F"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66,740</w:t>
            </w:r>
          </w:p>
        </w:tc>
        <w:tc>
          <w:tcPr>
            <w:tcW w:w="506" w:type="pct"/>
            <w:hideMark/>
          </w:tcPr>
          <w:p w14:paraId="7278B18D"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216,473</w:t>
            </w:r>
          </w:p>
        </w:tc>
        <w:tc>
          <w:tcPr>
            <w:tcW w:w="336" w:type="pct"/>
            <w:hideMark/>
          </w:tcPr>
          <w:p w14:paraId="1B4053C1"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0.308</w:t>
            </w:r>
          </w:p>
        </w:tc>
      </w:tr>
      <w:tr w:rsidR="00444FD6" w14:paraId="2B32342A" w14:textId="77777777" w:rsidTr="00444FD6">
        <w:trPr>
          <w:trHeight w:val="326"/>
        </w:trPr>
        <w:tc>
          <w:tcPr>
            <w:cnfStyle w:val="001000000000" w:firstRow="0" w:lastRow="0" w:firstColumn="1" w:lastColumn="0" w:oddVBand="0" w:evenVBand="0" w:oddHBand="0" w:evenHBand="0" w:firstRowFirstColumn="0" w:firstRowLastColumn="0" w:lastRowFirstColumn="0" w:lastRowLastColumn="0"/>
            <w:tcW w:w="310" w:type="pct"/>
            <w:tcBorders>
              <w:top w:val="none" w:sz="0" w:space="0" w:color="auto"/>
              <w:left w:val="none" w:sz="0" w:space="0" w:color="auto"/>
              <w:bottom w:val="none" w:sz="0" w:space="0" w:color="auto"/>
            </w:tcBorders>
            <w:hideMark/>
          </w:tcPr>
          <w:p w14:paraId="775C583F" w14:textId="77777777" w:rsidR="00444FD6" w:rsidRDefault="00CC34DB">
            <w:pPr>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2021</w:t>
            </w:r>
          </w:p>
        </w:tc>
        <w:tc>
          <w:tcPr>
            <w:tcW w:w="440" w:type="pct"/>
            <w:hideMark/>
          </w:tcPr>
          <w:p w14:paraId="2CB26D70"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337,146</w:t>
            </w:r>
          </w:p>
        </w:tc>
        <w:tc>
          <w:tcPr>
            <w:tcW w:w="506" w:type="pct"/>
            <w:hideMark/>
          </w:tcPr>
          <w:p w14:paraId="541D219A"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216,787</w:t>
            </w:r>
          </w:p>
        </w:tc>
        <w:tc>
          <w:tcPr>
            <w:tcW w:w="427" w:type="pct"/>
            <w:hideMark/>
          </w:tcPr>
          <w:p w14:paraId="7C9EE875"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1.555</w:t>
            </w:r>
          </w:p>
        </w:tc>
        <w:tc>
          <w:tcPr>
            <w:tcW w:w="440" w:type="pct"/>
            <w:hideMark/>
          </w:tcPr>
          <w:p w14:paraId="7748D6B3"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337,146</w:t>
            </w:r>
          </w:p>
        </w:tc>
        <w:tc>
          <w:tcPr>
            <w:tcW w:w="586" w:type="pct"/>
            <w:hideMark/>
          </w:tcPr>
          <w:p w14:paraId="40617728"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134,469</w:t>
            </w:r>
          </w:p>
        </w:tc>
        <w:tc>
          <w:tcPr>
            <w:tcW w:w="506" w:type="pct"/>
            <w:hideMark/>
          </w:tcPr>
          <w:p w14:paraId="7625032F"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216,787</w:t>
            </w:r>
          </w:p>
        </w:tc>
        <w:tc>
          <w:tcPr>
            <w:tcW w:w="345" w:type="pct"/>
            <w:hideMark/>
          </w:tcPr>
          <w:p w14:paraId="04F8111F"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0.93</w:t>
            </w:r>
          </w:p>
        </w:tc>
        <w:tc>
          <w:tcPr>
            <w:tcW w:w="597" w:type="pct"/>
            <w:hideMark/>
          </w:tcPr>
          <w:p w14:paraId="3BB58D15"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60,813</w:t>
            </w:r>
          </w:p>
        </w:tc>
        <w:tc>
          <w:tcPr>
            <w:tcW w:w="506" w:type="pct"/>
            <w:hideMark/>
          </w:tcPr>
          <w:p w14:paraId="3EF228A9"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216,787</w:t>
            </w:r>
          </w:p>
        </w:tc>
        <w:tc>
          <w:tcPr>
            <w:tcW w:w="336" w:type="pct"/>
            <w:hideMark/>
          </w:tcPr>
          <w:p w14:paraId="6B0EA08D"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0.281</w:t>
            </w:r>
          </w:p>
        </w:tc>
      </w:tr>
      <w:tr w:rsidR="00444FD6" w14:paraId="2FC99131" w14:textId="77777777" w:rsidTr="00444FD6">
        <w:trPr>
          <w:cnfStyle w:val="000000100000" w:firstRow="0" w:lastRow="0" w:firstColumn="0" w:lastColumn="0" w:oddVBand="0" w:evenVBand="0" w:oddHBand="1" w:evenHBand="0" w:firstRowFirstColumn="0" w:firstRowLastColumn="0" w:lastRowFirstColumn="0" w:lastRowLastColumn="0"/>
          <w:trHeight w:val="326"/>
        </w:trPr>
        <w:tc>
          <w:tcPr>
            <w:cnfStyle w:val="001000000000" w:firstRow="0" w:lastRow="0" w:firstColumn="1" w:lastColumn="0" w:oddVBand="0" w:evenVBand="0" w:oddHBand="0" w:evenHBand="0" w:firstRowFirstColumn="0" w:firstRowLastColumn="0" w:lastRowFirstColumn="0" w:lastRowLastColumn="0"/>
            <w:tcW w:w="310" w:type="pct"/>
            <w:tcBorders>
              <w:top w:val="none" w:sz="0" w:space="0" w:color="auto"/>
              <w:left w:val="none" w:sz="0" w:space="0" w:color="auto"/>
              <w:bottom w:val="none" w:sz="0" w:space="0" w:color="auto"/>
            </w:tcBorders>
            <w:hideMark/>
          </w:tcPr>
          <w:p w14:paraId="4007FB29" w14:textId="77777777" w:rsidR="00444FD6" w:rsidRDefault="00CC34DB">
            <w:pPr>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2020</w:t>
            </w:r>
          </w:p>
        </w:tc>
        <w:tc>
          <w:tcPr>
            <w:tcW w:w="440" w:type="pct"/>
            <w:hideMark/>
          </w:tcPr>
          <w:p w14:paraId="0D3B2DD0"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326,843</w:t>
            </w:r>
          </w:p>
        </w:tc>
        <w:tc>
          <w:tcPr>
            <w:tcW w:w="506" w:type="pct"/>
            <w:hideMark/>
          </w:tcPr>
          <w:p w14:paraId="325936D7"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179,510</w:t>
            </w:r>
          </w:p>
        </w:tc>
        <w:tc>
          <w:tcPr>
            <w:tcW w:w="427" w:type="pct"/>
            <w:hideMark/>
          </w:tcPr>
          <w:p w14:paraId="2399AB60"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1.821</w:t>
            </w:r>
          </w:p>
        </w:tc>
        <w:tc>
          <w:tcPr>
            <w:tcW w:w="440" w:type="pct"/>
            <w:hideMark/>
          </w:tcPr>
          <w:p w14:paraId="59505079"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326,843</w:t>
            </w:r>
          </w:p>
        </w:tc>
        <w:tc>
          <w:tcPr>
            <w:tcW w:w="586" w:type="pct"/>
            <w:hideMark/>
          </w:tcPr>
          <w:p w14:paraId="792C208C"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120,430</w:t>
            </w:r>
          </w:p>
        </w:tc>
        <w:tc>
          <w:tcPr>
            <w:tcW w:w="506" w:type="pct"/>
            <w:hideMark/>
          </w:tcPr>
          <w:p w14:paraId="2CE99EF6"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179,510</w:t>
            </w:r>
          </w:p>
        </w:tc>
        <w:tc>
          <w:tcPr>
            <w:tcW w:w="345" w:type="pct"/>
            <w:hideMark/>
          </w:tcPr>
          <w:p w14:paraId="1983FFD6"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1.15</w:t>
            </w:r>
          </w:p>
        </w:tc>
        <w:tc>
          <w:tcPr>
            <w:tcW w:w="597" w:type="pct"/>
            <w:hideMark/>
          </w:tcPr>
          <w:p w14:paraId="77FA7E9E"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57,153</w:t>
            </w:r>
          </w:p>
        </w:tc>
        <w:tc>
          <w:tcPr>
            <w:tcW w:w="506" w:type="pct"/>
            <w:hideMark/>
          </w:tcPr>
          <w:p w14:paraId="5FD87758"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179,510</w:t>
            </w:r>
          </w:p>
        </w:tc>
        <w:tc>
          <w:tcPr>
            <w:tcW w:w="336" w:type="pct"/>
            <w:hideMark/>
          </w:tcPr>
          <w:p w14:paraId="0E67663B"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0.318</w:t>
            </w:r>
          </w:p>
        </w:tc>
      </w:tr>
    </w:tbl>
    <w:p w14:paraId="62D3E1A3" w14:textId="77777777" w:rsidR="00444FD6" w:rsidRDefault="00444FD6"/>
    <w:p w14:paraId="75840613" w14:textId="77777777" w:rsidR="00444FD6" w:rsidRDefault="00444FD6"/>
    <w:p w14:paraId="64E9FB44" w14:textId="77777777" w:rsidR="00444FD6" w:rsidRDefault="00CC34DB">
      <w:r>
        <w:rPr>
          <w:b/>
          <w:bCs/>
        </w:rPr>
        <w:t>Efficiency Ratios</w:t>
      </w:r>
    </w:p>
    <w:tbl>
      <w:tblPr>
        <w:tblStyle w:val="GridTable1Light-Accent31"/>
        <w:tblW w:w="5000" w:type="pct"/>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474"/>
        <w:gridCol w:w="636"/>
        <w:gridCol w:w="739"/>
        <w:gridCol w:w="739"/>
        <w:gridCol w:w="637"/>
        <w:gridCol w:w="824"/>
        <w:gridCol w:w="824"/>
        <w:gridCol w:w="637"/>
        <w:gridCol w:w="746"/>
        <w:gridCol w:w="746"/>
        <w:gridCol w:w="637"/>
        <w:gridCol w:w="637"/>
        <w:gridCol w:w="720"/>
      </w:tblGrid>
      <w:tr w:rsidR="00444FD6" w14:paraId="2EFBC1C2" w14:textId="77777777" w:rsidTr="00444FD6">
        <w:trPr>
          <w:cnfStyle w:val="100000000000" w:firstRow="1" w:lastRow="0" w:firstColumn="0" w:lastColumn="0" w:oddVBand="0" w:evenVBand="0" w:oddHBand="0"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436" w:type="pct"/>
            <w:tcBorders>
              <w:bottom w:val="none" w:sz="0" w:space="0" w:color="auto"/>
            </w:tcBorders>
            <w:hideMark/>
          </w:tcPr>
          <w:p w14:paraId="7F593CFC" w14:textId="77777777" w:rsidR="00444FD6" w:rsidRDefault="00CC34DB">
            <w:pPr>
              <w:jc w:val="center"/>
              <w:rPr>
                <w:rFonts w:eastAsia="Times New Roman"/>
                <w:color w:val="000000"/>
                <w:sz w:val="22"/>
                <w:szCs w:val="22"/>
              </w:rPr>
            </w:pPr>
            <w:r>
              <w:rPr>
                <w:rFonts w:eastAsia="Times New Roman"/>
                <w:color w:val="000000"/>
                <w:sz w:val="22"/>
                <w:szCs w:val="22"/>
              </w:rPr>
              <w:t>Year</w:t>
            </w:r>
          </w:p>
        </w:tc>
        <w:tc>
          <w:tcPr>
            <w:tcW w:w="620" w:type="pct"/>
            <w:tcBorders>
              <w:bottom w:val="none" w:sz="0" w:space="0" w:color="auto"/>
            </w:tcBorders>
            <w:hideMark/>
          </w:tcPr>
          <w:p w14:paraId="1D859539"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Cost of Sales (£m)</w:t>
            </w:r>
          </w:p>
        </w:tc>
        <w:tc>
          <w:tcPr>
            <w:tcW w:w="376" w:type="pct"/>
            <w:tcBorders>
              <w:bottom w:val="none" w:sz="0" w:space="0" w:color="auto"/>
            </w:tcBorders>
            <w:hideMark/>
          </w:tcPr>
          <w:p w14:paraId="28BA60FC"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Average Inventory (£m)</w:t>
            </w:r>
          </w:p>
        </w:tc>
        <w:tc>
          <w:tcPr>
            <w:tcW w:w="376" w:type="pct"/>
            <w:tcBorders>
              <w:bottom w:val="none" w:sz="0" w:space="0" w:color="auto"/>
            </w:tcBorders>
            <w:hideMark/>
          </w:tcPr>
          <w:p w14:paraId="11275CA5"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Inventory Turnover</w:t>
            </w:r>
          </w:p>
        </w:tc>
        <w:tc>
          <w:tcPr>
            <w:tcW w:w="324" w:type="pct"/>
            <w:tcBorders>
              <w:bottom w:val="none" w:sz="0" w:space="0" w:color="auto"/>
            </w:tcBorders>
            <w:hideMark/>
          </w:tcPr>
          <w:p w14:paraId="2E19E927"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Net Sales (£m)</w:t>
            </w:r>
          </w:p>
        </w:tc>
        <w:tc>
          <w:tcPr>
            <w:tcW w:w="410" w:type="pct"/>
            <w:tcBorders>
              <w:bottom w:val="none" w:sz="0" w:space="0" w:color="auto"/>
            </w:tcBorders>
            <w:hideMark/>
          </w:tcPr>
          <w:p w14:paraId="33125463"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Average Accounts Receivable (£m)</w:t>
            </w:r>
          </w:p>
        </w:tc>
        <w:tc>
          <w:tcPr>
            <w:tcW w:w="410" w:type="pct"/>
            <w:tcBorders>
              <w:bottom w:val="none" w:sz="0" w:space="0" w:color="auto"/>
            </w:tcBorders>
            <w:hideMark/>
          </w:tcPr>
          <w:p w14:paraId="613C1DEC"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Accounts Receivable Turnover</w:t>
            </w:r>
          </w:p>
        </w:tc>
        <w:tc>
          <w:tcPr>
            <w:tcW w:w="324" w:type="pct"/>
            <w:tcBorders>
              <w:bottom w:val="none" w:sz="0" w:space="0" w:color="auto"/>
            </w:tcBorders>
            <w:hideMark/>
          </w:tcPr>
          <w:p w14:paraId="5A54DD45"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Cost of Sales (£m)</w:t>
            </w:r>
          </w:p>
        </w:tc>
        <w:tc>
          <w:tcPr>
            <w:tcW w:w="359" w:type="pct"/>
            <w:tcBorders>
              <w:bottom w:val="none" w:sz="0" w:space="0" w:color="auto"/>
            </w:tcBorders>
            <w:hideMark/>
          </w:tcPr>
          <w:p w14:paraId="04B9878C"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Average Accounts Payable (£m)</w:t>
            </w:r>
          </w:p>
        </w:tc>
        <w:tc>
          <w:tcPr>
            <w:tcW w:w="359" w:type="pct"/>
            <w:tcBorders>
              <w:bottom w:val="none" w:sz="0" w:space="0" w:color="auto"/>
            </w:tcBorders>
            <w:hideMark/>
          </w:tcPr>
          <w:p w14:paraId="5C91B36A"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Accounts Payable Turnover</w:t>
            </w:r>
          </w:p>
        </w:tc>
        <w:tc>
          <w:tcPr>
            <w:tcW w:w="324" w:type="pct"/>
            <w:tcBorders>
              <w:bottom w:val="none" w:sz="0" w:space="0" w:color="auto"/>
            </w:tcBorders>
            <w:hideMark/>
          </w:tcPr>
          <w:p w14:paraId="5C9CD421"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Net Sales (£m)</w:t>
            </w:r>
          </w:p>
        </w:tc>
        <w:tc>
          <w:tcPr>
            <w:tcW w:w="324" w:type="pct"/>
            <w:tcBorders>
              <w:bottom w:val="none" w:sz="0" w:space="0" w:color="auto"/>
            </w:tcBorders>
            <w:hideMark/>
          </w:tcPr>
          <w:p w14:paraId="0782E20A"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Total Assets (£m)</w:t>
            </w:r>
          </w:p>
        </w:tc>
        <w:tc>
          <w:tcPr>
            <w:tcW w:w="358" w:type="pct"/>
            <w:tcBorders>
              <w:bottom w:val="none" w:sz="0" w:space="0" w:color="auto"/>
            </w:tcBorders>
            <w:hideMark/>
          </w:tcPr>
          <w:p w14:paraId="43264A43"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Asset Turnover</w:t>
            </w:r>
          </w:p>
        </w:tc>
      </w:tr>
      <w:tr w:rsidR="00444FD6" w14:paraId="5AAA3162" w14:textId="77777777" w:rsidTr="00444FD6">
        <w:trPr>
          <w:trHeight w:val="1450"/>
        </w:trPr>
        <w:tc>
          <w:tcPr>
            <w:cnfStyle w:val="001000000000" w:firstRow="0" w:lastRow="0" w:firstColumn="1" w:lastColumn="0" w:oddVBand="0" w:evenVBand="0" w:oddHBand="0" w:evenHBand="0" w:firstRowFirstColumn="0" w:firstRowLastColumn="0" w:lastRowFirstColumn="0" w:lastRowLastColumn="0"/>
            <w:tcW w:w="436" w:type="pct"/>
            <w:hideMark/>
          </w:tcPr>
          <w:p w14:paraId="0B450C04" w14:textId="77777777" w:rsidR="00444FD6" w:rsidRDefault="00CC34DB">
            <w:pPr>
              <w:rPr>
                <w:rFonts w:eastAsia="Times New Roman"/>
                <w:color w:val="000000"/>
                <w:sz w:val="22"/>
                <w:szCs w:val="22"/>
              </w:rPr>
            </w:pPr>
            <w:r>
              <w:rPr>
                <w:rFonts w:eastAsia="Times New Roman"/>
                <w:color w:val="000000"/>
                <w:sz w:val="22"/>
                <w:szCs w:val="22"/>
              </w:rPr>
              <w:t>2024</w:t>
            </w:r>
          </w:p>
        </w:tc>
        <w:tc>
          <w:tcPr>
            <w:tcW w:w="620" w:type="pct"/>
            <w:hideMark/>
          </w:tcPr>
          <w:p w14:paraId="72EAB570"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-280,885</w:t>
            </w:r>
          </w:p>
        </w:tc>
        <w:tc>
          <w:tcPr>
            <w:tcW w:w="376" w:type="pct"/>
            <w:hideMark/>
          </w:tcPr>
          <w:p w14:paraId="313F8E89" w14:textId="77777777" w:rsidR="00444FD6" w:rsidRDefault="00CC34DB">
            <w:pPr>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(79,355 + 88,273) / 2 = 83,314</w:t>
            </w:r>
          </w:p>
        </w:tc>
        <w:tc>
          <w:tcPr>
            <w:tcW w:w="376" w:type="pct"/>
            <w:hideMark/>
          </w:tcPr>
          <w:p w14:paraId="6E4BF98E"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3.37</w:t>
            </w:r>
          </w:p>
        </w:tc>
        <w:tc>
          <w:tcPr>
            <w:tcW w:w="324" w:type="pct"/>
            <w:hideMark/>
          </w:tcPr>
          <w:p w14:paraId="73B1A9FA"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394,879</w:t>
            </w:r>
          </w:p>
        </w:tc>
        <w:tc>
          <w:tcPr>
            <w:tcW w:w="410" w:type="pct"/>
            <w:hideMark/>
          </w:tcPr>
          <w:p w14:paraId="01D2E385" w14:textId="77777777" w:rsidR="00444FD6" w:rsidRDefault="00CC34DB">
            <w:pPr>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(114,182 + 112,596) / 2 = 113,389</w:t>
            </w:r>
          </w:p>
        </w:tc>
        <w:tc>
          <w:tcPr>
            <w:tcW w:w="410" w:type="pct"/>
            <w:hideMark/>
          </w:tcPr>
          <w:p w14:paraId="126F16FF"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3.48</w:t>
            </w:r>
          </w:p>
        </w:tc>
        <w:tc>
          <w:tcPr>
            <w:tcW w:w="324" w:type="pct"/>
            <w:hideMark/>
          </w:tcPr>
          <w:p w14:paraId="4AD1F886"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-280,885</w:t>
            </w:r>
          </w:p>
        </w:tc>
        <w:tc>
          <w:tcPr>
            <w:tcW w:w="359" w:type="pct"/>
            <w:hideMark/>
          </w:tcPr>
          <w:p w14:paraId="74380CE2" w14:textId="77777777" w:rsidR="00444FD6" w:rsidRDefault="00CC34DB">
            <w:pPr>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(72,031 + 57,033) / 2 = 64,532</w:t>
            </w:r>
          </w:p>
        </w:tc>
        <w:tc>
          <w:tcPr>
            <w:tcW w:w="359" w:type="pct"/>
            <w:hideMark/>
          </w:tcPr>
          <w:p w14:paraId="255342FF"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4.36</w:t>
            </w:r>
          </w:p>
        </w:tc>
        <w:tc>
          <w:tcPr>
            <w:tcW w:w="324" w:type="pct"/>
            <w:hideMark/>
          </w:tcPr>
          <w:p w14:paraId="063E0516"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394,879</w:t>
            </w:r>
          </w:p>
        </w:tc>
        <w:tc>
          <w:tcPr>
            <w:tcW w:w="324" w:type="pct"/>
            <w:hideMark/>
          </w:tcPr>
          <w:p w14:paraId="1455C54E"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323,354</w:t>
            </w:r>
          </w:p>
        </w:tc>
        <w:tc>
          <w:tcPr>
            <w:tcW w:w="358" w:type="pct"/>
            <w:hideMark/>
          </w:tcPr>
          <w:p w14:paraId="397F1089"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1.22</w:t>
            </w:r>
          </w:p>
        </w:tc>
      </w:tr>
      <w:tr w:rsidR="00444FD6" w14:paraId="7EA13962" w14:textId="77777777" w:rsidTr="00444FD6">
        <w:trPr>
          <w:trHeight w:val="1450"/>
        </w:trPr>
        <w:tc>
          <w:tcPr>
            <w:cnfStyle w:val="001000000000" w:firstRow="0" w:lastRow="0" w:firstColumn="1" w:lastColumn="0" w:oddVBand="0" w:evenVBand="0" w:oddHBand="0" w:evenHBand="0" w:firstRowFirstColumn="0" w:firstRowLastColumn="0" w:lastRowFirstColumn="0" w:lastRowLastColumn="0"/>
            <w:tcW w:w="436" w:type="pct"/>
            <w:hideMark/>
          </w:tcPr>
          <w:p w14:paraId="4E355FBB" w14:textId="77777777" w:rsidR="00444FD6" w:rsidRDefault="00CC34DB">
            <w:pPr>
              <w:rPr>
                <w:rFonts w:eastAsia="Times New Roman"/>
                <w:color w:val="000000"/>
                <w:sz w:val="22"/>
                <w:szCs w:val="22"/>
              </w:rPr>
            </w:pPr>
            <w:r>
              <w:rPr>
                <w:rFonts w:eastAsia="Times New Roman"/>
                <w:color w:val="000000"/>
                <w:sz w:val="22"/>
                <w:szCs w:val="22"/>
              </w:rPr>
              <w:t>2023</w:t>
            </w:r>
          </w:p>
        </w:tc>
        <w:tc>
          <w:tcPr>
            <w:tcW w:w="620" w:type="pct"/>
            <w:hideMark/>
          </w:tcPr>
          <w:p w14:paraId="70A66EAF"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-322,897</w:t>
            </w:r>
          </w:p>
        </w:tc>
        <w:tc>
          <w:tcPr>
            <w:tcW w:w="376" w:type="pct"/>
            <w:hideMark/>
          </w:tcPr>
          <w:p w14:paraId="3BF1230A" w14:textId="77777777" w:rsidR="00444FD6" w:rsidRDefault="00CC34DB">
            <w:pPr>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(88,273 + 140,181) / 2 = 114,227</w:t>
            </w:r>
          </w:p>
        </w:tc>
        <w:tc>
          <w:tcPr>
            <w:tcW w:w="376" w:type="pct"/>
            <w:hideMark/>
          </w:tcPr>
          <w:p w14:paraId="2CDA0D07"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2.82</w:t>
            </w:r>
          </w:p>
        </w:tc>
        <w:tc>
          <w:tcPr>
            <w:tcW w:w="324" w:type="pct"/>
            <w:hideMark/>
          </w:tcPr>
          <w:p w14:paraId="44328994"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420,457</w:t>
            </w:r>
          </w:p>
        </w:tc>
        <w:tc>
          <w:tcPr>
            <w:tcW w:w="410" w:type="pct"/>
            <w:hideMark/>
          </w:tcPr>
          <w:p w14:paraId="61D4C9E8" w14:textId="77777777" w:rsidR="00444FD6" w:rsidRDefault="00CC34DB">
            <w:pPr>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(112,596 + 112,346) / 2 = 112,471</w:t>
            </w:r>
          </w:p>
        </w:tc>
        <w:tc>
          <w:tcPr>
            <w:tcW w:w="410" w:type="pct"/>
            <w:hideMark/>
          </w:tcPr>
          <w:p w14:paraId="3B52ACA3"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3.74</w:t>
            </w:r>
          </w:p>
        </w:tc>
        <w:tc>
          <w:tcPr>
            <w:tcW w:w="324" w:type="pct"/>
            <w:hideMark/>
          </w:tcPr>
          <w:p w14:paraId="6DB5BD82"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-322,897</w:t>
            </w:r>
          </w:p>
        </w:tc>
        <w:tc>
          <w:tcPr>
            <w:tcW w:w="359" w:type="pct"/>
            <w:hideMark/>
          </w:tcPr>
          <w:p w14:paraId="70340B53" w14:textId="77777777" w:rsidR="00444FD6" w:rsidRDefault="00CC34DB">
            <w:pPr>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(57,033 + 71,373) / 2 = 64,203</w:t>
            </w:r>
          </w:p>
        </w:tc>
        <w:tc>
          <w:tcPr>
            <w:tcW w:w="359" w:type="pct"/>
            <w:hideMark/>
          </w:tcPr>
          <w:p w14:paraId="17A36CF6"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5.03</w:t>
            </w:r>
          </w:p>
        </w:tc>
        <w:tc>
          <w:tcPr>
            <w:tcW w:w="324" w:type="pct"/>
            <w:hideMark/>
          </w:tcPr>
          <w:p w14:paraId="7397CBF1"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420,457</w:t>
            </w:r>
          </w:p>
        </w:tc>
        <w:tc>
          <w:tcPr>
            <w:tcW w:w="324" w:type="pct"/>
            <w:hideMark/>
          </w:tcPr>
          <w:p w14:paraId="2177CDB2"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355,872</w:t>
            </w:r>
          </w:p>
        </w:tc>
        <w:tc>
          <w:tcPr>
            <w:tcW w:w="358" w:type="pct"/>
            <w:hideMark/>
          </w:tcPr>
          <w:p w14:paraId="0C1AE3C8"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1.18</w:t>
            </w:r>
          </w:p>
        </w:tc>
      </w:tr>
      <w:tr w:rsidR="00444FD6" w14:paraId="731F3A10" w14:textId="77777777" w:rsidTr="00444FD6">
        <w:trPr>
          <w:trHeight w:val="1450"/>
        </w:trPr>
        <w:tc>
          <w:tcPr>
            <w:cnfStyle w:val="001000000000" w:firstRow="0" w:lastRow="0" w:firstColumn="1" w:lastColumn="0" w:oddVBand="0" w:evenVBand="0" w:oddHBand="0" w:evenHBand="0" w:firstRowFirstColumn="0" w:firstRowLastColumn="0" w:lastRowFirstColumn="0" w:lastRowLastColumn="0"/>
            <w:tcW w:w="436" w:type="pct"/>
            <w:hideMark/>
          </w:tcPr>
          <w:p w14:paraId="0A235A9E" w14:textId="77777777" w:rsidR="00444FD6" w:rsidRDefault="00CC34DB">
            <w:pPr>
              <w:rPr>
                <w:rFonts w:eastAsia="Times New Roman"/>
                <w:color w:val="000000"/>
                <w:sz w:val="22"/>
                <w:szCs w:val="22"/>
              </w:rPr>
            </w:pPr>
            <w:r>
              <w:rPr>
                <w:rFonts w:eastAsia="Times New Roman"/>
                <w:color w:val="000000"/>
                <w:sz w:val="22"/>
                <w:szCs w:val="22"/>
              </w:rPr>
              <w:t>2022</w:t>
            </w:r>
          </w:p>
        </w:tc>
        <w:tc>
          <w:tcPr>
            <w:tcW w:w="620" w:type="pct"/>
            <w:hideMark/>
          </w:tcPr>
          <w:p w14:paraId="0958162D"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-390,459</w:t>
            </w:r>
          </w:p>
        </w:tc>
        <w:tc>
          <w:tcPr>
            <w:tcW w:w="376" w:type="pct"/>
            <w:hideMark/>
          </w:tcPr>
          <w:p w14:paraId="1357675C" w14:textId="77777777" w:rsidR="00444FD6" w:rsidRDefault="00CC34DB">
            <w:pPr>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(140,181 + 134,469) / 2 = 137,325</w:t>
            </w:r>
          </w:p>
        </w:tc>
        <w:tc>
          <w:tcPr>
            <w:tcW w:w="376" w:type="pct"/>
            <w:hideMark/>
          </w:tcPr>
          <w:p w14:paraId="1B24F1F1"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2.84</w:t>
            </w:r>
          </w:p>
        </w:tc>
        <w:tc>
          <w:tcPr>
            <w:tcW w:w="324" w:type="pct"/>
            <w:hideMark/>
          </w:tcPr>
          <w:p w14:paraId="736262E5"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542,751</w:t>
            </w:r>
          </w:p>
        </w:tc>
        <w:tc>
          <w:tcPr>
            <w:tcW w:w="410" w:type="pct"/>
            <w:hideMark/>
          </w:tcPr>
          <w:p w14:paraId="2078DBD0" w14:textId="77777777" w:rsidR="00444FD6" w:rsidRDefault="00CC34DB">
            <w:pPr>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(112,346 + 129,215) / 2 = 120,280</w:t>
            </w:r>
          </w:p>
        </w:tc>
        <w:tc>
          <w:tcPr>
            <w:tcW w:w="410" w:type="pct"/>
            <w:hideMark/>
          </w:tcPr>
          <w:p w14:paraId="57956E56"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4.51</w:t>
            </w:r>
          </w:p>
        </w:tc>
        <w:tc>
          <w:tcPr>
            <w:tcW w:w="324" w:type="pct"/>
            <w:hideMark/>
          </w:tcPr>
          <w:p w14:paraId="1AB6C6CA"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-390,459</w:t>
            </w:r>
          </w:p>
        </w:tc>
        <w:tc>
          <w:tcPr>
            <w:tcW w:w="359" w:type="pct"/>
            <w:hideMark/>
          </w:tcPr>
          <w:p w14:paraId="70F4FC49" w14:textId="77777777" w:rsidR="00444FD6" w:rsidRDefault="00CC34DB">
            <w:pPr>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(71,373 + 92,707) / 2 = 82,040</w:t>
            </w:r>
          </w:p>
        </w:tc>
        <w:tc>
          <w:tcPr>
            <w:tcW w:w="359" w:type="pct"/>
            <w:hideMark/>
          </w:tcPr>
          <w:p w14:paraId="017F729C"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4.76</w:t>
            </w:r>
          </w:p>
        </w:tc>
        <w:tc>
          <w:tcPr>
            <w:tcW w:w="324" w:type="pct"/>
            <w:hideMark/>
          </w:tcPr>
          <w:p w14:paraId="115C8857"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542,751</w:t>
            </w:r>
          </w:p>
        </w:tc>
        <w:tc>
          <w:tcPr>
            <w:tcW w:w="324" w:type="pct"/>
            <w:hideMark/>
          </w:tcPr>
          <w:p w14:paraId="25E737E4"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504,163</w:t>
            </w:r>
          </w:p>
        </w:tc>
        <w:tc>
          <w:tcPr>
            <w:tcW w:w="358" w:type="pct"/>
            <w:hideMark/>
          </w:tcPr>
          <w:p w14:paraId="3257F358"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1.08</w:t>
            </w:r>
          </w:p>
        </w:tc>
      </w:tr>
      <w:tr w:rsidR="00444FD6" w14:paraId="7CE740F8" w14:textId="77777777" w:rsidTr="00444FD6">
        <w:trPr>
          <w:trHeight w:val="1450"/>
        </w:trPr>
        <w:tc>
          <w:tcPr>
            <w:cnfStyle w:val="001000000000" w:firstRow="0" w:lastRow="0" w:firstColumn="1" w:lastColumn="0" w:oddVBand="0" w:evenVBand="0" w:oddHBand="0" w:evenHBand="0" w:firstRowFirstColumn="0" w:firstRowLastColumn="0" w:lastRowFirstColumn="0" w:lastRowLastColumn="0"/>
            <w:tcW w:w="436" w:type="pct"/>
            <w:hideMark/>
          </w:tcPr>
          <w:p w14:paraId="10037E20" w14:textId="77777777" w:rsidR="00444FD6" w:rsidRDefault="00CC34DB">
            <w:pPr>
              <w:rPr>
                <w:rFonts w:eastAsia="Times New Roman"/>
                <w:color w:val="000000"/>
                <w:sz w:val="22"/>
                <w:szCs w:val="22"/>
              </w:rPr>
            </w:pPr>
            <w:r>
              <w:rPr>
                <w:rFonts w:eastAsia="Times New Roman"/>
                <w:color w:val="000000"/>
                <w:sz w:val="22"/>
                <w:szCs w:val="22"/>
              </w:rPr>
              <w:t>2021</w:t>
            </w:r>
          </w:p>
        </w:tc>
        <w:tc>
          <w:tcPr>
            <w:tcW w:w="620" w:type="pct"/>
            <w:hideMark/>
          </w:tcPr>
          <w:p w14:paraId="710A488B"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-428,586</w:t>
            </w:r>
          </w:p>
        </w:tc>
        <w:tc>
          <w:tcPr>
            <w:tcW w:w="376" w:type="pct"/>
            <w:hideMark/>
          </w:tcPr>
          <w:p w14:paraId="328E022B" w14:textId="77777777" w:rsidR="00444FD6" w:rsidRDefault="00CC34DB">
            <w:pPr>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(134,469 + 120,430) / 2 = 127,450</w:t>
            </w:r>
          </w:p>
        </w:tc>
        <w:tc>
          <w:tcPr>
            <w:tcW w:w="376" w:type="pct"/>
            <w:hideMark/>
          </w:tcPr>
          <w:p w14:paraId="0CF60743"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3.36</w:t>
            </w:r>
          </w:p>
        </w:tc>
        <w:tc>
          <w:tcPr>
            <w:tcW w:w="324" w:type="pct"/>
            <w:hideMark/>
          </w:tcPr>
          <w:p w14:paraId="55814E6F"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601,602</w:t>
            </w:r>
          </w:p>
        </w:tc>
        <w:tc>
          <w:tcPr>
            <w:tcW w:w="410" w:type="pct"/>
            <w:hideMark/>
          </w:tcPr>
          <w:p w14:paraId="5CAAE1E6" w14:textId="77777777" w:rsidR="00444FD6" w:rsidRDefault="00CC34DB">
            <w:pPr>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(129,215 + 129,433) / 2 = 129,324</w:t>
            </w:r>
          </w:p>
        </w:tc>
        <w:tc>
          <w:tcPr>
            <w:tcW w:w="410" w:type="pct"/>
            <w:hideMark/>
          </w:tcPr>
          <w:p w14:paraId="22A90BC6"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4.65</w:t>
            </w:r>
          </w:p>
        </w:tc>
        <w:tc>
          <w:tcPr>
            <w:tcW w:w="324" w:type="pct"/>
            <w:hideMark/>
          </w:tcPr>
          <w:p w14:paraId="4A356EE4"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-428,586</w:t>
            </w:r>
          </w:p>
        </w:tc>
        <w:tc>
          <w:tcPr>
            <w:tcW w:w="359" w:type="pct"/>
            <w:hideMark/>
          </w:tcPr>
          <w:p w14:paraId="7EEBF0FF" w14:textId="77777777" w:rsidR="00444FD6" w:rsidRDefault="00CC34DB">
            <w:pPr>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(92,707 + 83,229) / 2 = 87,968</w:t>
            </w:r>
          </w:p>
        </w:tc>
        <w:tc>
          <w:tcPr>
            <w:tcW w:w="359" w:type="pct"/>
            <w:hideMark/>
          </w:tcPr>
          <w:p w14:paraId="3C89747A"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4.87</w:t>
            </w:r>
          </w:p>
        </w:tc>
        <w:tc>
          <w:tcPr>
            <w:tcW w:w="324" w:type="pct"/>
            <w:hideMark/>
          </w:tcPr>
          <w:p w14:paraId="00464052"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601,602</w:t>
            </w:r>
          </w:p>
        </w:tc>
        <w:tc>
          <w:tcPr>
            <w:tcW w:w="324" w:type="pct"/>
            <w:hideMark/>
          </w:tcPr>
          <w:p w14:paraId="221E2EA8"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510,348</w:t>
            </w:r>
          </w:p>
        </w:tc>
        <w:tc>
          <w:tcPr>
            <w:tcW w:w="358" w:type="pct"/>
            <w:hideMark/>
          </w:tcPr>
          <w:p w14:paraId="7AF0A497"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1.18</w:t>
            </w:r>
          </w:p>
        </w:tc>
      </w:tr>
      <w:tr w:rsidR="00444FD6" w14:paraId="120F8926" w14:textId="77777777" w:rsidTr="00444FD6">
        <w:trPr>
          <w:trHeight w:val="1450"/>
        </w:trPr>
        <w:tc>
          <w:tcPr>
            <w:cnfStyle w:val="001000000000" w:firstRow="0" w:lastRow="0" w:firstColumn="1" w:lastColumn="0" w:oddVBand="0" w:evenVBand="0" w:oddHBand="0" w:evenHBand="0" w:firstRowFirstColumn="0" w:firstRowLastColumn="0" w:lastRowFirstColumn="0" w:lastRowLastColumn="0"/>
            <w:tcW w:w="436" w:type="pct"/>
            <w:hideMark/>
          </w:tcPr>
          <w:p w14:paraId="4EB45D8F" w14:textId="77777777" w:rsidR="00444FD6" w:rsidRDefault="00CC34DB">
            <w:pPr>
              <w:rPr>
                <w:rFonts w:eastAsia="Times New Roman"/>
                <w:color w:val="000000"/>
                <w:sz w:val="22"/>
                <w:szCs w:val="22"/>
              </w:rPr>
            </w:pPr>
            <w:r>
              <w:rPr>
                <w:rFonts w:eastAsia="Times New Roman"/>
                <w:color w:val="000000"/>
                <w:sz w:val="22"/>
                <w:szCs w:val="22"/>
              </w:rPr>
              <w:t>2020</w:t>
            </w:r>
          </w:p>
        </w:tc>
        <w:tc>
          <w:tcPr>
            <w:tcW w:w="620" w:type="pct"/>
            <w:hideMark/>
          </w:tcPr>
          <w:p w14:paraId="78760D57"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-438,424</w:t>
            </w:r>
          </w:p>
        </w:tc>
        <w:tc>
          <w:tcPr>
            <w:tcW w:w="376" w:type="pct"/>
            <w:hideMark/>
          </w:tcPr>
          <w:p w14:paraId="63EAAD00" w14:textId="77777777" w:rsidR="00444FD6" w:rsidRDefault="00CC34DB">
            <w:pPr>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(120,430 + 120,430) / 2 = 120,430</w:t>
            </w:r>
          </w:p>
        </w:tc>
        <w:tc>
          <w:tcPr>
            <w:tcW w:w="376" w:type="pct"/>
            <w:hideMark/>
          </w:tcPr>
          <w:p w14:paraId="3CFBD681"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3.64</w:t>
            </w:r>
          </w:p>
        </w:tc>
        <w:tc>
          <w:tcPr>
            <w:tcW w:w="324" w:type="pct"/>
            <w:hideMark/>
          </w:tcPr>
          <w:p w14:paraId="2460F638"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614,680</w:t>
            </w:r>
          </w:p>
        </w:tc>
        <w:tc>
          <w:tcPr>
            <w:tcW w:w="410" w:type="pct"/>
            <w:hideMark/>
          </w:tcPr>
          <w:p w14:paraId="36D296A4" w14:textId="77777777" w:rsidR="00444FD6" w:rsidRDefault="00CC34DB">
            <w:pPr>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(129,433 + 129,433) / 2 = 129,433</w:t>
            </w:r>
          </w:p>
        </w:tc>
        <w:tc>
          <w:tcPr>
            <w:tcW w:w="410" w:type="pct"/>
            <w:hideMark/>
          </w:tcPr>
          <w:p w14:paraId="47E9D251"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4.75</w:t>
            </w:r>
          </w:p>
        </w:tc>
        <w:tc>
          <w:tcPr>
            <w:tcW w:w="324" w:type="pct"/>
            <w:hideMark/>
          </w:tcPr>
          <w:p w14:paraId="703644DD"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-438,424</w:t>
            </w:r>
          </w:p>
        </w:tc>
        <w:tc>
          <w:tcPr>
            <w:tcW w:w="359" w:type="pct"/>
            <w:hideMark/>
          </w:tcPr>
          <w:p w14:paraId="6CFCD183" w14:textId="77777777" w:rsidR="00444FD6" w:rsidRDefault="00CC34DB">
            <w:pPr>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(83,229 + 83,229) / 2 = 83,229</w:t>
            </w:r>
          </w:p>
        </w:tc>
        <w:tc>
          <w:tcPr>
            <w:tcW w:w="359" w:type="pct"/>
            <w:hideMark/>
          </w:tcPr>
          <w:p w14:paraId="39FE78C4"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5.26</w:t>
            </w:r>
          </w:p>
        </w:tc>
        <w:tc>
          <w:tcPr>
            <w:tcW w:w="324" w:type="pct"/>
            <w:hideMark/>
          </w:tcPr>
          <w:p w14:paraId="726BB983"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614,680</w:t>
            </w:r>
          </w:p>
        </w:tc>
        <w:tc>
          <w:tcPr>
            <w:tcW w:w="324" w:type="pct"/>
            <w:hideMark/>
          </w:tcPr>
          <w:p w14:paraId="29B8CD47"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510,290</w:t>
            </w:r>
          </w:p>
        </w:tc>
        <w:tc>
          <w:tcPr>
            <w:tcW w:w="358" w:type="pct"/>
            <w:hideMark/>
          </w:tcPr>
          <w:p w14:paraId="31A7EBD8"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1.2</w:t>
            </w:r>
          </w:p>
        </w:tc>
      </w:tr>
    </w:tbl>
    <w:p w14:paraId="790D3BCF" w14:textId="77777777" w:rsidR="00444FD6" w:rsidRDefault="00444FD6"/>
    <w:p w14:paraId="0BBC7F92" w14:textId="77777777" w:rsidR="00444FD6" w:rsidRDefault="00CC34DB">
      <w:pPr>
        <w:jc w:val="center"/>
      </w:pPr>
      <w:r>
        <w:rPr>
          <w:noProof/>
        </w:rPr>
        <w:drawing>
          <wp:inline distT="0" distB="0" distL="0" distR="0" wp14:anchorId="0854850E" wp14:editId="2D812C8C">
            <wp:extent cx="4359349" cy="3919021"/>
            <wp:effectExtent l="0" t="0" r="3175" b="5715"/>
            <wp:docPr id="1029"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cstate="print"/>
                    <a:srcRect/>
                    <a:stretch/>
                  </pic:blipFill>
                  <pic:spPr>
                    <a:xfrm>
                      <a:off x="0" y="0"/>
                      <a:ext cx="4359349" cy="3919021"/>
                    </a:xfrm>
                    <a:prstGeom prst="rect">
                      <a:avLst/>
                    </a:prstGeom>
                  </pic:spPr>
                </pic:pic>
              </a:graphicData>
            </a:graphic>
          </wp:inline>
        </w:drawing>
      </w:r>
    </w:p>
    <w:p w14:paraId="5976B1D2" w14:textId="77777777" w:rsidR="00444FD6" w:rsidRDefault="00444FD6"/>
    <w:p w14:paraId="39909E74" w14:textId="77777777" w:rsidR="00444FD6" w:rsidRDefault="00CC34DB">
      <w:pPr>
        <w:rPr>
          <w:b/>
          <w:bCs/>
        </w:rPr>
      </w:pPr>
      <w:r>
        <w:rPr>
          <w:b/>
          <w:bCs/>
        </w:rPr>
        <w:t>Leverage Ratios</w:t>
      </w:r>
    </w:p>
    <w:tbl>
      <w:tblPr>
        <w:tblStyle w:val="GridTable1Light-Accent31"/>
        <w:tblW w:w="8400" w:type="dxa"/>
        <w:tblLook w:val="04A0" w:firstRow="1" w:lastRow="0" w:firstColumn="1" w:lastColumn="0" w:noHBand="0" w:noVBand="1"/>
      </w:tblPr>
      <w:tblGrid>
        <w:gridCol w:w="587"/>
        <w:gridCol w:w="983"/>
        <w:gridCol w:w="1319"/>
        <w:gridCol w:w="725"/>
        <w:gridCol w:w="983"/>
        <w:gridCol w:w="818"/>
        <w:gridCol w:w="632"/>
        <w:gridCol w:w="1002"/>
        <w:gridCol w:w="993"/>
        <w:gridCol w:w="974"/>
      </w:tblGrid>
      <w:tr w:rsidR="00444FD6" w14:paraId="0DB36A8C" w14:textId="77777777" w:rsidTr="00444FD6">
        <w:trPr>
          <w:cnfStyle w:val="100000000000" w:firstRow="1" w:lastRow="0" w:firstColumn="0" w:lastColumn="0" w:oddVBand="0" w:evenVBand="0" w:oddHBand="0" w:evenHBand="0" w:firstRowFirstColumn="0" w:firstRowLastColumn="0" w:lastRowFirstColumn="0" w:lastRowLastColumn="0"/>
          <w:trHeight w:val="1328"/>
        </w:trPr>
        <w:tc>
          <w:tcPr>
            <w:cnfStyle w:val="001000000000" w:firstRow="0" w:lastRow="0" w:firstColumn="1" w:lastColumn="0" w:oddVBand="0" w:evenVBand="0" w:oddHBand="0" w:evenHBand="0" w:firstRowFirstColumn="0" w:firstRowLastColumn="0" w:lastRowFirstColumn="0" w:lastRowLastColumn="0"/>
            <w:tcW w:w="528" w:type="dxa"/>
            <w:hideMark/>
          </w:tcPr>
          <w:p w14:paraId="7C1BA7D2" w14:textId="77777777" w:rsidR="00444FD6" w:rsidRDefault="00CC34DB">
            <w:pPr>
              <w:jc w:val="center"/>
              <w:rPr>
                <w:rFonts w:eastAsia="Times New Roman"/>
                <w:i/>
                <w:iCs/>
                <w:color w:val="000000"/>
                <w:sz w:val="22"/>
                <w:szCs w:val="22"/>
                <w:lang w:val="en-GB"/>
              </w:rPr>
            </w:pPr>
            <w:r>
              <w:rPr>
                <w:rFonts w:eastAsia="Times New Roman"/>
                <w:i/>
                <w:iCs/>
                <w:color w:val="000000"/>
                <w:sz w:val="22"/>
                <w:szCs w:val="22"/>
                <w:lang w:val="en-GB"/>
              </w:rPr>
              <w:t>Year</w:t>
            </w:r>
          </w:p>
        </w:tc>
        <w:tc>
          <w:tcPr>
            <w:tcW w:w="921" w:type="dxa"/>
            <w:hideMark/>
          </w:tcPr>
          <w:p w14:paraId="4C0221C5"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Total Liabilities (£m)</w:t>
            </w:r>
          </w:p>
        </w:tc>
        <w:tc>
          <w:tcPr>
            <w:tcW w:w="1253" w:type="dxa"/>
            <w:hideMark/>
          </w:tcPr>
          <w:p w14:paraId="08D64D6C"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Shareholders' Equity (£m)</w:t>
            </w:r>
          </w:p>
        </w:tc>
        <w:tc>
          <w:tcPr>
            <w:tcW w:w="665" w:type="dxa"/>
            <w:hideMark/>
          </w:tcPr>
          <w:p w14:paraId="2064ED52"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Debt-to-Equity Ratio</w:t>
            </w:r>
          </w:p>
        </w:tc>
        <w:tc>
          <w:tcPr>
            <w:tcW w:w="921" w:type="dxa"/>
            <w:hideMark/>
          </w:tcPr>
          <w:p w14:paraId="5AF12865"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Total Liabilities (£m)</w:t>
            </w:r>
          </w:p>
        </w:tc>
        <w:tc>
          <w:tcPr>
            <w:tcW w:w="757" w:type="dxa"/>
            <w:hideMark/>
          </w:tcPr>
          <w:p w14:paraId="70A7A113"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Total Assets (£m)</w:t>
            </w:r>
          </w:p>
        </w:tc>
        <w:tc>
          <w:tcPr>
            <w:tcW w:w="573" w:type="dxa"/>
            <w:hideMark/>
          </w:tcPr>
          <w:p w14:paraId="69DB55CD"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Debt Ratio</w:t>
            </w:r>
          </w:p>
        </w:tc>
        <w:tc>
          <w:tcPr>
            <w:tcW w:w="939" w:type="dxa"/>
            <w:hideMark/>
          </w:tcPr>
          <w:p w14:paraId="1E779C13"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Operating Income (£m)</w:t>
            </w:r>
          </w:p>
        </w:tc>
        <w:tc>
          <w:tcPr>
            <w:tcW w:w="931" w:type="dxa"/>
            <w:hideMark/>
          </w:tcPr>
          <w:p w14:paraId="6DAB4F61"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Interest Expenses (£m)</w:t>
            </w:r>
          </w:p>
        </w:tc>
        <w:tc>
          <w:tcPr>
            <w:tcW w:w="912" w:type="dxa"/>
            <w:hideMark/>
          </w:tcPr>
          <w:p w14:paraId="60112B35"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Interest Coverage Ratio</w:t>
            </w:r>
          </w:p>
        </w:tc>
      </w:tr>
      <w:tr w:rsidR="00444FD6" w14:paraId="119D98E1" w14:textId="77777777" w:rsidTr="00444FD6">
        <w:trPr>
          <w:trHeight w:val="352"/>
        </w:trPr>
        <w:tc>
          <w:tcPr>
            <w:cnfStyle w:val="001000000000" w:firstRow="0" w:lastRow="0" w:firstColumn="1" w:lastColumn="0" w:oddVBand="0" w:evenVBand="0" w:oddHBand="0" w:evenHBand="0" w:firstRowFirstColumn="0" w:firstRowLastColumn="0" w:lastRowFirstColumn="0" w:lastRowLastColumn="0"/>
            <w:tcW w:w="528" w:type="dxa"/>
            <w:hideMark/>
          </w:tcPr>
          <w:p w14:paraId="370B2B9E" w14:textId="77777777" w:rsidR="00444FD6" w:rsidRDefault="00CC34DB">
            <w:pPr>
              <w:jc w:val="right"/>
              <w:rPr>
                <w:rFonts w:eastAsia="Times New Roman"/>
                <w:i/>
                <w:iCs/>
                <w:color w:val="000000"/>
                <w:sz w:val="22"/>
                <w:szCs w:val="22"/>
                <w:lang w:val="en-GB"/>
              </w:rPr>
            </w:pPr>
            <w:r>
              <w:rPr>
                <w:rFonts w:eastAsia="Times New Roman"/>
                <w:i/>
                <w:iCs/>
                <w:color w:val="000000"/>
                <w:sz w:val="22"/>
                <w:szCs w:val="22"/>
                <w:lang w:val="en-GB"/>
              </w:rPr>
              <w:t>2024</w:t>
            </w:r>
          </w:p>
        </w:tc>
        <w:tc>
          <w:tcPr>
            <w:tcW w:w="921" w:type="dxa"/>
            <w:hideMark/>
          </w:tcPr>
          <w:p w14:paraId="42950D10"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170,249</w:t>
            </w:r>
          </w:p>
        </w:tc>
        <w:tc>
          <w:tcPr>
            <w:tcW w:w="1253" w:type="dxa"/>
            <w:hideMark/>
          </w:tcPr>
          <w:p w14:paraId="6B22EF48"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153,105</w:t>
            </w:r>
          </w:p>
        </w:tc>
        <w:tc>
          <w:tcPr>
            <w:tcW w:w="665" w:type="dxa"/>
            <w:hideMark/>
          </w:tcPr>
          <w:p w14:paraId="3642A082"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1.11</w:t>
            </w:r>
          </w:p>
        </w:tc>
        <w:tc>
          <w:tcPr>
            <w:tcW w:w="921" w:type="dxa"/>
            <w:hideMark/>
          </w:tcPr>
          <w:p w14:paraId="35145EBD"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170,249</w:t>
            </w:r>
          </w:p>
        </w:tc>
        <w:tc>
          <w:tcPr>
            <w:tcW w:w="757" w:type="dxa"/>
            <w:hideMark/>
          </w:tcPr>
          <w:p w14:paraId="69834562"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323,354</w:t>
            </w:r>
          </w:p>
        </w:tc>
        <w:tc>
          <w:tcPr>
            <w:tcW w:w="573" w:type="dxa"/>
            <w:hideMark/>
          </w:tcPr>
          <w:p w14:paraId="6C09C0CD"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0.53</w:t>
            </w:r>
          </w:p>
        </w:tc>
        <w:tc>
          <w:tcPr>
            <w:tcW w:w="939" w:type="dxa"/>
            <w:hideMark/>
          </w:tcPr>
          <w:p w14:paraId="4D367082"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-15,297</w:t>
            </w:r>
          </w:p>
        </w:tc>
        <w:tc>
          <w:tcPr>
            <w:tcW w:w="931" w:type="dxa"/>
            <w:hideMark/>
          </w:tcPr>
          <w:p w14:paraId="3C87049E"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3,361</w:t>
            </w:r>
          </w:p>
        </w:tc>
        <w:tc>
          <w:tcPr>
            <w:tcW w:w="912" w:type="dxa"/>
            <w:hideMark/>
          </w:tcPr>
          <w:p w14:paraId="22C8EFA0"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-4.55</w:t>
            </w:r>
          </w:p>
        </w:tc>
      </w:tr>
      <w:tr w:rsidR="00444FD6" w14:paraId="39E0F9C6" w14:textId="77777777" w:rsidTr="00444FD6">
        <w:trPr>
          <w:trHeight w:val="364"/>
        </w:trPr>
        <w:tc>
          <w:tcPr>
            <w:cnfStyle w:val="001000000000" w:firstRow="0" w:lastRow="0" w:firstColumn="1" w:lastColumn="0" w:oddVBand="0" w:evenVBand="0" w:oddHBand="0" w:evenHBand="0" w:firstRowFirstColumn="0" w:firstRowLastColumn="0" w:lastRowFirstColumn="0" w:lastRowLastColumn="0"/>
            <w:tcW w:w="528" w:type="dxa"/>
            <w:hideMark/>
          </w:tcPr>
          <w:p w14:paraId="65FEBBB7" w14:textId="77777777" w:rsidR="00444FD6" w:rsidRDefault="00CC34DB">
            <w:pPr>
              <w:jc w:val="right"/>
              <w:rPr>
                <w:rFonts w:eastAsia="Times New Roman"/>
                <w:i/>
                <w:iCs/>
                <w:color w:val="000000"/>
                <w:sz w:val="22"/>
                <w:szCs w:val="22"/>
                <w:lang w:val="en-GB"/>
              </w:rPr>
            </w:pPr>
            <w:r>
              <w:rPr>
                <w:rFonts w:eastAsia="Times New Roman"/>
                <w:i/>
                <w:iCs/>
                <w:color w:val="000000"/>
                <w:sz w:val="22"/>
                <w:szCs w:val="22"/>
                <w:lang w:val="en-GB"/>
              </w:rPr>
              <w:t>2023</w:t>
            </w:r>
          </w:p>
        </w:tc>
        <w:tc>
          <w:tcPr>
            <w:tcW w:w="921" w:type="dxa"/>
            <w:hideMark/>
          </w:tcPr>
          <w:p w14:paraId="78743C5C"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176,952</w:t>
            </w:r>
          </w:p>
        </w:tc>
        <w:tc>
          <w:tcPr>
            <w:tcW w:w="1253" w:type="dxa"/>
            <w:hideMark/>
          </w:tcPr>
          <w:p w14:paraId="1E3C904F"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178,920</w:t>
            </w:r>
          </w:p>
        </w:tc>
        <w:tc>
          <w:tcPr>
            <w:tcW w:w="665" w:type="dxa"/>
            <w:hideMark/>
          </w:tcPr>
          <w:p w14:paraId="1478D5FB"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0.99</w:t>
            </w:r>
          </w:p>
        </w:tc>
        <w:tc>
          <w:tcPr>
            <w:tcW w:w="921" w:type="dxa"/>
            <w:hideMark/>
          </w:tcPr>
          <w:p w14:paraId="7AB5C942"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176,952</w:t>
            </w:r>
          </w:p>
        </w:tc>
        <w:tc>
          <w:tcPr>
            <w:tcW w:w="757" w:type="dxa"/>
            <w:hideMark/>
          </w:tcPr>
          <w:p w14:paraId="2AF6E955"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355,872</w:t>
            </w:r>
          </w:p>
        </w:tc>
        <w:tc>
          <w:tcPr>
            <w:tcW w:w="573" w:type="dxa"/>
            <w:hideMark/>
          </w:tcPr>
          <w:p w14:paraId="5D621B33"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0.5</w:t>
            </w:r>
          </w:p>
        </w:tc>
        <w:tc>
          <w:tcPr>
            <w:tcW w:w="939" w:type="dxa"/>
            <w:hideMark/>
          </w:tcPr>
          <w:p w14:paraId="17BA4BA5"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-85,301</w:t>
            </w:r>
          </w:p>
        </w:tc>
        <w:tc>
          <w:tcPr>
            <w:tcW w:w="931" w:type="dxa"/>
            <w:hideMark/>
          </w:tcPr>
          <w:p w14:paraId="60F4C3CB"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4,332</w:t>
            </w:r>
          </w:p>
        </w:tc>
        <w:tc>
          <w:tcPr>
            <w:tcW w:w="912" w:type="dxa"/>
            <w:hideMark/>
          </w:tcPr>
          <w:p w14:paraId="29082E32"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-19.7</w:t>
            </w:r>
          </w:p>
        </w:tc>
      </w:tr>
      <w:tr w:rsidR="00444FD6" w14:paraId="312E98D6" w14:textId="77777777" w:rsidTr="00444FD6">
        <w:trPr>
          <w:trHeight w:val="364"/>
        </w:trPr>
        <w:tc>
          <w:tcPr>
            <w:cnfStyle w:val="001000000000" w:firstRow="0" w:lastRow="0" w:firstColumn="1" w:lastColumn="0" w:oddVBand="0" w:evenVBand="0" w:oddHBand="0" w:evenHBand="0" w:firstRowFirstColumn="0" w:firstRowLastColumn="0" w:lastRowFirstColumn="0" w:lastRowLastColumn="0"/>
            <w:tcW w:w="528" w:type="dxa"/>
            <w:hideMark/>
          </w:tcPr>
          <w:p w14:paraId="06DAF0F5" w14:textId="77777777" w:rsidR="00444FD6" w:rsidRDefault="00CC34DB">
            <w:pPr>
              <w:jc w:val="right"/>
              <w:rPr>
                <w:rFonts w:eastAsia="Times New Roman"/>
                <w:i/>
                <w:iCs/>
                <w:color w:val="000000"/>
                <w:sz w:val="22"/>
                <w:szCs w:val="22"/>
                <w:lang w:val="en-GB"/>
              </w:rPr>
            </w:pPr>
            <w:r>
              <w:rPr>
                <w:rFonts w:eastAsia="Times New Roman"/>
                <w:i/>
                <w:iCs/>
                <w:color w:val="000000"/>
                <w:sz w:val="22"/>
                <w:szCs w:val="22"/>
                <w:lang w:val="en-GB"/>
              </w:rPr>
              <w:t>2022</w:t>
            </w:r>
          </w:p>
        </w:tc>
        <w:tc>
          <w:tcPr>
            <w:tcW w:w="921" w:type="dxa"/>
            <w:hideMark/>
          </w:tcPr>
          <w:p w14:paraId="185A9A2F"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235,757</w:t>
            </w:r>
          </w:p>
        </w:tc>
        <w:tc>
          <w:tcPr>
            <w:tcW w:w="1253" w:type="dxa"/>
            <w:hideMark/>
          </w:tcPr>
          <w:p w14:paraId="66D9B2DF"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268,406</w:t>
            </w:r>
          </w:p>
        </w:tc>
        <w:tc>
          <w:tcPr>
            <w:tcW w:w="665" w:type="dxa"/>
            <w:hideMark/>
          </w:tcPr>
          <w:p w14:paraId="48AFFEE3"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0.88</w:t>
            </w:r>
          </w:p>
        </w:tc>
        <w:tc>
          <w:tcPr>
            <w:tcW w:w="921" w:type="dxa"/>
            <w:hideMark/>
          </w:tcPr>
          <w:p w14:paraId="22D21732"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235,757</w:t>
            </w:r>
          </w:p>
        </w:tc>
        <w:tc>
          <w:tcPr>
            <w:tcW w:w="757" w:type="dxa"/>
            <w:hideMark/>
          </w:tcPr>
          <w:p w14:paraId="70D08CA3"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504,163</w:t>
            </w:r>
          </w:p>
        </w:tc>
        <w:tc>
          <w:tcPr>
            <w:tcW w:w="573" w:type="dxa"/>
            <w:hideMark/>
          </w:tcPr>
          <w:p w14:paraId="0BB04141"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0.47</w:t>
            </w:r>
          </w:p>
        </w:tc>
        <w:tc>
          <w:tcPr>
            <w:tcW w:w="939" w:type="dxa"/>
            <w:hideMark/>
          </w:tcPr>
          <w:p w14:paraId="03C40DA5"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14,548</w:t>
            </w:r>
          </w:p>
        </w:tc>
        <w:tc>
          <w:tcPr>
            <w:tcW w:w="931" w:type="dxa"/>
            <w:hideMark/>
          </w:tcPr>
          <w:p w14:paraId="134C1ACE"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2,200</w:t>
            </w:r>
          </w:p>
        </w:tc>
        <w:tc>
          <w:tcPr>
            <w:tcW w:w="912" w:type="dxa"/>
            <w:hideMark/>
          </w:tcPr>
          <w:p w14:paraId="69AD1C96"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6.62</w:t>
            </w:r>
          </w:p>
        </w:tc>
      </w:tr>
      <w:tr w:rsidR="00444FD6" w14:paraId="5ED2FD62" w14:textId="77777777" w:rsidTr="00444FD6">
        <w:trPr>
          <w:trHeight w:val="364"/>
        </w:trPr>
        <w:tc>
          <w:tcPr>
            <w:cnfStyle w:val="001000000000" w:firstRow="0" w:lastRow="0" w:firstColumn="1" w:lastColumn="0" w:oddVBand="0" w:evenVBand="0" w:oddHBand="0" w:evenHBand="0" w:firstRowFirstColumn="0" w:firstRowLastColumn="0" w:lastRowFirstColumn="0" w:lastRowLastColumn="0"/>
            <w:tcW w:w="528" w:type="dxa"/>
            <w:hideMark/>
          </w:tcPr>
          <w:p w14:paraId="63AA0442" w14:textId="77777777" w:rsidR="00444FD6" w:rsidRDefault="00CC34DB">
            <w:pPr>
              <w:jc w:val="right"/>
              <w:rPr>
                <w:rFonts w:eastAsia="Times New Roman"/>
                <w:i/>
                <w:iCs/>
                <w:color w:val="000000"/>
                <w:sz w:val="22"/>
                <w:szCs w:val="22"/>
                <w:lang w:val="en-GB"/>
              </w:rPr>
            </w:pPr>
            <w:r>
              <w:rPr>
                <w:rFonts w:eastAsia="Times New Roman"/>
                <w:i/>
                <w:iCs/>
                <w:color w:val="000000"/>
                <w:sz w:val="22"/>
                <w:szCs w:val="22"/>
                <w:lang w:val="en-GB"/>
              </w:rPr>
              <w:t>2021</w:t>
            </w:r>
          </w:p>
        </w:tc>
        <w:tc>
          <w:tcPr>
            <w:tcW w:w="921" w:type="dxa"/>
            <w:hideMark/>
          </w:tcPr>
          <w:p w14:paraId="0C7252DD"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234,399</w:t>
            </w:r>
          </w:p>
        </w:tc>
        <w:tc>
          <w:tcPr>
            <w:tcW w:w="1253" w:type="dxa"/>
            <w:hideMark/>
          </w:tcPr>
          <w:p w14:paraId="18E19791"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275,949</w:t>
            </w:r>
          </w:p>
        </w:tc>
        <w:tc>
          <w:tcPr>
            <w:tcW w:w="665" w:type="dxa"/>
            <w:hideMark/>
          </w:tcPr>
          <w:p w14:paraId="218060C2"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0.85</w:t>
            </w:r>
          </w:p>
        </w:tc>
        <w:tc>
          <w:tcPr>
            <w:tcW w:w="921" w:type="dxa"/>
            <w:hideMark/>
          </w:tcPr>
          <w:p w14:paraId="550CA61A"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234,399</w:t>
            </w:r>
          </w:p>
        </w:tc>
        <w:tc>
          <w:tcPr>
            <w:tcW w:w="757" w:type="dxa"/>
            <w:hideMark/>
          </w:tcPr>
          <w:p w14:paraId="614D130D"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510,348</w:t>
            </w:r>
          </w:p>
        </w:tc>
        <w:tc>
          <w:tcPr>
            <w:tcW w:w="573" w:type="dxa"/>
            <w:hideMark/>
          </w:tcPr>
          <w:p w14:paraId="64E0D13B"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0.46</w:t>
            </w:r>
          </w:p>
        </w:tc>
        <w:tc>
          <w:tcPr>
            <w:tcW w:w="939" w:type="dxa"/>
            <w:hideMark/>
          </w:tcPr>
          <w:p w14:paraId="1FC7B9C6"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23,253</w:t>
            </w:r>
          </w:p>
        </w:tc>
        <w:tc>
          <w:tcPr>
            <w:tcW w:w="931" w:type="dxa"/>
            <w:hideMark/>
          </w:tcPr>
          <w:p w14:paraId="4C2EA5A3"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566</w:t>
            </w:r>
          </w:p>
        </w:tc>
        <w:tc>
          <w:tcPr>
            <w:tcW w:w="912" w:type="dxa"/>
            <w:hideMark/>
          </w:tcPr>
          <w:p w14:paraId="34954DB6"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41.08</w:t>
            </w:r>
          </w:p>
        </w:tc>
      </w:tr>
      <w:tr w:rsidR="00444FD6" w14:paraId="2236292A" w14:textId="77777777" w:rsidTr="00444FD6">
        <w:trPr>
          <w:trHeight w:val="364"/>
        </w:trPr>
        <w:tc>
          <w:tcPr>
            <w:cnfStyle w:val="001000000000" w:firstRow="0" w:lastRow="0" w:firstColumn="1" w:lastColumn="0" w:oddVBand="0" w:evenVBand="0" w:oddHBand="0" w:evenHBand="0" w:firstRowFirstColumn="0" w:firstRowLastColumn="0" w:lastRowFirstColumn="0" w:lastRowLastColumn="0"/>
            <w:tcW w:w="528" w:type="dxa"/>
            <w:hideMark/>
          </w:tcPr>
          <w:p w14:paraId="5F4F7044" w14:textId="77777777" w:rsidR="00444FD6" w:rsidRDefault="00CC34DB">
            <w:pPr>
              <w:jc w:val="right"/>
              <w:rPr>
                <w:rFonts w:eastAsia="Times New Roman"/>
                <w:i/>
                <w:iCs/>
                <w:color w:val="000000"/>
                <w:sz w:val="22"/>
                <w:szCs w:val="22"/>
                <w:lang w:val="en-GB"/>
              </w:rPr>
            </w:pPr>
            <w:r>
              <w:rPr>
                <w:rFonts w:eastAsia="Times New Roman"/>
                <w:i/>
                <w:iCs/>
                <w:color w:val="000000"/>
                <w:sz w:val="22"/>
                <w:szCs w:val="22"/>
                <w:lang w:val="en-GB"/>
              </w:rPr>
              <w:t>2020</w:t>
            </w:r>
          </w:p>
        </w:tc>
        <w:tc>
          <w:tcPr>
            <w:tcW w:w="921" w:type="dxa"/>
            <w:hideMark/>
          </w:tcPr>
          <w:p w14:paraId="0592CE7A"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196,989</w:t>
            </w:r>
          </w:p>
        </w:tc>
        <w:tc>
          <w:tcPr>
            <w:tcW w:w="1253" w:type="dxa"/>
            <w:hideMark/>
          </w:tcPr>
          <w:p w14:paraId="6C07D5C4"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313,301</w:t>
            </w:r>
          </w:p>
        </w:tc>
        <w:tc>
          <w:tcPr>
            <w:tcW w:w="665" w:type="dxa"/>
            <w:hideMark/>
          </w:tcPr>
          <w:p w14:paraId="03A0A9EE"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0.63</w:t>
            </w:r>
          </w:p>
        </w:tc>
        <w:tc>
          <w:tcPr>
            <w:tcW w:w="921" w:type="dxa"/>
            <w:hideMark/>
          </w:tcPr>
          <w:p w14:paraId="45A3CE53"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196,989</w:t>
            </w:r>
          </w:p>
        </w:tc>
        <w:tc>
          <w:tcPr>
            <w:tcW w:w="757" w:type="dxa"/>
            <w:hideMark/>
          </w:tcPr>
          <w:p w14:paraId="382F2F34"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510,290</w:t>
            </w:r>
          </w:p>
        </w:tc>
        <w:tc>
          <w:tcPr>
            <w:tcW w:w="573" w:type="dxa"/>
            <w:hideMark/>
          </w:tcPr>
          <w:p w14:paraId="0532AAB2"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0.39</w:t>
            </w:r>
          </w:p>
        </w:tc>
        <w:tc>
          <w:tcPr>
            <w:tcW w:w="939" w:type="dxa"/>
            <w:hideMark/>
          </w:tcPr>
          <w:p w14:paraId="03CB291D"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37,267</w:t>
            </w:r>
          </w:p>
        </w:tc>
        <w:tc>
          <w:tcPr>
            <w:tcW w:w="931" w:type="dxa"/>
            <w:hideMark/>
          </w:tcPr>
          <w:p w14:paraId="23F4E4BA"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1,422</w:t>
            </w:r>
          </w:p>
        </w:tc>
        <w:tc>
          <w:tcPr>
            <w:tcW w:w="912" w:type="dxa"/>
            <w:hideMark/>
          </w:tcPr>
          <w:p w14:paraId="04F766FA"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26.18</w:t>
            </w:r>
          </w:p>
        </w:tc>
      </w:tr>
    </w:tbl>
    <w:p w14:paraId="12D5E768" w14:textId="77777777" w:rsidR="00444FD6" w:rsidRDefault="00444FD6">
      <w:pPr>
        <w:rPr>
          <w:b/>
          <w:bCs/>
        </w:rPr>
      </w:pPr>
    </w:p>
    <w:p w14:paraId="331B4EA2" w14:textId="77777777" w:rsidR="00444FD6" w:rsidRDefault="00CC34DB">
      <w:pPr>
        <w:jc w:val="center"/>
      </w:pPr>
      <w:r>
        <w:rPr>
          <w:noProof/>
        </w:rPr>
        <w:drawing>
          <wp:inline distT="0" distB="0" distL="0" distR="0" wp14:anchorId="4F96D51E" wp14:editId="687ACD11">
            <wp:extent cx="4572635" cy="2712720"/>
            <wp:effectExtent l="0" t="0" r="0" b="0"/>
            <wp:docPr id="1030"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3" cstate="print"/>
                    <a:srcRect/>
                    <a:stretch/>
                  </pic:blipFill>
                  <pic:spPr>
                    <a:xfrm>
                      <a:off x="0" y="0"/>
                      <a:ext cx="4572635" cy="2712720"/>
                    </a:xfrm>
                    <a:prstGeom prst="rect">
                      <a:avLst/>
                    </a:prstGeom>
                  </pic:spPr>
                </pic:pic>
              </a:graphicData>
            </a:graphic>
          </wp:inline>
        </w:drawing>
      </w:r>
    </w:p>
    <w:p w14:paraId="39A46C20" w14:textId="77777777" w:rsidR="00444FD6" w:rsidRDefault="00444FD6"/>
    <w:p w14:paraId="73D4E834" w14:textId="77777777" w:rsidR="00444FD6" w:rsidRDefault="00CC34DB">
      <w:pPr>
        <w:rPr>
          <w:b/>
          <w:bCs/>
        </w:rPr>
      </w:pPr>
      <w:r>
        <w:rPr>
          <w:b/>
          <w:bCs/>
        </w:rPr>
        <w:t>Cash Flow Ratios</w:t>
      </w:r>
    </w:p>
    <w:p w14:paraId="49DD1843" w14:textId="77777777" w:rsidR="00444FD6" w:rsidRDefault="00CC34DB">
      <w:r>
        <w:rPr>
          <w:noProof/>
        </w:rPr>
        <w:drawing>
          <wp:inline distT="0" distB="0" distL="0" distR="0" wp14:anchorId="4A19F7F7" wp14:editId="614AA30F">
            <wp:extent cx="4584700" cy="2755900"/>
            <wp:effectExtent l="0" t="0" r="6350" b="6350"/>
            <wp:docPr id="1031"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4" cstate="print"/>
                    <a:srcRect/>
                    <a:stretch/>
                  </pic:blipFill>
                  <pic:spPr>
                    <a:xfrm>
                      <a:off x="0" y="0"/>
                      <a:ext cx="4584700" cy="2755900"/>
                    </a:xfrm>
                    <a:prstGeom prst="rect">
                      <a:avLst/>
                    </a:prstGeom>
                  </pic:spPr>
                </pic:pic>
              </a:graphicData>
            </a:graphic>
          </wp:inline>
        </w:drawing>
      </w:r>
    </w:p>
    <w:tbl>
      <w:tblPr>
        <w:tblStyle w:val="GridTable3-Accent31"/>
        <w:tblW w:w="8509" w:type="dxa"/>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1406"/>
        <w:gridCol w:w="2405"/>
        <w:gridCol w:w="2293"/>
        <w:gridCol w:w="2405"/>
      </w:tblGrid>
      <w:tr w:rsidR="00444FD6" w14:paraId="2EEF2AA4" w14:textId="77777777" w:rsidTr="00444FD6">
        <w:trPr>
          <w:cnfStyle w:val="100000000000" w:firstRow="1" w:lastRow="0" w:firstColumn="0" w:lastColumn="0" w:oddVBand="0" w:evenVBand="0" w:oddHBand="0" w:evenHBand="0" w:firstRowFirstColumn="0" w:firstRowLastColumn="0" w:lastRowFirstColumn="0" w:lastRowLastColumn="0"/>
          <w:trHeight w:val="1134"/>
        </w:trPr>
        <w:tc>
          <w:tcPr>
            <w:cnfStyle w:val="001000000100" w:firstRow="0" w:lastRow="0" w:firstColumn="1" w:lastColumn="0" w:oddVBand="0" w:evenVBand="0" w:oddHBand="0" w:evenHBand="0" w:firstRowFirstColumn="1" w:firstRowLastColumn="0" w:lastRowFirstColumn="0" w:lastRowLastColumn="0"/>
            <w:tcW w:w="1406" w:type="dxa"/>
            <w:tcBorders>
              <w:top w:val="none" w:sz="0" w:space="0" w:color="auto"/>
              <w:left w:val="none" w:sz="0" w:space="0" w:color="auto"/>
              <w:bottom w:val="none" w:sz="0" w:space="0" w:color="auto"/>
              <w:right w:val="none" w:sz="0" w:space="0" w:color="auto"/>
            </w:tcBorders>
            <w:hideMark/>
          </w:tcPr>
          <w:p w14:paraId="41F8A878" w14:textId="77777777" w:rsidR="00444FD6" w:rsidRDefault="00CC34DB">
            <w:pPr>
              <w:jc w:val="center"/>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Year</w:t>
            </w:r>
          </w:p>
        </w:tc>
        <w:tc>
          <w:tcPr>
            <w:tcW w:w="2405" w:type="dxa"/>
            <w:tcBorders>
              <w:top w:val="none" w:sz="0" w:space="0" w:color="auto"/>
              <w:left w:val="none" w:sz="0" w:space="0" w:color="auto"/>
              <w:right w:val="none" w:sz="0" w:space="0" w:color="auto"/>
            </w:tcBorders>
            <w:hideMark/>
          </w:tcPr>
          <w:p w14:paraId="7B63CD2C"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Operating Cash Flow (£m)</w:t>
            </w:r>
          </w:p>
        </w:tc>
        <w:tc>
          <w:tcPr>
            <w:tcW w:w="2293" w:type="dxa"/>
            <w:tcBorders>
              <w:top w:val="none" w:sz="0" w:space="0" w:color="auto"/>
              <w:left w:val="none" w:sz="0" w:space="0" w:color="auto"/>
              <w:right w:val="none" w:sz="0" w:space="0" w:color="auto"/>
            </w:tcBorders>
            <w:hideMark/>
          </w:tcPr>
          <w:p w14:paraId="3EC2F90F"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Current Liabilities (£m)</w:t>
            </w:r>
          </w:p>
        </w:tc>
        <w:tc>
          <w:tcPr>
            <w:tcW w:w="2405" w:type="dxa"/>
            <w:tcBorders>
              <w:top w:val="none" w:sz="0" w:space="0" w:color="auto"/>
              <w:left w:val="none" w:sz="0" w:space="0" w:color="auto"/>
              <w:right w:val="none" w:sz="0" w:space="0" w:color="auto"/>
            </w:tcBorders>
            <w:hideMark/>
          </w:tcPr>
          <w:p w14:paraId="58D999D3" w14:textId="77777777" w:rsidR="00444FD6" w:rsidRDefault="00CC34DB">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Operating Cash Flow Ratio</w:t>
            </w:r>
          </w:p>
        </w:tc>
      </w:tr>
      <w:tr w:rsidR="00444FD6" w14:paraId="0B9BA543" w14:textId="77777777" w:rsidTr="00444FD6">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1406" w:type="dxa"/>
            <w:tcBorders>
              <w:top w:val="none" w:sz="0" w:space="0" w:color="auto"/>
              <w:left w:val="none" w:sz="0" w:space="0" w:color="auto"/>
              <w:bottom w:val="none" w:sz="0" w:space="0" w:color="auto"/>
            </w:tcBorders>
            <w:hideMark/>
          </w:tcPr>
          <w:p w14:paraId="28439A24" w14:textId="77777777" w:rsidR="00444FD6" w:rsidRDefault="00CC34DB">
            <w:pPr>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2024</w:t>
            </w:r>
          </w:p>
        </w:tc>
        <w:tc>
          <w:tcPr>
            <w:tcW w:w="2405" w:type="dxa"/>
            <w:hideMark/>
          </w:tcPr>
          <w:p w14:paraId="447D1246"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14,822</w:t>
            </w:r>
          </w:p>
        </w:tc>
        <w:tc>
          <w:tcPr>
            <w:tcW w:w="2293" w:type="dxa"/>
            <w:hideMark/>
          </w:tcPr>
          <w:p w14:paraId="0D32CDF1"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158,291</w:t>
            </w:r>
          </w:p>
        </w:tc>
        <w:tc>
          <w:tcPr>
            <w:tcW w:w="2405" w:type="dxa"/>
            <w:hideMark/>
          </w:tcPr>
          <w:p w14:paraId="7113471A"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0.09</w:t>
            </w:r>
          </w:p>
        </w:tc>
      </w:tr>
      <w:tr w:rsidR="00444FD6" w14:paraId="32F86425" w14:textId="77777777" w:rsidTr="00444FD6">
        <w:trPr>
          <w:trHeight w:val="283"/>
        </w:trPr>
        <w:tc>
          <w:tcPr>
            <w:cnfStyle w:val="001000000000" w:firstRow="0" w:lastRow="0" w:firstColumn="1" w:lastColumn="0" w:oddVBand="0" w:evenVBand="0" w:oddHBand="0" w:evenHBand="0" w:firstRowFirstColumn="0" w:firstRowLastColumn="0" w:lastRowFirstColumn="0" w:lastRowLastColumn="0"/>
            <w:tcW w:w="1406" w:type="dxa"/>
            <w:tcBorders>
              <w:top w:val="none" w:sz="0" w:space="0" w:color="auto"/>
              <w:left w:val="none" w:sz="0" w:space="0" w:color="auto"/>
              <w:bottom w:val="none" w:sz="0" w:space="0" w:color="auto"/>
            </w:tcBorders>
            <w:hideMark/>
          </w:tcPr>
          <w:p w14:paraId="6D1FB5B5" w14:textId="77777777" w:rsidR="00444FD6" w:rsidRDefault="00CC34DB">
            <w:pPr>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2023</w:t>
            </w:r>
          </w:p>
        </w:tc>
        <w:tc>
          <w:tcPr>
            <w:tcW w:w="2405" w:type="dxa"/>
            <w:hideMark/>
          </w:tcPr>
          <w:p w14:paraId="748ACDB2"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25,190</w:t>
            </w:r>
          </w:p>
        </w:tc>
        <w:tc>
          <w:tcPr>
            <w:tcW w:w="2293" w:type="dxa"/>
            <w:hideMark/>
          </w:tcPr>
          <w:p w14:paraId="0C0229EA"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161,148</w:t>
            </w:r>
          </w:p>
        </w:tc>
        <w:tc>
          <w:tcPr>
            <w:tcW w:w="2405" w:type="dxa"/>
            <w:hideMark/>
          </w:tcPr>
          <w:p w14:paraId="4A0EC069"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0.16</w:t>
            </w:r>
          </w:p>
        </w:tc>
      </w:tr>
      <w:tr w:rsidR="00444FD6" w14:paraId="4D30049E" w14:textId="77777777" w:rsidTr="00444FD6">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1406" w:type="dxa"/>
            <w:tcBorders>
              <w:top w:val="none" w:sz="0" w:space="0" w:color="auto"/>
              <w:left w:val="none" w:sz="0" w:space="0" w:color="auto"/>
              <w:bottom w:val="none" w:sz="0" w:space="0" w:color="auto"/>
            </w:tcBorders>
            <w:hideMark/>
          </w:tcPr>
          <w:p w14:paraId="7E26BDC6" w14:textId="77777777" w:rsidR="00444FD6" w:rsidRDefault="00CC34DB">
            <w:pPr>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2022</w:t>
            </w:r>
          </w:p>
        </w:tc>
        <w:tc>
          <w:tcPr>
            <w:tcW w:w="2405" w:type="dxa"/>
            <w:hideMark/>
          </w:tcPr>
          <w:p w14:paraId="2F4B4912"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10,926</w:t>
            </w:r>
          </w:p>
        </w:tc>
        <w:tc>
          <w:tcPr>
            <w:tcW w:w="2293" w:type="dxa"/>
            <w:hideMark/>
          </w:tcPr>
          <w:p w14:paraId="763EFFD8"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216,473</w:t>
            </w:r>
          </w:p>
        </w:tc>
        <w:tc>
          <w:tcPr>
            <w:tcW w:w="2405" w:type="dxa"/>
            <w:hideMark/>
          </w:tcPr>
          <w:p w14:paraId="69E9E62C"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0.05</w:t>
            </w:r>
          </w:p>
        </w:tc>
      </w:tr>
      <w:tr w:rsidR="00444FD6" w14:paraId="20A5795C" w14:textId="77777777" w:rsidTr="00444FD6">
        <w:trPr>
          <w:trHeight w:val="283"/>
        </w:trPr>
        <w:tc>
          <w:tcPr>
            <w:cnfStyle w:val="001000000000" w:firstRow="0" w:lastRow="0" w:firstColumn="1" w:lastColumn="0" w:oddVBand="0" w:evenVBand="0" w:oddHBand="0" w:evenHBand="0" w:firstRowFirstColumn="0" w:firstRowLastColumn="0" w:lastRowFirstColumn="0" w:lastRowLastColumn="0"/>
            <w:tcW w:w="1406" w:type="dxa"/>
            <w:tcBorders>
              <w:top w:val="none" w:sz="0" w:space="0" w:color="auto"/>
              <w:left w:val="none" w:sz="0" w:space="0" w:color="auto"/>
              <w:bottom w:val="none" w:sz="0" w:space="0" w:color="auto"/>
            </w:tcBorders>
            <w:hideMark/>
          </w:tcPr>
          <w:p w14:paraId="462E0B0C" w14:textId="77777777" w:rsidR="00444FD6" w:rsidRDefault="00CC34DB">
            <w:pPr>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2021</w:t>
            </w:r>
          </w:p>
        </w:tc>
        <w:tc>
          <w:tcPr>
            <w:tcW w:w="2405" w:type="dxa"/>
            <w:hideMark/>
          </w:tcPr>
          <w:p w14:paraId="6F6AA98B"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40,283</w:t>
            </w:r>
          </w:p>
        </w:tc>
        <w:tc>
          <w:tcPr>
            <w:tcW w:w="2293" w:type="dxa"/>
            <w:hideMark/>
          </w:tcPr>
          <w:p w14:paraId="69F71FB2"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216,787</w:t>
            </w:r>
          </w:p>
        </w:tc>
        <w:tc>
          <w:tcPr>
            <w:tcW w:w="2405" w:type="dxa"/>
            <w:hideMark/>
          </w:tcPr>
          <w:p w14:paraId="4887E693"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0.19</w:t>
            </w:r>
          </w:p>
        </w:tc>
      </w:tr>
      <w:tr w:rsidR="00444FD6" w14:paraId="1C49A1A5" w14:textId="77777777" w:rsidTr="00444FD6">
        <w:trPr>
          <w:cnfStyle w:val="000000100000" w:firstRow="0" w:lastRow="0" w:firstColumn="0" w:lastColumn="0" w:oddVBand="0" w:evenVBand="0" w:oddHBand="1" w:evenHBand="0" w:firstRowFirstColumn="0" w:firstRowLastColumn="0" w:lastRowFirstColumn="0" w:lastRowLastColumn="0"/>
          <w:trHeight w:val="283"/>
        </w:trPr>
        <w:tc>
          <w:tcPr>
            <w:cnfStyle w:val="001000000000" w:firstRow="0" w:lastRow="0" w:firstColumn="1" w:lastColumn="0" w:oddVBand="0" w:evenVBand="0" w:oddHBand="0" w:evenHBand="0" w:firstRowFirstColumn="0" w:firstRowLastColumn="0" w:lastRowFirstColumn="0" w:lastRowLastColumn="0"/>
            <w:tcW w:w="1406" w:type="dxa"/>
            <w:tcBorders>
              <w:top w:val="none" w:sz="0" w:space="0" w:color="auto"/>
              <w:left w:val="none" w:sz="0" w:space="0" w:color="auto"/>
              <w:bottom w:val="none" w:sz="0" w:space="0" w:color="auto"/>
            </w:tcBorders>
            <w:hideMark/>
          </w:tcPr>
          <w:p w14:paraId="072D7DBD" w14:textId="77777777" w:rsidR="00444FD6" w:rsidRDefault="00CC34DB">
            <w:pPr>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2020</w:t>
            </w:r>
          </w:p>
        </w:tc>
        <w:tc>
          <w:tcPr>
            <w:tcW w:w="2405" w:type="dxa"/>
            <w:hideMark/>
          </w:tcPr>
          <w:p w14:paraId="773D81CA"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73,392</w:t>
            </w:r>
          </w:p>
        </w:tc>
        <w:tc>
          <w:tcPr>
            <w:tcW w:w="2293" w:type="dxa"/>
            <w:hideMark/>
          </w:tcPr>
          <w:p w14:paraId="0DA92330"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179,510</w:t>
            </w:r>
          </w:p>
        </w:tc>
        <w:tc>
          <w:tcPr>
            <w:tcW w:w="2405" w:type="dxa"/>
            <w:hideMark/>
          </w:tcPr>
          <w:p w14:paraId="2CB7A535" w14:textId="77777777" w:rsidR="00444FD6" w:rsidRDefault="00CC34DB">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2"/>
                <w:szCs w:val="22"/>
                <w:lang w:eastAsia="en-GB"/>
                <w14:ligatures w14:val="none"/>
              </w:rPr>
            </w:pPr>
            <w:r>
              <w:rPr>
                <w:rFonts w:ascii="Arial" w:eastAsia="Times New Roman" w:hAnsi="Arial" w:cs="Arial"/>
                <w:color w:val="000000"/>
                <w:sz w:val="22"/>
                <w:szCs w:val="22"/>
                <w:lang w:eastAsia="en-GB"/>
                <w14:ligatures w14:val="none"/>
              </w:rPr>
              <w:t>0.41</w:t>
            </w:r>
          </w:p>
        </w:tc>
      </w:tr>
    </w:tbl>
    <w:p w14:paraId="4FCB040B" w14:textId="77777777" w:rsidR="00444FD6" w:rsidRDefault="00444FD6"/>
    <w:tbl>
      <w:tblPr>
        <w:tblStyle w:val="PlainTable31"/>
        <w:tblW w:w="0" w:type="auto"/>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ook w:val="04A0" w:firstRow="1" w:lastRow="0" w:firstColumn="1" w:lastColumn="0" w:noHBand="0" w:noVBand="1"/>
      </w:tblPr>
      <w:tblGrid>
        <w:gridCol w:w="883"/>
        <w:gridCol w:w="2880"/>
        <w:gridCol w:w="3075"/>
        <w:gridCol w:w="2142"/>
      </w:tblGrid>
      <w:tr w:rsidR="00444FD6" w14:paraId="78B4F010" w14:textId="77777777" w:rsidTr="00444FD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3A66F050" w14:textId="77777777" w:rsidR="00444FD6" w:rsidRDefault="00CC34DB">
            <w:pPr>
              <w:spacing w:after="160" w:line="360" w:lineRule="auto"/>
              <w:jc w:val="both"/>
              <w:rPr>
                <w:rFonts w:ascii="Arial" w:hAnsi="Arial" w:cs="Arial"/>
              </w:rPr>
            </w:pPr>
            <w:r>
              <w:rPr>
                <w:rFonts w:ascii="Arial" w:hAnsi="Arial" w:cs="Arial"/>
              </w:rPr>
              <w:t>Year</w:t>
            </w:r>
          </w:p>
        </w:tc>
        <w:tc>
          <w:tcPr>
            <w:tcW w:w="0" w:type="auto"/>
            <w:hideMark/>
          </w:tcPr>
          <w:p w14:paraId="1A1E107F" w14:textId="77777777" w:rsidR="00444FD6" w:rsidRDefault="00CC34D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Operating Cash Flow (£m)</w:t>
            </w:r>
          </w:p>
        </w:tc>
        <w:tc>
          <w:tcPr>
            <w:tcW w:w="0" w:type="auto"/>
            <w:hideMark/>
          </w:tcPr>
          <w:p w14:paraId="0E6B8D0A" w14:textId="77777777" w:rsidR="00444FD6" w:rsidRDefault="00CC34D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Capital Expenditures (£m)</w:t>
            </w:r>
          </w:p>
        </w:tc>
        <w:tc>
          <w:tcPr>
            <w:tcW w:w="0" w:type="auto"/>
            <w:hideMark/>
          </w:tcPr>
          <w:p w14:paraId="4F0E7540" w14:textId="77777777" w:rsidR="00444FD6" w:rsidRDefault="00CC34D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Free Cash Flow (£m)</w:t>
            </w:r>
          </w:p>
        </w:tc>
      </w:tr>
      <w:tr w:rsidR="00444FD6" w14:paraId="41CE3A07" w14:textId="77777777" w:rsidTr="00444F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6A9185" w14:textId="77777777" w:rsidR="00444FD6" w:rsidRDefault="00CC34DB">
            <w:pPr>
              <w:spacing w:after="160" w:line="360" w:lineRule="auto"/>
              <w:jc w:val="both"/>
              <w:rPr>
                <w:rFonts w:ascii="Arial" w:hAnsi="Arial" w:cs="Arial"/>
              </w:rPr>
            </w:pPr>
            <w:r>
              <w:rPr>
                <w:rFonts w:ascii="Arial" w:hAnsi="Arial" w:cs="Arial"/>
              </w:rPr>
              <w:t>2024</w:t>
            </w:r>
          </w:p>
        </w:tc>
        <w:tc>
          <w:tcPr>
            <w:tcW w:w="0" w:type="auto"/>
            <w:hideMark/>
          </w:tcPr>
          <w:p w14:paraId="235D70F6" w14:textId="77777777" w:rsidR="00444FD6" w:rsidRDefault="00CC34D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14,822</w:t>
            </w:r>
          </w:p>
        </w:tc>
        <w:tc>
          <w:tcPr>
            <w:tcW w:w="0" w:type="auto"/>
            <w:hideMark/>
          </w:tcPr>
          <w:p w14:paraId="52C35872" w14:textId="77777777" w:rsidR="00444FD6" w:rsidRDefault="00CC34D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(4,572 + 3,856) = 8,428</w:t>
            </w:r>
          </w:p>
        </w:tc>
        <w:tc>
          <w:tcPr>
            <w:tcW w:w="0" w:type="auto"/>
            <w:hideMark/>
          </w:tcPr>
          <w:p w14:paraId="2B24E768" w14:textId="77777777" w:rsidR="00444FD6" w:rsidRDefault="00CC34D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6,394</w:t>
            </w:r>
          </w:p>
        </w:tc>
      </w:tr>
      <w:tr w:rsidR="00444FD6" w14:paraId="4540EDE7" w14:textId="77777777" w:rsidTr="00444FD6">
        <w:tc>
          <w:tcPr>
            <w:cnfStyle w:val="001000000000" w:firstRow="0" w:lastRow="0" w:firstColumn="1" w:lastColumn="0" w:oddVBand="0" w:evenVBand="0" w:oddHBand="0" w:evenHBand="0" w:firstRowFirstColumn="0" w:firstRowLastColumn="0" w:lastRowFirstColumn="0" w:lastRowLastColumn="0"/>
            <w:tcW w:w="0" w:type="auto"/>
            <w:hideMark/>
          </w:tcPr>
          <w:p w14:paraId="1F94EFB1" w14:textId="77777777" w:rsidR="00444FD6" w:rsidRDefault="00CC34DB">
            <w:pPr>
              <w:spacing w:after="160" w:line="360" w:lineRule="auto"/>
              <w:jc w:val="both"/>
              <w:rPr>
                <w:rFonts w:ascii="Arial" w:hAnsi="Arial" w:cs="Arial"/>
              </w:rPr>
            </w:pPr>
            <w:r>
              <w:rPr>
                <w:rFonts w:ascii="Arial" w:hAnsi="Arial" w:cs="Arial"/>
              </w:rPr>
              <w:t>2023</w:t>
            </w:r>
          </w:p>
        </w:tc>
        <w:tc>
          <w:tcPr>
            <w:tcW w:w="0" w:type="auto"/>
            <w:hideMark/>
          </w:tcPr>
          <w:p w14:paraId="2FBC2847" w14:textId="77777777" w:rsidR="00444FD6" w:rsidRDefault="00CC34D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25,190</w:t>
            </w:r>
          </w:p>
        </w:tc>
        <w:tc>
          <w:tcPr>
            <w:tcW w:w="0" w:type="auto"/>
            <w:hideMark/>
          </w:tcPr>
          <w:p w14:paraId="6061F080" w14:textId="77777777" w:rsidR="00444FD6" w:rsidRDefault="00CC34D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(8,116 + 5,761) = 13,877</w:t>
            </w:r>
          </w:p>
        </w:tc>
        <w:tc>
          <w:tcPr>
            <w:tcW w:w="0" w:type="auto"/>
            <w:hideMark/>
          </w:tcPr>
          <w:p w14:paraId="28544DFF" w14:textId="77777777" w:rsidR="00444FD6" w:rsidRDefault="00CC34D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11,313</w:t>
            </w:r>
          </w:p>
        </w:tc>
      </w:tr>
      <w:tr w:rsidR="00444FD6" w14:paraId="15732562" w14:textId="77777777" w:rsidTr="00444F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F38E95" w14:textId="77777777" w:rsidR="00444FD6" w:rsidRDefault="00CC34DB">
            <w:pPr>
              <w:spacing w:after="160" w:line="360" w:lineRule="auto"/>
              <w:jc w:val="both"/>
              <w:rPr>
                <w:rFonts w:ascii="Arial" w:hAnsi="Arial" w:cs="Arial"/>
              </w:rPr>
            </w:pPr>
            <w:r>
              <w:rPr>
                <w:rFonts w:ascii="Arial" w:hAnsi="Arial" w:cs="Arial"/>
              </w:rPr>
              <w:t>2022</w:t>
            </w:r>
          </w:p>
        </w:tc>
        <w:tc>
          <w:tcPr>
            <w:tcW w:w="0" w:type="auto"/>
            <w:hideMark/>
          </w:tcPr>
          <w:p w14:paraId="28B1D7E7" w14:textId="77777777" w:rsidR="00444FD6" w:rsidRDefault="00CC34D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10,926</w:t>
            </w:r>
          </w:p>
        </w:tc>
        <w:tc>
          <w:tcPr>
            <w:tcW w:w="0" w:type="auto"/>
            <w:hideMark/>
          </w:tcPr>
          <w:p w14:paraId="49B4705D" w14:textId="77777777" w:rsidR="00444FD6" w:rsidRDefault="00CC34D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(14,006 + 6,579) = 20,585</w:t>
            </w:r>
          </w:p>
        </w:tc>
        <w:tc>
          <w:tcPr>
            <w:tcW w:w="0" w:type="auto"/>
            <w:hideMark/>
          </w:tcPr>
          <w:p w14:paraId="2A478983" w14:textId="77777777" w:rsidR="00444FD6" w:rsidRDefault="00CC34D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(9,659)</w:t>
            </w:r>
          </w:p>
        </w:tc>
      </w:tr>
      <w:tr w:rsidR="00444FD6" w14:paraId="7CF1E97C" w14:textId="77777777" w:rsidTr="00444FD6">
        <w:tc>
          <w:tcPr>
            <w:cnfStyle w:val="001000000000" w:firstRow="0" w:lastRow="0" w:firstColumn="1" w:lastColumn="0" w:oddVBand="0" w:evenVBand="0" w:oddHBand="0" w:evenHBand="0" w:firstRowFirstColumn="0" w:firstRowLastColumn="0" w:lastRowFirstColumn="0" w:lastRowLastColumn="0"/>
            <w:tcW w:w="0" w:type="auto"/>
            <w:hideMark/>
          </w:tcPr>
          <w:p w14:paraId="7D6DDC51" w14:textId="77777777" w:rsidR="00444FD6" w:rsidRDefault="00CC34DB">
            <w:pPr>
              <w:spacing w:after="160" w:line="360" w:lineRule="auto"/>
              <w:jc w:val="both"/>
              <w:rPr>
                <w:rFonts w:ascii="Arial" w:hAnsi="Arial" w:cs="Arial"/>
              </w:rPr>
            </w:pPr>
            <w:r>
              <w:rPr>
                <w:rFonts w:ascii="Arial" w:hAnsi="Arial" w:cs="Arial"/>
              </w:rPr>
              <w:t>2021</w:t>
            </w:r>
          </w:p>
        </w:tc>
        <w:tc>
          <w:tcPr>
            <w:tcW w:w="0" w:type="auto"/>
            <w:hideMark/>
          </w:tcPr>
          <w:p w14:paraId="7AAA06B5" w14:textId="77777777" w:rsidR="00444FD6" w:rsidRDefault="00CC34D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40,283</w:t>
            </w:r>
          </w:p>
        </w:tc>
        <w:tc>
          <w:tcPr>
            <w:tcW w:w="0" w:type="auto"/>
            <w:hideMark/>
          </w:tcPr>
          <w:p w14:paraId="67D0548C" w14:textId="77777777" w:rsidR="00444FD6" w:rsidRDefault="00CC34D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(12,586 + 4,455) = 17,041</w:t>
            </w:r>
          </w:p>
        </w:tc>
        <w:tc>
          <w:tcPr>
            <w:tcW w:w="0" w:type="auto"/>
            <w:hideMark/>
          </w:tcPr>
          <w:p w14:paraId="3E48765F" w14:textId="77777777" w:rsidR="00444FD6" w:rsidRDefault="00CC34D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23,242</w:t>
            </w:r>
          </w:p>
        </w:tc>
      </w:tr>
      <w:tr w:rsidR="00444FD6" w14:paraId="2959AF18" w14:textId="77777777" w:rsidTr="00444F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97251E" w14:textId="77777777" w:rsidR="00444FD6" w:rsidRDefault="00CC34DB">
            <w:pPr>
              <w:spacing w:after="160" w:line="360" w:lineRule="auto"/>
              <w:jc w:val="both"/>
              <w:rPr>
                <w:rFonts w:ascii="Arial" w:hAnsi="Arial" w:cs="Arial"/>
              </w:rPr>
            </w:pPr>
            <w:r>
              <w:rPr>
                <w:rFonts w:ascii="Arial" w:hAnsi="Arial" w:cs="Arial"/>
              </w:rPr>
              <w:t>2020</w:t>
            </w:r>
          </w:p>
        </w:tc>
        <w:tc>
          <w:tcPr>
            <w:tcW w:w="0" w:type="auto"/>
            <w:hideMark/>
          </w:tcPr>
          <w:p w14:paraId="2C77DF78" w14:textId="77777777" w:rsidR="00444FD6" w:rsidRDefault="00CC34D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73,392</w:t>
            </w:r>
          </w:p>
        </w:tc>
        <w:tc>
          <w:tcPr>
            <w:tcW w:w="0" w:type="auto"/>
            <w:hideMark/>
          </w:tcPr>
          <w:p w14:paraId="0DC4C3D5" w14:textId="77777777" w:rsidR="00444FD6" w:rsidRDefault="00CC34D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(16,862 + 6,372) = 23,234</w:t>
            </w:r>
          </w:p>
        </w:tc>
        <w:tc>
          <w:tcPr>
            <w:tcW w:w="0" w:type="auto"/>
            <w:hideMark/>
          </w:tcPr>
          <w:p w14:paraId="50996F8F" w14:textId="77777777" w:rsidR="00444FD6" w:rsidRDefault="00CC34D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50,158</w:t>
            </w:r>
          </w:p>
        </w:tc>
      </w:tr>
    </w:tbl>
    <w:p w14:paraId="709F0601" w14:textId="77777777" w:rsidR="00444FD6" w:rsidRDefault="00444FD6"/>
    <w:p w14:paraId="1FB64FD9" w14:textId="77777777" w:rsidR="00444FD6" w:rsidRDefault="00444FD6"/>
    <w:p w14:paraId="3021F87F" w14:textId="77777777" w:rsidR="00444FD6" w:rsidRDefault="00444FD6"/>
    <w:p w14:paraId="2246F09D" w14:textId="77777777" w:rsidR="00444FD6" w:rsidRDefault="00CC34DB">
      <w:r>
        <w:t xml:space="preserve">Cash Operating Cycle </w:t>
      </w:r>
    </w:p>
    <w:tbl>
      <w:tblPr>
        <w:tblStyle w:val="GridTable1Light1"/>
        <w:tblW w:w="5000" w:type="pct"/>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780"/>
        <w:gridCol w:w="2034"/>
        <w:gridCol w:w="847"/>
        <w:gridCol w:w="794"/>
        <w:gridCol w:w="847"/>
        <w:gridCol w:w="847"/>
        <w:gridCol w:w="847"/>
      </w:tblGrid>
      <w:tr w:rsidR="00444FD6" w14:paraId="2826B5ED" w14:textId="77777777" w:rsidTr="00444FD6">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189" w:type="pct"/>
            <w:noWrap/>
            <w:hideMark/>
          </w:tcPr>
          <w:p w14:paraId="16896DA9" w14:textId="77777777" w:rsidR="00444FD6" w:rsidRDefault="00CC34DB">
            <w:pPr>
              <w:jc w:val="left"/>
              <w:rPr>
                <w:rFonts w:eastAsia="Times New Roman"/>
                <w:color w:val="000000"/>
                <w:sz w:val="22"/>
                <w:szCs w:val="22"/>
                <w:lang w:val="en-GB"/>
              </w:rPr>
            </w:pPr>
            <w:r>
              <w:rPr>
                <w:rFonts w:eastAsia="Times New Roman"/>
                <w:color w:val="000000"/>
                <w:sz w:val="22"/>
                <w:szCs w:val="22"/>
                <w:lang w:val="en-GB"/>
              </w:rPr>
              <w:t xml:space="preserve">Description </w:t>
            </w:r>
          </w:p>
        </w:tc>
        <w:tc>
          <w:tcPr>
            <w:tcW w:w="1654" w:type="pct"/>
            <w:noWrap/>
            <w:hideMark/>
          </w:tcPr>
          <w:p w14:paraId="3140AFD5" w14:textId="77777777" w:rsidR="00444FD6" w:rsidRDefault="00CC34DB">
            <w:pPr>
              <w:jc w:val="left"/>
              <w:cnfStyle w:val="100000000000" w:firstRow="1"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 xml:space="preserve">Formula </w:t>
            </w:r>
          </w:p>
        </w:tc>
        <w:tc>
          <w:tcPr>
            <w:tcW w:w="570" w:type="pct"/>
            <w:noWrap/>
            <w:hideMark/>
          </w:tcPr>
          <w:p w14:paraId="19A64424" w14:textId="77777777" w:rsidR="00444FD6" w:rsidRDefault="00CC34DB">
            <w:pPr>
              <w:jc w:val="right"/>
              <w:cnfStyle w:val="100000000000" w:firstRow="1"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2024</w:t>
            </w:r>
          </w:p>
        </w:tc>
        <w:tc>
          <w:tcPr>
            <w:tcW w:w="397" w:type="pct"/>
            <w:noWrap/>
            <w:hideMark/>
          </w:tcPr>
          <w:p w14:paraId="1A90D0AD" w14:textId="77777777" w:rsidR="00444FD6" w:rsidRDefault="00CC34DB">
            <w:pPr>
              <w:jc w:val="right"/>
              <w:cnfStyle w:val="100000000000" w:firstRow="1"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2023</w:t>
            </w:r>
          </w:p>
        </w:tc>
        <w:tc>
          <w:tcPr>
            <w:tcW w:w="397" w:type="pct"/>
            <w:noWrap/>
            <w:hideMark/>
          </w:tcPr>
          <w:p w14:paraId="40A24E25" w14:textId="77777777" w:rsidR="00444FD6" w:rsidRDefault="00CC34DB">
            <w:pPr>
              <w:jc w:val="right"/>
              <w:cnfStyle w:val="100000000000" w:firstRow="1"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2022</w:t>
            </w:r>
          </w:p>
        </w:tc>
        <w:tc>
          <w:tcPr>
            <w:tcW w:w="397" w:type="pct"/>
            <w:noWrap/>
            <w:hideMark/>
          </w:tcPr>
          <w:p w14:paraId="2D9CBE5B" w14:textId="77777777" w:rsidR="00444FD6" w:rsidRDefault="00CC34DB">
            <w:pPr>
              <w:jc w:val="right"/>
              <w:cnfStyle w:val="100000000000" w:firstRow="1"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2021</w:t>
            </w:r>
          </w:p>
        </w:tc>
        <w:tc>
          <w:tcPr>
            <w:tcW w:w="397" w:type="pct"/>
            <w:noWrap/>
            <w:hideMark/>
          </w:tcPr>
          <w:p w14:paraId="713F6586" w14:textId="77777777" w:rsidR="00444FD6" w:rsidRDefault="00CC34DB">
            <w:pPr>
              <w:jc w:val="right"/>
              <w:cnfStyle w:val="100000000000" w:firstRow="1"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2020</w:t>
            </w:r>
          </w:p>
        </w:tc>
      </w:tr>
      <w:tr w:rsidR="00444FD6" w14:paraId="34E002C4" w14:textId="77777777" w:rsidTr="00444FD6">
        <w:trPr>
          <w:trHeight w:val="310"/>
        </w:trPr>
        <w:tc>
          <w:tcPr>
            <w:cnfStyle w:val="001000000000" w:firstRow="0" w:lastRow="0" w:firstColumn="1" w:lastColumn="0" w:oddVBand="0" w:evenVBand="0" w:oddHBand="0" w:evenHBand="0" w:firstRowFirstColumn="0" w:firstRowLastColumn="0" w:lastRowFirstColumn="0" w:lastRowLastColumn="0"/>
            <w:tcW w:w="1189" w:type="pct"/>
            <w:noWrap/>
            <w:hideMark/>
          </w:tcPr>
          <w:p w14:paraId="701DFC51" w14:textId="77777777" w:rsidR="00444FD6" w:rsidRDefault="00CC34DB">
            <w:pPr>
              <w:jc w:val="left"/>
              <w:rPr>
                <w:rFonts w:eastAsia="Times New Roman"/>
                <w:color w:val="000000"/>
                <w:sz w:val="22"/>
                <w:szCs w:val="22"/>
                <w:lang w:val="en-GB"/>
              </w:rPr>
            </w:pPr>
            <w:r>
              <w:rPr>
                <w:rFonts w:eastAsia="Times New Roman"/>
                <w:color w:val="000000"/>
                <w:sz w:val="22"/>
                <w:szCs w:val="22"/>
                <w:lang w:val="en-GB"/>
              </w:rPr>
              <w:t>Account Receivable Days</w:t>
            </w:r>
          </w:p>
        </w:tc>
        <w:tc>
          <w:tcPr>
            <w:tcW w:w="1654" w:type="pct"/>
            <w:noWrap/>
            <w:hideMark/>
          </w:tcPr>
          <w:p w14:paraId="4965AA9C" w14:textId="77777777" w:rsidR="00444FD6" w:rsidRDefault="00CC34DB">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Accounts Receivable/</w:t>
            </w:r>
          </w:p>
          <w:p w14:paraId="5C4EEDD3" w14:textId="77777777" w:rsidR="00444FD6" w:rsidRDefault="00CC34DB">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rPr>
              <w:t>(</w:t>
            </w:r>
            <w:r>
              <w:rPr>
                <w:rFonts w:eastAsia="Times New Roman"/>
                <w:color w:val="000000"/>
                <w:sz w:val="22"/>
                <w:szCs w:val="22"/>
              </w:rPr>
              <w:t>Net Sales</w:t>
            </w:r>
            <w:r>
              <w:rPr>
                <w:rFonts w:eastAsia="Times New Roman"/>
                <w:color w:val="000000"/>
                <w:sz w:val="22"/>
                <w:szCs w:val="22"/>
              </w:rPr>
              <w:t>/</w:t>
            </w:r>
            <w:r>
              <w:rPr>
                <w:rFonts w:eastAsia="Times New Roman"/>
                <w:color w:val="000000"/>
                <w:sz w:val="22"/>
                <w:szCs w:val="22"/>
              </w:rPr>
              <w:t>365</w:t>
            </w:r>
            <w:r>
              <w:rPr>
                <w:rFonts w:eastAsia="Times New Roman"/>
                <w:color w:val="000000"/>
                <w:sz w:val="22"/>
                <w:szCs w:val="22"/>
              </w:rPr>
              <w:t>)</w:t>
            </w:r>
          </w:p>
        </w:tc>
        <w:tc>
          <w:tcPr>
            <w:tcW w:w="570" w:type="pct"/>
            <w:hideMark/>
          </w:tcPr>
          <w:p w14:paraId="5B06989C" w14:textId="77777777" w:rsidR="00444FD6" w:rsidRDefault="00CC34DB">
            <w:pPr>
              <w:cnfStyle w:val="000000000000" w:firstRow="0" w:lastRow="0" w:firstColumn="0" w:lastColumn="0" w:oddVBand="0" w:evenVBand="0" w:oddHBand="0" w:evenHBand="0" w:firstRowFirstColumn="0" w:firstRowLastColumn="0" w:lastRowFirstColumn="0" w:lastRowLastColumn="0"/>
              <w:rPr>
                <w:rFonts w:eastAsia="Times New Roman"/>
                <w:color w:val="000000"/>
                <w:lang w:val="en-GB"/>
              </w:rPr>
            </w:pPr>
            <w:r>
              <w:rPr>
                <w:rFonts w:eastAsia="Times New Roman"/>
                <w:color w:val="000000"/>
              </w:rPr>
              <w:t>105.54</w:t>
            </w:r>
          </w:p>
        </w:tc>
        <w:tc>
          <w:tcPr>
            <w:tcW w:w="397" w:type="pct"/>
            <w:hideMark/>
          </w:tcPr>
          <w:p w14:paraId="27197429" w14:textId="77777777" w:rsidR="00444FD6" w:rsidRDefault="00CC34DB">
            <w:pPr>
              <w:cnfStyle w:val="000000000000" w:firstRow="0" w:lastRow="0" w:firstColumn="0" w:lastColumn="0" w:oddVBand="0" w:evenVBand="0" w:oddHBand="0" w:evenHBand="0" w:firstRowFirstColumn="0" w:firstRowLastColumn="0" w:lastRowFirstColumn="0" w:lastRowLastColumn="0"/>
              <w:rPr>
                <w:rFonts w:eastAsia="Times New Roman"/>
                <w:color w:val="000000"/>
                <w:lang w:val="en-GB"/>
              </w:rPr>
            </w:pPr>
            <w:r>
              <w:rPr>
                <w:rFonts w:eastAsia="Times New Roman"/>
                <w:color w:val="000000"/>
              </w:rPr>
              <w:t>97.49</w:t>
            </w:r>
          </w:p>
        </w:tc>
        <w:tc>
          <w:tcPr>
            <w:tcW w:w="397" w:type="pct"/>
            <w:hideMark/>
          </w:tcPr>
          <w:p w14:paraId="168A1A6B" w14:textId="77777777" w:rsidR="00444FD6" w:rsidRDefault="00CC34DB">
            <w:pPr>
              <w:cnfStyle w:val="000000000000" w:firstRow="0" w:lastRow="0" w:firstColumn="0" w:lastColumn="0" w:oddVBand="0" w:evenVBand="0" w:oddHBand="0" w:evenHBand="0" w:firstRowFirstColumn="0" w:firstRowLastColumn="0" w:lastRowFirstColumn="0" w:lastRowLastColumn="0"/>
              <w:rPr>
                <w:rFonts w:eastAsia="Times New Roman"/>
                <w:color w:val="000000"/>
                <w:lang w:val="en-GB"/>
              </w:rPr>
            </w:pPr>
            <w:r>
              <w:rPr>
                <w:rFonts w:eastAsia="Times New Roman"/>
                <w:color w:val="000000"/>
              </w:rPr>
              <w:t>75.43</w:t>
            </w:r>
          </w:p>
        </w:tc>
        <w:tc>
          <w:tcPr>
            <w:tcW w:w="397" w:type="pct"/>
            <w:hideMark/>
          </w:tcPr>
          <w:p w14:paraId="4B244653" w14:textId="77777777" w:rsidR="00444FD6" w:rsidRDefault="00CC34DB">
            <w:pPr>
              <w:cnfStyle w:val="000000000000" w:firstRow="0" w:lastRow="0" w:firstColumn="0" w:lastColumn="0" w:oddVBand="0" w:evenVBand="0" w:oddHBand="0" w:evenHBand="0" w:firstRowFirstColumn="0" w:firstRowLastColumn="0" w:lastRowFirstColumn="0" w:lastRowLastColumn="0"/>
              <w:rPr>
                <w:rFonts w:eastAsia="Times New Roman"/>
                <w:color w:val="000000"/>
                <w:lang w:val="en-GB"/>
              </w:rPr>
            </w:pPr>
            <w:r>
              <w:rPr>
                <w:rFonts w:eastAsia="Times New Roman"/>
                <w:color w:val="000000"/>
              </w:rPr>
              <w:t>78.5</w:t>
            </w:r>
          </w:p>
        </w:tc>
        <w:tc>
          <w:tcPr>
            <w:tcW w:w="397" w:type="pct"/>
            <w:hideMark/>
          </w:tcPr>
          <w:p w14:paraId="49AAB49F" w14:textId="77777777" w:rsidR="00444FD6" w:rsidRDefault="00CC34DB">
            <w:pPr>
              <w:cnfStyle w:val="000000000000" w:firstRow="0" w:lastRow="0" w:firstColumn="0" w:lastColumn="0" w:oddVBand="0" w:evenVBand="0" w:oddHBand="0" w:evenHBand="0" w:firstRowFirstColumn="0" w:firstRowLastColumn="0" w:lastRowFirstColumn="0" w:lastRowLastColumn="0"/>
              <w:rPr>
                <w:rFonts w:eastAsia="Times New Roman"/>
                <w:color w:val="000000"/>
                <w:lang w:val="en-GB"/>
              </w:rPr>
            </w:pPr>
            <w:r>
              <w:rPr>
                <w:rFonts w:eastAsia="Times New Roman"/>
                <w:color w:val="000000"/>
              </w:rPr>
              <w:t>76.65</w:t>
            </w:r>
          </w:p>
        </w:tc>
      </w:tr>
      <w:tr w:rsidR="00444FD6" w14:paraId="7B5EA0A1" w14:textId="77777777" w:rsidTr="00444FD6">
        <w:trPr>
          <w:trHeight w:val="310"/>
        </w:trPr>
        <w:tc>
          <w:tcPr>
            <w:cnfStyle w:val="001000000000" w:firstRow="0" w:lastRow="0" w:firstColumn="1" w:lastColumn="0" w:oddVBand="0" w:evenVBand="0" w:oddHBand="0" w:evenHBand="0" w:firstRowFirstColumn="0" w:firstRowLastColumn="0" w:lastRowFirstColumn="0" w:lastRowLastColumn="0"/>
            <w:tcW w:w="1189" w:type="pct"/>
            <w:noWrap/>
            <w:hideMark/>
          </w:tcPr>
          <w:p w14:paraId="10D6EC3A" w14:textId="77777777" w:rsidR="00444FD6" w:rsidRDefault="00CC34DB">
            <w:pPr>
              <w:jc w:val="left"/>
              <w:rPr>
                <w:rFonts w:eastAsia="Times New Roman"/>
                <w:color w:val="000000"/>
                <w:sz w:val="22"/>
                <w:szCs w:val="22"/>
                <w:lang w:val="en-GB"/>
              </w:rPr>
            </w:pPr>
            <w:r>
              <w:rPr>
                <w:rFonts w:eastAsia="Times New Roman"/>
                <w:color w:val="000000"/>
                <w:sz w:val="22"/>
                <w:szCs w:val="22"/>
                <w:lang w:val="en-GB"/>
              </w:rPr>
              <w:t xml:space="preserve">Inventory Days </w:t>
            </w:r>
          </w:p>
        </w:tc>
        <w:tc>
          <w:tcPr>
            <w:tcW w:w="1654" w:type="pct"/>
            <w:noWrap/>
            <w:hideMark/>
          </w:tcPr>
          <w:p w14:paraId="20312A70" w14:textId="77777777" w:rsidR="00444FD6" w:rsidRDefault="00CC34DB">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Inventory /</w:t>
            </w:r>
          </w:p>
          <w:p w14:paraId="1935DB77" w14:textId="77777777" w:rsidR="00444FD6" w:rsidRDefault="00CC34DB">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rPr>
              <w:t>(</w:t>
            </w:r>
            <w:r>
              <w:rPr>
                <w:rFonts w:eastAsia="Times New Roman"/>
                <w:color w:val="000000"/>
                <w:sz w:val="22"/>
                <w:szCs w:val="22"/>
              </w:rPr>
              <w:t>Cost of Sales</w:t>
            </w:r>
            <w:r>
              <w:rPr>
                <w:rFonts w:eastAsia="Times New Roman"/>
                <w:color w:val="000000"/>
                <w:sz w:val="22"/>
                <w:szCs w:val="22"/>
              </w:rPr>
              <w:t>/</w:t>
            </w:r>
            <w:r>
              <w:rPr>
                <w:rFonts w:eastAsia="Times New Roman"/>
                <w:color w:val="000000"/>
                <w:sz w:val="22"/>
                <w:szCs w:val="22"/>
              </w:rPr>
              <w:t>365</w:t>
            </w:r>
            <w:r>
              <w:rPr>
                <w:rFonts w:eastAsia="Times New Roman"/>
                <w:color w:val="000000"/>
                <w:sz w:val="22"/>
                <w:szCs w:val="22"/>
              </w:rPr>
              <w:t>)</w:t>
            </w:r>
          </w:p>
        </w:tc>
        <w:tc>
          <w:tcPr>
            <w:tcW w:w="570" w:type="pct"/>
            <w:hideMark/>
          </w:tcPr>
          <w:p w14:paraId="4231105D" w14:textId="77777777" w:rsidR="00444FD6" w:rsidRDefault="00CC34DB">
            <w:pPr>
              <w:cnfStyle w:val="000000000000" w:firstRow="0" w:lastRow="0" w:firstColumn="0" w:lastColumn="0" w:oddVBand="0" w:evenVBand="0" w:oddHBand="0" w:evenHBand="0" w:firstRowFirstColumn="0" w:firstRowLastColumn="0" w:lastRowFirstColumn="0" w:lastRowLastColumn="0"/>
              <w:rPr>
                <w:rFonts w:eastAsia="Times New Roman"/>
                <w:color w:val="000000"/>
                <w:lang w:val="en-GB"/>
              </w:rPr>
            </w:pPr>
            <w:r>
              <w:rPr>
                <w:rFonts w:eastAsia="Times New Roman"/>
                <w:color w:val="000000"/>
              </w:rPr>
              <w:t>103.12</w:t>
            </w:r>
          </w:p>
        </w:tc>
        <w:tc>
          <w:tcPr>
            <w:tcW w:w="397" w:type="pct"/>
            <w:hideMark/>
          </w:tcPr>
          <w:p w14:paraId="6F4D9919" w14:textId="77777777" w:rsidR="00444FD6" w:rsidRDefault="00CC34DB">
            <w:pPr>
              <w:cnfStyle w:val="000000000000" w:firstRow="0" w:lastRow="0" w:firstColumn="0" w:lastColumn="0" w:oddVBand="0" w:evenVBand="0" w:oddHBand="0" w:evenHBand="0" w:firstRowFirstColumn="0" w:firstRowLastColumn="0" w:lastRowFirstColumn="0" w:lastRowLastColumn="0"/>
              <w:rPr>
                <w:rFonts w:eastAsia="Times New Roman"/>
                <w:color w:val="000000"/>
                <w:lang w:val="en-GB"/>
              </w:rPr>
            </w:pPr>
            <w:r>
              <w:rPr>
                <w:rFonts w:eastAsia="Times New Roman"/>
                <w:color w:val="000000"/>
              </w:rPr>
              <w:t>99.67</w:t>
            </w:r>
          </w:p>
        </w:tc>
        <w:tc>
          <w:tcPr>
            <w:tcW w:w="397" w:type="pct"/>
            <w:hideMark/>
          </w:tcPr>
          <w:p w14:paraId="0EF741B5" w14:textId="77777777" w:rsidR="00444FD6" w:rsidRDefault="00CC34DB">
            <w:pPr>
              <w:cnfStyle w:val="000000000000" w:firstRow="0" w:lastRow="0" w:firstColumn="0" w:lastColumn="0" w:oddVBand="0" w:evenVBand="0" w:oddHBand="0" w:evenHBand="0" w:firstRowFirstColumn="0" w:firstRowLastColumn="0" w:lastRowFirstColumn="0" w:lastRowLastColumn="0"/>
              <w:rPr>
                <w:rFonts w:eastAsia="Times New Roman"/>
                <w:color w:val="000000"/>
                <w:lang w:val="en-GB"/>
              </w:rPr>
            </w:pPr>
            <w:r>
              <w:rPr>
                <w:rFonts w:eastAsia="Times New Roman"/>
                <w:color w:val="000000"/>
              </w:rPr>
              <w:t>130.51</w:t>
            </w:r>
          </w:p>
        </w:tc>
        <w:tc>
          <w:tcPr>
            <w:tcW w:w="397" w:type="pct"/>
            <w:hideMark/>
          </w:tcPr>
          <w:p w14:paraId="3EA06657" w14:textId="77777777" w:rsidR="00444FD6" w:rsidRDefault="00CC34DB">
            <w:pPr>
              <w:cnfStyle w:val="000000000000" w:firstRow="0" w:lastRow="0" w:firstColumn="0" w:lastColumn="0" w:oddVBand="0" w:evenVBand="0" w:oddHBand="0" w:evenHBand="0" w:firstRowFirstColumn="0" w:firstRowLastColumn="0" w:lastRowFirstColumn="0" w:lastRowLastColumn="0"/>
              <w:rPr>
                <w:rFonts w:eastAsia="Times New Roman"/>
                <w:color w:val="000000"/>
                <w:lang w:val="en-GB"/>
              </w:rPr>
            </w:pPr>
            <w:r>
              <w:rPr>
                <w:rFonts w:eastAsia="Times New Roman"/>
                <w:color w:val="000000"/>
              </w:rPr>
              <w:t>114.53</w:t>
            </w:r>
          </w:p>
        </w:tc>
        <w:tc>
          <w:tcPr>
            <w:tcW w:w="397" w:type="pct"/>
            <w:hideMark/>
          </w:tcPr>
          <w:p w14:paraId="2A82EA2E" w14:textId="77777777" w:rsidR="00444FD6" w:rsidRDefault="00CC34DB">
            <w:pPr>
              <w:cnfStyle w:val="000000000000" w:firstRow="0" w:lastRow="0" w:firstColumn="0" w:lastColumn="0" w:oddVBand="0" w:evenVBand="0" w:oddHBand="0" w:evenHBand="0" w:firstRowFirstColumn="0" w:firstRowLastColumn="0" w:lastRowFirstColumn="0" w:lastRowLastColumn="0"/>
              <w:rPr>
                <w:rFonts w:eastAsia="Times New Roman"/>
                <w:color w:val="000000"/>
                <w:lang w:val="en-GB"/>
              </w:rPr>
            </w:pPr>
            <w:r>
              <w:rPr>
                <w:rFonts w:eastAsia="Times New Roman"/>
                <w:color w:val="000000"/>
              </w:rPr>
              <w:t>100.05</w:t>
            </w:r>
          </w:p>
        </w:tc>
      </w:tr>
      <w:tr w:rsidR="00444FD6" w14:paraId="79ECD86C" w14:textId="77777777" w:rsidTr="00444FD6">
        <w:trPr>
          <w:trHeight w:val="310"/>
        </w:trPr>
        <w:tc>
          <w:tcPr>
            <w:cnfStyle w:val="001000000000" w:firstRow="0" w:lastRow="0" w:firstColumn="1" w:lastColumn="0" w:oddVBand="0" w:evenVBand="0" w:oddHBand="0" w:evenHBand="0" w:firstRowFirstColumn="0" w:firstRowLastColumn="0" w:lastRowFirstColumn="0" w:lastRowLastColumn="0"/>
            <w:tcW w:w="1189" w:type="pct"/>
            <w:noWrap/>
            <w:hideMark/>
          </w:tcPr>
          <w:p w14:paraId="784529FC" w14:textId="77777777" w:rsidR="00444FD6" w:rsidRDefault="00CC34DB">
            <w:pPr>
              <w:jc w:val="left"/>
              <w:rPr>
                <w:rFonts w:eastAsia="Times New Roman"/>
                <w:color w:val="000000"/>
                <w:sz w:val="22"/>
                <w:szCs w:val="22"/>
                <w:lang w:val="en-GB"/>
              </w:rPr>
            </w:pPr>
            <w:r>
              <w:rPr>
                <w:rFonts w:eastAsia="Times New Roman"/>
                <w:color w:val="000000"/>
                <w:sz w:val="22"/>
                <w:szCs w:val="22"/>
                <w:lang w:val="en-GB"/>
              </w:rPr>
              <w:t>Accounts Payable Day</w:t>
            </w:r>
          </w:p>
        </w:tc>
        <w:tc>
          <w:tcPr>
            <w:tcW w:w="1654" w:type="pct"/>
            <w:noWrap/>
            <w:hideMark/>
          </w:tcPr>
          <w:p w14:paraId="10689F29" w14:textId="77777777" w:rsidR="00444FD6" w:rsidRDefault="00CC34DB">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rPr>
            </w:pPr>
            <w:r>
              <w:rPr>
                <w:rFonts w:eastAsia="Times New Roman"/>
                <w:color w:val="000000"/>
                <w:sz w:val="22"/>
                <w:szCs w:val="22"/>
              </w:rPr>
              <w:t>Accounts Payable /</w:t>
            </w:r>
          </w:p>
          <w:p w14:paraId="18AEB00E" w14:textId="77777777" w:rsidR="00444FD6" w:rsidRDefault="00CC34DB">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rPr>
              <w:t>(</w:t>
            </w:r>
            <w:r>
              <w:rPr>
                <w:rFonts w:eastAsia="Times New Roman"/>
                <w:color w:val="000000"/>
                <w:sz w:val="22"/>
                <w:szCs w:val="22"/>
              </w:rPr>
              <w:t>Cost of Sales</w:t>
            </w:r>
            <w:r>
              <w:rPr>
                <w:rFonts w:eastAsia="Times New Roman"/>
                <w:color w:val="000000"/>
                <w:sz w:val="22"/>
                <w:szCs w:val="22"/>
              </w:rPr>
              <w:t>/</w:t>
            </w:r>
            <w:r>
              <w:rPr>
                <w:rFonts w:eastAsia="Times New Roman"/>
                <w:color w:val="000000"/>
                <w:sz w:val="22"/>
                <w:szCs w:val="22"/>
              </w:rPr>
              <w:t>365</w:t>
            </w:r>
            <w:r>
              <w:rPr>
                <w:rFonts w:eastAsia="Times New Roman"/>
                <w:color w:val="000000"/>
                <w:sz w:val="22"/>
                <w:szCs w:val="22"/>
              </w:rPr>
              <w:t>)</w:t>
            </w:r>
          </w:p>
        </w:tc>
        <w:tc>
          <w:tcPr>
            <w:tcW w:w="570" w:type="pct"/>
            <w:hideMark/>
          </w:tcPr>
          <w:p w14:paraId="00A4B97E" w14:textId="77777777" w:rsidR="00444FD6" w:rsidRDefault="00CC34DB">
            <w:pPr>
              <w:cnfStyle w:val="000000000000" w:firstRow="0" w:lastRow="0" w:firstColumn="0" w:lastColumn="0" w:oddVBand="0" w:evenVBand="0" w:oddHBand="0" w:evenHBand="0" w:firstRowFirstColumn="0" w:firstRowLastColumn="0" w:lastRowFirstColumn="0" w:lastRowLastColumn="0"/>
              <w:rPr>
                <w:rFonts w:eastAsia="Times New Roman"/>
                <w:color w:val="000000"/>
                <w:lang w:val="en-GB"/>
              </w:rPr>
            </w:pPr>
            <w:r>
              <w:rPr>
                <w:rFonts w:eastAsia="Times New Roman"/>
                <w:color w:val="000000"/>
              </w:rPr>
              <w:t>93.6</w:t>
            </w:r>
          </w:p>
        </w:tc>
        <w:tc>
          <w:tcPr>
            <w:tcW w:w="397" w:type="pct"/>
            <w:hideMark/>
          </w:tcPr>
          <w:p w14:paraId="4A6CD749" w14:textId="77777777" w:rsidR="00444FD6" w:rsidRDefault="00CC34DB">
            <w:pPr>
              <w:cnfStyle w:val="000000000000" w:firstRow="0" w:lastRow="0" w:firstColumn="0" w:lastColumn="0" w:oddVBand="0" w:evenVBand="0" w:oddHBand="0" w:evenHBand="0" w:firstRowFirstColumn="0" w:firstRowLastColumn="0" w:lastRowFirstColumn="0" w:lastRowLastColumn="0"/>
              <w:rPr>
                <w:rFonts w:eastAsia="Times New Roman"/>
                <w:color w:val="000000"/>
                <w:lang w:val="en-GB"/>
              </w:rPr>
            </w:pPr>
            <w:r>
              <w:rPr>
                <w:rFonts w:eastAsia="Times New Roman"/>
                <w:color w:val="000000"/>
              </w:rPr>
              <w:t>64.44</w:t>
            </w:r>
          </w:p>
        </w:tc>
        <w:tc>
          <w:tcPr>
            <w:tcW w:w="397" w:type="pct"/>
            <w:hideMark/>
          </w:tcPr>
          <w:p w14:paraId="4C8BF46B" w14:textId="77777777" w:rsidR="00444FD6" w:rsidRDefault="00CC34DB">
            <w:pPr>
              <w:cnfStyle w:val="000000000000" w:firstRow="0" w:lastRow="0" w:firstColumn="0" w:lastColumn="0" w:oddVBand="0" w:evenVBand="0" w:oddHBand="0" w:evenHBand="0" w:firstRowFirstColumn="0" w:firstRowLastColumn="0" w:lastRowFirstColumn="0" w:lastRowLastColumn="0"/>
              <w:rPr>
                <w:rFonts w:eastAsia="Times New Roman"/>
                <w:color w:val="000000"/>
                <w:lang w:val="en-GB"/>
              </w:rPr>
            </w:pPr>
            <w:r>
              <w:rPr>
                <w:rFonts w:eastAsia="Times New Roman"/>
                <w:color w:val="000000"/>
              </w:rPr>
              <w:t>66.65</w:t>
            </w:r>
          </w:p>
        </w:tc>
        <w:tc>
          <w:tcPr>
            <w:tcW w:w="397" w:type="pct"/>
            <w:hideMark/>
          </w:tcPr>
          <w:p w14:paraId="302C9D91" w14:textId="77777777" w:rsidR="00444FD6" w:rsidRDefault="00CC34DB">
            <w:pPr>
              <w:cnfStyle w:val="000000000000" w:firstRow="0" w:lastRow="0" w:firstColumn="0" w:lastColumn="0" w:oddVBand="0" w:evenVBand="0" w:oddHBand="0" w:evenHBand="0" w:firstRowFirstColumn="0" w:firstRowLastColumn="0" w:lastRowFirstColumn="0" w:lastRowLastColumn="0"/>
              <w:rPr>
                <w:rFonts w:eastAsia="Times New Roman"/>
                <w:color w:val="000000"/>
                <w:lang w:val="en-GB"/>
              </w:rPr>
            </w:pPr>
            <w:r>
              <w:rPr>
                <w:rFonts w:eastAsia="Times New Roman"/>
                <w:color w:val="000000"/>
              </w:rPr>
              <w:t>78.8</w:t>
            </w:r>
          </w:p>
        </w:tc>
        <w:tc>
          <w:tcPr>
            <w:tcW w:w="397" w:type="pct"/>
            <w:hideMark/>
          </w:tcPr>
          <w:p w14:paraId="3AA57E58" w14:textId="77777777" w:rsidR="00444FD6" w:rsidRDefault="00CC34DB">
            <w:pPr>
              <w:cnfStyle w:val="000000000000" w:firstRow="0" w:lastRow="0" w:firstColumn="0" w:lastColumn="0" w:oddVBand="0" w:evenVBand="0" w:oddHBand="0" w:evenHBand="0" w:firstRowFirstColumn="0" w:firstRowLastColumn="0" w:lastRowFirstColumn="0" w:lastRowLastColumn="0"/>
              <w:rPr>
                <w:rFonts w:eastAsia="Times New Roman"/>
                <w:color w:val="000000"/>
                <w:lang w:val="en-GB"/>
              </w:rPr>
            </w:pPr>
            <w:r>
              <w:rPr>
                <w:rFonts w:eastAsia="Times New Roman"/>
                <w:color w:val="000000"/>
              </w:rPr>
              <w:t>68.81</w:t>
            </w:r>
          </w:p>
        </w:tc>
      </w:tr>
      <w:tr w:rsidR="00444FD6" w14:paraId="2819F863" w14:textId="77777777" w:rsidTr="00444FD6">
        <w:trPr>
          <w:trHeight w:val="290"/>
        </w:trPr>
        <w:tc>
          <w:tcPr>
            <w:cnfStyle w:val="001000000000" w:firstRow="0" w:lastRow="0" w:firstColumn="1" w:lastColumn="0" w:oddVBand="0" w:evenVBand="0" w:oddHBand="0" w:evenHBand="0" w:firstRowFirstColumn="0" w:firstRowLastColumn="0" w:lastRowFirstColumn="0" w:lastRowLastColumn="0"/>
            <w:tcW w:w="1189" w:type="pct"/>
            <w:noWrap/>
            <w:hideMark/>
          </w:tcPr>
          <w:p w14:paraId="0E379B01" w14:textId="77777777" w:rsidR="00444FD6" w:rsidRDefault="00CC34DB">
            <w:pPr>
              <w:jc w:val="left"/>
              <w:rPr>
                <w:rFonts w:eastAsia="Times New Roman"/>
                <w:color w:val="000000"/>
                <w:sz w:val="22"/>
                <w:szCs w:val="22"/>
                <w:lang w:val="en-GB"/>
              </w:rPr>
            </w:pPr>
            <w:r>
              <w:rPr>
                <w:rFonts w:eastAsia="Times New Roman"/>
                <w:color w:val="000000"/>
                <w:sz w:val="22"/>
                <w:szCs w:val="22"/>
                <w:lang w:val="en-GB"/>
              </w:rPr>
              <w:t>Cash Operating Cycle (COC)</w:t>
            </w:r>
          </w:p>
        </w:tc>
        <w:tc>
          <w:tcPr>
            <w:tcW w:w="1654" w:type="pct"/>
            <w:noWrap/>
            <w:hideMark/>
          </w:tcPr>
          <w:p w14:paraId="06421AE8" w14:textId="77777777" w:rsidR="00444FD6" w:rsidRDefault="00CC34DB">
            <w:pPr>
              <w:jc w:val="lef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rPr>
              <w:t>DIO + DSO - DPO</w:t>
            </w:r>
          </w:p>
        </w:tc>
        <w:tc>
          <w:tcPr>
            <w:tcW w:w="570" w:type="pct"/>
            <w:noWrap/>
            <w:hideMark/>
          </w:tcPr>
          <w:p w14:paraId="310EE9D5"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115.06</w:t>
            </w:r>
          </w:p>
        </w:tc>
        <w:tc>
          <w:tcPr>
            <w:tcW w:w="397" w:type="pct"/>
            <w:noWrap/>
            <w:hideMark/>
          </w:tcPr>
          <w:p w14:paraId="242D6905"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132.72</w:t>
            </w:r>
          </w:p>
        </w:tc>
        <w:tc>
          <w:tcPr>
            <w:tcW w:w="397" w:type="pct"/>
            <w:noWrap/>
            <w:hideMark/>
          </w:tcPr>
          <w:p w14:paraId="7D22BA15"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139.29</w:t>
            </w:r>
          </w:p>
        </w:tc>
        <w:tc>
          <w:tcPr>
            <w:tcW w:w="397" w:type="pct"/>
            <w:noWrap/>
            <w:hideMark/>
          </w:tcPr>
          <w:p w14:paraId="3849AC98"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114.23</w:t>
            </w:r>
          </w:p>
        </w:tc>
        <w:tc>
          <w:tcPr>
            <w:tcW w:w="397" w:type="pct"/>
            <w:noWrap/>
            <w:hideMark/>
          </w:tcPr>
          <w:p w14:paraId="7D6F0B85" w14:textId="77777777" w:rsidR="00444FD6" w:rsidRDefault="00CC34DB">
            <w:pPr>
              <w:jc w:val="right"/>
              <w:cnfStyle w:val="000000000000" w:firstRow="0" w:lastRow="0" w:firstColumn="0" w:lastColumn="0" w:oddVBand="0" w:evenVBand="0" w:oddHBand="0" w:evenHBand="0" w:firstRowFirstColumn="0" w:firstRowLastColumn="0" w:lastRowFirstColumn="0" w:lastRowLastColumn="0"/>
              <w:rPr>
                <w:rFonts w:eastAsia="Times New Roman"/>
                <w:color w:val="000000"/>
                <w:sz w:val="22"/>
                <w:szCs w:val="22"/>
                <w:lang w:val="en-GB"/>
              </w:rPr>
            </w:pPr>
            <w:r>
              <w:rPr>
                <w:rFonts w:eastAsia="Times New Roman"/>
                <w:color w:val="000000"/>
                <w:sz w:val="22"/>
                <w:szCs w:val="22"/>
                <w:lang w:val="en-GB"/>
              </w:rPr>
              <w:t>107.89</w:t>
            </w:r>
          </w:p>
        </w:tc>
      </w:tr>
    </w:tbl>
    <w:p w14:paraId="075AA63D" w14:textId="77777777" w:rsidR="00444FD6" w:rsidRDefault="00444FD6">
      <w:pPr>
        <w:rPr>
          <w:b/>
          <w:bCs/>
        </w:rPr>
      </w:pPr>
    </w:p>
    <w:p w14:paraId="3BA83572" w14:textId="77777777" w:rsidR="00444FD6" w:rsidRDefault="00444FD6">
      <w:pPr>
        <w:spacing w:line="240" w:lineRule="auto"/>
        <w:rPr>
          <w:rStyle w:val="Strong"/>
        </w:rPr>
      </w:pPr>
    </w:p>
    <w:p w14:paraId="3F173499" w14:textId="77777777" w:rsidR="00444FD6" w:rsidRDefault="00444FD6">
      <w:pPr>
        <w:spacing w:line="240" w:lineRule="auto"/>
        <w:rPr>
          <w:rStyle w:val="Strong"/>
        </w:rPr>
      </w:pPr>
    </w:p>
    <w:p w14:paraId="7849B7C8" w14:textId="77777777" w:rsidR="00444FD6" w:rsidRDefault="00444FD6">
      <w:pPr>
        <w:spacing w:line="240" w:lineRule="auto"/>
        <w:rPr>
          <w:rStyle w:val="Strong"/>
        </w:rPr>
      </w:pPr>
    </w:p>
    <w:p w14:paraId="3F1C6A91" w14:textId="77777777" w:rsidR="00444FD6" w:rsidRDefault="00444FD6">
      <w:pPr>
        <w:spacing w:line="240" w:lineRule="auto"/>
        <w:rPr>
          <w:rStyle w:val="Strong"/>
        </w:rPr>
      </w:pPr>
    </w:p>
    <w:p w14:paraId="403120B5" w14:textId="77777777" w:rsidR="00444FD6" w:rsidRDefault="00444FD6">
      <w:pPr>
        <w:spacing w:line="240" w:lineRule="auto"/>
        <w:rPr>
          <w:rStyle w:val="Strong"/>
        </w:rPr>
      </w:pPr>
    </w:p>
    <w:p w14:paraId="37C0860A" w14:textId="77777777" w:rsidR="00444FD6" w:rsidRDefault="00444FD6">
      <w:pPr>
        <w:spacing w:line="240" w:lineRule="auto"/>
        <w:rPr>
          <w:rStyle w:val="Strong"/>
        </w:rPr>
      </w:pPr>
    </w:p>
    <w:p w14:paraId="6FE2EFA4" w14:textId="77777777" w:rsidR="00444FD6" w:rsidRDefault="00444FD6">
      <w:pPr>
        <w:spacing w:line="240" w:lineRule="auto"/>
        <w:rPr>
          <w:rStyle w:val="Strong"/>
        </w:rPr>
      </w:pPr>
    </w:p>
    <w:p w14:paraId="701067C0" w14:textId="2FDDC90A" w:rsidR="00444FD6" w:rsidRDefault="00CC34DB">
      <w:pPr>
        <w:spacing w:line="240" w:lineRule="auto"/>
      </w:pPr>
      <w:r>
        <w:rPr>
          <w:rStyle w:val="Strong"/>
        </w:rPr>
        <w:t>Altman Z-Score</w:t>
      </w:r>
      <w:r>
        <w:rPr>
          <w:rStyle w:val="Strong"/>
        </w:rPr>
        <w:t xml:space="preserve"> Calculation(</w:t>
      </w:r>
      <w:r w:rsidR="00153AAF">
        <w:rPr>
          <w:rStyle w:val="Strong"/>
        </w:rPr>
        <w:t>£m)</w:t>
      </w:r>
      <w:r>
        <w:rPr>
          <w:rStyle w:val="Strong"/>
        </w:rPr>
        <w:t xml:space="preserve"> (Private Firm) </w:t>
      </w:r>
    </w:p>
    <w:p w14:paraId="406936A6" w14:textId="77777777" w:rsidR="00444FD6" w:rsidRDefault="00444FD6">
      <w:pPr>
        <w:spacing w:line="240" w:lineRule="auto"/>
      </w:pPr>
    </w:p>
    <w:tbl>
      <w:tblPr>
        <w:tblStyle w:val="TableGrid"/>
        <w:tblW w:w="8977" w:type="dxa"/>
        <w:tblLook w:val="04A0" w:firstRow="1" w:lastRow="0" w:firstColumn="1" w:lastColumn="0" w:noHBand="0" w:noVBand="1"/>
      </w:tblPr>
      <w:tblGrid>
        <w:gridCol w:w="3156"/>
        <w:gridCol w:w="1181"/>
        <w:gridCol w:w="1181"/>
        <w:gridCol w:w="1153"/>
        <w:gridCol w:w="1153"/>
        <w:gridCol w:w="1153"/>
      </w:tblGrid>
      <w:tr w:rsidR="00444FD6" w14:paraId="6A6B73AD" w14:textId="77777777">
        <w:trPr>
          <w:trHeight w:val="475"/>
        </w:trPr>
        <w:tc>
          <w:tcPr>
            <w:tcW w:w="0" w:type="auto"/>
            <w:hideMark/>
          </w:tcPr>
          <w:p w14:paraId="1F624890" w14:textId="77777777" w:rsidR="00444FD6" w:rsidRDefault="00CC34DB">
            <w:pPr>
              <w:jc w:val="center"/>
              <w:rPr>
                <w:b/>
                <w:bCs/>
              </w:rPr>
            </w:pPr>
            <w:r>
              <w:rPr>
                <w:rStyle w:val="Strong"/>
              </w:rPr>
              <w:t>Item</w:t>
            </w:r>
          </w:p>
        </w:tc>
        <w:tc>
          <w:tcPr>
            <w:tcW w:w="0" w:type="auto"/>
            <w:hideMark/>
          </w:tcPr>
          <w:p w14:paraId="18867004" w14:textId="77777777" w:rsidR="00444FD6" w:rsidRDefault="00CC34DB">
            <w:pPr>
              <w:jc w:val="center"/>
              <w:rPr>
                <w:b/>
                <w:bCs/>
              </w:rPr>
            </w:pPr>
            <w:r>
              <w:rPr>
                <w:rStyle w:val="Strong"/>
              </w:rPr>
              <w:t>2024</w:t>
            </w:r>
          </w:p>
        </w:tc>
        <w:tc>
          <w:tcPr>
            <w:tcW w:w="0" w:type="auto"/>
            <w:hideMark/>
          </w:tcPr>
          <w:p w14:paraId="788409AA" w14:textId="77777777" w:rsidR="00444FD6" w:rsidRDefault="00CC34DB">
            <w:pPr>
              <w:jc w:val="center"/>
              <w:rPr>
                <w:b/>
                <w:bCs/>
              </w:rPr>
            </w:pPr>
            <w:r>
              <w:rPr>
                <w:rStyle w:val="Strong"/>
              </w:rPr>
              <w:t>2023</w:t>
            </w:r>
          </w:p>
        </w:tc>
        <w:tc>
          <w:tcPr>
            <w:tcW w:w="0" w:type="auto"/>
            <w:hideMark/>
          </w:tcPr>
          <w:p w14:paraId="7C73B225" w14:textId="77777777" w:rsidR="00444FD6" w:rsidRDefault="00CC34DB">
            <w:pPr>
              <w:jc w:val="center"/>
              <w:rPr>
                <w:b/>
                <w:bCs/>
              </w:rPr>
            </w:pPr>
            <w:r>
              <w:rPr>
                <w:rStyle w:val="Strong"/>
              </w:rPr>
              <w:t>2022</w:t>
            </w:r>
          </w:p>
        </w:tc>
        <w:tc>
          <w:tcPr>
            <w:tcW w:w="0" w:type="auto"/>
            <w:hideMark/>
          </w:tcPr>
          <w:p w14:paraId="7D862B26" w14:textId="77777777" w:rsidR="00444FD6" w:rsidRDefault="00CC34DB">
            <w:pPr>
              <w:jc w:val="center"/>
              <w:rPr>
                <w:b/>
                <w:bCs/>
              </w:rPr>
            </w:pPr>
            <w:r>
              <w:rPr>
                <w:rStyle w:val="Strong"/>
              </w:rPr>
              <w:t>2021</w:t>
            </w:r>
          </w:p>
        </w:tc>
        <w:tc>
          <w:tcPr>
            <w:tcW w:w="0" w:type="auto"/>
            <w:hideMark/>
          </w:tcPr>
          <w:p w14:paraId="1F325ECC" w14:textId="77777777" w:rsidR="00444FD6" w:rsidRDefault="00CC34DB">
            <w:pPr>
              <w:jc w:val="center"/>
              <w:rPr>
                <w:b/>
                <w:bCs/>
              </w:rPr>
            </w:pPr>
            <w:r>
              <w:rPr>
                <w:rStyle w:val="Strong"/>
              </w:rPr>
              <w:t>2020</w:t>
            </w:r>
          </w:p>
        </w:tc>
      </w:tr>
      <w:tr w:rsidR="00444FD6" w14:paraId="24D6A84C" w14:textId="77777777">
        <w:trPr>
          <w:trHeight w:val="475"/>
        </w:trPr>
        <w:tc>
          <w:tcPr>
            <w:tcW w:w="0" w:type="auto"/>
            <w:hideMark/>
          </w:tcPr>
          <w:p w14:paraId="37419D33" w14:textId="77777777" w:rsidR="00444FD6" w:rsidRDefault="00CC34DB">
            <w:pPr>
              <w:jc w:val="left"/>
            </w:pPr>
            <w:r>
              <w:t>Total current assets</w:t>
            </w:r>
          </w:p>
        </w:tc>
        <w:tc>
          <w:tcPr>
            <w:tcW w:w="0" w:type="auto"/>
            <w:hideMark/>
          </w:tcPr>
          <w:p w14:paraId="6B386FD6" w14:textId="77777777" w:rsidR="00444FD6" w:rsidRDefault="00CC34DB">
            <w:r>
              <w:t>242,494</w:t>
            </w:r>
          </w:p>
        </w:tc>
        <w:tc>
          <w:tcPr>
            <w:tcW w:w="0" w:type="auto"/>
            <w:hideMark/>
          </w:tcPr>
          <w:p w14:paraId="6F275B6D" w14:textId="77777777" w:rsidR="00444FD6" w:rsidRDefault="00CC34DB">
            <w:r>
              <w:t>258,851</w:t>
            </w:r>
          </w:p>
        </w:tc>
        <w:tc>
          <w:tcPr>
            <w:tcW w:w="0" w:type="auto"/>
            <w:hideMark/>
          </w:tcPr>
          <w:p w14:paraId="53EB5A02" w14:textId="77777777" w:rsidR="00444FD6" w:rsidRDefault="00CC34DB">
            <w:r>
              <w:t>338,040</w:t>
            </w:r>
          </w:p>
        </w:tc>
        <w:tc>
          <w:tcPr>
            <w:tcW w:w="0" w:type="auto"/>
            <w:hideMark/>
          </w:tcPr>
          <w:p w14:paraId="06E8F0D9" w14:textId="77777777" w:rsidR="00444FD6" w:rsidRDefault="00CC34DB">
            <w:r>
              <w:t>337,146</w:t>
            </w:r>
          </w:p>
        </w:tc>
        <w:tc>
          <w:tcPr>
            <w:tcW w:w="0" w:type="auto"/>
            <w:hideMark/>
          </w:tcPr>
          <w:p w14:paraId="316C5A72" w14:textId="77777777" w:rsidR="00444FD6" w:rsidRDefault="00CC34DB">
            <w:r>
              <w:t>326,843</w:t>
            </w:r>
          </w:p>
        </w:tc>
      </w:tr>
      <w:tr w:rsidR="00444FD6" w14:paraId="348FF583" w14:textId="77777777">
        <w:trPr>
          <w:trHeight w:val="475"/>
        </w:trPr>
        <w:tc>
          <w:tcPr>
            <w:tcW w:w="0" w:type="auto"/>
            <w:hideMark/>
          </w:tcPr>
          <w:p w14:paraId="5A034021" w14:textId="77777777" w:rsidR="00444FD6" w:rsidRDefault="00CC34DB">
            <w:r>
              <w:t>Total current liabilities</w:t>
            </w:r>
          </w:p>
        </w:tc>
        <w:tc>
          <w:tcPr>
            <w:tcW w:w="0" w:type="auto"/>
            <w:hideMark/>
          </w:tcPr>
          <w:p w14:paraId="49C007A2" w14:textId="77777777" w:rsidR="00444FD6" w:rsidRDefault="00CC34DB">
            <w:r>
              <w:t>158,291</w:t>
            </w:r>
          </w:p>
        </w:tc>
        <w:tc>
          <w:tcPr>
            <w:tcW w:w="0" w:type="auto"/>
            <w:hideMark/>
          </w:tcPr>
          <w:p w14:paraId="66F19CED" w14:textId="77777777" w:rsidR="00444FD6" w:rsidRDefault="00CC34DB">
            <w:r>
              <w:t>161,148</w:t>
            </w:r>
          </w:p>
        </w:tc>
        <w:tc>
          <w:tcPr>
            <w:tcW w:w="0" w:type="auto"/>
            <w:hideMark/>
          </w:tcPr>
          <w:p w14:paraId="5E1E3073" w14:textId="77777777" w:rsidR="00444FD6" w:rsidRDefault="00CC34DB">
            <w:r>
              <w:t>216,473</w:t>
            </w:r>
          </w:p>
        </w:tc>
        <w:tc>
          <w:tcPr>
            <w:tcW w:w="0" w:type="auto"/>
            <w:hideMark/>
          </w:tcPr>
          <w:p w14:paraId="47358B63" w14:textId="77777777" w:rsidR="00444FD6" w:rsidRDefault="00CC34DB">
            <w:r>
              <w:t>216,787</w:t>
            </w:r>
          </w:p>
        </w:tc>
        <w:tc>
          <w:tcPr>
            <w:tcW w:w="0" w:type="auto"/>
            <w:hideMark/>
          </w:tcPr>
          <w:p w14:paraId="6C31261C" w14:textId="77777777" w:rsidR="00444FD6" w:rsidRDefault="00CC34DB">
            <w:r>
              <w:t>179,510</w:t>
            </w:r>
          </w:p>
        </w:tc>
      </w:tr>
      <w:tr w:rsidR="00444FD6" w14:paraId="25FFC34E" w14:textId="77777777">
        <w:trPr>
          <w:trHeight w:val="475"/>
        </w:trPr>
        <w:tc>
          <w:tcPr>
            <w:tcW w:w="0" w:type="auto"/>
            <w:hideMark/>
          </w:tcPr>
          <w:p w14:paraId="11CA674D" w14:textId="77777777" w:rsidR="00444FD6" w:rsidRDefault="00CC34DB">
            <w:r>
              <w:rPr>
                <w:rStyle w:val="Strong"/>
              </w:rPr>
              <w:t>Working capital</w:t>
            </w:r>
          </w:p>
        </w:tc>
        <w:tc>
          <w:tcPr>
            <w:tcW w:w="0" w:type="auto"/>
            <w:hideMark/>
          </w:tcPr>
          <w:p w14:paraId="1CE9BE1B" w14:textId="77777777" w:rsidR="00444FD6" w:rsidRDefault="00CC34DB">
            <w:r>
              <w:rPr>
                <w:rStyle w:val="Strong"/>
              </w:rPr>
              <w:t>84,203</w:t>
            </w:r>
          </w:p>
        </w:tc>
        <w:tc>
          <w:tcPr>
            <w:tcW w:w="0" w:type="auto"/>
            <w:hideMark/>
          </w:tcPr>
          <w:p w14:paraId="4E2ED013" w14:textId="77777777" w:rsidR="00444FD6" w:rsidRDefault="00CC34DB">
            <w:r>
              <w:rPr>
                <w:rStyle w:val="Strong"/>
              </w:rPr>
              <w:t>97,703</w:t>
            </w:r>
          </w:p>
        </w:tc>
        <w:tc>
          <w:tcPr>
            <w:tcW w:w="0" w:type="auto"/>
            <w:hideMark/>
          </w:tcPr>
          <w:p w14:paraId="74F14091" w14:textId="77777777" w:rsidR="00444FD6" w:rsidRDefault="00CC34DB">
            <w:r>
              <w:rPr>
                <w:rStyle w:val="Strong"/>
              </w:rPr>
              <w:t>121,567</w:t>
            </w:r>
          </w:p>
        </w:tc>
        <w:tc>
          <w:tcPr>
            <w:tcW w:w="0" w:type="auto"/>
            <w:hideMark/>
          </w:tcPr>
          <w:p w14:paraId="6646E872" w14:textId="77777777" w:rsidR="00444FD6" w:rsidRDefault="00CC34DB">
            <w:r>
              <w:rPr>
                <w:rStyle w:val="Strong"/>
              </w:rPr>
              <w:t>120,359</w:t>
            </w:r>
          </w:p>
        </w:tc>
        <w:tc>
          <w:tcPr>
            <w:tcW w:w="0" w:type="auto"/>
            <w:hideMark/>
          </w:tcPr>
          <w:p w14:paraId="49503B4D" w14:textId="77777777" w:rsidR="00444FD6" w:rsidRDefault="00CC34DB">
            <w:r>
              <w:rPr>
                <w:rStyle w:val="Strong"/>
              </w:rPr>
              <w:t>147,333</w:t>
            </w:r>
          </w:p>
        </w:tc>
      </w:tr>
      <w:tr w:rsidR="00444FD6" w14:paraId="7050B554" w14:textId="77777777">
        <w:trPr>
          <w:trHeight w:val="475"/>
        </w:trPr>
        <w:tc>
          <w:tcPr>
            <w:tcW w:w="0" w:type="auto"/>
            <w:hideMark/>
          </w:tcPr>
          <w:p w14:paraId="5FF44201" w14:textId="77777777" w:rsidR="00444FD6" w:rsidRDefault="00CC34DB">
            <w:r>
              <w:t>Total assets</w:t>
            </w:r>
          </w:p>
        </w:tc>
        <w:tc>
          <w:tcPr>
            <w:tcW w:w="0" w:type="auto"/>
            <w:hideMark/>
          </w:tcPr>
          <w:p w14:paraId="389502D2" w14:textId="77777777" w:rsidR="00444FD6" w:rsidRDefault="00CC34DB">
            <w:r>
              <w:t>323,354</w:t>
            </w:r>
          </w:p>
        </w:tc>
        <w:tc>
          <w:tcPr>
            <w:tcW w:w="0" w:type="auto"/>
            <w:hideMark/>
          </w:tcPr>
          <w:p w14:paraId="4799FFB1" w14:textId="77777777" w:rsidR="00444FD6" w:rsidRDefault="00CC34DB">
            <w:r>
              <w:t>355,872</w:t>
            </w:r>
          </w:p>
        </w:tc>
        <w:tc>
          <w:tcPr>
            <w:tcW w:w="0" w:type="auto"/>
            <w:hideMark/>
          </w:tcPr>
          <w:p w14:paraId="79F2F520" w14:textId="77777777" w:rsidR="00444FD6" w:rsidRDefault="00CC34DB">
            <w:r>
              <w:t>504,163</w:t>
            </w:r>
          </w:p>
        </w:tc>
        <w:tc>
          <w:tcPr>
            <w:tcW w:w="0" w:type="auto"/>
            <w:hideMark/>
          </w:tcPr>
          <w:p w14:paraId="78B2C5EE" w14:textId="77777777" w:rsidR="00444FD6" w:rsidRDefault="00CC34DB">
            <w:r>
              <w:t>510,348</w:t>
            </w:r>
          </w:p>
        </w:tc>
        <w:tc>
          <w:tcPr>
            <w:tcW w:w="0" w:type="auto"/>
            <w:hideMark/>
          </w:tcPr>
          <w:p w14:paraId="7D603EA8" w14:textId="77777777" w:rsidR="00444FD6" w:rsidRDefault="00CC34DB">
            <w:r>
              <w:t>510,290</w:t>
            </w:r>
          </w:p>
        </w:tc>
      </w:tr>
      <w:tr w:rsidR="00444FD6" w14:paraId="2B10523D" w14:textId="77777777">
        <w:trPr>
          <w:trHeight w:val="475"/>
        </w:trPr>
        <w:tc>
          <w:tcPr>
            <w:tcW w:w="0" w:type="auto"/>
            <w:hideMark/>
          </w:tcPr>
          <w:p w14:paraId="634952EC" w14:textId="77777777" w:rsidR="00444FD6" w:rsidRDefault="00CC34DB">
            <w:r>
              <w:t>Retained earnings</w:t>
            </w:r>
          </w:p>
        </w:tc>
        <w:tc>
          <w:tcPr>
            <w:tcW w:w="0" w:type="auto"/>
            <w:hideMark/>
          </w:tcPr>
          <w:p w14:paraId="0EFF07DF" w14:textId="77777777" w:rsidR="00444FD6" w:rsidRDefault="00CC34DB">
            <w:r>
              <w:t>208,431</w:t>
            </w:r>
          </w:p>
        </w:tc>
        <w:tc>
          <w:tcPr>
            <w:tcW w:w="0" w:type="auto"/>
            <w:hideMark/>
          </w:tcPr>
          <w:p w14:paraId="68DDAB35" w14:textId="77777777" w:rsidR="00444FD6" w:rsidRDefault="00CC34DB">
            <w:r>
              <w:t>232,460</w:t>
            </w:r>
          </w:p>
        </w:tc>
        <w:tc>
          <w:tcPr>
            <w:tcW w:w="0" w:type="auto"/>
            <w:hideMark/>
          </w:tcPr>
          <w:p w14:paraId="1AFE0F1C" w14:textId="77777777" w:rsidR="00444FD6" w:rsidRDefault="00CC34DB">
            <w:r>
              <w:t>330,698</w:t>
            </w:r>
          </w:p>
        </w:tc>
        <w:tc>
          <w:tcPr>
            <w:tcW w:w="0" w:type="auto"/>
            <w:hideMark/>
          </w:tcPr>
          <w:p w14:paraId="1F966C82" w14:textId="77777777" w:rsidR="00444FD6" w:rsidRDefault="00CC34DB">
            <w:r>
              <w:t>330,291</w:t>
            </w:r>
          </w:p>
        </w:tc>
        <w:tc>
          <w:tcPr>
            <w:tcW w:w="0" w:type="auto"/>
            <w:hideMark/>
          </w:tcPr>
          <w:p w14:paraId="68CD67B4" w14:textId="77777777" w:rsidR="00444FD6" w:rsidRDefault="00CC34DB">
            <w:r>
              <w:t>324,990</w:t>
            </w:r>
          </w:p>
        </w:tc>
      </w:tr>
      <w:tr w:rsidR="00444FD6" w14:paraId="3F52D7B7" w14:textId="77777777">
        <w:trPr>
          <w:trHeight w:val="475"/>
        </w:trPr>
        <w:tc>
          <w:tcPr>
            <w:tcW w:w="0" w:type="auto"/>
            <w:hideMark/>
          </w:tcPr>
          <w:p w14:paraId="2C2FAC94" w14:textId="77777777" w:rsidR="00444FD6" w:rsidRDefault="00CC34DB">
            <w:r>
              <w:t>Operating income (loss)</w:t>
            </w:r>
          </w:p>
        </w:tc>
        <w:tc>
          <w:tcPr>
            <w:tcW w:w="0" w:type="auto"/>
            <w:hideMark/>
          </w:tcPr>
          <w:p w14:paraId="3BFC6901" w14:textId="77777777" w:rsidR="00444FD6" w:rsidRDefault="00CC34DB">
            <w:r>
              <w:t>(15,297)</w:t>
            </w:r>
          </w:p>
        </w:tc>
        <w:tc>
          <w:tcPr>
            <w:tcW w:w="0" w:type="auto"/>
            <w:hideMark/>
          </w:tcPr>
          <w:p w14:paraId="5D5530E4" w14:textId="77777777" w:rsidR="00444FD6" w:rsidRDefault="00CC34DB">
            <w:r>
              <w:t>(85,301)</w:t>
            </w:r>
          </w:p>
        </w:tc>
        <w:tc>
          <w:tcPr>
            <w:tcW w:w="0" w:type="auto"/>
            <w:hideMark/>
          </w:tcPr>
          <w:p w14:paraId="28417964" w14:textId="77777777" w:rsidR="00444FD6" w:rsidRDefault="00CC34DB">
            <w:r>
              <w:t>14,548</w:t>
            </w:r>
          </w:p>
        </w:tc>
        <w:tc>
          <w:tcPr>
            <w:tcW w:w="0" w:type="auto"/>
            <w:hideMark/>
          </w:tcPr>
          <w:p w14:paraId="72DAADA5" w14:textId="77777777" w:rsidR="00444FD6" w:rsidRDefault="00CC34DB">
            <w:r>
              <w:t>23,253</w:t>
            </w:r>
          </w:p>
        </w:tc>
        <w:tc>
          <w:tcPr>
            <w:tcW w:w="0" w:type="auto"/>
            <w:hideMark/>
          </w:tcPr>
          <w:p w14:paraId="4A44753F" w14:textId="77777777" w:rsidR="00444FD6" w:rsidRDefault="00CC34DB">
            <w:r>
              <w:t>37,267</w:t>
            </w:r>
          </w:p>
        </w:tc>
      </w:tr>
      <w:tr w:rsidR="00444FD6" w14:paraId="17ABC741" w14:textId="77777777">
        <w:trPr>
          <w:trHeight w:val="475"/>
        </w:trPr>
        <w:tc>
          <w:tcPr>
            <w:tcW w:w="0" w:type="auto"/>
            <w:hideMark/>
          </w:tcPr>
          <w:p w14:paraId="682A5B8C" w14:textId="77777777" w:rsidR="00444FD6" w:rsidRDefault="00CC34DB">
            <w:r>
              <w:t>Total liabilities</w:t>
            </w:r>
          </w:p>
        </w:tc>
        <w:tc>
          <w:tcPr>
            <w:tcW w:w="0" w:type="auto"/>
            <w:hideMark/>
          </w:tcPr>
          <w:p w14:paraId="3C07026B" w14:textId="77777777" w:rsidR="00444FD6" w:rsidRDefault="00CC34DB">
            <w:r>
              <w:t>170,249</w:t>
            </w:r>
          </w:p>
        </w:tc>
        <w:tc>
          <w:tcPr>
            <w:tcW w:w="0" w:type="auto"/>
            <w:hideMark/>
          </w:tcPr>
          <w:p w14:paraId="73F4A6AC" w14:textId="77777777" w:rsidR="00444FD6" w:rsidRDefault="00CC34DB">
            <w:r>
              <w:t>176,952</w:t>
            </w:r>
          </w:p>
        </w:tc>
        <w:tc>
          <w:tcPr>
            <w:tcW w:w="0" w:type="auto"/>
            <w:hideMark/>
          </w:tcPr>
          <w:p w14:paraId="0BAB1298" w14:textId="77777777" w:rsidR="00444FD6" w:rsidRDefault="00CC34DB">
            <w:r>
              <w:t>235,757</w:t>
            </w:r>
          </w:p>
        </w:tc>
        <w:tc>
          <w:tcPr>
            <w:tcW w:w="0" w:type="auto"/>
            <w:hideMark/>
          </w:tcPr>
          <w:p w14:paraId="3CF4F94E" w14:textId="77777777" w:rsidR="00444FD6" w:rsidRDefault="00CC34DB">
            <w:r>
              <w:t>234,399</w:t>
            </w:r>
          </w:p>
        </w:tc>
        <w:tc>
          <w:tcPr>
            <w:tcW w:w="0" w:type="auto"/>
            <w:hideMark/>
          </w:tcPr>
          <w:p w14:paraId="1D0D05FF" w14:textId="77777777" w:rsidR="00444FD6" w:rsidRDefault="00CC34DB">
            <w:r>
              <w:t>196,989</w:t>
            </w:r>
          </w:p>
        </w:tc>
      </w:tr>
      <w:tr w:rsidR="00444FD6" w14:paraId="7D2FE753" w14:textId="77777777">
        <w:trPr>
          <w:trHeight w:val="475"/>
        </w:trPr>
        <w:tc>
          <w:tcPr>
            <w:tcW w:w="0" w:type="auto"/>
            <w:hideMark/>
          </w:tcPr>
          <w:p w14:paraId="3407C442" w14:textId="77777777" w:rsidR="00444FD6" w:rsidRDefault="00CC34DB">
            <w:r>
              <w:t>Total shareholders’ equity</w:t>
            </w:r>
          </w:p>
        </w:tc>
        <w:tc>
          <w:tcPr>
            <w:tcW w:w="0" w:type="auto"/>
            <w:hideMark/>
          </w:tcPr>
          <w:p w14:paraId="2900E1EF" w14:textId="77777777" w:rsidR="00444FD6" w:rsidRDefault="00CC34DB">
            <w:r>
              <w:t>153,105</w:t>
            </w:r>
          </w:p>
        </w:tc>
        <w:tc>
          <w:tcPr>
            <w:tcW w:w="0" w:type="auto"/>
            <w:hideMark/>
          </w:tcPr>
          <w:p w14:paraId="21E84C04" w14:textId="77777777" w:rsidR="00444FD6" w:rsidRDefault="00CC34DB">
            <w:r>
              <w:t>178,920</w:t>
            </w:r>
          </w:p>
        </w:tc>
        <w:tc>
          <w:tcPr>
            <w:tcW w:w="0" w:type="auto"/>
            <w:hideMark/>
          </w:tcPr>
          <w:p w14:paraId="67B90626" w14:textId="77777777" w:rsidR="00444FD6" w:rsidRDefault="00CC34DB">
            <w:r>
              <w:t>268,406</w:t>
            </w:r>
          </w:p>
        </w:tc>
        <w:tc>
          <w:tcPr>
            <w:tcW w:w="0" w:type="auto"/>
            <w:hideMark/>
          </w:tcPr>
          <w:p w14:paraId="402DD1B2" w14:textId="77777777" w:rsidR="00444FD6" w:rsidRDefault="00CC34DB">
            <w:r>
              <w:t>275,949</w:t>
            </w:r>
          </w:p>
        </w:tc>
        <w:tc>
          <w:tcPr>
            <w:tcW w:w="0" w:type="auto"/>
            <w:hideMark/>
          </w:tcPr>
          <w:p w14:paraId="38D2771A" w14:textId="77777777" w:rsidR="00444FD6" w:rsidRDefault="00CC34DB">
            <w:r>
              <w:t>313,301</w:t>
            </w:r>
          </w:p>
        </w:tc>
      </w:tr>
      <w:tr w:rsidR="00444FD6" w14:paraId="5C8499C1" w14:textId="77777777">
        <w:trPr>
          <w:trHeight w:val="467"/>
        </w:trPr>
        <w:tc>
          <w:tcPr>
            <w:tcW w:w="0" w:type="auto"/>
            <w:hideMark/>
          </w:tcPr>
          <w:p w14:paraId="31CA54E9" w14:textId="77777777" w:rsidR="00444FD6" w:rsidRDefault="00CC34DB">
            <w:r>
              <w:t>Net sales</w:t>
            </w:r>
          </w:p>
        </w:tc>
        <w:tc>
          <w:tcPr>
            <w:tcW w:w="0" w:type="auto"/>
            <w:hideMark/>
          </w:tcPr>
          <w:p w14:paraId="3A284EEE" w14:textId="77777777" w:rsidR="00444FD6" w:rsidRDefault="00CC34DB">
            <w:r>
              <w:t>394,879</w:t>
            </w:r>
          </w:p>
        </w:tc>
        <w:tc>
          <w:tcPr>
            <w:tcW w:w="0" w:type="auto"/>
            <w:hideMark/>
          </w:tcPr>
          <w:p w14:paraId="3768C399" w14:textId="77777777" w:rsidR="00444FD6" w:rsidRDefault="00CC34DB">
            <w:r>
              <w:t>420,457</w:t>
            </w:r>
          </w:p>
        </w:tc>
        <w:tc>
          <w:tcPr>
            <w:tcW w:w="0" w:type="auto"/>
            <w:hideMark/>
          </w:tcPr>
          <w:p w14:paraId="492494D4" w14:textId="77777777" w:rsidR="00444FD6" w:rsidRDefault="00CC34DB">
            <w:r>
              <w:t>542,751</w:t>
            </w:r>
          </w:p>
        </w:tc>
        <w:tc>
          <w:tcPr>
            <w:tcW w:w="0" w:type="auto"/>
            <w:hideMark/>
          </w:tcPr>
          <w:p w14:paraId="1B6E7776" w14:textId="77777777" w:rsidR="00444FD6" w:rsidRDefault="00CC34DB">
            <w:r>
              <w:t>601,602</w:t>
            </w:r>
          </w:p>
        </w:tc>
        <w:tc>
          <w:tcPr>
            <w:tcW w:w="0" w:type="auto"/>
            <w:hideMark/>
          </w:tcPr>
          <w:p w14:paraId="77E9B9AA" w14:textId="77777777" w:rsidR="00444FD6" w:rsidRDefault="00CC34DB">
            <w:r>
              <w:t>614,680</w:t>
            </w:r>
          </w:p>
        </w:tc>
      </w:tr>
    </w:tbl>
    <w:p w14:paraId="660B69A3" w14:textId="77777777" w:rsidR="00444FD6" w:rsidRDefault="00444FD6">
      <w:pPr>
        <w:spacing w:line="240" w:lineRule="auto"/>
      </w:pPr>
    </w:p>
    <w:p w14:paraId="5EE07AF7" w14:textId="77777777" w:rsidR="00444FD6" w:rsidRDefault="00CC34DB">
      <w:pPr>
        <w:spacing w:line="240" w:lineRule="auto"/>
        <w:rPr>
          <w:b/>
          <w:bCs/>
        </w:rPr>
      </w:pPr>
      <w:r>
        <w:rPr>
          <w:b/>
          <w:bCs/>
        </w:rPr>
        <w:t>Altman Z-Score Variables</w:t>
      </w:r>
    </w:p>
    <w:tbl>
      <w:tblPr>
        <w:tblStyle w:val="TableGrid"/>
        <w:tblW w:w="8961" w:type="dxa"/>
        <w:tblLook w:val="04A0" w:firstRow="1" w:lastRow="0" w:firstColumn="1" w:lastColumn="0" w:noHBand="0" w:noVBand="1"/>
      </w:tblPr>
      <w:tblGrid>
        <w:gridCol w:w="2120"/>
        <w:gridCol w:w="1460"/>
        <w:gridCol w:w="1460"/>
        <w:gridCol w:w="1307"/>
        <w:gridCol w:w="1307"/>
        <w:gridCol w:w="1307"/>
      </w:tblGrid>
      <w:tr w:rsidR="00444FD6" w14:paraId="01E0C842" w14:textId="77777777">
        <w:trPr>
          <w:trHeight w:val="296"/>
        </w:trPr>
        <w:tc>
          <w:tcPr>
            <w:tcW w:w="0" w:type="auto"/>
            <w:hideMark/>
          </w:tcPr>
          <w:p w14:paraId="64DA2D05" w14:textId="77777777" w:rsidR="00444FD6" w:rsidRDefault="00CC34DB">
            <w:pPr>
              <w:jc w:val="left"/>
            </w:pPr>
            <w:r>
              <w:rPr>
                <w:rStyle w:val="Strong"/>
              </w:rPr>
              <w:t>X</w:t>
            </w:r>
            <w:r>
              <w:rPr>
                <w:rStyle w:val="Strong"/>
                <w:rFonts w:ascii="Cambria Math" w:hAnsi="Cambria Math" w:cs="Cambria Math"/>
              </w:rPr>
              <w:t>₁</w:t>
            </w:r>
          </w:p>
        </w:tc>
        <w:tc>
          <w:tcPr>
            <w:tcW w:w="0" w:type="auto"/>
            <w:hideMark/>
          </w:tcPr>
          <w:p w14:paraId="20FE0A1C" w14:textId="77777777" w:rsidR="00444FD6" w:rsidRDefault="00CC34DB">
            <w:r>
              <w:t>0.26</w:t>
            </w:r>
          </w:p>
        </w:tc>
        <w:tc>
          <w:tcPr>
            <w:tcW w:w="0" w:type="auto"/>
            <w:hideMark/>
          </w:tcPr>
          <w:p w14:paraId="4CD6A039" w14:textId="77777777" w:rsidR="00444FD6" w:rsidRDefault="00CC34DB">
            <w:r>
              <w:t>0.27</w:t>
            </w:r>
          </w:p>
        </w:tc>
        <w:tc>
          <w:tcPr>
            <w:tcW w:w="0" w:type="auto"/>
            <w:hideMark/>
          </w:tcPr>
          <w:p w14:paraId="60CD928E" w14:textId="77777777" w:rsidR="00444FD6" w:rsidRDefault="00CC34DB">
            <w:r>
              <w:t>0.24</w:t>
            </w:r>
          </w:p>
        </w:tc>
        <w:tc>
          <w:tcPr>
            <w:tcW w:w="0" w:type="auto"/>
            <w:hideMark/>
          </w:tcPr>
          <w:p w14:paraId="497C4859" w14:textId="77777777" w:rsidR="00444FD6" w:rsidRDefault="00CC34DB">
            <w:r>
              <w:t>0.24</w:t>
            </w:r>
          </w:p>
        </w:tc>
        <w:tc>
          <w:tcPr>
            <w:tcW w:w="0" w:type="auto"/>
            <w:hideMark/>
          </w:tcPr>
          <w:p w14:paraId="3FF0545A" w14:textId="77777777" w:rsidR="00444FD6" w:rsidRDefault="00CC34DB">
            <w:r>
              <w:t>0.29</w:t>
            </w:r>
          </w:p>
        </w:tc>
      </w:tr>
      <w:tr w:rsidR="00444FD6" w14:paraId="73D690C7" w14:textId="77777777">
        <w:trPr>
          <w:trHeight w:val="296"/>
        </w:trPr>
        <w:tc>
          <w:tcPr>
            <w:tcW w:w="0" w:type="auto"/>
            <w:hideMark/>
          </w:tcPr>
          <w:p w14:paraId="276F2B00" w14:textId="77777777" w:rsidR="00444FD6" w:rsidRDefault="00CC34DB">
            <w:r>
              <w:rPr>
                <w:rStyle w:val="Strong"/>
              </w:rPr>
              <w:t>X</w:t>
            </w:r>
            <w:r>
              <w:rPr>
                <w:rStyle w:val="Strong"/>
                <w:rFonts w:ascii="Cambria Math" w:hAnsi="Cambria Math" w:cs="Cambria Math"/>
              </w:rPr>
              <w:t>₂</w:t>
            </w:r>
          </w:p>
        </w:tc>
        <w:tc>
          <w:tcPr>
            <w:tcW w:w="0" w:type="auto"/>
            <w:hideMark/>
          </w:tcPr>
          <w:p w14:paraId="6ED15A1E" w14:textId="77777777" w:rsidR="00444FD6" w:rsidRDefault="00CC34DB">
            <w:r>
              <w:t>0.64</w:t>
            </w:r>
          </w:p>
        </w:tc>
        <w:tc>
          <w:tcPr>
            <w:tcW w:w="0" w:type="auto"/>
            <w:hideMark/>
          </w:tcPr>
          <w:p w14:paraId="707B2DCD" w14:textId="77777777" w:rsidR="00444FD6" w:rsidRDefault="00CC34DB">
            <w:r>
              <w:t>0.65</w:t>
            </w:r>
          </w:p>
        </w:tc>
        <w:tc>
          <w:tcPr>
            <w:tcW w:w="0" w:type="auto"/>
            <w:hideMark/>
          </w:tcPr>
          <w:p w14:paraId="409909E2" w14:textId="77777777" w:rsidR="00444FD6" w:rsidRDefault="00CC34DB">
            <w:r>
              <w:t>0.66</w:t>
            </w:r>
          </w:p>
        </w:tc>
        <w:tc>
          <w:tcPr>
            <w:tcW w:w="0" w:type="auto"/>
            <w:hideMark/>
          </w:tcPr>
          <w:p w14:paraId="4A1CF90B" w14:textId="77777777" w:rsidR="00444FD6" w:rsidRDefault="00CC34DB">
            <w:r>
              <w:t>0.65</w:t>
            </w:r>
          </w:p>
        </w:tc>
        <w:tc>
          <w:tcPr>
            <w:tcW w:w="0" w:type="auto"/>
            <w:hideMark/>
          </w:tcPr>
          <w:p w14:paraId="548B01F2" w14:textId="77777777" w:rsidR="00444FD6" w:rsidRDefault="00CC34DB">
            <w:r>
              <w:t>0.64</w:t>
            </w:r>
          </w:p>
        </w:tc>
      </w:tr>
      <w:tr w:rsidR="00444FD6" w14:paraId="07EA65A2" w14:textId="77777777">
        <w:trPr>
          <w:trHeight w:val="296"/>
        </w:trPr>
        <w:tc>
          <w:tcPr>
            <w:tcW w:w="0" w:type="auto"/>
            <w:hideMark/>
          </w:tcPr>
          <w:p w14:paraId="097D29C4" w14:textId="77777777" w:rsidR="00444FD6" w:rsidRDefault="00CC34DB">
            <w:r>
              <w:rPr>
                <w:rStyle w:val="Strong"/>
              </w:rPr>
              <w:t>X</w:t>
            </w:r>
            <w:r>
              <w:rPr>
                <w:rStyle w:val="Strong"/>
                <w:rFonts w:ascii="Cambria Math" w:hAnsi="Cambria Math" w:cs="Cambria Math"/>
              </w:rPr>
              <w:t>₃</w:t>
            </w:r>
          </w:p>
        </w:tc>
        <w:tc>
          <w:tcPr>
            <w:tcW w:w="0" w:type="auto"/>
            <w:hideMark/>
          </w:tcPr>
          <w:p w14:paraId="21B80744" w14:textId="77777777" w:rsidR="00444FD6" w:rsidRDefault="00CC34DB">
            <w:r>
              <w:t>-0.05</w:t>
            </w:r>
          </w:p>
        </w:tc>
        <w:tc>
          <w:tcPr>
            <w:tcW w:w="0" w:type="auto"/>
            <w:hideMark/>
          </w:tcPr>
          <w:p w14:paraId="2BFB84FC" w14:textId="77777777" w:rsidR="00444FD6" w:rsidRDefault="00CC34DB">
            <w:r>
              <w:t>-0.24</w:t>
            </w:r>
          </w:p>
        </w:tc>
        <w:tc>
          <w:tcPr>
            <w:tcW w:w="0" w:type="auto"/>
            <w:hideMark/>
          </w:tcPr>
          <w:p w14:paraId="6B2983BF" w14:textId="77777777" w:rsidR="00444FD6" w:rsidRDefault="00CC34DB">
            <w:r>
              <w:t>0.03</w:t>
            </w:r>
          </w:p>
        </w:tc>
        <w:tc>
          <w:tcPr>
            <w:tcW w:w="0" w:type="auto"/>
            <w:hideMark/>
          </w:tcPr>
          <w:p w14:paraId="32B02C2D" w14:textId="77777777" w:rsidR="00444FD6" w:rsidRDefault="00CC34DB">
            <w:r>
              <w:t>0.05</w:t>
            </w:r>
          </w:p>
        </w:tc>
        <w:tc>
          <w:tcPr>
            <w:tcW w:w="0" w:type="auto"/>
            <w:hideMark/>
          </w:tcPr>
          <w:p w14:paraId="2B9B8281" w14:textId="77777777" w:rsidR="00444FD6" w:rsidRDefault="00CC34DB">
            <w:r>
              <w:t>0.07</w:t>
            </w:r>
          </w:p>
        </w:tc>
      </w:tr>
      <w:tr w:rsidR="00444FD6" w14:paraId="7EF79E52" w14:textId="77777777">
        <w:trPr>
          <w:trHeight w:val="296"/>
        </w:trPr>
        <w:tc>
          <w:tcPr>
            <w:tcW w:w="0" w:type="auto"/>
            <w:hideMark/>
          </w:tcPr>
          <w:p w14:paraId="4649B85D" w14:textId="77777777" w:rsidR="00444FD6" w:rsidRDefault="00CC34DB">
            <w:r>
              <w:rPr>
                <w:rStyle w:val="Strong"/>
              </w:rPr>
              <w:t>X</w:t>
            </w:r>
            <w:r>
              <w:rPr>
                <w:rStyle w:val="Strong"/>
                <w:rFonts w:ascii="Cambria Math" w:hAnsi="Cambria Math" w:cs="Cambria Math"/>
              </w:rPr>
              <w:t>₄</w:t>
            </w:r>
          </w:p>
        </w:tc>
        <w:tc>
          <w:tcPr>
            <w:tcW w:w="0" w:type="auto"/>
            <w:hideMark/>
          </w:tcPr>
          <w:p w14:paraId="1532B0B0" w14:textId="77777777" w:rsidR="00444FD6" w:rsidRDefault="00CC34DB">
            <w:r>
              <w:t>0.90</w:t>
            </w:r>
          </w:p>
        </w:tc>
        <w:tc>
          <w:tcPr>
            <w:tcW w:w="0" w:type="auto"/>
            <w:hideMark/>
          </w:tcPr>
          <w:p w14:paraId="54B10ECD" w14:textId="77777777" w:rsidR="00444FD6" w:rsidRDefault="00CC34DB">
            <w:r>
              <w:t>1.01</w:t>
            </w:r>
          </w:p>
        </w:tc>
        <w:tc>
          <w:tcPr>
            <w:tcW w:w="0" w:type="auto"/>
            <w:hideMark/>
          </w:tcPr>
          <w:p w14:paraId="2791B786" w14:textId="77777777" w:rsidR="00444FD6" w:rsidRDefault="00CC34DB">
            <w:r>
              <w:t>1.14</w:t>
            </w:r>
          </w:p>
        </w:tc>
        <w:tc>
          <w:tcPr>
            <w:tcW w:w="0" w:type="auto"/>
            <w:hideMark/>
          </w:tcPr>
          <w:p w14:paraId="1C3A5C7C" w14:textId="77777777" w:rsidR="00444FD6" w:rsidRDefault="00CC34DB">
            <w:r>
              <w:t>1.18</w:t>
            </w:r>
          </w:p>
        </w:tc>
        <w:tc>
          <w:tcPr>
            <w:tcW w:w="0" w:type="auto"/>
            <w:hideMark/>
          </w:tcPr>
          <w:p w14:paraId="05FABB7F" w14:textId="77777777" w:rsidR="00444FD6" w:rsidRDefault="00CC34DB">
            <w:r>
              <w:t>1.59</w:t>
            </w:r>
          </w:p>
        </w:tc>
      </w:tr>
      <w:tr w:rsidR="00444FD6" w14:paraId="15FDAF45" w14:textId="77777777">
        <w:trPr>
          <w:trHeight w:val="296"/>
        </w:trPr>
        <w:tc>
          <w:tcPr>
            <w:tcW w:w="0" w:type="auto"/>
            <w:hideMark/>
          </w:tcPr>
          <w:p w14:paraId="7C81AFEA" w14:textId="77777777" w:rsidR="00444FD6" w:rsidRDefault="00CC34DB">
            <w:r>
              <w:rPr>
                <w:rStyle w:val="Strong"/>
              </w:rPr>
              <w:t>X</w:t>
            </w:r>
            <w:r>
              <w:rPr>
                <w:rStyle w:val="Strong"/>
                <w:rFonts w:ascii="Cambria Math" w:hAnsi="Cambria Math" w:cs="Cambria Math"/>
              </w:rPr>
              <w:t>₅</w:t>
            </w:r>
          </w:p>
        </w:tc>
        <w:tc>
          <w:tcPr>
            <w:tcW w:w="0" w:type="auto"/>
            <w:hideMark/>
          </w:tcPr>
          <w:p w14:paraId="16469514" w14:textId="77777777" w:rsidR="00444FD6" w:rsidRDefault="00CC34DB">
            <w:r>
              <w:t>1.22</w:t>
            </w:r>
          </w:p>
        </w:tc>
        <w:tc>
          <w:tcPr>
            <w:tcW w:w="0" w:type="auto"/>
            <w:hideMark/>
          </w:tcPr>
          <w:p w14:paraId="2CD1D77D" w14:textId="77777777" w:rsidR="00444FD6" w:rsidRDefault="00CC34DB">
            <w:r>
              <w:t>1.18</w:t>
            </w:r>
          </w:p>
        </w:tc>
        <w:tc>
          <w:tcPr>
            <w:tcW w:w="0" w:type="auto"/>
            <w:hideMark/>
          </w:tcPr>
          <w:p w14:paraId="0944AB3C" w14:textId="77777777" w:rsidR="00444FD6" w:rsidRDefault="00CC34DB">
            <w:r>
              <w:t>1.08</w:t>
            </w:r>
          </w:p>
        </w:tc>
        <w:tc>
          <w:tcPr>
            <w:tcW w:w="0" w:type="auto"/>
            <w:hideMark/>
          </w:tcPr>
          <w:p w14:paraId="2A69C197" w14:textId="77777777" w:rsidR="00444FD6" w:rsidRDefault="00CC34DB">
            <w:r>
              <w:t>1.18</w:t>
            </w:r>
          </w:p>
        </w:tc>
        <w:tc>
          <w:tcPr>
            <w:tcW w:w="0" w:type="auto"/>
            <w:hideMark/>
          </w:tcPr>
          <w:p w14:paraId="36347873" w14:textId="77777777" w:rsidR="00444FD6" w:rsidRDefault="00CC34DB">
            <w:r>
              <w:t>1.20</w:t>
            </w:r>
          </w:p>
        </w:tc>
      </w:tr>
      <w:tr w:rsidR="00444FD6" w14:paraId="00AC09AE" w14:textId="77777777">
        <w:trPr>
          <w:trHeight w:val="296"/>
        </w:trPr>
        <w:tc>
          <w:tcPr>
            <w:tcW w:w="0" w:type="auto"/>
            <w:hideMark/>
          </w:tcPr>
          <w:p w14:paraId="4039953A" w14:textId="77777777" w:rsidR="00444FD6" w:rsidRDefault="00CC34DB">
            <w:r>
              <w:rPr>
                <w:rStyle w:val="Strong"/>
              </w:rPr>
              <w:t>Z-Score</w:t>
            </w:r>
          </w:p>
        </w:tc>
        <w:tc>
          <w:tcPr>
            <w:tcW w:w="0" w:type="auto"/>
            <w:hideMark/>
          </w:tcPr>
          <w:p w14:paraId="7C1E9D85" w14:textId="77777777" w:rsidR="00444FD6" w:rsidRDefault="00CC34DB">
            <w:r>
              <w:rPr>
                <w:rStyle w:val="Strong"/>
              </w:rPr>
              <w:t>2.82</w:t>
            </w:r>
          </w:p>
        </w:tc>
        <w:tc>
          <w:tcPr>
            <w:tcW w:w="0" w:type="auto"/>
            <w:hideMark/>
          </w:tcPr>
          <w:p w14:paraId="3D8DF426" w14:textId="77777777" w:rsidR="00444FD6" w:rsidRDefault="00CC34DB">
            <w:r>
              <w:rPr>
                <w:rStyle w:val="Strong"/>
              </w:rPr>
              <w:t>2.24</w:t>
            </w:r>
          </w:p>
        </w:tc>
        <w:tc>
          <w:tcPr>
            <w:tcW w:w="0" w:type="auto"/>
            <w:hideMark/>
          </w:tcPr>
          <w:p w14:paraId="09DC20D0" w14:textId="77777777" w:rsidR="00444FD6" w:rsidRDefault="00CC34DB">
            <w:r>
              <w:rPr>
                <w:rStyle w:val="Strong"/>
              </w:rPr>
              <w:t>3.06</w:t>
            </w:r>
          </w:p>
        </w:tc>
        <w:tc>
          <w:tcPr>
            <w:tcW w:w="0" w:type="auto"/>
            <w:hideMark/>
          </w:tcPr>
          <w:p w14:paraId="5CE37838" w14:textId="77777777" w:rsidR="00444FD6" w:rsidRDefault="00CC34DB">
            <w:r>
              <w:rPr>
                <w:rStyle w:val="Strong"/>
              </w:rPr>
              <w:t>3.22</w:t>
            </w:r>
          </w:p>
        </w:tc>
        <w:tc>
          <w:tcPr>
            <w:tcW w:w="0" w:type="auto"/>
            <w:hideMark/>
          </w:tcPr>
          <w:p w14:paraId="1D87E013" w14:textId="77777777" w:rsidR="00444FD6" w:rsidRDefault="00CC34DB">
            <w:r>
              <w:rPr>
                <w:rStyle w:val="Strong"/>
              </w:rPr>
              <w:t>3.64</w:t>
            </w:r>
          </w:p>
        </w:tc>
      </w:tr>
    </w:tbl>
    <w:p w14:paraId="62FC0458" w14:textId="77777777" w:rsidR="00444FD6" w:rsidRDefault="00444FD6">
      <w:pPr>
        <w:rPr>
          <w:b/>
          <w:bCs/>
        </w:rPr>
      </w:pPr>
    </w:p>
    <w:tbl>
      <w:tblPr>
        <w:tblStyle w:val="TableGrid"/>
        <w:tblW w:w="9508" w:type="dxa"/>
        <w:tblLook w:val="04A0" w:firstRow="1" w:lastRow="0" w:firstColumn="1" w:lastColumn="0" w:noHBand="0" w:noVBand="1"/>
      </w:tblPr>
      <w:tblGrid>
        <w:gridCol w:w="2190"/>
        <w:gridCol w:w="2195"/>
        <w:gridCol w:w="5123"/>
      </w:tblGrid>
      <w:tr w:rsidR="00216B18" w14:paraId="2C788D95" w14:textId="77777777" w:rsidTr="00DF2C32">
        <w:trPr>
          <w:trHeight w:val="940"/>
        </w:trPr>
        <w:tc>
          <w:tcPr>
            <w:tcW w:w="2190" w:type="dxa"/>
            <w:hideMark/>
          </w:tcPr>
          <w:p w14:paraId="2F8F8FD5" w14:textId="77777777" w:rsidR="00216B18" w:rsidRDefault="00216B18" w:rsidP="00DF2C32">
            <w:pPr>
              <w:spacing w:line="360" w:lineRule="auto"/>
              <w:rPr>
                <w:b/>
                <w:bCs/>
                <w:lang w:val="en-GB"/>
              </w:rPr>
            </w:pPr>
            <w:r>
              <w:rPr>
                <w:b/>
                <w:bCs/>
                <w:lang w:val="en-GB"/>
              </w:rPr>
              <w:t>Year</w:t>
            </w:r>
          </w:p>
        </w:tc>
        <w:tc>
          <w:tcPr>
            <w:tcW w:w="2195" w:type="dxa"/>
            <w:hideMark/>
          </w:tcPr>
          <w:p w14:paraId="318D9F0B" w14:textId="77777777" w:rsidR="00216B18" w:rsidRDefault="00216B18" w:rsidP="00DF2C32">
            <w:pPr>
              <w:spacing w:line="360" w:lineRule="auto"/>
              <w:rPr>
                <w:b/>
                <w:bCs/>
                <w:lang w:val="en-GB"/>
              </w:rPr>
            </w:pPr>
            <w:r>
              <w:rPr>
                <w:b/>
                <w:bCs/>
                <w:lang w:val="en-GB"/>
              </w:rPr>
              <w:t>Altman Z-Score</w:t>
            </w:r>
          </w:p>
        </w:tc>
        <w:tc>
          <w:tcPr>
            <w:tcW w:w="5123" w:type="dxa"/>
            <w:hideMark/>
          </w:tcPr>
          <w:p w14:paraId="211B3979" w14:textId="77777777" w:rsidR="00216B18" w:rsidRDefault="00216B18" w:rsidP="00DF2C32">
            <w:pPr>
              <w:spacing w:line="360" w:lineRule="auto"/>
              <w:rPr>
                <w:b/>
                <w:bCs/>
                <w:lang w:val="en-GB"/>
              </w:rPr>
            </w:pPr>
            <w:r>
              <w:rPr>
                <w:b/>
                <w:bCs/>
                <w:lang w:val="en-GB"/>
              </w:rPr>
              <w:t>Zone</w:t>
            </w:r>
          </w:p>
        </w:tc>
      </w:tr>
      <w:tr w:rsidR="00216B18" w14:paraId="723351D0" w14:textId="77777777" w:rsidTr="00DF2C32">
        <w:trPr>
          <w:trHeight w:val="260"/>
        </w:trPr>
        <w:tc>
          <w:tcPr>
            <w:tcW w:w="2190" w:type="dxa"/>
            <w:hideMark/>
          </w:tcPr>
          <w:p w14:paraId="27DC5091" w14:textId="77777777" w:rsidR="00216B18" w:rsidRDefault="00216B18" w:rsidP="00DF2C32">
            <w:pPr>
              <w:spacing w:line="360" w:lineRule="auto"/>
              <w:rPr>
                <w:lang w:val="en-GB"/>
              </w:rPr>
            </w:pPr>
            <w:r>
              <w:rPr>
                <w:lang w:val="en-GB"/>
              </w:rPr>
              <w:t>2020</w:t>
            </w:r>
          </w:p>
        </w:tc>
        <w:tc>
          <w:tcPr>
            <w:tcW w:w="2195" w:type="dxa"/>
            <w:hideMark/>
          </w:tcPr>
          <w:p w14:paraId="4A0B906F" w14:textId="77777777" w:rsidR="00216B18" w:rsidRDefault="00216B18" w:rsidP="00DF2C32">
            <w:pPr>
              <w:spacing w:line="360" w:lineRule="auto"/>
              <w:rPr>
                <w:lang w:val="en-GB"/>
              </w:rPr>
            </w:pPr>
            <w:r>
              <w:rPr>
                <w:lang w:val="en-GB"/>
              </w:rPr>
              <w:t>3.</w:t>
            </w:r>
            <w:r>
              <w:t>64</w:t>
            </w:r>
          </w:p>
        </w:tc>
        <w:tc>
          <w:tcPr>
            <w:tcW w:w="5123" w:type="dxa"/>
            <w:hideMark/>
          </w:tcPr>
          <w:p w14:paraId="38B0D049" w14:textId="77777777" w:rsidR="00216B18" w:rsidRDefault="00216B18" w:rsidP="00DF2C32">
            <w:pPr>
              <w:spacing w:line="360" w:lineRule="auto"/>
              <w:rPr>
                <w:lang w:val="en-GB"/>
              </w:rPr>
            </w:pPr>
            <w:r>
              <w:rPr>
                <w:b/>
                <w:bCs/>
                <w:lang w:val="en-GB"/>
              </w:rPr>
              <w:t>Safe Zone</w:t>
            </w:r>
            <w:r>
              <w:rPr>
                <w:lang w:val="en-GB"/>
              </w:rPr>
              <w:t xml:space="preserve"> (Green)</w:t>
            </w:r>
          </w:p>
        </w:tc>
      </w:tr>
      <w:tr w:rsidR="00216B18" w14:paraId="2B7C2FBE" w14:textId="77777777" w:rsidTr="00DF2C32">
        <w:trPr>
          <w:trHeight w:val="296"/>
        </w:trPr>
        <w:tc>
          <w:tcPr>
            <w:tcW w:w="2190" w:type="dxa"/>
            <w:hideMark/>
          </w:tcPr>
          <w:p w14:paraId="35D69BD6" w14:textId="77777777" w:rsidR="00216B18" w:rsidRDefault="00216B18" w:rsidP="00DF2C32">
            <w:pPr>
              <w:spacing w:line="360" w:lineRule="auto"/>
              <w:rPr>
                <w:lang w:val="en-GB"/>
              </w:rPr>
            </w:pPr>
            <w:r>
              <w:rPr>
                <w:lang w:val="en-GB"/>
              </w:rPr>
              <w:t>2021</w:t>
            </w:r>
          </w:p>
        </w:tc>
        <w:tc>
          <w:tcPr>
            <w:tcW w:w="2195" w:type="dxa"/>
            <w:hideMark/>
          </w:tcPr>
          <w:p w14:paraId="05254394" w14:textId="77777777" w:rsidR="00216B18" w:rsidRDefault="00216B18" w:rsidP="00DF2C32">
            <w:pPr>
              <w:spacing w:line="360" w:lineRule="auto"/>
              <w:rPr>
                <w:lang w:val="en-GB"/>
              </w:rPr>
            </w:pPr>
            <w:r>
              <w:t>3.22</w:t>
            </w:r>
          </w:p>
        </w:tc>
        <w:tc>
          <w:tcPr>
            <w:tcW w:w="5123" w:type="dxa"/>
            <w:hideMark/>
          </w:tcPr>
          <w:p w14:paraId="019E2849" w14:textId="77777777" w:rsidR="00216B18" w:rsidRDefault="00216B18" w:rsidP="00DF2C32">
            <w:pPr>
              <w:spacing w:line="360" w:lineRule="auto"/>
              <w:rPr>
                <w:lang w:val="en-GB"/>
              </w:rPr>
            </w:pPr>
            <w:r>
              <w:rPr>
                <w:b/>
                <w:bCs/>
                <w:lang w:val="en-GB"/>
              </w:rPr>
              <w:t>Safe Zone</w:t>
            </w:r>
            <w:r>
              <w:rPr>
                <w:lang w:val="en-GB"/>
              </w:rPr>
              <w:t xml:space="preserve"> (Green)</w:t>
            </w:r>
          </w:p>
        </w:tc>
      </w:tr>
      <w:tr w:rsidR="00216B18" w14:paraId="686BD17B" w14:textId="77777777" w:rsidTr="00DF2C32">
        <w:trPr>
          <w:trHeight w:val="67"/>
        </w:trPr>
        <w:tc>
          <w:tcPr>
            <w:tcW w:w="2190" w:type="dxa"/>
            <w:hideMark/>
          </w:tcPr>
          <w:p w14:paraId="564060D8" w14:textId="77777777" w:rsidR="00216B18" w:rsidRDefault="00216B18" w:rsidP="00DF2C32">
            <w:pPr>
              <w:spacing w:line="360" w:lineRule="auto"/>
              <w:rPr>
                <w:lang w:val="en-GB"/>
              </w:rPr>
            </w:pPr>
            <w:r>
              <w:rPr>
                <w:lang w:val="en-GB"/>
              </w:rPr>
              <w:t>2022</w:t>
            </w:r>
          </w:p>
        </w:tc>
        <w:tc>
          <w:tcPr>
            <w:tcW w:w="2195" w:type="dxa"/>
            <w:hideMark/>
          </w:tcPr>
          <w:p w14:paraId="7ED0151F" w14:textId="77777777" w:rsidR="00216B18" w:rsidRDefault="00216B18" w:rsidP="00DF2C32">
            <w:pPr>
              <w:spacing w:line="360" w:lineRule="auto"/>
              <w:rPr>
                <w:lang w:val="en-GB"/>
              </w:rPr>
            </w:pPr>
            <w:r>
              <w:t>3.06</w:t>
            </w:r>
          </w:p>
        </w:tc>
        <w:tc>
          <w:tcPr>
            <w:tcW w:w="5123" w:type="dxa"/>
            <w:hideMark/>
          </w:tcPr>
          <w:p w14:paraId="0FC735E8" w14:textId="77777777" w:rsidR="00216B18" w:rsidRDefault="00216B18" w:rsidP="00DF2C32">
            <w:pPr>
              <w:spacing w:line="360" w:lineRule="auto"/>
              <w:rPr>
                <w:lang w:val="en-GB"/>
              </w:rPr>
            </w:pPr>
            <w:r>
              <w:rPr>
                <w:b/>
                <w:bCs/>
                <w:lang w:val="en-GB"/>
              </w:rPr>
              <w:t>Safe Zone</w:t>
            </w:r>
            <w:r>
              <w:rPr>
                <w:lang w:val="en-GB"/>
              </w:rPr>
              <w:t xml:space="preserve"> (Green)</w:t>
            </w:r>
          </w:p>
        </w:tc>
      </w:tr>
      <w:tr w:rsidR="00216B18" w14:paraId="6C31D2D9" w14:textId="77777777" w:rsidTr="00DF2C32">
        <w:trPr>
          <w:trHeight w:val="161"/>
        </w:trPr>
        <w:tc>
          <w:tcPr>
            <w:tcW w:w="2190" w:type="dxa"/>
            <w:hideMark/>
          </w:tcPr>
          <w:p w14:paraId="0B505179" w14:textId="77777777" w:rsidR="00216B18" w:rsidRDefault="00216B18" w:rsidP="00DF2C32">
            <w:pPr>
              <w:spacing w:line="360" w:lineRule="auto"/>
              <w:rPr>
                <w:lang w:val="en-GB"/>
              </w:rPr>
            </w:pPr>
            <w:r>
              <w:rPr>
                <w:lang w:val="en-GB"/>
              </w:rPr>
              <w:t>2023</w:t>
            </w:r>
          </w:p>
        </w:tc>
        <w:tc>
          <w:tcPr>
            <w:tcW w:w="2195" w:type="dxa"/>
            <w:hideMark/>
          </w:tcPr>
          <w:p w14:paraId="2352571D" w14:textId="77777777" w:rsidR="00216B18" w:rsidRDefault="00216B18" w:rsidP="00DF2C32">
            <w:pPr>
              <w:spacing w:line="360" w:lineRule="auto"/>
              <w:rPr>
                <w:lang w:val="en-GB"/>
              </w:rPr>
            </w:pPr>
            <w:r>
              <w:t>2.24</w:t>
            </w:r>
          </w:p>
        </w:tc>
        <w:tc>
          <w:tcPr>
            <w:tcW w:w="5123" w:type="dxa"/>
            <w:hideMark/>
          </w:tcPr>
          <w:p w14:paraId="28E4CA4E" w14:textId="77777777" w:rsidR="00216B18" w:rsidRDefault="00216B18" w:rsidP="00DF2C32">
            <w:pPr>
              <w:spacing w:line="360" w:lineRule="auto"/>
              <w:rPr>
                <w:lang w:val="en-GB"/>
              </w:rPr>
            </w:pPr>
            <w:r>
              <w:rPr>
                <w:b/>
                <w:bCs/>
                <w:lang w:val="en-GB"/>
              </w:rPr>
              <w:t>Grey Zone</w:t>
            </w:r>
            <w:r>
              <w:rPr>
                <w:lang w:val="en-GB"/>
              </w:rPr>
              <w:t xml:space="preserve"> (Yellow)</w:t>
            </w:r>
          </w:p>
        </w:tc>
      </w:tr>
      <w:tr w:rsidR="00216B18" w14:paraId="1EDFDFB8" w14:textId="77777777" w:rsidTr="00DF2C32">
        <w:trPr>
          <w:trHeight w:val="89"/>
        </w:trPr>
        <w:tc>
          <w:tcPr>
            <w:tcW w:w="2190" w:type="dxa"/>
            <w:hideMark/>
          </w:tcPr>
          <w:p w14:paraId="4E72B7BB" w14:textId="77777777" w:rsidR="00216B18" w:rsidRDefault="00216B18" w:rsidP="00DF2C32">
            <w:pPr>
              <w:spacing w:line="360" w:lineRule="auto"/>
              <w:rPr>
                <w:lang w:val="en-GB"/>
              </w:rPr>
            </w:pPr>
            <w:r>
              <w:rPr>
                <w:lang w:val="en-GB"/>
              </w:rPr>
              <w:t>2024</w:t>
            </w:r>
          </w:p>
        </w:tc>
        <w:tc>
          <w:tcPr>
            <w:tcW w:w="2195" w:type="dxa"/>
            <w:hideMark/>
          </w:tcPr>
          <w:p w14:paraId="21FF662A" w14:textId="77777777" w:rsidR="00216B18" w:rsidRDefault="00216B18" w:rsidP="00DF2C32">
            <w:pPr>
              <w:spacing w:line="360" w:lineRule="auto"/>
              <w:rPr>
                <w:lang w:val="en-GB"/>
              </w:rPr>
            </w:pPr>
            <w:r>
              <w:t>2.82</w:t>
            </w:r>
          </w:p>
        </w:tc>
        <w:tc>
          <w:tcPr>
            <w:tcW w:w="5123" w:type="dxa"/>
            <w:hideMark/>
          </w:tcPr>
          <w:p w14:paraId="5DFF1BF1" w14:textId="77777777" w:rsidR="00216B18" w:rsidRDefault="00216B18" w:rsidP="00DF2C32">
            <w:pPr>
              <w:spacing w:line="360" w:lineRule="auto"/>
              <w:rPr>
                <w:lang w:val="en-GB"/>
              </w:rPr>
            </w:pPr>
            <w:r>
              <w:rPr>
                <w:b/>
                <w:bCs/>
              </w:rPr>
              <w:t>Gray</w:t>
            </w:r>
            <w:r>
              <w:rPr>
                <w:b/>
                <w:bCs/>
                <w:lang w:val="en-GB"/>
              </w:rPr>
              <w:t xml:space="preserve"> Zone</w:t>
            </w:r>
            <w:r>
              <w:rPr>
                <w:lang w:val="en-GB"/>
              </w:rPr>
              <w:t xml:space="preserve"> (</w:t>
            </w:r>
            <w:r>
              <w:t>Improve Compare to 2023</w:t>
            </w:r>
            <w:r>
              <w:rPr>
                <w:lang w:val="en-GB"/>
              </w:rPr>
              <w:t>)</w:t>
            </w:r>
          </w:p>
        </w:tc>
      </w:tr>
    </w:tbl>
    <w:p w14:paraId="13B62C3E" w14:textId="77777777" w:rsidR="00444FD6" w:rsidRDefault="00444FD6">
      <w:pPr>
        <w:rPr>
          <w:b/>
          <w:bCs/>
        </w:rPr>
      </w:pPr>
    </w:p>
    <w:p w14:paraId="4ECC0E61" w14:textId="77777777" w:rsidR="00444FD6" w:rsidRDefault="00444FD6">
      <w:pPr>
        <w:rPr>
          <w:b/>
          <w:bCs/>
        </w:rPr>
      </w:pPr>
    </w:p>
    <w:p w14:paraId="05508080" w14:textId="77777777" w:rsidR="00444FD6" w:rsidRDefault="00444FD6">
      <w:pPr>
        <w:rPr>
          <w:b/>
          <w:bCs/>
        </w:rPr>
      </w:pPr>
    </w:p>
    <w:p w14:paraId="7C5E5921" w14:textId="77777777" w:rsidR="00444FD6" w:rsidRDefault="00444FD6">
      <w:pPr>
        <w:rPr>
          <w:b/>
          <w:bCs/>
        </w:rPr>
      </w:pPr>
    </w:p>
    <w:p w14:paraId="4A8E54C1" w14:textId="77777777" w:rsidR="00444FD6" w:rsidRDefault="00444FD6">
      <w:pPr>
        <w:rPr>
          <w:b/>
          <w:bCs/>
        </w:rPr>
      </w:pPr>
    </w:p>
    <w:p w14:paraId="51563D10" w14:textId="77777777" w:rsidR="00444FD6" w:rsidRDefault="00444FD6">
      <w:pPr>
        <w:rPr>
          <w:b/>
          <w:bCs/>
        </w:rPr>
      </w:pPr>
    </w:p>
    <w:p w14:paraId="74717D8E" w14:textId="77777777" w:rsidR="00444FD6" w:rsidRDefault="00444FD6">
      <w:pPr>
        <w:rPr>
          <w:b/>
          <w:bCs/>
        </w:rPr>
      </w:pPr>
    </w:p>
    <w:p w14:paraId="40EA9C42" w14:textId="77777777" w:rsidR="00444FD6" w:rsidRDefault="00444FD6">
      <w:pPr>
        <w:rPr>
          <w:b/>
          <w:bCs/>
        </w:rPr>
      </w:pPr>
    </w:p>
    <w:p w14:paraId="03796A92" w14:textId="77777777" w:rsidR="00444FD6" w:rsidRDefault="00444FD6">
      <w:pPr>
        <w:rPr>
          <w:b/>
          <w:bCs/>
        </w:rPr>
      </w:pPr>
    </w:p>
    <w:p w14:paraId="63FA074D" w14:textId="77777777" w:rsidR="00444FD6" w:rsidRDefault="00444FD6">
      <w:pPr>
        <w:rPr>
          <w:b/>
          <w:bCs/>
        </w:rPr>
      </w:pPr>
    </w:p>
    <w:p w14:paraId="09F711E2" w14:textId="77777777" w:rsidR="00444FD6" w:rsidRDefault="00444FD6">
      <w:pPr>
        <w:rPr>
          <w:b/>
          <w:bCs/>
        </w:rPr>
      </w:pPr>
    </w:p>
    <w:p w14:paraId="6675B6B5" w14:textId="77777777" w:rsidR="00444FD6" w:rsidRDefault="00444FD6">
      <w:pPr>
        <w:rPr>
          <w:b/>
          <w:bCs/>
        </w:rPr>
      </w:pPr>
    </w:p>
    <w:p w14:paraId="4CEF3304" w14:textId="77777777" w:rsidR="00444FD6" w:rsidRDefault="00444FD6">
      <w:pPr>
        <w:rPr>
          <w:b/>
          <w:bCs/>
        </w:rPr>
      </w:pPr>
    </w:p>
    <w:p w14:paraId="0F850490" w14:textId="77777777" w:rsidR="00444FD6" w:rsidRDefault="00CC34DB">
      <w:pPr>
        <w:rPr>
          <w:b/>
          <w:bCs/>
        </w:rPr>
      </w:pPr>
      <w:r>
        <w:rPr>
          <w:b/>
          <w:bCs/>
        </w:rPr>
        <w:t>PBP</w:t>
      </w:r>
      <w:r>
        <w:rPr>
          <w:b/>
          <w:bCs/>
        </w:rPr>
        <w:t>,NPV,PI,IRR,ARR</w:t>
      </w:r>
      <w:r>
        <w:rPr>
          <w:b/>
          <w:bCs/>
        </w:rPr>
        <w:t xml:space="preserve"> calculation</w:t>
      </w:r>
    </w:p>
    <w:tbl>
      <w:tblPr>
        <w:tblW w:w="5000" w:type="pct"/>
        <w:tblLook w:val="04A0" w:firstRow="1" w:lastRow="0" w:firstColumn="1" w:lastColumn="0" w:noHBand="0" w:noVBand="1"/>
      </w:tblPr>
      <w:tblGrid>
        <w:gridCol w:w="1201"/>
        <w:gridCol w:w="1989"/>
        <w:gridCol w:w="616"/>
        <w:gridCol w:w="1989"/>
        <w:gridCol w:w="616"/>
        <w:gridCol w:w="1989"/>
        <w:gridCol w:w="616"/>
      </w:tblGrid>
      <w:tr w:rsidR="00444FD6" w14:paraId="6AAA1BC7" w14:textId="2178DFE5">
        <w:trPr>
          <w:trHeight w:val="310"/>
        </w:trPr>
        <w:tc>
          <w:tcPr>
            <w:tcW w:w="5000" w:type="pct"/>
            <w:gridSpan w:val="7"/>
            <w:tcBorders>
              <w:top w:val="single" w:sz="4" w:space="0" w:color="505050"/>
              <w:left w:val="single" w:sz="4" w:space="0" w:color="505050"/>
              <w:bottom w:val="single" w:sz="4" w:space="0" w:color="505050"/>
              <w:right w:val="single" w:sz="4" w:space="0" w:color="505050"/>
            </w:tcBorders>
            <w:noWrap/>
            <w:vAlign w:val="bottom"/>
            <w:hideMark/>
          </w:tcPr>
          <w:p w14:paraId="7D0CAF32" w14:textId="77777777" w:rsidR="00444FD6" w:rsidRDefault="00CC34DB">
            <w:pPr>
              <w:spacing w:line="240" w:lineRule="auto"/>
              <w:jc w:val="center"/>
              <w:rPr>
                <w:rFonts w:eastAsia="Times New Roman"/>
                <w:color w:val="000000"/>
                <w:lang w:val="en-GB"/>
              </w:rPr>
            </w:pPr>
            <w:r>
              <w:rPr>
                <w:rFonts w:eastAsia="Times New Roman"/>
                <w:color w:val="000000"/>
                <w:lang w:val="en-GB"/>
              </w:rPr>
              <w:t xml:space="preserve">Payback Period </w:t>
            </w:r>
          </w:p>
        </w:tc>
      </w:tr>
      <w:tr w:rsidR="00444FD6" w14:paraId="7CF96505" w14:textId="340E9D2D">
        <w:trPr>
          <w:trHeight w:val="310"/>
        </w:trPr>
        <w:tc>
          <w:tcPr>
            <w:tcW w:w="779" w:type="pct"/>
            <w:tcBorders>
              <w:top w:val="nil"/>
              <w:left w:val="single" w:sz="4" w:space="0" w:color="505050"/>
              <w:bottom w:val="single" w:sz="4" w:space="0" w:color="505050"/>
              <w:right w:val="single" w:sz="4" w:space="0" w:color="505050"/>
            </w:tcBorders>
            <w:noWrap/>
            <w:vAlign w:val="bottom"/>
            <w:hideMark/>
          </w:tcPr>
          <w:p w14:paraId="1AF8A2D9" w14:textId="77777777" w:rsidR="00444FD6" w:rsidRDefault="00CC34DB">
            <w:pPr>
              <w:spacing w:line="240" w:lineRule="auto"/>
              <w:jc w:val="left"/>
              <w:rPr>
                <w:rFonts w:eastAsia="Times New Roman"/>
                <w:color w:val="000000"/>
                <w:lang w:val="en-GB"/>
              </w:rPr>
            </w:pPr>
            <w:r>
              <w:rPr>
                <w:rFonts w:eastAsia="Times New Roman"/>
                <w:color w:val="000000"/>
                <w:lang w:val="en-GB"/>
              </w:rPr>
              <w:t> </w:t>
            </w:r>
          </w:p>
        </w:tc>
        <w:tc>
          <w:tcPr>
            <w:tcW w:w="1407" w:type="pct"/>
            <w:gridSpan w:val="2"/>
            <w:tcBorders>
              <w:top w:val="nil"/>
              <w:left w:val="nil"/>
              <w:bottom w:val="single" w:sz="4" w:space="0" w:color="505050"/>
              <w:right w:val="single" w:sz="4" w:space="0" w:color="505050"/>
            </w:tcBorders>
            <w:noWrap/>
            <w:vAlign w:val="bottom"/>
            <w:hideMark/>
          </w:tcPr>
          <w:p w14:paraId="4F8C147B" w14:textId="77777777" w:rsidR="00444FD6" w:rsidRDefault="00CC34DB">
            <w:pPr>
              <w:spacing w:line="240" w:lineRule="auto"/>
              <w:jc w:val="center"/>
              <w:rPr>
                <w:rFonts w:eastAsia="Times New Roman"/>
                <w:color w:val="000000"/>
                <w:lang w:val="en-GB"/>
              </w:rPr>
            </w:pPr>
            <w:r>
              <w:rPr>
                <w:rFonts w:eastAsia="Times New Roman"/>
                <w:color w:val="000000"/>
                <w:lang w:val="en-GB"/>
              </w:rPr>
              <w:t>A</w:t>
            </w:r>
          </w:p>
        </w:tc>
        <w:tc>
          <w:tcPr>
            <w:tcW w:w="1407" w:type="pct"/>
            <w:gridSpan w:val="2"/>
            <w:tcBorders>
              <w:top w:val="nil"/>
              <w:left w:val="nil"/>
              <w:bottom w:val="single" w:sz="4" w:space="0" w:color="505050"/>
              <w:right w:val="single" w:sz="4" w:space="0" w:color="505050"/>
            </w:tcBorders>
            <w:noWrap/>
            <w:vAlign w:val="bottom"/>
            <w:hideMark/>
          </w:tcPr>
          <w:p w14:paraId="4BFA8E9F" w14:textId="77777777" w:rsidR="00444FD6" w:rsidRDefault="00CC34DB">
            <w:pPr>
              <w:spacing w:line="240" w:lineRule="auto"/>
              <w:jc w:val="center"/>
              <w:rPr>
                <w:rFonts w:eastAsia="Times New Roman"/>
                <w:color w:val="000000"/>
                <w:lang w:val="en-GB"/>
              </w:rPr>
            </w:pPr>
            <w:r>
              <w:rPr>
                <w:rFonts w:eastAsia="Times New Roman"/>
                <w:color w:val="000000"/>
                <w:lang w:val="en-GB"/>
              </w:rPr>
              <w:t>B</w:t>
            </w:r>
          </w:p>
        </w:tc>
        <w:tc>
          <w:tcPr>
            <w:tcW w:w="1407" w:type="pct"/>
            <w:gridSpan w:val="2"/>
            <w:tcBorders>
              <w:top w:val="nil"/>
              <w:left w:val="nil"/>
              <w:bottom w:val="single" w:sz="4" w:space="0" w:color="505050"/>
              <w:right w:val="single" w:sz="4" w:space="0" w:color="505050"/>
            </w:tcBorders>
            <w:noWrap/>
            <w:vAlign w:val="bottom"/>
            <w:hideMark/>
          </w:tcPr>
          <w:p w14:paraId="663E3EBA" w14:textId="77777777" w:rsidR="00444FD6" w:rsidRDefault="00CC34DB">
            <w:pPr>
              <w:spacing w:line="240" w:lineRule="auto"/>
              <w:jc w:val="center"/>
              <w:rPr>
                <w:rFonts w:eastAsia="Times New Roman"/>
                <w:color w:val="000000"/>
                <w:lang w:val="en-GB"/>
              </w:rPr>
            </w:pPr>
            <w:r>
              <w:rPr>
                <w:rFonts w:eastAsia="Times New Roman"/>
                <w:color w:val="000000"/>
                <w:lang w:val="en-GB"/>
              </w:rPr>
              <w:t>C</w:t>
            </w:r>
          </w:p>
        </w:tc>
      </w:tr>
      <w:tr w:rsidR="00444FD6" w14:paraId="5CF7DBF8" w14:textId="5081CFC6">
        <w:trPr>
          <w:trHeight w:val="310"/>
        </w:trPr>
        <w:tc>
          <w:tcPr>
            <w:tcW w:w="779" w:type="pct"/>
            <w:tcBorders>
              <w:top w:val="nil"/>
              <w:left w:val="single" w:sz="4" w:space="0" w:color="505050"/>
              <w:bottom w:val="single" w:sz="4" w:space="0" w:color="505050"/>
              <w:right w:val="single" w:sz="4" w:space="0" w:color="505050"/>
            </w:tcBorders>
            <w:noWrap/>
            <w:vAlign w:val="bottom"/>
            <w:hideMark/>
          </w:tcPr>
          <w:p w14:paraId="06A56FE6" w14:textId="77777777" w:rsidR="00444FD6" w:rsidRDefault="00CC34DB">
            <w:pPr>
              <w:spacing w:line="240" w:lineRule="auto"/>
              <w:jc w:val="left"/>
              <w:rPr>
                <w:rFonts w:eastAsia="Times New Roman"/>
                <w:color w:val="000000"/>
                <w:lang w:val="en-GB"/>
              </w:rPr>
            </w:pPr>
            <w:r>
              <w:rPr>
                <w:rFonts w:eastAsia="Times New Roman"/>
                <w:color w:val="000000"/>
                <w:lang w:val="en-GB"/>
              </w:rPr>
              <w:t>Year</w:t>
            </w:r>
          </w:p>
        </w:tc>
        <w:tc>
          <w:tcPr>
            <w:tcW w:w="1079" w:type="pct"/>
            <w:tcBorders>
              <w:top w:val="nil"/>
              <w:left w:val="nil"/>
              <w:bottom w:val="single" w:sz="4" w:space="0" w:color="505050"/>
              <w:right w:val="single" w:sz="4" w:space="0" w:color="505050"/>
            </w:tcBorders>
            <w:noWrap/>
            <w:vAlign w:val="bottom"/>
            <w:hideMark/>
          </w:tcPr>
          <w:p w14:paraId="13C2806E" w14:textId="47DC3939" w:rsidR="00444FD6" w:rsidRDefault="00CC34DB">
            <w:pPr>
              <w:spacing w:line="240" w:lineRule="auto"/>
              <w:jc w:val="left"/>
              <w:rPr>
                <w:rFonts w:eastAsia="Times New Roman"/>
                <w:color w:val="000000"/>
                <w:lang w:val="en-GB"/>
              </w:rPr>
            </w:pPr>
            <w:r>
              <w:rPr>
                <w:rFonts w:eastAsia="Times New Roman"/>
                <w:color w:val="000000"/>
                <w:lang w:val="en-GB"/>
              </w:rPr>
              <w:t>Free Cash Flow</w:t>
            </w:r>
            <w:r w:rsidR="002E08CD">
              <w:rPr>
                <w:rFonts w:eastAsia="Times New Roman"/>
                <w:color w:val="000000"/>
                <w:lang w:val="en-GB"/>
              </w:rPr>
              <w:t>(£m)</w:t>
            </w:r>
          </w:p>
        </w:tc>
        <w:tc>
          <w:tcPr>
            <w:tcW w:w="328" w:type="pct"/>
            <w:tcBorders>
              <w:top w:val="nil"/>
              <w:left w:val="nil"/>
              <w:bottom w:val="single" w:sz="4" w:space="0" w:color="505050"/>
              <w:right w:val="single" w:sz="4" w:space="0" w:color="505050"/>
            </w:tcBorders>
            <w:noWrap/>
            <w:vAlign w:val="bottom"/>
            <w:hideMark/>
          </w:tcPr>
          <w:p w14:paraId="27C5C671" w14:textId="77777777" w:rsidR="00444FD6" w:rsidRDefault="00CC34DB">
            <w:pPr>
              <w:spacing w:line="240" w:lineRule="auto"/>
              <w:jc w:val="left"/>
              <w:rPr>
                <w:rFonts w:eastAsia="Times New Roman"/>
                <w:color w:val="000000"/>
                <w:lang w:val="en-GB"/>
              </w:rPr>
            </w:pPr>
            <w:r>
              <w:rPr>
                <w:rFonts w:eastAsia="Times New Roman"/>
                <w:color w:val="000000"/>
                <w:lang w:val="en-GB"/>
              </w:rPr>
              <w:t>CCF</w:t>
            </w:r>
          </w:p>
        </w:tc>
        <w:tc>
          <w:tcPr>
            <w:tcW w:w="1079" w:type="pct"/>
            <w:tcBorders>
              <w:top w:val="nil"/>
              <w:left w:val="nil"/>
              <w:bottom w:val="single" w:sz="4" w:space="0" w:color="505050"/>
              <w:right w:val="single" w:sz="4" w:space="0" w:color="505050"/>
            </w:tcBorders>
            <w:noWrap/>
            <w:vAlign w:val="bottom"/>
            <w:hideMark/>
          </w:tcPr>
          <w:p w14:paraId="695AA5A7" w14:textId="55A5773D" w:rsidR="00444FD6" w:rsidRDefault="00CC34DB">
            <w:pPr>
              <w:spacing w:line="240" w:lineRule="auto"/>
              <w:jc w:val="left"/>
              <w:rPr>
                <w:rFonts w:eastAsia="Times New Roman"/>
                <w:color w:val="000000"/>
                <w:lang w:val="en-GB"/>
              </w:rPr>
            </w:pPr>
            <w:r>
              <w:rPr>
                <w:rFonts w:eastAsia="Times New Roman"/>
                <w:color w:val="000000"/>
                <w:lang w:val="en-GB"/>
              </w:rPr>
              <w:t>Free Cash Flow</w:t>
            </w:r>
            <w:r w:rsidR="002E08CD">
              <w:rPr>
                <w:rFonts w:eastAsia="Times New Roman"/>
                <w:color w:val="000000"/>
                <w:lang w:val="en-GB"/>
              </w:rPr>
              <w:t>(</w:t>
            </w:r>
            <w:r w:rsidR="009B6C5E">
              <w:rPr>
                <w:rFonts w:eastAsia="Times New Roman"/>
                <w:color w:val="000000"/>
                <w:lang w:val="en-GB"/>
              </w:rPr>
              <w:t>£m)</w:t>
            </w:r>
          </w:p>
        </w:tc>
        <w:tc>
          <w:tcPr>
            <w:tcW w:w="328" w:type="pct"/>
            <w:tcBorders>
              <w:top w:val="nil"/>
              <w:left w:val="nil"/>
              <w:bottom w:val="single" w:sz="4" w:space="0" w:color="505050"/>
              <w:right w:val="single" w:sz="4" w:space="0" w:color="505050"/>
            </w:tcBorders>
            <w:noWrap/>
            <w:vAlign w:val="bottom"/>
            <w:hideMark/>
          </w:tcPr>
          <w:p w14:paraId="5591F83E" w14:textId="77777777" w:rsidR="00444FD6" w:rsidRDefault="00CC34DB">
            <w:pPr>
              <w:spacing w:line="240" w:lineRule="auto"/>
              <w:jc w:val="left"/>
              <w:rPr>
                <w:rFonts w:eastAsia="Times New Roman"/>
                <w:color w:val="000000"/>
                <w:lang w:val="en-GB"/>
              </w:rPr>
            </w:pPr>
            <w:r>
              <w:rPr>
                <w:rFonts w:eastAsia="Times New Roman"/>
                <w:color w:val="000000"/>
                <w:lang w:val="en-GB"/>
              </w:rPr>
              <w:t>CCF</w:t>
            </w:r>
          </w:p>
        </w:tc>
        <w:tc>
          <w:tcPr>
            <w:tcW w:w="1079" w:type="pct"/>
            <w:tcBorders>
              <w:top w:val="nil"/>
              <w:left w:val="nil"/>
              <w:bottom w:val="single" w:sz="4" w:space="0" w:color="505050"/>
              <w:right w:val="single" w:sz="4" w:space="0" w:color="505050"/>
            </w:tcBorders>
            <w:noWrap/>
            <w:vAlign w:val="bottom"/>
            <w:hideMark/>
          </w:tcPr>
          <w:p w14:paraId="5BED5709" w14:textId="4F9FD1AA" w:rsidR="00444FD6" w:rsidRDefault="00CC34DB">
            <w:pPr>
              <w:spacing w:line="240" w:lineRule="auto"/>
              <w:jc w:val="left"/>
              <w:rPr>
                <w:rFonts w:eastAsia="Times New Roman"/>
                <w:color w:val="000000"/>
                <w:lang w:val="en-GB"/>
              </w:rPr>
            </w:pPr>
            <w:r>
              <w:rPr>
                <w:rFonts w:eastAsia="Times New Roman"/>
                <w:color w:val="000000"/>
                <w:lang w:val="en-GB"/>
              </w:rPr>
              <w:t>Free Cash Flow</w:t>
            </w:r>
            <w:r w:rsidR="009B6C5E">
              <w:rPr>
                <w:rFonts w:eastAsia="Times New Roman"/>
                <w:color w:val="000000"/>
                <w:lang w:val="en-GB"/>
              </w:rPr>
              <w:t>(£m)</w:t>
            </w:r>
          </w:p>
        </w:tc>
        <w:tc>
          <w:tcPr>
            <w:tcW w:w="328" w:type="pct"/>
            <w:tcBorders>
              <w:top w:val="nil"/>
              <w:left w:val="nil"/>
              <w:bottom w:val="single" w:sz="4" w:space="0" w:color="505050"/>
              <w:right w:val="single" w:sz="4" w:space="0" w:color="505050"/>
            </w:tcBorders>
            <w:noWrap/>
            <w:vAlign w:val="bottom"/>
            <w:hideMark/>
          </w:tcPr>
          <w:p w14:paraId="3B30DF6B" w14:textId="77777777" w:rsidR="00444FD6" w:rsidRDefault="00CC34DB">
            <w:pPr>
              <w:spacing w:line="240" w:lineRule="auto"/>
              <w:jc w:val="left"/>
              <w:rPr>
                <w:rFonts w:eastAsia="Times New Roman"/>
                <w:color w:val="000000"/>
                <w:lang w:val="en-GB"/>
              </w:rPr>
            </w:pPr>
            <w:r>
              <w:rPr>
                <w:rFonts w:eastAsia="Times New Roman"/>
                <w:color w:val="000000"/>
                <w:lang w:val="en-GB"/>
              </w:rPr>
              <w:t>CCF</w:t>
            </w:r>
          </w:p>
        </w:tc>
      </w:tr>
      <w:tr w:rsidR="00444FD6" w14:paraId="4785A559" w14:textId="04C99BA7">
        <w:trPr>
          <w:trHeight w:val="310"/>
        </w:trPr>
        <w:tc>
          <w:tcPr>
            <w:tcW w:w="779" w:type="pct"/>
            <w:tcBorders>
              <w:top w:val="nil"/>
              <w:left w:val="single" w:sz="4" w:space="0" w:color="505050"/>
              <w:bottom w:val="single" w:sz="4" w:space="0" w:color="505050"/>
              <w:right w:val="single" w:sz="4" w:space="0" w:color="505050"/>
            </w:tcBorders>
            <w:noWrap/>
            <w:vAlign w:val="bottom"/>
            <w:hideMark/>
          </w:tcPr>
          <w:p w14:paraId="2BBE999A" w14:textId="77777777" w:rsidR="00444FD6" w:rsidRDefault="00CC34DB">
            <w:pPr>
              <w:spacing w:line="240" w:lineRule="auto"/>
              <w:jc w:val="right"/>
              <w:rPr>
                <w:rFonts w:eastAsia="Times New Roman"/>
                <w:color w:val="000000"/>
                <w:lang w:val="en-GB"/>
              </w:rPr>
            </w:pPr>
            <w:r>
              <w:rPr>
                <w:rFonts w:eastAsia="Times New Roman"/>
                <w:color w:val="000000"/>
                <w:lang w:val="en-GB"/>
              </w:rPr>
              <w:t>0</w:t>
            </w:r>
          </w:p>
        </w:tc>
        <w:tc>
          <w:tcPr>
            <w:tcW w:w="1079" w:type="pct"/>
            <w:tcBorders>
              <w:top w:val="nil"/>
              <w:left w:val="nil"/>
              <w:bottom w:val="single" w:sz="4" w:space="0" w:color="505050"/>
              <w:right w:val="single" w:sz="4" w:space="0" w:color="505050"/>
            </w:tcBorders>
            <w:noWrap/>
            <w:vAlign w:val="bottom"/>
            <w:hideMark/>
          </w:tcPr>
          <w:p w14:paraId="4A1780FC" w14:textId="77777777" w:rsidR="00444FD6" w:rsidRDefault="00CC34DB">
            <w:pPr>
              <w:spacing w:line="240" w:lineRule="auto"/>
              <w:jc w:val="right"/>
              <w:rPr>
                <w:rFonts w:eastAsia="Times New Roman"/>
                <w:color w:val="000000"/>
                <w:lang w:val="en-GB"/>
              </w:rPr>
            </w:pPr>
            <w:r>
              <w:rPr>
                <w:rFonts w:eastAsia="Times New Roman"/>
                <w:color w:val="000000"/>
                <w:lang w:val="en-GB"/>
              </w:rPr>
              <w:t>-40</w:t>
            </w:r>
          </w:p>
        </w:tc>
        <w:tc>
          <w:tcPr>
            <w:tcW w:w="328" w:type="pct"/>
            <w:tcBorders>
              <w:top w:val="nil"/>
              <w:left w:val="nil"/>
              <w:bottom w:val="single" w:sz="4" w:space="0" w:color="505050"/>
              <w:right w:val="single" w:sz="4" w:space="0" w:color="505050"/>
            </w:tcBorders>
            <w:noWrap/>
            <w:vAlign w:val="bottom"/>
            <w:hideMark/>
          </w:tcPr>
          <w:p w14:paraId="02BC2DCD" w14:textId="77777777" w:rsidR="00444FD6" w:rsidRDefault="00CC34DB">
            <w:pPr>
              <w:spacing w:line="240" w:lineRule="auto"/>
              <w:jc w:val="right"/>
              <w:rPr>
                <w:rFonts w:eastAsia="Times New Roman"/>
                <w:color w:val="000000"/>
                <w:lang w:val="en-GB"/>
              </w:rPr>
            </w:pPr>
            <w:r>
              <w:rPr>
                <w:rFonts w:eastAsia="Times New Roman"/>
                <w:color w:val="000000"/>
                <w:lang w:val="en-GB"/>
              </w:rPr>
              <w:t>-40</w:t>
            </w:r>
          </w:p>
        </w:tc>
        <w:tc>
          <w:tcPr>
            <w:tcW w:w="1079" w:type="pct"/>
            <w:tcBorders>
              <w:top w:val="nil"/>
              <w:left w:val="nil"/>
              <w:bottom w:val="single" w:sz="4" w:space="0" w:color="505050"/>
              <w:right w:val="single" w:sz="4" w:space="0" w:color="505050"/>
            </w:tcBorders>
            <w:noWrap/>
            <w:vAlign w:val="bottom"/>
            <w:hideMark/>
          </w:tcPr>
          <w:p w14:paraId="0835B451" w14:textId="77777777" w:rsidR="00444FD6" w:rsidRDefault="00CC34DB">
            <w:pPr>
              <w:spacing w:line="240" w:lineRule="auto"/>
              <w:jc w:val="right"/>
              <w:rPr>
                <w:rFonts w:eastAsia="Times New Roman"/>
                <w:color w:val="000000"/>
                <w:lang w:val="en-GB"/>
              </w:rPr>
            </w:pPr>
            <w:r>
              <w:rPr>
                <w:rFonts w:eastAsia="Times New Roman"/>
                <w:color w:val="000000"/>
                <w:lang w:val="en-GB"/>
              </w:rPr>
              <w:t>-30</w:t>
            </w:r>
          </w:p>
        </w:tc>
        <w:tc>
          <w:tcPr>
            <w:tcW w:w="328" w:type="pct"/>
            <w:tcBorders>
              <w:top w:val="nil"/>
              <w:left w:val="nil"/>
              <w:bottom w:val="single" w:sz="4" w:space="0" w:color="505050"/>
              <w:right w:val="single" w:sz="4" w:space="0" w:color="505050"/>
            </w:tcBorders>
            <w:noWrap/>
            <w:vAlign w:val="bottom"/>
            <w:hideMark/>
          </w:tcPr>
          <w:p w14:paraId="0F534CAA" w14:textId="77777777" w:rsidR="00444FD6" w:rsidRDefault="00CC34DB">
            <w:pPr>
              <w:spacing w:line="240" w:lineRule="auto"/>
              <w:jc w:val="right"/>
              <w:rPr>
                <w:rFonts w:eastAsia="Times New Roman"/>
                <w:color w:val="000000"/>
                <w:lang w:val="en-GB"/>
              </w:rPr>
            </w:pPr>
            <w:r>
              <w:rPr>
                <w:rFonts w:eastAsia="Times New Roman"/>
                <w:color w:val="000000"/>
                <w:lang w:val="en-GB"/>
              </w:rPr>
              <w:t>-30</w:t>
            </w:r>
          </w:p>
        </w:tc>
        <w:tc>
          <w:tcPr>
            <w:tcW w:w="1079" w:type="pct"/>
            <w:tcBorders>
              <w:top w:val="nil"/>
              <w:left w:val="nil"/>
              <w:bottom w:val="single" w:sz="4" w:space="0" w:color="505050"/>
              <w:right w:val="single" w:sz="4" w:space="0" w:color="505050"/>
            </w:tcBorders>
            <w:noWrap/>
            <w:vAlign w:val="bottom"/>
            <w:hideMark/>
          </w:tcPr>
          <w:p w14:paraId="09B0D9F0" w14:textId="77777777" w:rsidR="00444FD6" w:rsidRDefault="00CC34DB">
            <w:pPr>
              <w:spacing w:line="240" w:lineRule="auto"/>
              <w:jc w:val="right"/>
              <w:rPr>
                <w:rFonts w:eastAsia="Times New Roman"/>
                <w:color w:val="000000"/>
                <w:lang w:val="en-GB"/>
              </w:rPr>
            </w:pPr>
            <w:r>
              <w:rPr>
                <w:rFonts w:eastAsia="Times New Roman"/>
                <w:color w:val="000000"/>
                <w:lang w:val="en-GB"/>
              </w:rPr>
              <w:t>-50</w:t>
            </w:r>
          </w:p>
        </w:tc>
        <w:tc>
          <w:tcPr>
            <w:tcW w:w="328" w:type="pct"/>
            <w:tcBorders>
              <w:top w:val="nil"/>
              <w:left w:val="nil"/>
              <w:bottom w:val="single" w:sz="4" w:space="0" w:color="505050"/>
              <w:right w:val="single" w:sz="4" w:space="0" w:color="505050"/>
            </w:tcBorders>
            <w:noWrap/>
            <w:vAlign w:val="bottom"/>
            <w:hideMark/>
          </w:tcPr>
          <w:p w14:paraId="60A57BA7" w14:textId="77777777" w:rsidR="00444FD6" w:rsidRDefault="00CC34DB">
            <w:pPr>
              <w:spacing w:line="240" w:lineRule="auto"/>
              <w:jc w:val="right"/>
              <w:rPr>
                <w:rFonts w:eastAsia="Times New Roman"/>
                <w:color w:val="000000"/>
                <w:lang w:val="en-GB"/>
              </w:rPr>
            </w:pPr>
            <w:r>
              <w:rPr>
                <w:rFonts w:eastAsia="Times New Roman"/>
                <w:color w:val="000000"/>
                <w:lang w:val="en-GB"/>
              </w:rPr>
              <w:t>-50</w:t>
            </w:r>
          </w:p>
        </w:tc>
      </w:tr>
      <w:tr w:rsidR="00444FD6" w14:paraId="164DE283" w14:textId="7FBB1383">
        <w:trPr>
          <w:trHeight w:val="310"/>
        </w:trPr>
        <w:tc>
          <w:tcPr>
            <w:tcW w:w="779" w:type="pct"/>
            <w:tcBorders>
              <w:top w:val="nil"/>
              <w:left w:val="single" w:sz="4" w:space="0" w:color="505050"/>
              <w:bottom w:val="single" w:sz="4" w:space="0" w:color="505050"/>
              <w:right w:val="single" w:sz="4" w:space="0" w:color="505050"/>
            </w:tcBorders>
            <w:noWrap/>
            <w:vAlign w:val="bottom"/>
            <w:hideMark/>
          </w:tcPr>
          <w:p w14:paraId="6D252A3C" w14:textId="77777777" w:rsidR="00444FD6" w:rsidRDefault="00CC34DB">
            <w:pPr>
              <w:spacing w:line="240" w:lineRule="auto"/>
              <w:jc w:val="right"/>
              <w:rPr>
                <w:rFonts w:eastAsia="Times New Roman"/>
                <w:color w:val="000000"/>
                <w:lang w:val="en-GB"/>
              </w:rPr>
            </w:pPr>
            <w:r>
              <w:rPr>
                <w:rFonts w:eastAsia="Times New Roman"/>
                <w:color w:val="000000"/>
                <w:lang w:val="en-GB"/>
              </w:rPr>
              <w:t>1</w:t>
            </w:r>
          </w:p>
        </w:tc>
        <w:tc>
          <w:tcPr>
            <w:tcW w:w="1079" w:type="pct"/>
            <w:tcBorders>
              <w:top w:val="nil"/>
              <w:left w:val="nil"/>
              <w:bottom w:val="single" w:sz="4" w:space="0" w:color="505050"/>
              <w:right w:val="single" w:sz="4" w:space="0" w:color="505050"/>
            </w:tcBorders>
            <w:noWrap/>
            <w:vAlign w:val="bottom"/>
            <w:hideMark/>
          </w:tcPr>
          <w:p w14:paraId="45D23702" w14:textId="77777777" w:rsidR="00444FD6" w:rsidRDefault="00CC34DB">
            <w:pPr>
              <w:spacing w:line="240" w:lineRule="auto"/>
              <w:jc w:val="right"/>
              <w:rPr>
                <w:rFonts w:eastAsia="Times New Roman"/>
                <w:color w:val="000000"/>
                <w:lang w:val="en-GB"/>
              </w:rPr>
            </w:pPr>
            <w:r>
              <w:rPr>
                <w:rFonts w:eastAsia="Times New Roman"/>
                <w:color w:val="000000"/>
                <w:lang w:val="en-GB"/>
              </w:rPr>
              <w:t>10</w:t>
            </w:r>
          </w:p>
        </w:tc>
        <w:tc>
          <w:tcPr>
            <w:tcW w:w="328" w:type="pct"/>
            <w:tcBorders>
              <w:top w:val="nil"/>
              <w:left w:val="nil"/>
              <w:bottom w:val="single" w:sz="4" w:space="0" w:color="505050"/>
              <w:right w:val="single" w:sz="4" w:space="0" w:color="505050"/>
            </w:tcBorders>
            <w:noWrap/>
            <w:vAlign w:val="bottom"/>
            <w:hideMark/>
          </w:tcPr>
          <w:p w14:paraId="2C952144" w14:textId="77777777" w:rsidR="00444FD6" w:rsidRDefault="00CC34DB">
            <w:pPr>
              <w:spacing w:line="240" w:lineRule="auto"/>
              <w:jc w:val="right"/>
              <w:rPr>
                <w:rFonts w:eastAsia="Times New Roman"/>
                <w:color w:val="000000"/>
                <w:lang w:val="en-GB"/>
              </w:rPr>
            </w:pPr>
            <w:r>
              <w:rPr>
                <w:rFonts w:eastAsia="Times New Roman"/>
                <w:color w:val="000000"/>
                <w:lang w:val="en-GB"/>
              </w:rPr>
              <w:t>-30</w:t>
            </w:r>
          </w:p>
        </w:tc>
        <w:tc>
          <w:tcPr>
            <w:tcW w:w="1079" w:type="pct"/>
            <w:tcBorders>
              <w:top w:val="nil"/>
              <w:left w:val="nil"/>
              <w:bottom w:val="single" w:sz="4" w:space="0" w:color="505050"/>
              <w:right w:val="single" w:sz="4" w:space="0" w:color="505050"/>
            </w:tcBorders>
            <w:noWrap/>
            <w:vAlign w:val="bottom"/>
            <w:hideMark/>
          </w:tcPr>
          <w:p w14:paraId="702A09DD" w14:textId="77777777" w:rsidR="00444FD6" w:rsidRDefault="00CC34DB">
            <w:pPr>
              <w:spacing w:line="240" w:lineRule="auto"/>
              <w:jc w:val="right"/>
              <w:rPr>
                <w:rFonts w:eastAsia="Times New Roman"/>
                <w:color w:val="000000"/>
                <w:lang w:val="en-GB"/>
              </w:rPr>
            </w:pPr>
            <w:r>
              <w:rPr>
                <w:rFonts w:eastAsia="Times New Roman"/>
                <w:color w:val="000000"/>
                <w:lang w:val="en-GB"/>
              </w:rPr>
              <w:t>6</w:t>
            </w:r>
          </w:p>
        </w:tc>
        <w:tc>
          <w:tcPr>
            <w:tcW w:w="328" w:type="pct"/>
            <w:tcBorders>
              <w:top w:val="nil"/>
              <w:left w:val="nil"/>
              <w:bottom w:val="single" w:sz="4" w:space="0" w:color="505050"/>
              <w:right w:val="single" w:sz="4" w:space="0" w:color="505050"/>
            </w:tcBorders>
            <w:noWrap/>
            <w:vAlign w:val="bottom"/>
            <w:hideMark/>
          </w:tcPr>
          <w:p w14:paraId="17C94D29" w14:textId="77777777" w:rsidR="00444FD6" w:rsidRDefault="00CC34DB">
            <w:pPr>
              <w:spacing w:line="240" w:lineRule="auto"/>
              <w:jc w:val="right"/>
              <w:rPr>
                <w:rFonts w:eastAsia="Times New Roman"/>
                <w:color w:val="000000"/>
                <w:lang w:val="en-GB"/>
              </w:rPr>
            </w:pPr>
            <w:r>
              <w:rPr>
                <w:rFonts w:eastAsia="Times New Roman"/>
                <w:color w:val="000000"/>
                <w:lang w:val="en-GB"/>
              </w:rPr>
              <w:t>-24</w:t>
            </w:r>
          </w:p>
        </w:tc>
        <w:tc>
          <w:tcPr>
            <w:tcW w:w="1079" w:type="pct"/>
            <w:tcBorders>
              <w:top w:val="nil"/>
              <w:left w:val="nil"/>
              <w:bottom w:val="single" w:sz="4" w:space="0" w:color="505050"/>
              <w:right w:val="single" w:sz="4" w:space="0" w:color="505050"/>
            </w:tcBorders>
            <w:noWrap/>
            <w:vAlign w:val="bottom"/>
            <w:hideMark/>
          </w:tcPr>
          <w:p w14:paraId="20A1EAB3" w14:textId="77777777" w:rsidR="00444FD6" w:rsidRDefault="00CC34DB">
            <w:pPr>
              <w:spacing w:line="240" w:lineRule="auto"/>
              <w:jc w:val="right"/>
              <w:rPr>
                <w:rFonts w:eastAsia="Times New Roman"/>
                <w:color w:val="000000"/>
                <w:lang w:val="en-GB"/>
              </w:rPr>
            </w:pPr>
            <w:r>
              <w:rPr>
                <w:rFonts w:eastAsia="Times New Roman"/>
                <w:color w:val="000000"/>
                <w:lang w:val="en-GB"/>
              </w:rPr>
              <w:t>5</w:t>
            </w:r>
          </w:p>
        </w:tc>
        <w:tc>
          <w:tcPr>
            <w:tcW w:w="328" w:type="pct"/>
            <w:tcBorders>
              <w:top w:val="nil"/>
              <w:left w:val="nil"/>
              <w:bottom w:val="single" w:sz="4" w:space="0" w:color="505050"/>
              <w:right w:val="single" w:sz="4" w:space="0" w:color="505050"/>
            </w:tcBorders>
            <w:noWrap/>
            <w:vAlign w:val="bottom"/>
            <w:hideMark/>
          </w:tcPr>
          <w:p w14:paraId="7EB58F78" w14:textId="77777777" w:rsidR="00444FD6" w:rsidRDefault="00CC34DB">
            <w:pPr>
              <w:spacing w:line="240" w:lineRule="auto"/>
              <w:jc w:val="right"/>
              <w:rPr>
                <w:rFonts w:eastAsia="Times New Roman"/>
                <w:color w:val="000000"/>
                <w:lang w:val="en-GB"/>
              </w:rPr>
            </w:pPr>
            <w:r>
              <w:rPr>
                <w:rFonts w:eastAsia="Times New Roman"/>
                <w:color w:val="000000"/>
                <w:lang w:val="en-GB"/>
              </w:rPr>
              <w:t>-45</w:t>
            </w:r>
          </w:p>
        </w:tc>
      </w:tr>
      <w:tr w:rsidR="00444FD6" w14:paraId="1F0288CD" w14:textId="2E477ECE">
        <w:trPr>
          <w:trHeight w:val="310"/>
        </w:trPr>
        <w:tc>
          <w:tcPr>
            <w:tcW w:w="779" w:type="pct"/>
            <w:tcBorders>
              <w:top w:val="nil"/>
              <w:left w:val="single" w:sz="4" w:space="0" w:color="505050"/>
              <w:bottom w:val="single" w:sz="4" w:space="0" w:color="505050"/>
              <w:right w:val="single" w:sz="4" w:space="0" w:color="505050"/>
            </w:tcBorders>
            <w:noWrap/>
            <w:vAlign w:val="bottom"/>
            <w:hideMark/>
          </w:tcPr>
          <w:p w14:paraId="44F76F11" w14:textId="77777777" w:rsidR="00444FD6" w:rsidRDefault="00CC34DB">
            <w:pPr>
              <w:spacing w:line="240" w:lineRule="auto"/>
              <w:jc w:val="right"/>
              <w:rPr>
                <w:rFonts w:eastAsia="Times New Roman"/>
                <w:color w:val="000000"/>
                <w:lang w:val="en-GB"/>
              </w:rPr>
            </w:pPr>
            <w:r>
              <w:rPr>
                <w:rFonts w:eastAsia="Times New Roman"/>
                <w:color w:val="000000"/>
                <w:lang w:val="en-GB"/>
              </w:rPr>
              <w:t>2</w:t>
            </w:r>
          </w:p>
        </w:tc>
        <w:tc>
          <w:tcPr>
            <w:tcW w:w="1079" w:type="pct"/>
            <w:tcBorders>
              <w:top w:val="nil"/>
              <w:left w:val="nil"/>
              <w:bottom w:val="single" w:sz="4" w:space="0" w:color="505050"/>
              <w:right w:val="single" w:sz="4" w:space="0" w:color="505050"/>
            </w:tcBorders>
            <w:noWrap/>
            <w:vAlign w:val="bottom"/>
            <w:hideMark/>
          </w:tcPr>
          <w:p w14:paraId="636CB0D9" w14:textId="77777777" w:rsidR="00444FD6" w:rsidRDefault="00CC34DB">
            <w:pPr>
              <w:spacing w:line="240" w:lineRule="auto"/>
              <w:jc w:val="right"/>
              <w:rPr>
                <w:rFonts w:eastAsia="Times New Roman"/>
                <w:color w:val="000000"/>
                <w:lang w:val="en-GB"/>
              </w:rPr>
            </w:pPr>
            <w:r>
              <w:rPr>
                <w:rFonts w:eastAsia="Times New Roman"/>
                <w:color w:val="000000"/>
                <w:lang w:val="en-GB"/>
              </w:rPr>
              <w:t>12</w:t>
            </w:r>
          </w:p>
        </w:tc>
        <w:tc>
          <w:tcPr>
            <w:tcW w:w="328" w:type="pct"/>
            <w:tcBorders>
              <w:top w:val="nil"/>
              <w:left w:val="nil"/>
              <w:bottom w:val="single" w:sz="4" w:space="0" w:color="505050"/>
              <w:right w:val="single" w:sz="4" w:space="0" w:color="505050"/>
            </w:tcBorders>
            <w:noWrap/>
            <w:vAlign w:val="bottom"/>
            <w:hideMark/>
          </w:tcPr>
          <w:p w14:paraId="5BC94E38" w14:textId="77777777" w:rsidR="00444FD6" w:rsidRDefault="00CC34DB">
            <w:pPr>
              <w:spacing w:line="240" w:lineRule="auto"/>
              <w:jc w:val="right"/>
              <w:rPr>
                <w:rFonts w:eastAsia="Times New Roman"/>
                <w:color w:val="000000"/>
                <w:lang w:val="en-GB"/>
              </w:rPr>
            </w:pPr>
            <w:r>
              <w:rPr>
                <w:rFonts w:eastAsia="Times New Roman"/>
                <w:color w:val="000000"/>
                <w:lang w:val="en-GB"/>
              </w:rPr>
              <w:t>-18</w:t>
            </w:r>
          </w:p>
        </w:tc>
        <w:tc>
          <w:tcPr>
            <w:tcW w:w="1079" w:type="pct"/>
            <w:tcBorders>
              <w:top w:val="nil"/>
              <w:left w:val="nil"/>
              <w:bottom w:val="single" w:sz="4" w:space="0" w:color="505050"/>
              <w:right w:val="single" w:sz="4" w:space="0" w:color="505050"/>
            </w:tcBorders>
            <w:noWrap/>
            <w:vAlign w:val="bottom"/>
            <w:hideMark/>
          </w:tcPr>
          <w:p w14:paraId="54CAAEEE" w14:textId="77777777" w:rsidR="00444FD6" w:rsidRDefault="00CC34DB">
            <w:pPr>
              <w:spacing w:line="240" w:lineRule="auto"/>
              <w:jc w:val="right"/>
              <w:rPr>
                <w:rFonts w:eastAsia="Times New Roman"/>
                <w:color w:val="000000"/>
                <w:lang w:val="en-GB"/>
              </w:rPr>
            </w:pPr>
            <w:r>
              <w:rPr>
                <w:rFonts w:eastAsia="Times New Roman"/>
                <w:color w:val="000000"/>
                <w:lang w:val="en-GB"/>
              </w:rPr>
              <w:t>6</w:t>
            </w:r>
          </w:p>
        </w:tc>
        <w:tc>
          <w:tcPr>
            <w:tcW w:w="328" w:type="pct"/>
            <w:tcBorders>
              <w:top w:val="nil"/>
              <w:left w:val="nil"/>
              <w:bottom w:val="single" w:sz="4" w:space="0" w:color="505050"/>
              <w:right w:val="single" w:sz="4" w:space="0" w:color="505050"/>
            </w:tcBorders>
            <w:noWrap/>
            <w:vAlign w:val="bottom"/>
            <w:hideMark/>
          </w:tcPr>
          <w:p w14:paraId="7EA5D293" w14:textId="77777777" w:rsidR="00444FD6" w:rsidRDefault="00CC34DB">
            <w:pPr>
              <w:spacing w:line="240" w:lineRule="auto"/>
              <w:jc w:val="right"/>
              <w:rPr>
                <w:rFonts w:eastAsia="Times New Roman"/>
                <w:color w:val="000000"/>
                <w:lang w:val="en-GB"/>
              </w:rPr>
            </w:pPr>
            <w:r>
              <w:rPr>
                <w:rFonts w:eastAsia="Times New Roman"/>
                <w:color w:val="000000"/>
                <w:lang w:val="en-GB"/>
              </w:rPr>
              <w:t>-18</w:t>
            </w:r>
          </w:p>
        </w:tc>
        <w:tc>
          <w:tcPr>
            <w:tcW w:w="1079" w:type="pct"/>
            <w:tcBorders>
              <w:top w:val="nil"/>
              <w:left w:val="nil"/>
              <w:bottom w:val="single" w:sz="4" w:space="0" w:color="505050"/>
              <w:right w:val="single" w:sz="4" w:space="0" w:color="505050"/>
            </w:tcBorders>
            <w:noWrap/>
            <w:vAlign w:val="bottom"/>
            <w:hideMark/>
          </w:tcPr>
          <w:p w14:paraId="3A8C43BE" w14:textId="77777777" w:rsidR="00444FD6" w:rsidRDefault="00CC34DB">
            <w:pPr>
              <w:spacing w:line="240" w:lineRule="auto"/>
              <w:jc w:val="right"/>
              <w:rPr>
                <w:rFonts w:eastAsia="Times New Roman"/>
                <w:color w:val="000000"/>
                <w:lang w:val="en-GB"/>
              </w:rPr>
            </w:pPr>
            <w:r>
              <w:rPr>
                <w:rFonts w:eastAsia="Times New Roman"/>
                <w:color w:val="000000"/>
                <w:lang w:val="en-GB"/>
              </w:rPr>
              <w:t>10</w:t>
            </w:r>
          </w:p>
        </w:tc>
        <w:tc>
          <w:tcPr>
            <w:tcW w:w="328" w:type="pct"/>
            <w:tcBorders>
              <w:top w:val="nil"/>
              <w:left w:val="nil"/>
              <w:bottom w:val="single" w:sz="4" w:space="0" w:color="505050"/>
              <w:right w:val="single" w:sz="4" w:space="0" w:color="505050"/>
            </w:tcBorders>
            <w:noWrap/>
            <w:vAlign w:val="bottom"/>
            <w:hideMark/>
          </w:tcPr>
          <w:p w14:paraId="320FB0E8" w14:textId="77777777" w:rsidR="00444FD6" w:rsidRDefault="00CC34DB">
            <w:pPr>
              <w:spacing w:line="240" w:lineRule="auto"/>
              <w:jc w:val="right"/>
              <w:rPr>
                <w:rFonts w:eastAsia="Times New Roman"/>
                <w:color w:val="000000"/>
                <w:lang w:val="en-GB"/>
              </w:rPr>
            </w:pPr>
            <w:r>
              <w:rPr>
                <w:rFonts w:eastAsia="Times New Roman"/>
                <w:color w:val="000000"/>
                <w:lang w:val="en-GB"/>
              </w:rPr>
              <w:t>-35</w:t>
            </w:r>
          </w:p>
        </w:tc>
      </w:tr>
      <w:tr w:rsidR="00444FD6" w14:paraId="7E939245" w14:textId="2E986E72">
        <w:trPr>
          <w:trHeight w:val="310"/>
        </w:trPr>
        <w:tc>
          <w:tcPr>
            <w:tcW w:w="779" w:type="pct"/>
            <w:tcBorders>
              <w:top w:val="nil"/>
              <w:left w:val="single" w:sz="4" w:space="0" w:color="505050"/>
              <w:bottom w:val="single" w:sz="4" w:space="0" w:color="505050"/>
              <w:right w:val="single" w:sz="4" w:space="0" w:color="505050"/>
            </w:tcBorders>
            <w:noWrap/>
            <w:vAlign w:val="bottom"/>
            <w:hideMark/>
          </w:tcPr>
          <w:p w14:paraId="3F46F61E" w14:textId="77777777" w:rsidR="00444FD6" w:rsidRDefault="00CC34DB">
            <w:pPr>
              <w:spacing w:line="240" w:lineRule="auto"/>
              <w:jc w:val="right"/>
              <w:rPr>
                <w:rFonts w:eastAsia="Times New Roman"/>
                <w:color w:val="000000"/>
                <w:lang w:val="en-GB"/>
              </w:rPr>
            </w:pPr>
            <w:r>
              <w:rPr>
                <w:rFonts w:eastAsia="Times New Roman"/>
                <w:color w:val="000000"/>
                <w:lang w:val="en-GB"/>
              </w:rPr>
              <w:t>3</w:t>
            </w:r>
          </w:p>
        </w:tc>
        <w:tc>
          <w:tcPr>
            <w:tcW w:w="1079" w:type="pct"/>
            <w:tcBorders>
              <w:top w:val="nil"/>
              <w:left w:val="nil"/>
              <w:bottom w:val="single" w:sz="4" w:space="0" w:color="505050"/>
              <w:right w:val="single" w:sz="4" w:space="0" w:color="505050"/>
            </w:tcBorders>
            <w:noWrap/>
            <w:vAlign w:val="bottom"/>
            <w:hideMark/>
          </w:tcPr>
          <w:p w14:paraId="205CA7FB" w14:textId="77777777" w:rsidR="00444FD6" w:rsidRDefault="00CC34DB">
            <w:pPr>
              <w:spacing w:line="240" w:lineRule="auto"/>
              <w:jc w:val="right"/>
              <w:rPr>
                <w:rFonts w:eastAsia="Times New Roman"/>
                <w:color w:val="000000"/>
                <w:lang w:val="en-GB"/>
              </w:rPr>
            </w:pPr>
            <w:r>
              <w:rPr>
                <w:rFonts w:eastAsia="Times New Roman"/>
                <w:color w:val="000000"/>
                <w:lang w:val="en-GB"/>
              </w:rPr>
              <w:t>14</w:t>
            </w:r>
          </w:p>
        </w:tc>
        <w:tc>
          <w:tcPr>
            <w:tcW w:w="328" w:type="pct"/>
            <w:tcBorders>
              <w:top w:val="nil"/>
              <w:left w:val="nil"/>
              <w:bottom w:val="single" w:sz="4" w:space="0" w:color="505050"/>
              <w:right w:val="single" w:sz="4" w:space="0" w:color="505050"/>
            </w:tcBorders>
            <w:noWrap/>
            <w:vAlign w:val="bottom"/>
            <w:hideMark/>
          </w:tcPr>
          <w:p w14:paraId="1DA4FBD0" w14:textId="77777777" w:rsidR="00444FD6" w:rsidRDefault="00CC34DB">
            <w:pPr>
              <w:spacing w:line="240" w:lineRule="auto"/>
              <w:jc w:val="right"/>
              <w:rPr>
                <w:rFonts w:eastAsia="Times New Roman"/>
                <w:color w:val="000000"/>
                <w:lang w:val="en-GB"/>
              </w:rPr>
            </w:pPr>
            <w:r>
              <w:rPr>
                <w:rFonts w:eastAsia="Times New Roman"/>
                <w:color w:val="000000"/>
                <w:lang w:val="en-GB"/>
              </w:rPr>
              <w:t>-4</w:t>
            </w:r>
          </w:p>
        </w:tc>
        <w:tc>
          <w:tcPr>
            <w:tcW w:w="1079" w:type="pct"/>
            <w:tcBorders>
              <w:top w:val="nil"/>
              <w:left w:val="nil"/>
              <w:bottom w:val="single" w:sz="4" w:space="0" w:color="505050"/>
              <w:right w:val="single" w:sz="4" w:space="0" w:color="505050"/>
            </w:tcBorders>
            <w:noWrap/>
            <w:vAlign w:val="bottom"/>
            <w:hideMark/>
          </w:tcPr>
          <w:p w14:paraId="5D5D13CE" w14:textId="77777777" w:rsidR="00444FD6" w:rsidRDefault="00CC34DB">
            <w:pPr>
              <w:spacing w:line="240" w:lineRule="auto"/>
              <w:jc w:val="right"/>
              <w:rPr>
                <w:rFonts w:eastAsia="Times New Roman"/>
                <w:color w:val="000000"/>
                <w:lang w:val="en-GB"/>
              </w:rPr>
            </w:pPr>
            <w:r>
              <w:rPr>
                <w:rFonts w:eastAsia="Times New Roman"/>
                <w:color w:val="000000"/>
                <w:lang w:val="en-GB"/>
              </w:rPr>
              <w:t>6</w:t>
            </w:r>
          </w:p>
        </w:tc>
        <w:tc>
          <w:tcPr>
            <w:tcW w:w="328" w:type="pct"/>
            <w:tcBorders>
              <w:top w:val="nil"/>
              <w:left w:val="nil"/>
              <w:bottom w:val="single" w:sz="4" w:space="0" w:color="505050"/>
              <w:right w:val="single" w:sz="4" w:space="0" w:color="505050"/>
            </w:tcBorders>
            <w:noWrap/>
            <w:vAlign w:val="bottom"/>
            <w:hideMark/>
          </w:tcPr>
          <w:p w14:paraId="56CDBD58" w14:textId="77777777" w:rsidR="00444FD6" w:rsidRDefault="00CC34DB">
            <w:pPr>
              <w:spacing w:line="240" w:lineRule="auto"/>
              <w:jc w:val="right"/>
              <w:rPr>
                <w:rFonts w:eastAsia="Times New Roman"/>
                <w:color w:val="000000"/>
                <w:lang w:val="en-GB"/>
              </w:rPr>
            </w:pPr>
            <w:r>
              <w:rPr>
                <w:rFonts w:eastAsia="Times New Roman"/>
                <w:color w:val="000000"/>
                <w:lang w:val="en-GB"/>
              </w:rPr>
              <w:t>-12</w:t>
            </w:r>
          </w:p>
        </w:tc>
        <w:tc>
          <w:tcPr>
            <w:tcW w:w="1079" w:type="pct"/>
            <w:tcBorders>
              <w:top w:val="nil"/>
              <w:left w:val="nil"/>
              <w:bottom w:val="single" w:sz="4" w:space="0" w:color="505050"/>
              <w:right w:val="single" w:sz="4" w:space="0" w:color="505050"/>
            </w:tcBorders>
            <w:noWrap/>
            <w:vAlign w:val="bottom"/>
            <w:hideMark/>
          </w:tcPr>
          <w:p w14:paraId="2DE5CE4F" w14:textId="77777777" w:rsidR="00444FD6" w:rsidRDefault="00CC34DB">
            <w:pPr>
              <w:spacing w:line="240" w:lineRule="auto"/>
              <w:jc w:val="right"/>
              <w:rPr>
                <w:rFonts w:eastAsia="Times New Roman"/>
                <w:color w:val="000000"/>
                <w:lang w:val="en-GB"/>
              </w:rPr>
            </w:pPr>
            <w:r>
              <w:rPr>
                <w:rFonts w:eastAsia="Times New Roman"/>
                <w:color w:val="000000"/>
                <w:lang w:val="en-GB"/>
              </w:rPr>
              <w:t>20</w:t>
            </w:r>
          </w:p>
        </w:tc>
        <w:tc>
          <w:tcPr>
            <w:tcW w:w="328" w:type="pct"/>
            <w:tcBorders>
              <w:top w:val="nil"/>
              <w:left w:val="nil"/>
              <w:bottom w:val="single" w:sz="4" w:space="0" w:color="505050"/>
              <w:right w:val="single" w:sz="4" w:space="0" w:color="505050"/>
            </w:tcBorders>
            <w:noWrap/>
            <w:vAlign w:val="bottom"/>
            <w:hideMark/>
          </w:tcPr>
          <w:p w14:paraId="64287168" w14:textId="77777777" w:rsidR="00444FD6" w:rsidRDefault="00CC34DB">
            <w:pPr>
              <w:spacing w:line="240" w:lineRule="auto"/>
              <w:jc w:val="right"/>
              <w:rPr>
                <w:rFonts w:eastAsia="Times New Roman"/>
                <w:color w:val="000000"/>
                <w:lang w:val="en-GB"/>
              </w:rPr>
            </w:pPr>
            <w:r>
              <w:rPr>
                <w:rFonts w:eastAsia="Times New Roman"/>
                <w:color w:val="000000"/>
                <w:lang w:val="en-GB"/>
              </w:rPr>
              <w:t>-15</w:t>
            </w:r>
          </w:p>
        </w:tc>
      </w:tr>
      <w:tr w:rsidR="00444FD6" w14:paraId="5606335A" w14:textId="285C75E4">
        <w:trPr>
          <w:trHeight w:val="310"/>
        </w:trPr>
        <w:tc>
          <w:tcPr>
            <w:tcW w:w="779" w:type="pct"/>
            <w:tcBorders>
              <w:top w:val="nil"/>
              <w:left w:val="single" w:sz="4" w:space="0" w:color="505050"/>
              <w:bottom w:val="single" w:sz="4" w:space="0" w:color="505050"/>
              <w:right w:val="single" w:sz="4" w:space="0" w:color="505050"/>
            </w:tcBorders>
            <w:noWrap/>
            <w:vAlign w:val="bottom"/>
            <w:hideMark/>
          </w:tcPr>
          <w:p w14:paraId="7E5F6C0E" w14:textId="77777777" w:rsidR="00444FD6" w:rsidRDefault="00CC34DB">
            <w:pPr>
              <w:spacing w:line="240" w:lineRule="auto"/>
              <w:jc w:val="right"/>
              <w:rPr>
                <w:rFonts w:eastAsia="Times New Roman"/>
                <w:color w:val="000000"/>
                <w:lang w:val="en-GB"/>
              </w:rPr>
            </w:pPr>
            <w:r>
              <w:rPr>
                <w:rFonts w:eastAsia="Times New Roman"/>
                <w:color w:val="000000"/>
                <w:lang w:val="en-GB"/>
              </w:rPr>
              <w:t>4</w:t>
            </w:r>
          </w:p>
        </w:tc>
        <w:tc>
          <w:tcPr>
            <w:tcW w:w="1079" w:type="pct"/>
            <w:tcBorders>
              <w:top w:val="nil"/>
              <w:left w:val="nil"/>
              <w:bottom w:val="single" w:sz="4" w:space="0" w:color="505050"/>
              <w:right w:val="single" w:sz="4" w:space="0" w:color="505050"/>
            </w:tcBorders>
            <w:noWrap/>
            <w:vAlign w:val="bottom"/>
            <w:hideMark/>
          </w:tcPr>
          <w:p w14:paraId="2DC15331" w14:textId="77777777" w:rsidR="00444FD6" w:rsidRDefault="00CC34DB">
            <w:pPr>
              <w:spacing w:line="240" w:lineRule="auto"/>
              <w:jc w:val="right"/>
              <w:rPr>
                <w:rFonts w:eastAsia="Times New Roman"/>
                <w:color w:val="000000"/>
                <w:lang w:val="en-GB"/>
              </w:rPr>
            </w:pPr>
            <w:r>
              <w:rPr>
                <w:rFonts w:eastAsia="Times New Roman"/>
                <w:color w:val="000000"/>
                <w:lang w:val="en-GB"/>
              </w:rPr>
              <w:t>10</w:t>
            </w:r>
          </w:p>
        </w:tc>
        <w:tc>
          <w:tcPr>
            <w:tcW w:w="328" w:type="pct"/>
            <w:tcBorders>
              <w:top w:val="nil"/>
              <w:left w:val="nil"/>
              <w:bottom w:val="single" w:sz="4" w:space="0" w:color="505050"/>
              <w:right w:val="single" w:sz="4" w:space="0" w:color="505050"/>
            </w:tcBorders>
            <w:noWrap/>
            <w:vAlign w:val="bottom"/>
            <w:hideMark/>
          </w:tcPr>
          <w:p w14:paraId="6CA14D40" w14:textId="77777777" w:rsidR="00444FD6" w:rsidRDefault="00CC34DB">
            <w:pPr>
              <w:spacing w:line="240" w:lineRule="auto"/>
              <w:jc w:val="right"/>
              <w:rPr>
                <w:rFonts w:eastAsia="Times New Roman"/>
                <w:color w:val="000000"/>
                <w:lang w:val="en-GB"/>
              </w:rPr>
            </w:pPr>
            <w:r>
              <w:rPr>
                <w:rFonts w:eastAsia="Times New Roman"/>
                <w:color w:val="000000"/>
                <w:lang w:val="en-GB"/>
              </w:rPr>
              <w:t>6</w:t>
            </w:r>
          </w:p>
        </w:tc>
        <w:tc>
          <w:tcPr>
            <w:tcW w:w="1079" w:type="pct"/>
            <w:tcBorders>
              <w:top w:val="nil"/>
              <w:left w:val="nil"/>
              <w:bottom w:val="single" w:sz="4" w:space="0" w:color="505050"/>
              <w:right w:val="single" w:sz="4" w:space="0" w:color="505050"/>
            </w:tcBorders>
            <w:noWrap/>
            <w:vAlign w:val="bottom"/>
            <w:hideMark/>
          </w:tcPr>
          <w:p w14:paraId="031D70E9" w14:textId="77777777" w:rsidR="00444FD6" w:rsidRDefault="00CC34DB">
            <w:pPr>
              <w:spacing w:line="240" w:lineRule="auto"/>
              <w:jc w:val="right"/>
              <w:rPr>
                <w:rFonts w:eastAsia="Times New Roman"/>
                <w:color w:val="000000"/>
                <w:lang w:val="en-GB"/>
              </w:rPr>
            </w:pPr>
            <w:r>
              <w:rPr>
                <w:rFonts w:eastAsia="Times New Roman"/>
                <w:color w:val="000000"/>
                <w:lang w:val="en-GB"/>
              </w:rPr>
              <w:t>6</w:t>
            </w:r>
          </w:p>
        </w:tc>
        <w:tc>
          <w:tcPr>
            <w:tcW w:w="328" w:type="pct"/>
            <w:tcBorders>
              <w:top w:val="nil"/>
              <w:left w:val="nil"/>
              <w:bottom w:val="single" w:sz="4" w:space="0" w:color="505050"/>
              <w:right w:val="single" w:sz="4" w:space="0" w:color="505050"/>
            </w:tcBorders>
            <w:noWrap/>
            <w:vAlign w:val="bottom"/>
            <w:hideMark/>
          </w:tcPr>
          <w:p w14:paraId="1B815A43" w14:textId="77777777" w:rsidR="00444FD6" w:rsidRDefault="00CC34DB">
            <w:pPr>
              <w:spacing w:line="240" w:lineRule="auto"/>
              <w:jc w:val="right"/>
              <w:rPr>
                <w:rFonts w:eastAsia="Times New Roman"/>
                <w:color w:val="000000"/>
                <w:lang w:val="en-GB"/>
              </w:rPr>
            </w:pPr>
            <w:r>
              <w:rPr>
                <w:rFonts w:eastAsia="Times New Roman"/>
                <w:color w:val="000000"/>
                <w:lang w:val="en-GB"/>
              </w:rPr>
              <w:t>-6</w:t>
            </w:r>
          </w:p>
        </w:tc>
        <w:tc>
          <w:tcPr>
            <w:tcW w:w="1079" w:type="pct"/>
            <w:tcBorders>
              <w:top w:val="nil"/>
              <w:left w:val="nil"/>
              <w:bottom w:val="single" w:sz="4" w:space="0" w:color="505050"/>
              <w:right w:val="single" w:sz="4" w:space="0" w:color="505050"/>
            </w:tcBorders>
            <w:noWrap/>
            <w:vAlign w:val="bottom"/>
            <w:hideMark/>
          </w:tcPr>
          <w:p w14:paraId="4C7077FC" w14:textId="77777777" w:rsidR="00444FD6" w:rsidRDefault="00CC34DB">
            <w:pPr>
              <w:spacing w:line="240" w:lineRule="auto"/>
              <w:jc w:val="right"/>
              <w:rPr>
                <w:rFonts w:eastAsia="Times New Roman"/>
                <w:color w:val="000000"/>
                <w:lang w:val="en-GB"/>
              </w:rPr>
            </w:pPr>
            <w:r>
              <w:rPr>
                <w:rFonts w:eastAsia="Times New Roman"/>
                <w:color w:val="000000"/>
                <w:lang w:val="en-GB"/>
              </w:rPr>
              <w:t>25</w:t>
            </w:r>
          </w:p>
        </w:tc>
        <w:tc>
          <w:tcPr>
            <w:tcW w:w="328" w:type="pct"/>
            <w:tcBorders>
              <w:top w:val="nil"/>
              <w:left w:val="nil"/>
              <w:bottom w:val="single" w:sz="4" w:space="0" w:color="505050"/>
              <w:right w:val="single" w:sz="4" w:space="0" w:color="505050"/>
            </w:tcBorders>
            <w:noWrap/>
            <w:vAlign w:val="bottom"/>
            <w:hideMark/>
          </w:tcPr>
          <w:p w14:paraId="11B7DF82" w14:textId="77777777" w:rsidR="00444FD6" w:rsidRDefault="00CC34DB">
            <w:pPr>
              <w:spacing w:line="240" w:lineRule="auto"/>
              <w:jc w:val="right"/>
              <w:rPr>
                <w:rFonts w:eastAsia="Times New Roman"/>
                <w:color w:val="000000"/>
                <w:lang w:val="en-GB"/>
              </w:rPr>
            </w:pPr>
            <w:r>
              <w:rPr>
                <w:rFonts w:eastAsia="Times New Roman"/>
                <w:color w:val="000000"/>
                <w:lang w:val="en-GB"/>
              </w:rPr>
              <w:t>10</w:t>
            </w:r>
          </w:p>
        </w:tc>
      </w:tr>
      <w:tr w:rsidR="00444FD6" w14:paraId="6D6FA62D" w14:textId="55A16E2D">
        <w:trPr>
          <w:trHeight w:val="310"/>
        </w:trPr>
        <w:tc>
          <w:tcPr>
            <w:tcW w:w="779" w:type="pct"/>
            <w:tcBorders>
              <w:top w:val="nil"/>
              <w:left w:val="single" w:sz="4" w:space="0" w:color="505050"/>
              <w:bottom w:val="single" w:sz="4" w:space="0" w:color="505050"/>
              <w:right w:val="single" w:sz="4" w:space="0" w:color="505050"/>
            </w:tcBorders>
            <w:noWrap/>
            <w:vAlign w:val="bottom"/>
            <w:hideMark/>
          </w:tcPr>
          <w:p w14:paraId="46ECD538" w14:textId="77777777" w:rsidR="00444FD6" w:rsidRDefault="00CC34DB">
            <w:pPr>
              <w:spacing w:line="240" w:lineRule="auto"/>
              <w:jc w:val="right"/>
              <w:rPr>
                <w:rFonts w:eastAsia="Times New Roman"/>
                <w:color w:val="000000"/>
                <w:lang w:val="en-GB"/>
              </w:rPr>
            </w:pPr>
            <w:r>
              <w:rPr>
                <w:rFonts w:eastAsia="Times New Roman"/>
                <w:color w:val="000000"/>
                <w:lang w:val="en-GB"/>
              </w:rPr>
              <w:t>5</w:t>
            </w:r>
          </w:p>
        </w:tc>
        <w:tc>
          <w:tcPr>
            <w:tcW w:w="1079" w:type="pct"/>
            <w:tcBorders>
              <w:top w:val="nil"/>
              <w:left w:val="nil"/>
              <w:bottom w:val="single" w:sz="4" w:space="0" w:color="505050"/>
              <w:right w:val="single" w:sz="4" w:space="0" w:color="505050"/>
            </w:tcBorders>
            <w:noWrap/>
            <w:vAlign w:val="bottom"/>
            <w:hideMark/>
          </w:tcPr>
          <w:p w14:paraId="06BC90CD" w14:textId="77777777" w:rsidR="00444FD6" w:rsidRDefault="00CC34DB">
            <w:pPr>
              <w:spacing w:line="240" w:lineRule="auto"/>
              <w:jc w:val="right"/>
              <w:rPr>
                <w:rFonts w:eastAsia="Times New Roman"/>
                <w:color w:val="000000"/>
                <w:lang w:val="en-GB"/>
              </w:rPr>
            </w:pPr>
            <w:r>
              <w:rPr>
                <w:rFonts w:eastAsia="Times New Roman"/>
                <w:color w:val="000000"/>
                <w:lang w:val="en-GB"/>
              </w:rPr>
              <w:t>8</w:t>
            </w:r>
          </w:p>
        </w:tc>
        <w:tc>
          <w:tcPr>
            <w:tcW w:w="328" w:type="pct"/>
            <w:tcBorders>
              <w:top w:val="nil"/>
              <w:left w:val="nil"/>
              <w:bottom w:val="single" w:sz="4" w:space="0" w:color="505050"/>
              <w:right w:val="single" w:sz="4" w:space="0" w:color="505050"/>
            </w:tcBorders>
            <w:noWrap/>
            <w:vAlign w:val="bottom"/>
            <w:hideMark/>
          </w:tcPr>
          <w:p w14:paraId="0B0BB895" w14:textId="77777777" w:rsidR="00444FD6" w:rsidRDefault="00CC34DB">
            <w:pPr>
              <w:spacing w:line="240" w:lineRule="auto"/>
              <w:jc w:val="right"/>
              <w:rPr>
                <w:rFonts w:eastAsia="Times New Roman"/>
                <w:color w:val="000000"/>
                <w:lang w:val="en-GB"/>
              </w:rPr>
            </w:pPr>
            <w:r>
              <w:rPr>
                <w:rFonts w:eastAsia="Times New Roman"/>
                <w:color w:val="000000"/>
                <w:lang w:val="en-GB"/>
              </w:rPr>
              <w:t>14</w:t>
            </w:r>
          </w:p>
        </w:tc>
        <w:tc>
          <w:tcPr>
            <w:tcW w:w="1079" w:type="pct"/>
            <w:tcBorders>
              <w:top w:val="nil"/>
              <w:left w:val="nil"/>
              <w:bottom w:val="single" w:sz="4" w:space="0" w:color="505050"/>
              <w:right w:val="single" w:sz="4" w:space="0" w:color="505050"/>
            </w:tcBorders>
            <w:noWrap/>
            <w:vAlign w:val="bottom"/>
            <w:hideMark/>
          </w:tcPr>
          <w:p w14:paraId="5BB4D0C4" w14:textId="77777777" w:rsidR="00444FD6" w:rsidRDefault="00CC34DB">
            <w:pPr>
              <w:spacing w:line="240" w:lineRule="auto"/>
              <w:jc w:val="right"/>
              <w:rPr>
                <w:rFonts w:eastAsia="Times New Roman"/>
                <w:color w:val="000000"/>
                <w:lang w:val="en-GB"/>
              </w:rPr>
            </w:pPr>
            <w:r>
              <w:rPr>
                <w:rFonts w:eastAsia="Times New Roman"/>
                <w:color w:val="000000"/>
                <w:lang w:val="en-GB"/>
              </w:rPr>
              <w:t>6</w:t>
            </w:r>
          </w:p>
        </w:tc>
        <w:tc>
          <w:tcPr>
            <w:tcW w:w="328" w:type="pct"/>
            <w:tcBorders>
              <w:top w:val="nil"/>
              <w:left w:val="nil"/>
              <w:bottom w:val="single" w:sz="4" w:space="0" w:color="505050"/>
              <w:right w:val="single" w:sz="4" w:space="0" w:color="505050"/>
            </w:tcBorders>
            <w:noWrap/>
            <w:vAlign w:val="bottom"/>
            <w:hideMark/>
          </w:tcPr>
          <w:p w14:paraId="42B9E896" w14:textId="77777777" w:rsidR="00444FD6" w:rsidRDefault="00CC34DB">
            <w:pPr>
              <w:spacing w:line="240" w:lineRule="auto"/>
              <w:jc w:val="right"/>
              <w:rPr>
                <w:rFonts w:eastAsia="Times New Roman"/>
                <w:color w:val="000000"/>
                <w:lang w:val="en-GB"/>
              </w:rPr>
            </w:pPr>
            <w:r>
              <w:rPr>
                <w:rFonts w:eastAsia="Times New Roman"/>
                <w:color w:val="000000"/>
                <w:lang w:val="en-GB"/>
              </w:rPr>
              <w:t>0</w:t>
            </w:r>
          </w:p>
        </w:tc>
        <w:tc>
          <w:tcPr>
            <w:tcW w:w="1079" w:type="pct"/>
            <w:tcBorders>
              <w:top w:val="nil"/>
              <w:left w:val="nil"/>
              <w:bottom w:val="single" w:sz="4" w:space="0" w:color="505050"/>
              <w:right w:val="single" w:sz="4" w:space="0" w:color="505050"/>
            </w:tcBorders>
            <w:noWrap/>
            <w:vAlign w:val="bottom"/>
            <w:hideMark/>
          </w:tcPr>
          <w:p w14:paraId="711CA638" w14:textId="77777777" w:rsidR="00444FD6" w:rsidRDefault="00CC34DB">
            <w:pPr>
              <w:spacing w:line="240" w:lineRule="auto"/>
              <w:jc w:val="right"/>
              <w:rPr>
                <w:rFonts w:eastAsia="Times New Roman"/>
                <w:color w:val="000000"/>
                <w:lang w:val="en-GB"/>
              </w:rPr>
            </w:pPr>
            <w:r>
              <w:rPr>
                <w:rFonts w:eastAsia="Times New Roman"/>
                <w:color w:val="000000"/>
                <w:lang w:val="en-GB"/>
              </w:rPr>
              <w:t>15</w:t>
            </w:r>
          </w:p>
        </w:tc>
        <w:tc>
          <w:tcPr>
            <w:tcW w:w="328" w:type="pct"/>
            <w:tcBorders>
              <w:top w:val="nil"/>
              <w:left w:val="nil"/>
              <w:bottom w:val="single" w:sz="4" w:space="0" w:color="505050"/>
              <w:right w:val="single" w:sz="4" w:space="0" w:color="505050"/>
            </w:tcBorders>
            <w:noWrap/>
            <w:vAlign w:val="bottom"/>
            <w:hideMark/>
          </w:tcPr>
          <w:p w14:paraId="7321A97A" w14:textId="77777777" w:rsidR="00444FD6" w:rsidRDefault="00CC34DB">
            <w:pPr>
              <w:spacing w:line="240" w:lineRule="auto"/>
              <w:jc w:val="right"/>
              <w:rPr>
                <w:rFonts w:eastAsia="Times New Roman"/>
                <w:color w:val="000000"/>
                <w:lang w:val="en-GB"/>
              </w:rPr>
            </w:pPr>
            <w:r>
              <w:rPr>
                <w:rFonts w:eastAsia="Times New Roman"/>
                <w:color w:val="000000"/>
                <w:lang w:val="en-GB"/>
              </w:rPr>
              <w:t>25</w:t>
            </w:r>
          </w:p>
        </w:tc>
      </w:tr>
      <w:tr w:rsidR="00444FD6" w14:paraId="4440AD7F" w14:textId="05F833A8">
        <w:trPr>
          <w:trHeight w:val="310"/>
        </w:trPr>
        <w:tc>
          <w:tcPr>
            <w:tcW w:w="779" w:type="pct"/>
            <w:tcBorders>
              <w:top w:val="nil"/>
              <w:left w:val="single" w:sz="4" w:space="0" w:color="505050"/>
              <w:bottom w:val="single" w:sz="4" w:space="0" w:color="505050"/>
              <w:right w:val="single" w:sz="4" w:space="0" w:color="505050"/>
            </w:tcBorders>
            <w:noWrap/>
            <w:vAlign w:val="bottom"/>
            <w:hideMark/>
          </w:tcPr>
          <w:p w14:paraId="6F470C19" w14:textId="77777777" w:rsidR="00444FD6" w:rsidRDefault="00CC34DB">
            <w:pPr>
              <w:spacing w:line="240" w:lineRule="auto"/>
              <w:jc w:val="left"/>
              <w:rPr>
                <w:rFonts w:eastAsia="Times New Roman"/>
                <w:color w:val="000000"/>
                <w:lang w:val="en-GB"/>
              </w:rPr>
            </w:pPr>
            <w:r>
              <w:rPr>
                <w:rFonts w:eastAsia="Times New Roman"/>
                <w:color w:val="000000"/>
                <w:lang w:val="en-GB"/>
              </w:rPr>
              <w:t> </w:t>
            </w:r>
          </w:p>
        </w:tc>
        <w:tc>
          <w:tcPr>
            <w:tcW w:w="1079" w:type="pct"/>
            <w:tcBorders>
              <w:top w:val="nil"/>
              <w:left w:val="nil"/>
              <w:bottom w:val="single" w:sz="4" w:space="0" w:color="505050"/>
              <w:right w:val="single" w:sz="4" w:space="0" w:color="505050"/>
            </w:tcBorders>
            <w:noWrap/>
            <w:vAlign w:val="bottom"/>
            <w:hideMark/>
          </w:tcPr>
          <w:p w14:paraId="13A80FC0" w14:textId="77777777" w:rsidR="00444FD6" w:rsidRDefault="00CC34DB">
            <w:pPr>
              <w:spacing w:line="240" w:lineRule="auto"/>
              <w:jc w:val="left"/>
              <w:rPr>
                <w:rFonts w:eastAsia="Times New Roman"/>
                <w:color w:val="000000"/>
                <w:lang w:val="en-GB"/>
              </w:rPr>
            </w:pPr>
            <w:r>
              <w:rPr>
                <w:rFonts w:eastAsia="Times New Roman"/>
                <w:color w:val="000000"/>
                <w:lang w:val="en-GB"/>
              </w:rPr>
              <w:t> </w:t>
            </w:r>
          </w:p>
        </w:tc>
        <w:tc>
          <w:tcPr>
            <w:tcW w:w="328" w:type="pct"/>
            <w:tcBorders>
              <w:top w:val="nil"/>
              <w:left w:val="nil"/>
              <w:bottom w:val="single" w:sz="4" w:space="0" w:color="505050"/>
              <w:right w:val="single" w:sz="4" w:space="0" w:color="505050"/>
            </w:tcBorders>
            <w:noWrap/>
            <w:vAlign w:val="bottom"/>
            <w:hideMark/>
          </w:tcPr>
          <w:p w14:paraId="3170E52F" w14:textId="77777777" w:rsidR="00444FD6" w:rsidRDefault="00CC34DB">
            <w:pPr>
              <w:spacing w:line="240" w:lineRule="auto"/>
              <w:jc w:val="left"/>
              <w:rPr>
                <w:rFonts w:eastAsia="Times New Roman"/>
                <w:color w:val="000000"/>
                <w:lang w:val="en-GB"/>
              </w:rPr>
            </w:pPr>
            <w:r>
              <w:rPr>
                <w:rFonts w:eastAsia="Times New Roman"/>
                <w:color w:val="000000"/>
                <w:lang w:val="en-GB"/>
              </w:rPr>
              <w:t> </w:t>
            </w:r>
          </w:p>
        </w:tc>
        <w:tc>
          <w:tcPr>
            <w:tcW w:w="1079" w:type="pct"/>
            <w:tcBorders>
              <w:top w:val="nil"/>
              <w:left w:val="nil"/>
              <w:bottom w:val="single" w:sz="4" w:space="0" w:color="505050"/>
              <w:right w:val="single" w:sz="4" w:space="0" w:color="505050"/>
            </w:tcBorders>
            <w:noWrap/>
            <w:vAlign w:val="bottom"/>
            <w:hideMark/>
          </w:tcPr>
          <w:p w14:paraId="53150AE6" w14:textId="77777777" w:rsidR="00444FD6" w:rsidRDefault="00CC34DB">
            <w:pPr>
              <w:spacing w:line="240" w:lineRule="auto"/>
              <w:jc w:val="left"/>
              <w:rPr>
                <w:rFonts w:eastAsia="Times New Roman"/>
                <w:color w:val="000000"/>
                <w:lang w:val="en-GB"/>
              </w:rPr>
            </w:pPr>
            <w:r>
              <w:rPr>
                <w:rFonts w:eastAsia="Times New Roman"/>
                <w:color w:val="000000"/>
                <w:lang w:val="en-GB"/>
              </w:rPr>
              <w:t> </w:t>
            </w:r>
          </w:p>
        </w:tc>
        <w:tc>
          <w:tcPr>
            <w:tcW w:w="328" w:type="pct"/>
            <w:tcBorders>
              <w:top w:val="nil"/>
              <w:left w:val="nil"/>
              <w:bottom w:val="single" w:sz="4" w:space="0" w:color="505050"/>
              <w:right w:val="single" w:sz="4" w:space="0" w:color="505050"/>
            </w:tcBorders>
            <w:noWrap/>
            <w:vAlign w:val="bottom"/>
            <w:hideMark/>
          </w:tcPr>
          <w:p w14:paraId="694FF6B0" w14:textId="77777777" w:rsidR="00444FD6" w:rsidRDefault="00CC34DB">
            <w:pPr>
              <w:spacing w:line="240" w:lineRule="auto"/>
              <w:jc w:val="left"/>
              <w:rPr>
                <w:rFonts w:eastAsia="Times New Roman"/>
                <w:color w:val="000000"/>
                <w:lang w:val="en-GB"/>
              </w:rPr>
            </w:pPr>
            <w:r>
              <w:rPr>
                <w:rFonts w:eastAsia="Times New Roman"/>
                <w:color w:val="000000"/>
                <w:lang w:val="en-GB"/>
              </w:rPr>
              <w:t> </w:t>
            </w:r>
          </w:p>
        </w:tc>
        <w:tc>
          <w:tcPr>
            <w:tcW w:w="1079" w:type="pct"/>
            <w:tcBorders>
              <w:top w:val="nil"/>
              <w:left w:val="nil"/>
              <w:bottom w:val="single" w:sz="4" w:space="0" w:color="505050"/>
              <w:right w:val="single" w:sz="4" w:space="0" w:color="505050"/>
            </w:tcBorders>
            <w:noWrap/>
            <w:vAlign w:val="bottom"/>
            <w:hideMark/>
          </w:tcPr>
          <w:p w14:paraId="3BB7B5AC" w14:textId="77777777" w:rsidR="00444FD6" w:rsidRDefault="00CC34DB">
            <w:pPr>
              <w:spacing w:line="240" w:lineRule="auto"/>
              <w:jc w:val="left"/>
              <w:rPr>
                <w:rFonts w:eastAsia="Times New Roman"/>
                <w:color w:val="000000"/>
                <w:lang w:val="en-GB"/>
              </w:rPr>
            </w:pPr>
            <w:r>
              <w:rPr>
                <w:rFonts w:eastAsia="Times New Roman"/>
                <w:color w:val="000000"/>
                <w:lang w:val="en-GB"/>
              </w:rPr>
              <w:t> </w:t>
            </w:r>
          </w:p>
        </w:tc>
        <w:tc>
          <w:tcPr>
            <w:tcW w:w="328" w:type="pct"/>
            <w:tcBorders>
              <w:top w:val="nil"/>
              <w:left w:val="nil"/>
              <w:bottom w:val="single" w:sz="4" w:space="0" w:color="505050"/>
              <w:right w:val="single" w:sz="4" w:space="0" w:color="505050"/>
            </w:tcBorders>
            <w:noWrap/>
            <w:vAlign w:val="bottom"/>
            <w:hideMark/>
          </w:tcPr>
          <w:p w14:paraId="11C16B5E" w14:textId="77777777" w:rsidR="00444FD6" w:rsidRDefault="00CC34DB">
            <w:pPr>
              <w:spacing w:line="240" w:lineRule="auto"/>
              <w:jc w:val="left"/>
              <w:rPr>
                <w:rFonts w:eastAsia="Times New Roman"/>
                <w:color w:val="000000"/>
                <w:lang w:val="en-GB"/>
              </w:rPr>
            </w:pPr>
            <w:r>
              <w:rPr>
                <w:rFonts w:eastAsia="Times New Roman"/>
                <w:color w:val="000000"/>
                <w:lang w:val="en-GB"/>
              </w:rPr>
              <w:t> </w:t>
            </w:r>
          </w:p>
        </w:tc>
      </w:tr>
      <w:tr w:rsidR="00444FD6" w14:paraId="52D25EA8" w14:textId="1B45419C">
        <w:trPr>
          <w:trHeight w:val="310"/>
        </w:trPr>
        <w:tc>
          <w:tcPr>
            <w:tcW w:w="779" w:type="pct"/>
            <w:tcBorders>
              <w:top w:val="nil"/>
              <w:left w:val="single" w:sz="4" w:space="0" w:color="505050"/>
              <w:bottom w:val="single" w:sz="4" w:space="0" w:color="505050"/>
              <w:right w:val="single" w:sz="4" w:space="0" w:color="505050"/>
            </w:tcBorders>
            <w:noWrap/>
            <w:vAlign w:val="bottom"/>
            <w:hideMark/>
          </w:tcPr>
          <w:p w14:paraId="004CAB65" w14:textId="77777777" w:rsidR="00444FD6" w:rsidRDefault="00CC34DB">
            <w:pPr>
              <w:spacing w:line="240" w:lineRule="auto"/>
              <w:jc w:val="left"/>
              <w:rPr>
                <w:rFonts w:eastAsia="Times New Roman"/>
                <w:color w:val="000000"/>
                <w:lang w:val="en-GB"/>
              </w:rPr>
            </w:pPr>
            <w:r>
              <w:rPr>
                <w:rFonts w:eastAsia="Times New Roman"/>
                <w:color w:val="000000"/>
                <w:lang w:val="en-GB"/>
              </w:rPr>
              <w:t>BEP( Year)</w:t>
            </w:r>
          </w:p>
        </w:tc>
        <w:tc>
          <w:tcPr>
            <w:tcW w:w="1079" w:type="pct"/>
            <w:tcBorders>
              <w:top w:val="nil"/>
              <w:left w:val="nil"/>
              <w:bottom w:val="single" w:sz="4" w:space="0" w:color="505050"/>
              <w:right w:val="single" w:sz="4" w:space="0" w:color="505050"/>
            </w:tcBorders>
            <w:noWrap/>
            <w:vAlign w:val="bottom"/>
            <w:hideMark/>
          </w:tcPr>
          <w:p w14:paraId="1857F565" w14:textId="77777777" w:rsidR="00444FD6" w:rsidRDefault="00CC34DB">
            <w:pPr>
              <w:spacing w:line="240" w:lineRule="auto"/>
              <w:jc w:val="right"/>
              <w:rPr>
                <w:rFonts w:eastAsia="Times New Roman"/>
                <w:color w:val="000000"/>
                <w:lang w:val="en-GB"/>
              </w:rPr>
            </w:pPr>
            <w:r>
              <w:rPr>
                <w:rFonts w:eastAsia="Times New Roman"/>
                <w:color w:val="000000"/>
                <w:lang w:val="en-GB"/>
              </w:rPr>
              <w:t>3.4</w:t>
            </w:r>
          </w:p>
        </w:tc>
        <w:tc>
          <w:tcPr>
            <w:tcW w:w="328" w:type="pct"/>
            <w:tcBorders>
              <w:top w:val="nil"/>
              <w:left w:val="nil"/>
              <w:bottom w:val="single" w:sz="4" w:space="0" w:color="505050"/>
              <w:right w:val="single" w:sz="4" w:space="0" w:color="505050"/>
            </w:tcBorders>
            <w:noWrap/>
            <w:vAlign w:val="bottom"/>
            <w:hideMark/>
          </w:tcPr>
          <w:p w14:paraId="016DE3E9" w14:textId="77777777" w:rsidR="00444FD6" w:rsidRDefault="00CC34DB">
            <w:pPr>
              <w:spacing w:line="240" w:lineRule="auto"/>
              <w:jc w:val="left"/>
              <w:rPr>
                <w:rFonts w:eastAsia="Times New Roman"/>
                <w:color w:val="000000"/>
                <w:lang w:val="en-GB"/>
              </w:rPr>
            </w:pPr>
            <w:r>
              <w:rPr>
                <w:rFonts w:eastAsia="Times New Roman"/>
                <w:color w:val="000000"/>
                <w:lang w:val="en-GB"/>
              </w:rPr>
              <w:t> </w:t>
            </w:r>
          </w:p>
        </w:tc>
        <w:tc>
          <w:tcPr>
            <w:tcW w:w="1079" w:type="pct"/>
            <w:tcBorders>
              <w:top w:val="nil"/>
              <w:left w:val="nil"/>
              <w:bottom w:val="single" w:sz="4" w:space="0" w:color="505050"/>
              <w:right w:val="single" w:sz="4" w:space="0" w:color="505050"/>
            </w:tcBorders>
            <w:noWrap/>
            <w:vAlign w:val="bottom"/>
            <w:hideMark/>
          </w:tcPr>
          <w:p w14:paraId="6FCD16AC" w14:textId="77777777" w:rsidR="00444FD6" w:rsidRDefault="00CC34DB">
            <w:pPr>
              <w:spacing w:line="240" w:lineRule="auto"/>
              <w:jc w:val="right"/>
              <w:rPr>
                <w:rFonts w:eastAsia="Times New Roman"/>
                <w:color w:val="000000"/>
                <w:lang w:val="en-GB"/>
              </w:rPr>
            </w:pPr>
            <w:r>
              <w:rPr>
                <w:rFonts w:eastAsia="Times New Roman"/>
                <w:color w:val="000000"/>
                <w:lang w:val="en-GB"/>
              </w:rPr>
              <w:t>5</w:t>
            </w:r>
          </w:p>
        </w:tc>
        <w:tc>
          <w:tcPr>
            <w:tcW w:w="328" w:type="pct"/>
            <w:tcBorders>
              <w:top w:val="nil"/>
              <w:left w:val="nil"/>
              <w:bottom w:val="single" w:sz="4" w:space="0" w:color="505050"/>
              <w:right w:val="single" w:sz="4" w:space="0" w:color="505050"/>
            </w:tcBorders>
            <w:noWrap/>
            <w:vAlign w:val="bottom"/>
            <w:hideMark/>
          </w:tcPr>
          <w:p w14:paraId="29EBBD41" w14:textId="77777777" w:rsidR="00444FD6" w:rsidRDefault="00CC34DB">
            <w:pPr>
              <w:spacing w:line="240" w:lineRule="auto"/>
              <w:jc w:val="left"/>
              <w:rPr>
                <w:rFonts w:eastAsia="Times New Roman"/>
                <w:color w:val="000000"/>
                <w:lang w:val="en-GB"/>
              </w:rPr>
            </w:pPr>
            <w:r>
              <w:rPr>
                <w:rFonts w:eastAsia="Times New Roman"/>
                <w:color w:val="000000"/>
                <w:lang w:val="en-GB"/>
              </w:rPr>
              <w:t> </w:t>
            </w:r>
          </w:p>
        </w:tc>
        <w:tc>
          <w:tcPr>
            <w:tcW w:w="1079" w:type="pct"/>
            <w:tcBorders>
              <w:top w:val="nil"/>
              <w:left w:val="nil"/>
              <w:bottom w:val="single" w:sz="4" w:space="0" w:color="505050"/>
              <w:right w:val="single" w:sz="4" w:space="0" w:color="505050"/>
            </w:tcBorders>
            <w:noWrap/>
            <w:vAlign w:val="bottom"/>
            <w:hideMark/>
          </w:tcPr>
          <w:p w14:paraId="53C825ED" w14:textId="77777777" w:rsidR="00444FD6" w:rsidRDefault="00CC34DB">
            <w:pPr>
              <w:spacing w:line="240" w:lineRule="auto"/>
              <w:jc w:val="right"/>
              <w:rPr>
                <w:rFonts w:eastAsia="Times New Roman"/>
                <w:color w:val="000000"/>
                <w:lang w:val="en-GB"/>
              </w:rPr>
            </w:pPr>
            <w:r>
              <w:rPr>
                <w:rFonts w:eastAsia="Times New Roman"/>
                <w:color w:val="000000"/>
                <w:lang w:val="en-GB"/>
              </w:rPr>
              <w:t>3.6</w:t>
            </w:r>
          </w:p>
        </w:tc>
        <w:tc>
          <w:tcPr>
            <w:tcW w:w="328" w:type="pct"/>
            <w:tcBorders>
              <w:top w:val="nil"/>
              <w:left w:val="nil"/>
              <w:bottom w:val="single" w:sz="4" w:space="0" w:color="505050"/>
              <w:right w:val="single" w:sz="4" w:space="0" w:color="505050"/>
            </w:tcBorders>
            <w:noWrap/>
            <w:vAlign w:val="bottom"/>
            <w:hideMark/>
          </w:tcPr>
          <w:p w14:paraId="4063E198" w14:textId="77777777" w:rsidR="00444FD6" w:rsidRDefault="00CC34DB">
            <w:pPr>
              <w:spacing w:line="240" w:lineRule="auto"/>
              <w:jc w:val="left"/>
              <w:rPr>
                <w:rFonts w:eastAsia="Times New Roman"/>
                <w:color w:val="000000"/>
                <w:lang w:val="en-GB"/>
              </w:rPr>
            </w:pPr>
            <w:r>
              <w:rPr>
                <w:rFonts w:eastAsia="Times New Roman"/>
                <w:color w:val="000000"/>
                <w:lang w:val="en-GB"/>
              </w:rPr>
              <w:t> </w:t>
            </w:r>
          </w:p>
        </w:tc>
      </w:tr>
    </w:tbl>
    <w:p w14:paraId="6B863616" w14:textId="77777777" w:rsidR="00444FD6" w:rsidRDefault="00444FD6"/>
    <w:p w14:paraId="16D5C8C8" w14:textId="77777777" w:rsidR="00444FD6" w:rsidRDefault="00444FD6"/>
    <w:p w14:paraId="22844B98" w14:textId="77777777" w:rsidR="00444FD6" w:rsidRDefault="00444FD6"/>
    <w:p w14:paraId="4854BCC4" w14:textId="77777777" w:rsidR="00444FD6" w:rsidRDefault="00444FD6"/>
    <w:tbl>
      <w:tblPr>
        <w:tblStyle w:val="TableGrid"/>
        <w:tblW w:w="0" w:type="auto"/>
        <w:tblLook w:val="04A0" w:firstRow="1" w:lastRow="0" w:firstColumn="1" w:lastColumn="0" w:noHBand="0" w:noVBand="1"/>
      </w:tblPr>
      <w:tblGrid>
        <w:gridCol w:w="710"/>
        <w:gridCol w:w="1550"/>
        <w:gridCol w:w="1215"/>
        <w:gridCol w:w="1550"/>
        <w:gridCol w:w="1383"/>
        <w:gridCol w:w="1498"/>
        <w:gridCol w:w="1110"/>
      </w:tblGrid>
      <w:tr w:rsidR="00444FD6" w14:paraId="6BC48B14" w14:textId="77777777">
        <w:trPr>
          <w:trHeight w:val="310"/>
        </w:trPr>
        <w:tc>
          <w:tcPr>
            <w:tcW w:w="0" w:type="auto"/>
            <w:noWrap/>
            <w:hideMark/>
          </w:tcPr>
          <w:p w14:paraId="75DA8E08" w14:textId="77777777" w:rsidR="00444FD6" w:rsidRDefault="00CC34DB">
            <w:pPr>
              <w:jc w:val="left"/>
              <w:rPr>
                <w:rFonts w:eastAsia="Times New Roman"/>
                <w:color w:val="000000"/>
                <w:lang w:val="en-GB"/>
              </w:rPr>
            </w:pPr>
            <w:r>
              <w:rPr>
                <w:rFonts w:eastAsia="Times New Roman"/>
                <w:color w:val="000000"/>
                <w:lang w:val="en-GB"/>
              </w:rPr>
              <w:t>Year</w:t>
            </w:r>
          </w:p>
        </w:tc>
        <w:tc>
          <w:tcPr>
            <w:tcW w:w="0" w:type="auto"/>
            <w:noWrap/>
            <w:hideMark/>
          </w:tcPr>
          <w:p w14:paraId="5C87B926" w14:textId="77777777" w:rsidR="00444FD6" w:rsidRDefault="00CC34DB">
            <w:pPr>
              <w:jc w:val="left"/>
              <w:rPr>
                <w:rFonts w:eastAsia="Times New Roman"/>
                <w:color w:val="000000"/>
                <w:lang w:val="en-GB"/>
              </w:rPr>
            </w:pPr>
            <w:r>
              <w:rPr>
                <w:rFonts w:eastAsia="Times New Roman"/>
                <w:color w:val="000000"/>
                <w:lang w:val="en-GB"/>
              </w:rPr>
              <w:t>Cash Flow (£m)</w:t>
            </w:r>
          </w:p>
        </w:tc>
        <w:tc>
          <w:tcPr>
            <w:tcW w:w="0" w:type="auto"/>
            <w:noWrap/>
            <w:hideMark/>
          </w:tcPr>
          <w:p w14:paraId="5DD6C463" w14:textId="77777777" w:rsidR="00444FD6" w:rsidRDefault="00CC34DB">
            <w:pPr>
              <w:jc w:val="left"/>
              <w:rPr>
                <w:rFonts w:eastAsia="Times New Roman"/>
                <w:color w:val="000000"/>
                <w:lang w:val="en-GB"/>
              </w:rPr>
            </w:pPr>
            <w:r>
              <w:rPr>
                <w:rFonts w:eastAsia="Times New Roman"/>
                <w:color w:val="000000"/>
                <w:lang w:val="en-GB"/>
              </w:rPr>
              <w:t>DCF</w:t>
            </w:r>
          </w:p>
        </w:tc>
        <w:tc>
          <w:tcPr>
            <w:tcW w:w="0" w:type="auto"/>
            <w:noWrap/>
            <w:hideMark/>
          </w:tcPr>
          <w:p w14:paraId="13390526" w14:textId="77777777" w:rsidR="00444FD6" w:rsidRDefault="00CC34DB">
            <w:pPr>
              <w:jc w:val="left"/>
              <w:rPr>
                <w:rFonts w:eastAsia="Times New Roman"/>
                <w:color w:val="000000"/>
                <w:lang w:val="en-GB"/>
              </w:rPr>
            </w:pPr>
            <w:r>
              <w:rPr>
                <w:rFonts w:eastAsia="Times New Roman"/>
                <w:color w:val="000000"/>
                <w:lang w:val="en-GB"/>
              </w:rPr>
              <w:t>Cash Flow (£m)</w:t>
            </w:r>
          </w:p>
        </w:tc>
        <w:tc>
          <w:tcPr>
            <w:tcW w:w="0" w:type="auto"/>
            <w:noWrap/>
            <w:hideMark/>
          </w:tcPr>
          <w:p w14:paraId="0D874DF6" w14:textId="77777777" w:rsidR="00444FD6" w:rsidRDefault="00CC34DB">
            <w:pPr>
              <w:jc w:val="left"/>
              <w:rPr>
                <w:rFonts w:eastAsia="Times New Roman"/>
                <w:color w:val="000000"/>
                <w:lang w:val="en-GB"/>
              </w:rPr>
            </w:pPr>
            <w:r>
              <w:rPr>
                <w:rFonts w:eastAsia="Times New Roman"/>
                <w:color w:val="000000"/>
                <w:lang w:val="en-GB"/>
              </w:rPr>
              <w:t>DCF</w:t>
            </w:r>
          </w:p>
        </w:tc>
        <w:tc>
          <w:tcPr>
            <w:tcW w:w="0" w:type="auto"/>
            <w:noWrap/>
            <w:hideMark/>
          </w:tcPr>
          <w:p w14:paraId="1AC690F7" w14:textId="77777777" w:rsidR="00444FD6" w:rsidRDefault="00CC34DB">
            <w:pPr>
              <w:jc w:val="left"/>
              <w:rPr>
                <w:rFonts w:eastAsia="Times New Roman"/>
                <w:color w:val="000000"/>
                <w:lang w:val="en-GB"/>
              </w:rPr>
            </w:pPr>
            <w:r>
              <w:rPr>
                <w:rFonts w:eastAsia="Times New Roman"/>
                <w:color w:val="000000"/>
                <w:lang w:val="en-GB"/>
              </w:rPr>
              <w:t>Cash Flow(£m)</w:t>
            </w:r>
          </w:p>
        </w:tc>
        <w:tc>
          <w:tcPr>
            <w:tcW w:w="0" w:type="auto"/>
            <w:noWrap/>
            <w:hideMark/>
          </w:tcPr>
          <w:p w14:paraId="4EB408DB" w14:textId="77777777" w:rsidR="00444FD6" w:rsidRDefault="00CC34DB">
            <w:pPr>
              <w:jc w:val="left"/>
              <w:rPr>
                <w:rFonts w:eastAsia="Times New Roman"/>
                <w:color w:val="000000"/>
                <w:lang w:val="en-GB"/>
              </w:rPr>
            </w:pPr>
            <w:r>
              <w:rPr>
                <w:rFonts w:eastAsia="Times New Roman"/>
                <w:color w:val="000000"/>
                <w:lang w:val="en-GB"/>
              </w:rPr>
              <w:t>DCF</w:t>
            </w:r>
          </w:p>
        </w:tc>
      </w:tr>
      <w:tr w:rsidR="00444FD6" w14:paraId="4AF950F7" w14:textId="77777777">
        <w:trPr>
          <w:trHeight w:val="310"/>
        </w:trPr>
        <w:tc>
          <w:tcPr>
            <w:tcW w:w="0" w:type="auto"/>
            <w:noWrap/>
            <w:hideMark/>
          </w:tcPr>
          <w:p w14:paraId="6E187014" w14:textId="77777777" w:rsidR="00444FD6" w:rsidRDefault="00CC34DB">
            <w:pPr>
              <w:jc w:val="right"/>
              <w:rPr>
                <w:rFonts w:eastAsia="Times New Roman"/>
                <w:color w:val="000000"/>
                <w:lang w:val="en-GB"/>
              </w:rPr>
            </w:pPr>
            <w:r>
              <w:rPr>
                <w:rFonts w:eastAsia="Times New Roman"/>
                <w:color w:val="000000"/>
                <w:lang w:val="en-GB"/>
              </w:rPr>
              <w:t>0</w:t>
            </w:r>
          </w:p>
        </w:tc>
        <w:tc>
          <w:tcPr>
            <w:tcW w:w="0" w:type="auto"/>
            <w:noWrap/>
            <w:hideMark/>
          </w:tcPr>
          <w:p w14:paraId="3A90AC2C" w14:textId="77777777" w:rsidR="00444FD6" w:rsidRDefault="00CC34DB">
            <w:pPr>
              <w:jc w:val="right"/>
              <w:rPr>
                <w:rFonts w:eastAsia="Times New Roman"/>
                <w:color w:val="000000"/>
                <w:lang w:val="en-GB"/>
              </w:rPr>
            </w:pPr>
            <w:r>
              <w:rPr>
                <w:rFonts w:eastAsia="Times New Roman"/>
                <w:color w:val="000000"/>
                <w:lang w:val="en-GB"/>
              </w:rPr>
              <w:t>-40</w:t>
            </w:r>
          </w:p>
        </w:tc>
        <w:tc>
          <w:tcPr>
            <w:tcW w:w="0" w:type="auto"/>
            <w:noWrap/>
            <w:hideMark/>
          </w:tcPr>
          <w:p w14:paraId="5B29E608" w14:textId="77777777" w:rsidR="00444FD6" w:rsidRDefault="00CC34DB">
            <w:pPr>
              <w:jc w:val="right"/>
              <w:rPr>
                <w:rFonts w:eastAsia="Times New Roman"/>
                <w:color w:val="000000"/>
                <w:lang w:val="en-GB"/>
              </w:rPr>
            </w:pPr>
            <w:r>
              <w:rPr>
                <w:rFonts w:eastAsia="Times New Roman"/>
                <w:color w:val="000000"/>
                <w:lang w:val="en-GB"/>
              </w:rPr>
              <w:t>-40</w:t>
            </w:r>
          </w:p>
        </w:tc>
        <w:tc>
          <w:tcPr>
            <w:tcW w:w="0" w:type="auto"/>
            <w:noWrap/>
            <w:hideMark/>
          </w:tcPr>
          <w:p w14:paraId="716A96C5" w14:textId="77777777" w:rsidR="00444FD6" w:rsidRDefault="00CC34DB">
            <w:pPr>
              <w:jc w:val="right"/>
              <w:rPr>
                <w:rFonts w:eastAsia="Times New Roman"/>
                <w:color w:val="000000"/>
                <w:lang w:val="en-GB"/>
              </w:rPr>
            </w:pPr>
            <w:r>
              <w:rPr>
                <w:rFonts w:eastAsia="Times New Roman"/>
                <w:color w:val="000000"/>
                <w:lang w:val="en-GB"/>
              </w:rPr>
              <w:t>-30</w:t>
            </w:r>
          </w:p>
        </w:tc>
        <w:tc>
          <w:tcPr>
            <w:tcW w:w="0" w:type="auto"/>
            <w:noWrap/>
            <w:hideMark/>
          </w:tcPr>
          <w:p w14:paraId="212709EA" w14:textId="77777777" w:rsidR="00444FD6" w:rsidRDefault="00CC34DB">
            <w:pPr>
              <w:jc w:val="right"/>
              <w:rPr>
                <w:rFonts w:eastAsia="Times New Roman"/>
                <w:color w:val="000000"/>
                <w:lang w:val="en-GB"/>
              </w:rPr>
            </w:pPr>
            <w:r>
              <w:rPr>
                <w:rFonts w:eastAsia="Times New Roman"/>
                <w:color w:val="000000"/>
                <w:lang w:val="en-GB"/>
              </w:rPr>
              <w:t>-30</w:t>
            </w:r>
          </w:p>
        </w:tc>
        <w:tc>
          <w:tcPr>
            <w:tcW w:w="0" w:type="auto"/>
            <w:noWrap/>
            <w:hideMark/>
          </w:tcPr>
          <w:p w14:paraId="71B423B5" w14:textId="77777777" w:rsidR="00444FD6" w:rsidRDefault="00CC34DB">
            <w:pPr>
              <w:jc w:val="right"/>
              <w:rPr>
                <w:rFonts w:eastAsia="Times New Roman"/>
                <w:color w:val="000000"/>
                <w:lang w:val="en-GB"/>
              </w:rPr>
            </w:pPr>
            <w:r>
              <w:rPr>
                <w:rFonts w:eastAsia="Times New Roman"/>
                <w:color w:val="000000"/>
                <w:lang w:val="en-GB"/>
              </w:rPr>
              <w:t>-50</w:t>
            </w:r>
          </w:p>
        </w:tc>
        <w:tc>
          <w:tcPr>
            <w:tcW w:w="0" w:type="auto"/>
            <w:noWrap/>
            <w:hideMark/>
          </w:tcPr>
          <w:p w14:paraId="26CABE75" w14:textId="77777777" w:rsidR="00444FD6" w:rsidRDefault="00CC34DB">
            <w:pPr>
              <w:jc w:val="right"/>
              <w:rPr>
                <w:rFonts w:eastAsia="Times New Roman"/>
                <w:color w:val="000000"/>
                <w:lang w:val="en-GB"/>
              </w:rPr>
            </w:pPr>
            <w:r>
              <w:rPr>
                <w:rFonts w:eastAsia="Times New Roman"/>
                <w:color w:val="000000"/>
                <w:lang w:val="en-GB"/>
              </w:rPr>
              <w:t>-50</w:t>
            </w:r>
          </w:p>
        </w:tc>
      </w:tr>
      <w:tr w:rsidR="00444FD6" w14:paraId="3AEB81F2" w14:textId="77777777">
        <w:trPr>
          <w:trHeight w:val="310"/>
        </w:trPr>
        <w:tc>
          <w:tcPr>
            <w:tcW w:w="0" w:type="auto"/>
            <w:noWrap/>
            <w:hideMark/>
          </w:tcPr>
          <w:p w14:paraId="59A3F1FD" w14:textId="77777777" w:rsidR="00444FD6" w:rsidRDefault="00CC34DB">
            <w:pPr>
              <w:jc w:val="right"/>
              <w:rPr>
                <w:rFonts w:eastAsia="Times New Roman"/>
                <w:color w:val="000000"/>
                <w:lang w:val="en-GB"/>
              </w:rPr>
            </w:pPr>
            <w:r>
              <w:rPr>
                <w:rFonts w:eastAsia="Times New Roman"/>
                <w:color w:val="000000"/>
                <w:lang w:val="en-GB"/>
              </w:rPr>
              <w:t>1</w:t>
            </w:r>
          </w:p>
        </w:tc>
        <w:tc>
          <w:tcPr>
            <w:tcW w:w="0" w:type="auto"/>
            <w:noWrap/>
            <w:hideMark/>
          </w:tcPr>
          <w:p w14:paraId="01876416" w14:textId="77777777" w:rsidR="00444FD6" w:rsidRDefault="00CC34DB">
            <w:pPr>
              <w:jc w:val="right"/>
              <w:rPr>
                <w:rFonts w:eastAsia="Times New Roman"/>
                <w:color w:val="000000"/>
                <w:lang w:val="en-GB"/>
              </w:rPr>
            </w:pPr>
            <w:r>
              <w:rPr>
                <w:rFonts w:eastAsia="Times New Roman"/>
                <w:color w:val="000000"/>
                <w:lang w:val="en-GB"/>
              </w:rPr>
              <w:t>10</w:t>
            </w:r>
          </w:p>
        </w:tc>
        <w:tc>
          <w:tcPr>
            <w:tcW w:w="0" w:type="auto"/>
            <w:noWrap/>
            <w:hideMark/>
          </w:tcPr>
          <w:p w14:paraId="4217460E" w14:textId="77777777" w:rsidR="00444FD6" w:rsidRDefault="00CC34DB">
            <w:pPr>
              <w:jc w:val="right"/>
              <w:rPr>
                <w:rFonts w:eastAsia="Times New Roman"/>
                <w:color w:val="000000"/>
                <w:lang w:val="en-GB"/>
              </w:rPr>
            </w:pPr>
            <w:r>
              <w:rPr>
                <w:rFonts w:eastAsia="Times New Roman"/>
                <w:color w:val="000000"/>
                <w:lang w:val="en-GB"/>
              </w:rPr>
              <w:t>9.09090909</w:t>
            </w:r>
          </w:p>
        </w:tc>
        <w:tc>
          <w:tcPr>
            <w:tcW w:w="0" w:type="auto"/>
            <w:noWrap/>
            <w:hideMark/>
          </w:tcPr>
          <w:p w14:paraId="11E76B6B" w14:textId="77777777" w:rsidR="00444FD6" w:rsidRDefault="00CC34DB">
            <w:pPr>
              <w:jc w:val="right"/>
              <w:rPr>
                <w:rFonts w:eastAsia="Times New Roman"/>
                <w:color w:val="000000"/>
                <w:lang w:val="en-GB"/>
              </w:rPr>
            </w:pPr>
            <w:r>
              <w:rPr>
                <w:rFonts w:eastAsia="Times New Roman"/>
                <w:color w:val="000000"/>
                <w:lang w:val="en-GB"/>
              </w:rPr>
              <w:t>6</w:t>
            </w:r>
          </w:p>
        </w:tc>
        <w:tc>
          <w:tcPr>
            <w:tcW w:w="0" w:type="auto"/>
            <w:noWrap/>
            <w:hideMark/>
          </w:tcPr>
          <w:p w14:paraId="7610AF20" w14:textId="77777777" w:rsidR="00444FD6" w:rsidRDefault="00CC34DB">
            <w:pPr>
              <w:jc w:val="right"/>
              <w:rPr>
                <w:rFonts w:eastAsia="Times New Roman"/>
                <w:color w:val="000000"/>
                <w:lang w:val="en-GB"/>
              </w:rPr>
            </w:pPr>
            <w:r>
              <w:rPr>
                <w:rFonts w:eastAsia="Times New Roman"/>
                <w:color w:val="000000"/>
                <w:lang w:val="en-GB"/>
              </w:rPr>
              <w:t>5.454545455</w:t>
            </w:r>
          </w:p>
        </w:tc>
        <w:tc>
          <w:tcPr>
            <w:tcW w:w="0" w:type="auto"/>
            <w:noWrap/>
            <w:hideMark/>
          </w:tcPr>
          <w:p w14:paraId="791B54DC" w14:textId="77777777" w:rsidR="00444FD6" w:rsidRDefault="00CC34DB">
            <w:pPr>
              <w:jc w:val="right"/>
              <w:rPr>
                <w:rFonts w:eastAsia="Times New Roman"/>
                <w:color w:val="000000"/>
                <w:lang w:val="en-GB"/>
              </w:rPr>
            </w:pPr>
            <w:r>
              <w:rPr>
                <w:rFonts w:eastAsia="Times New Roman"/>
                <w:color w:val="000000"/>
                <w:lang w:val="en-GB"/>
              </w:rPr>
              <w:t>5</w:t>
            </w:r>
          </w:p>
        </w:tc>
        <w:tc>
          <w:tcPr>
            <w:tcW w:w="0" w:type="auto"/>
            <w:noWrap/>
            <w:hideMark/>
          </w:tcPr>
          <w:p w14:paraId="28936DE4" w14:textId="77777777" w:rsidR="00444FD6" w:rsidRDefault="00CC34DB">
            <w:pPr>
              <w:jc w:val="right"/>
              <w:rPr>
                <w:rFonts w:eastAsia="Times New Roman"/>
                <w:color w:val="000000"/>
                <w:lang w:val="en-GB"/>
              </w:rPr>
            </w:pPr>
            <w:r>
              <w:rPr>
                <w:rFonts w:eastAsia="Times New Roman"/>
                <w:color w:val="000000"/>
                <w:lang w:val="en-GB"/>
              </w:rPr>
              <w:t>4.5454545</w:t>
            </w:r>
          </w:p>
        </w:tc>
      </w:tr>
      <w:tr w:rsidR="00444FD6" w14:paraId="60D656AD" w14:textId="77777777">
        <w:trPr>
          <w:trHeight w:val="310"/>
        </w:trPr>
        <w:tc>
          <w:tcPr>
            <w:tcW w:w="0" w:type="auto"/>
            <w:noWrap/>
            <w:hideMark/>
          </w:tcPr>
          <w:p w14:paraId="77E4EAA4" w14:textId="77777777" w:rsidR="00444FD6" w:rsidRDefault="00CC34DB">
            <w:pPr>
              <w:jc w:val="right"/>
              <w:rPr>
                <w:rFonts w:eastAsia="Times New Roman"/>
                <w:color w:val="000000"/>
                <w:lang w:val="en-GB"/>
              </w:rPr>
            </w:pPr>
            <w:r>
              <w:rPr>
                <w:rFonts w:eastAsia="Times New Roman"/>
                <w:color w:val="000000"/>
                <w:lang w:val="en-GB"/>
              </w:rPr>
              <w:t>2</w:t>
            </w:r>
          </w:p>
        </w:tc>
        <w:tc>
          <w:tcPr>
            <w:tcW w:w="0" w:type="auto"/>
            <w:noWrap/>
            <w:hideMark/>
          </w:tcPr>
          <w:p w14:paraId="240A8B98" w14:textId="77777777" w:rsidR="00444FD6" w:rsidRDefault="00CC34DB">
            <w:pPr>
              <w:jc w:val="right"/>
              <w:rPr>
                <w:rFonts w:eastAsia="Times New Roman"/>
                <w:color w:val="000000"/>
                <w:lang w:val="en-GB"/>
              </w:rPr>
            </w:pPr>
            <w:r>
              <w:rPr>
                <w:rFonts w:eastAsia="Times New Roman"/>
                <w:color w:val="000000"/>
                <w:lang w:val="en-GB"/>
              </w:rPr>
              <w:t>12</w:t>
            </w:r>
          </w:p>
        </w:tc>
        <w:tc>
          <w:tcPr>
            <w:tcW w:w="0" w:type="auto"/>
            <w:noWrap/>
            <w:hideMark/>
          </w:tcPr>
          <w:p w14:paraId="4399FCFE" w14:textId="77777777" w:rsidR="00444FD6" w:rsidRDefault="00CC34DB">
            <w:pPr>
              <w:jc w:val="right"/>
              <w:rPr>
                <w:rFonts w:eastAsia="Times New Roman"/>
                <w:color w:val="000000"/>
                <w:lang w:val="en-GB"/>
              </w:rPr>
            </w:pPr>
            <w:r>
              <w:rPr>
                <w:rFonts w:eastAsia="Times New Roman"/>
                <w:color w:val="000000"/>
                <w:lang w:val="en-GB"/>
              </w:rPr>
              <w:t>9.91735537</w:t>
            </w:r>
          </w:p>
        </w:tc>
        <w:tc>
          <w:tcPr>
            <w:tcW w:w="0" w:type="auto"/>
            <w:noWrap/>
            <w:hideMark/>
          </w:tcPr>
          <w:p w14:paraId="058B6DA6" w14:textId="77777777" w:rsidR="00444FD6" w:rsidRDefault="00CC34DB">
            <w:pPr>
              <w:jc w:val="right"/>
              <w:rPr>
                <w:rFonts w:eastAsia="Times New Roman"/>
                <w:color w:val="000000"/>
                <w:lang w:val="en-GB"/>
              </w:rPr>
            </w:pPr>
            <w:r>
              <w:rPr>
                <w:rFonts w:eastAsia="Times New Roman"/>
                <w:color w:val="000000"/>
                <w:lang w:val="en-GB"/>
              </w:rPr>
              <w:t>6</w:t>
            </w:r>
          </w:p>
        </w:tc>
        <w:tc>
          <w:tcPr>
            <w:tcW w:w="0" w:type="auto"/>
            <w:noWrap/>
            <w:hideMark/>
          </w:tcPr>
          <w:p w14:paraId="50FA36D2" w14:textId="77777777" w:rsidR="00444FD6" w:rsidRDefault="00CC34DB">
            <w:pPr>
              <w:jc w:val="right"/>
              <w:rPr>
                <w:rFonts w:eastAsia="Times New Roman"/>
                <w:color w:val="000000"/>
                <w:lang w:val="en-GB"/>
              </w:rPr>
            </w:pPr>
            <w:r>
              <w:rPr>
                <w:rFonts w:eastAsia="Times New Roman"/>
                <w:color w:val="000000"/>
                <w:lang w:val="en-GB"/>
              </w:rPr>
              <w:t>4.958677686</w:t>
            </w:r>
          </w:p>
        </w:tc>
        <w:tc>
          <w:tcPr>
            <w:tcW w:w="0" w:type="auto"/>
            <w:noWrap/>
            <w:hideMark/>
          </w:tcPr>
          <w:p w14:paraId="2A15F500" w14:textId="77777777" w:rsidR="00444FD6" w:rsidRDefault="00CC34DB">
            <w:pPr>
              <w:jc w:val="right"/>
              <w:rPr>
                <w:rFonts w:eastAsia="Times New Roman"/>
                <w:color w:val="000000"/>
                <w:lang w:val="en-GB"/>
              </w:rPr>
            </w:pPr>
            <w:r>
              <w:rPr>
                <w:rFonts w:eastAsia="Times New Roman"/>
                <w:color w:val="000000"/>
                <w:lang w:val="en-GB"/>
              </w:rPr>
              <w:t>10</w:t>
            </w:r>
          </w:p>
        </w:tc>
        <w:tc>
          <w:tcPr>
            <w:tcW w:w="0" w:type="auto"/>
            <w:noWrap/>
            <w:hideMark/>
          </w:tcPr>
          <w:p w14:paraId="2764CB41" w14:textId="77777777" w:rsidR="00444FD6" w:rsidRDefault="00CC34DB">
            <w:pPr>
              <w:jc w:val="right"/>
              <w:rPr>
                <w:rFonts w:eastAsia="Times New Roman"/>
                <w:color w:val="000000"/>
                <w:lang w:val="en-GB"/>
              </w:rPr>
            </w:pPr>
            <w:r>
              <w:rPr>
                <w:rFonts w:eastAsia="Times New Roman"/>
                <w:color w:val="000000"/>
                <w:lang w:val="en-GB"/>
              </w:rPr>
              <w:t>8.2644628</w:t>
            </w:r>
          </w:p>
        </w:tc>
      </w:tr>
      <w:tr w:rsidR="00444FD6" w14:paraId="1133B4C6" w14:textId="77777777">
        <w:trPr>
          <w:trHeight w:val="310"/>
        </w:trPr>
        <w:tc>
          <w:tcPr>
            <w:tcW w:w="0" w:type="auto"/>
            <w:noWrap/>
            <w:hideMark/>
          </w:tcPr>
          <w:p w14:paraId="19C8116D" w14:textId="77777777" w:rsidR="00444FD6" w:rsidRDefault="00CC34DB">
            <w:pPr>
              <w:jc w:val="right"/>
              <w:rPr>
                <w:rFonts w:eastAsia="Times New Roman"/>
                <w:color w:val="000000"/>
                <w:lang w:val="en-GB"/>
              </w:rPr>
            </w:pPr>
            <w:r>
              <w:rPr>
                <w:rFonts w:eastAsia="Times New Roman"/>
                <w:color w:val="000000"/>
                <w:lang w:val="en-GB"/>
              </w:rPr>
              <w:t>3</w:t>
            </w:r>
          </w:p>
        </w:tc>
        <w:tc>
          <w:tcPr>
            <w:tcW w:w="0" w:type="auto"/>
            <w:noWrap/>
            <w:hideMark/>
          </w:tcPr>
          <w:p w14:paraId="2B514FA0" w14:textId="77777777" w:rsidR="00444FD6" w:rsidRDefault="00CC34DB">
            <w:pPr>
              <w:jc w:val="right"/>
              <w:rPr>
                <w:rFonts w:eastAsia="Times New Roman"/>
                <w:color w:val="000000"/>
                <w:lang w:val="en-GB"/>
              </w:rPr>
            </w:pPr>
            <w:r>
              <w:rPr>
                <w:rFonts w:eastAsia="Times New Roman"/>
                <w:color w:val="000000"/>
                <w:lang w:val="en-GB"/>
              </w:rPr>
              <w:t>14</w:t>
            </w:r>
          </w:p>
        </w:tc>
        <w:tc>
          <w:tcPr>
            <w:tcW w:w="0" w:type="auto"/>
            <w:noWrap/>
            <w:hideMark/>
          </w:tcPr>
          <w:p w14:paraId="69687C79" w14:textId="77777777" w:rsidR="00444FD6" w:rsidRDefault="00CC34DB">
            <w:pPr>
              <w:jc w:val="right"/>
              <w:rPr>
                <w:rFonts w:eastAsia="Times New Roman"/>
                <w:color w:val="000000"/>
                <w:lang w:val="en-GB"/>
              </w:rPr>
            </w:pPr>
            <w:r>
              <w:rPr>
                <w:rFonts w:eastAsia="Times New Roman"/>
                <w:color w:val="000000"/>
                <w:lang w:val="en-GB"/>
              </w:rPr>
              <w:t>10.5184072</w:t>
            </w:r>
          </w:p>
        </w:tc>
        <w:tc>
          <w:tcPr>
            <w:tcW w:w="0" w:type="auto"/>
            <w:noWrap/>
            <w:hideMark/>
          </w:tcPr>
          <w:p w14:paraId="687C1581" w14:textId="77777777" w:rsidR="00444FD6" w:rsidRDefault="00CC34DB">
            <w:pPr>
              <w:jc w:val="right"/>
              <w:rPr>
                <w:rFonts w:eastAsia="Times New Roman"/>
                <w:color w:val="000000"/>
                <w:lang w:val="en-GB"/>
              </w:rPr>
            </w:pPr>
            <w:r>
              <w:rPr>
                <w:rFonts w:eastAsia="Times New Roman"/>
                <w:color w:val="000000"/>
                <w:lang w:val="en-GB"/>
              </w:rPr>
              <w:t>6</w:t>
            </w:r>
          </w:p>
        </w:tc>
        <w:tc>
          <w:tcPr>
            <w:tcW w:w="0" w:type="auto"/>
            <w:noWrap/>
            <w:hideMark/>
          </w:tcPr>
          <w:p w14:paraId="7B51F71C" w14:textId="77777777" w:rsidR="00444FD6" w:rsidRDefault="00CC34DB">
            <w:pPr>
              <w:jc w:val="right"/>
              <w:rPr>
                <w:rFonts w:eastAsia="Times New Roman"/>
                <w:color w:val="000000"/>
                <w:lang w:val="en-GB"/>
              </w:rPr>
            </w:pPr>
            <w:r>
              <w:rPr>
                <w:rFonts w:eastAsia="Times New Roman"/>
                <w:color w:val="000000"/>
                <w:lang w:val="en-GB"/>
              </w:rPr>
              <w:t>4.507888805</w:t>
            </w:r>
          </w:p>
        </w:tc>
        <w:tc>
          <w:tcPr>
            <w:tcW w:w="0" w:type="auto"/>
            <w:noWrap/>
            <w:hideMark/>
          </w:tcPr>
          <w:p w14:paraId="1281FA0A" w14:textId="77777777" w:rsidR="00444FD6" w:rsidRDefault="00CC34DB">
            <w:pPr>
              <w:jc w:val="right"/>
              <w:rPr>
                <w:rFonts w:eastAsia="Times New Roman"/>
                <w:color w:val="000000"/>
                <w:lang w:val="en-GB"/>
              </w:rPr>
            </w:pPr>
            <w:r>
              <w:rPr>
                <w:rFonts w:eastAsia="Times New Roman"/>
                <w:color w:val="000000"/>
                <w:lang w:val="en-GB"/>
              </w:rPr>
              <w:t>20</w:t>
            </w:r>
          </w:p>
        </w:tc>
        <w:tc>
          <w:tcPr>
            <w:tcW w:w="0" w:type="auto"/>
            <w:noWrap/>
            <w:hideMark/>
          </w:tcPr>
          <w:p w14:paraId="1F6217B1" w14:textId="77777777" w:rsidR="00444FD6" w:rsidRDefault="00CC34DB">
            <w:pPr>
              <w:jc w:val="right"/>
              <w:rPr>
                <w:rFonts w:eastAsia="Times New Roman"/>
                <w:color w:val="000000"/>
                <w:lang w:val="en-GB"/>
              </w:rPr>
            </w:pPr>
            <w:r>
              <w:rPr>
                <w:rFonts w:eastAsia="Times New Roman"/>
                <w:color w:val="000000"/>
                <w:lang w:val="en-GB"/>
              </w:rPr>
              <w:t>15.026296</w:t>
            </w:r>
          </w:p>
        </w:tc>
      </w:tr>
      <w:tr w:rsidR="00444FD6" w14:paraId="3A258953" w14:textId="77777777">
        <w:trPr>
          <w:trHeight w:val="310"/>
        </w:trPr>
        <w:tc>
          <w:tcPr>
            <w:tcW w:w="0" w:type="auto"/>
            <w:noWrap/>
            <w:hideMark/>
          </w:tcPr>
          <w:p w14:paraId="07AAD0BF" w14:textId="77777777" w:rsidR="00444FD6" w:rsidRDefault="00CC34DB">
            <w:pPr>
              <w:jc w:val="right"/>
              <w:rPr>
                <w:rFonts w:eastAsia="Times New Roman"/>
                <w:color w:val="000000"/>
                <w:lang w:val="en-GB"/>
              </w:rPr>
            </w:pPr>
            <w:r>
              <w:rPr>
                <w:rFonts w:eastAsia="Times New Roman"/>
                <w:color w:val="000000"/>
                <w:lang w:val="en-GB"/>
              </w:rPr>
              <w:t>4</w:t>
            </w:r>
          </w:p>
        </w:tc>
        <w:tc>
          <w:tcPr>
            <w:tcW w:w="0" w:type="auto"/>
            <w:noWrap/>
            <w:hideMark/>
          </w:tcPr>
          <w:p w14:paraId="3F16E76F" w14:textId="77777777" w:rsidR="00444FD6" w:rsidRDefault="00CC34DB">
            <w:pPr>
              <w:jc w:val="right"/>
              <w:rPr>
                <w:rFonts w:eastAsia="Times New Roman"/>
                <w:color w:val="000000"/>
                <w:lang w:val="en-GB"/>
              </w:rPr>
            </w:pPr>
            <w:r>
              <w:rPr>
                <w:rFonts w:eastAsia="Times New Roman"/>
                <w:color w:val="000000"/>
                <w:lang w:val="en-GB"/>
              </w:rPr>
              <w:t>10</w:t>
            </w:r>
          </w:p>
        </w:tc>
        <w:tc>
          <w:tcPr>
            <w:tcW w:w="0" w:type="auto"/>
            <w:noWrap/>
            <w:hideMark/>
          </w:tcPr>
          <w:p w14:paraId="6CB96211" w14:textId="77777777" w:rsidR="00444FD6" w:rsidRDefault="00CC34DB">
            <w:pPr>
              <w:jc w:val="right"/>
              <w:rPr>
                <w:rFonts w:eastAsia="Times New Roman"/>
                <w:color w:val="000000"/>
                <w:lang w:val="en-GB"/>
              </w:rPr>
            </w:pPr>
            <w:r>
              <w:rPr>
                <w:rFonts w:eastAsia="Times New Roman"/>
                <w:color w:val="000000"/>
                <w:lang w:val="en-GB"/>
              </w:rPr>
              <w:t>6.83013455</w:t>
            </w:r>
          </w:p>
        </w:tc>
        <w:tc>
          <w:tcPr>
            <w:tcW w:w="0" w:type="auto"/>
            <w:noWrap/>
            <w:hideMark/>
          </w:tcPr>
          <w:p w14:paraId="1EF410BA" w14:textId="77777777" w:rsidR="00444FD6" w:rsidRDefault="00CC34DB">
            <w:pPr>
              <w:jc w:val="right"/>
              <w:rPr>
                <w:rFonts w:eastAsia="Times New Roman"/>
                <w:color w:val="000000"/>
                <w:lang w:val="en-GB"/>
              </w:rPr>
            </w:pPr>
            <w:r>
              <w:rPr>
                <w:rFonts w:eastAsia="Times New Roman"/>
                <w:color w:val="000000"/>
                <w:lang w:val="en-GB"/>
              </w:rPr>
              <w:t>6</w:t>
            </w:r>
          </w:p>
        </w:tc>
        <w:tc>
          <w:tcPr>
            <w:tcW w:w="0" w:type="auto"/>
            <w:noWrap/>
            <w:hideMark/>
          </w:tcPr>
          <w:p w14:paraId="14326E4A" w14:textId="77777777" w:rsidR="00444FD6" w:rsidRDefault="00CC34DB">
            <w:pPr>
              <w:jc w:val="right"/>
              <w:rPr>
                <w:rFonts w:eastAsia="Times New Roman"/>
                <w:color w:val="000000"/>
                <w:lang w:val="en-GB"/>
              </w:rPr>
            </w:pPr>
            <w:r>
              <w:rPr>
                <w:rFonts w:eastAsia="Times New Roman"/>
                <w:color w:val="000000"/>
                <w:lang w:val="en-GB"/>
              </w:rPr>
              <w:t>4.098080732</w:t>
            </w:r>
          </w:p>
        </w:tc>
        <w:tc>
          <w:tcPr>
            <w:tcW w:w="0" w:type="auto"/>
            <w:noWrap/>
            <w:hideMark/>
          </w:tcPr>
          <w:p w14:paraId="6DBDC1A1" w14:textId="77777777" w:rsidR="00444FD6" w:rsidRDefault="00CC34DB">
            <w:pPr>
              <w:jc w:val="right"/>
              <w:rPr>
                <w:rFonts w:eastAsia="Times New Roman"/>
                <w:color w:val="000000"/>
                <w:lang w:val="en-GB"/>
              </w:rPr>
            </w:pPr>
            <w:r>
              <w:rPr>
                <w:rFonts w:eastAsia="Times New Roman"/>
                <w:color w:val="000000"/>
                <w:lang w:val="en-GB"/>
              </w:rPr>
              <w:t>25</w:t>
            </w:r>
          </w:p>
        </w:tc>
        <w:tc>
          <w:tcPr>
            <w:tcW w:w="0" w:type="auto"/>
            <w:noWrap/>
            <w:hideMark/>
          </w:tcPr>
          <w:p w14:paraId="23BA38E6" w14:textId="77777777" w:rsidR="00444FD6" w:rsidRDefault="00CC34DB">
            <w:pPr>
              <w:jc w:val="right"/>
              <w:rPr>
                <w:rFonts w:eastAsia="Times New Roman"/>
                <w:color w:val="000000"/>
                <w:lang w:val="en-GB"/>
              </w:rPr>
            </w:pPr>
            <w:r>
              <w:rPr>
                <w:rFonts w:eastAsia="Times New Roman"/>
                <w:color w:val="000000"/>
                <w:lang w:val="en-GB"/>
              </w:rPr>
              <w:t>17.075336</w:t>
            </w:r>
          </w:p>
        </w:tc>
      </w:tr>
      <w:tr w:rsidR="00444FD6" w14:paraId="2DE6CBC6" w14:textId="77777777">
        <w:trPr>
          <w:trHeight w:val="310"/>
        </w:trPr>
        <w:tc>
          <w:tcPr>
            <w:tcW w:w="0" w:type="auto"/>
            <w:noWrap/>
            <w:hideMark/>
          </w:tcPr>
          <w:p w14:paraId="4D1210B7" w14:textId="77777777" w:rsidR="00444FD6" w:rsidRDefault="00CC34DB">
            <w:pPr>
              <w:jc w:val="right"/>
              <w:rPr>
                <w:rFonts w:eastAsia="Times New Roman"/>
                <w:color w:val="000000"/>
                <w:lang w:val="en-GB"/>
              </w:rPr>
            </w:pPr>
            <w:r>
              <w:rPr>
                <w:rFonts w:eastAsia="Times New Roman"/>
                <w:color w:val="000000"/>
                <w:lang w:val="en-GB"/>
              </w:rPr>
              <w:t>5</w:t>
            </w:r>
          </w:p>
        </w:tc>
        <w:tc>
          <w:tcPr>
            <w:tcW w:w="0" w:type="auto"/>
            <w:noWrap/>
            <w:hideMark/>
          </w:tcPr>
          <w:p w14:paraId="491814F8" w14:textId="77777777" w:rsidR="00444FD6" w:rsidRDefault="00CC34DB">
            <w:pPr>
              <w:jc w:val="right"/>
              <w:rPr>
                <w:rFonts w:eastAsia="Times New Roman"/>
                <w:color w:val="000000"/>
                <w:lang w:val="en-GB"/>
              </w:rPr>
            </w:pPr>
            <w:r>
              <w:rPr>
                <w:rFonts w:eastAsia="Times New Roman"/>
                <w:color w:val="000000"/>
                <w:lang w:val="en-GB"/>
              </w:rPr>
              <w:t>8</w:t>
            </w:r>
          </w:p>
        </w:tc>
        <w:tc>
          <w:tcPr>
            <w:tcW w:w="0" w:type="auto"/>
            <w:noWrap/>
            <w:hideMark/>
          </w:tcPr>
          <w:p w14:paraId="3BE95BCA" w14:textId="77777777" w:rsidR="00444FD6" w:rsidRDefault="00CC34DB">
            <w:pPr>
              <w:jc w:val="right"/>
              <w:rPr>
                <w:rFonts w:eastAsia="Times New Roman"/>
                <w:color w:val="000000"/>
                <w:lang w:val="en-GB"/>
              </w:rPr>
            </w:pPr>
            <w:r>
              <w:rPr>
                <w:rFonts w:eastAsia="Times New Roman"/>
                <w:color w:val="000000"/>
                <w:lang w:val="en-GB"/>
              </w:rPr>
              <w:t>4.96737058</w:t>
            </w:r>
          </w:p>
        </w:tc>
        <w:tc>
          <w:tcPr>
            <w:tcW w:w="0" w:type="auto"/>
            <w:noWrap/>
            <w:hideMark/>
          </w:tcPr>
          <w:p w14:paraId="02732B3B" w14:textId="77777777" w:rsidR="00444FD6" w:rsidRDefault="00CC34DB">
            <w:pPr>
              <w:jc w:val="right"/>
              <w:rPr>
                <w:rFonts w:eastAsia="Times New Roman"/>
                <w:color w:val="000000"/>
                <w:lang w:val="en-GB"/>
              </w:rPr>
            </w:pPr>
            <w:r>
              <w:rPr>
                <w:rFonts w:eastAsia="Times New Roman"/>
                <w:color w:val="000000"/>
                <w:lang w:val="en-GB"/>
              </w:rPr>
              <w:t>6</w:t>
            </w:r>
          </w:p>
        </w:tc>
        <w:tc>
          <w:tcPr>
            <w:tcW w:w="0" w:type="auto"/>
            <w:noWrap/>
            <w:hideMark/>
          </w:tcPr>
          <w:p w14:paraId="174E178E" w14:textId="77777777" w:rsidR="00444FD6" w:rsidRDefault="00CC34DB">
            <w:pPr>
              <w:jc w:val="right"/>
              <w:rPr>
                <w:rFonts w:eastAsia="Times New Roman"/>
                <w:color w:val="000000"/>
                <w:lang w:val="en-GB"/>
              </w:rPr>
            </w:pPr>
            <w:r>
              <w:rPr>
                <w:rFonts w:eastAsia="Times New Roman"/>
                <w:color w:val="000000"/>
                <w:lang w:val="en-GB"/>
              </w:rPr>
              <w:t>3.725527938</w:t>
            </w:r>
          </w:p>
        </w:tc>
        <w:tc>
          <w:tcPr>
            <w:tcW w:w="0" w:type="auto"/>
            <w:noWrap/>
            <w:hideMark/>
          </w:tcPr>
          <w:p w14:paraId="29EA6101" w14:textId="77777777" w:rsidR="00444FD6" w:rsidRDefault="00CC34DB">
            <w:pPr>
              <w:jc w:val="right"/>
              <w:rPr>
                <w:rFonts w:eastAsia="Times New Roman"/>
                <w:color w:val="000000"/>
                <w:lang w:val="en-GB"/>
              </w:rPr>
            </w:pPr>
            <w:r>
              <w:rPr>
                <w:rFonts w:eastAsia="Times New Roman"/>
                <w:color w:val="000000"/>
                <w:lang w:val="en-GB"/>
              </w:rPr>
              <w:t>15</w:t>
            </w:r>
          </w:p>
        </w:tc>
        <w:tc>
          <w:tcPr>
            <w:tcW w:w="0" w:type="auto"/>
            <w:noWrap/>
            <w:hideMark/>
          </w:tcPr>
          <w:p w14:paraId="1F98399C" w14:textId="77777777" w:rsidR="00444FD6" w:rsidRDefault="00CC34DB">
            <w:pPr>
              <w:jc w:val="right"/>
              <w:rPr>
                <w:rFonts w:eastAsia="Times New Roman"/>
                <w:color w:val="000000"/>
                <w:lang w:val="en-GB"/>
              </w:rPr>
            </w:pPr>
            <w:r>
              <w:rPr>
                <w:rFonts w:eastAsia="Times New Roman"/>
                <w:color w:val="000000"/>
                <w:lang w:val="en-GB"/>
              </w:rPr>
              <w:t>9.3138198</w:t>
            </w:r>
          </w:p>
        </w:tc>
      </w:tr>
      <w:tr w:rsidR="00444FD6" w14:paraId="62D0C03F" w14:textId="77777777">
        <w:trPr>
          <w:trHeight w:val="310"/>
        </w:trPr>
        <w:tc>
          <w:tcPr>
            <w:tcW w:w="0" w:type="auto"/>
            <w:noWrap/>
            <w:hideMark/>
          </w:tcPr>
          <w:p w14:paraId="0A2423F4" w14:textId="77777777" w:rsidR="00444FD6" w:rsidRDefault="00CC34DB">
            <w:pPr>
              <w:jc w:val="left"/>
              <w:rPr>
                <w:rFonts w:eastAsia="Times New Roman"/>
                <w:color w:val="000000"/>
                <w:lang w:val="en-GB"/>
              </w:rPr>
            </w:pPr>
            <w:r>
              <w:rPr>
                <w:rFonts w:eastAsia="Times New Roman"/>
                <w:color w:val="000000"/>
                <w:lang w:val="en-GB"/>
              </w:rPr>
              <w:t>NPV</w:t>
            </w:r>
          </w:p>
        </w:tc>
        <w:tc>
          <w:tcPr>
            <w:tcW w:w="0" w:type="auto"/>
            <w:noWrap/>
            <w:hideMark/>
          </w:tcPr>
          <w:p w14:paraId="278403E3" w14:textId="77777777" w:rsidR="00444FD6" w:rsidRDefault="00CC34DB">
            <w:pPr>
              <w:jc w:val="left"/>
              <w:rPr>
                <w:rFonts w:eastAsia="Times New Roman"/>
                <w:color w:val="000000"/>
                <w:lang w:val="en-GB"/>
              </w:rPr>
            </w:pPr>
            <w:r>
              <w:rPr>
                <w:rFonts w:eastAsia="Times New Roman"/>
                <w:color w:val="000000"/>
                <w:lang w:val="en-GB"/>
              </w:rPr>
              <w:t> </w:t>
            </w:r>
          </w:p>
        </w:tc>
        <w:tc>
          <w:tcPr>
            <w:tcW w:w="0" w:type="auto"/>
            <w:noWrap/>
            <w:hideMark/>
          </w:tcPr>
          <w:p w14:paraId="0E95D071" w14:textId="77777777" w:rsidR="00444FD6" w:rsidRDefault="00CC34DB">
            <w:pPr>
              <w:jc w:val="right"/>
              <w:rPr>
                <w:rFonts w:eastAsia="Times New Roman"/>
                <w:color w:val="000000"/>
                <w:lang w:val="en-GB"/>
              </w:rPr>
            </w:pPr>
            <w:r>
              <w:rPr>
                <w:rFonts w:eastAsia="Times New Roman"/>
                <w:color w:val="000000"/>
                <w:lang w:val="en-GB"/>
              </w:rPr>
              <w:t>1.32417681</w:t>
            </w:r>
          </w:p>
        </w:tc>
        <w:tc>
          <w:tcPr>
            <w:tcW w:w="0" w:type="auto"/>
            <w:noWrap/>
            <w:hideMark/>
          </w:tcPr>
          <w:p w14:paraId="246A42A3" w14:textId="77777777" w:rsidR="00444FD6" w:rsidRDefault="00CC34DB">
            <w:pPr>
              <w:jc w:val="right"/>
              <w:rPr>
                <w:rFonts w:eastAsia="Times New Roman"/>
                <w:color w:val="000000"/>
                <w:lang w:val="en-GB"/>
              </w:rPr>
            </w:pPr>
            <w:r>
              <w:rPr>
                <w:rFonts w:eastAsia="Times New Roman"/>
                <w:color w:val="000000"/>
                <w:lang w:val="en-GB"/>
              </w:rPr>
              <w:t>0</w:t>
            </w:r>
          </w:p>
        </w:tc>
        <w:tc>
          <w:tcPr>
            <w:tcW w:w="0" w:type="auto"/>
            <w:noWrap/>
            <w:hideMark/>
          </w:tcPr>
          <w:p w14:paraId="1B8B3AEA" w14:textId="77777777" w:rsidR="00444FD6" w:rsidRDefault="00CC34DB">
            <w:pPr>
              <w:jc w:val="right"/>
              <w:rPr>
                <w:rFonts w:eastAsia="Times New Roman"/>
                <w:color w:val="000000"/>
                <w:lang w:val="en-GB"/>
              </w:rPr>
            </w:pPr>
            <w:r>
              <w:rPr>
                <w:rFonts w:eastAsia="Times New Roman"/>
                <w:color w:val="000000"/>
                <w:lang w:val="en-GB"/>
              </w:rPr>
              <w:t>-7.255279384</w:t>
            </w:r>
          </w:p>
        </w:tc>
        <w:tc>
          <w:tcPr>
            <w:tcW w:w="0" w:type="auto"/>
            <w:noWrap/>
            <w:hideMark/>
          </w:tcPr>
          <w:p w14:paraId="475FD25D" w14:textId="77777777" w:rsidR="00444FD6" w:rsidRDefault="00CC34DB">
            <w:pPr>
              <w:jc w:val="left"/>
              <w:rPr>
                <w:rFonts w:eastAsia="Times New Roman"/>
                <w:color w:val="000000"/>
                <w:lang w:val="en-GB"/>
              </w:rPr>
            </w:pPr>
            <w:r>
              <w:rPr>
                <w:rFonts w:eastAsia="Times New Roman"/>
                <w:color w:val="000000"/>
                <w:lang w:val="en-GB"/>
              </w:rPr>
              <w:t> </w:t>
            </w:r>
          </w:p>
        </w:tc>
        <w:tc>
          <w:tcPr>
            <w:tcW w:w="0" w:type="auto"/>
            <w:noWrap/>
            <w:hideMark/>
          </w:tcPr>
          <w:p w14:paraId="42160BD5" w14:textId="77777777" w:rsidR="00444FD6" w:rsidRDefault="00CC34DB">
            <w:pPr>
              <w:jc w:val="right"/>
              <w:rPr>
                <w:rFonts w:eastAsia="Times New Roman"/>
                <w:color w:val="000000"/>
                <w:lang w:val="en-GB"/>
              </w:rPr>
            </w:pPr>
            <w:r>
              <w:rPr>
                <w:rFonts w:eastAsia="Times New Roman"/>
                <w:color w:val="000000"/>
                <w:lang w:val="en-GB"/>
              </w:rPr>
              <w:t>4.2253696</w:t>
            </w:r>
          </w:p>
        </w:tc>
      </w:tr>
      <w:tr w:rsidR="00444FD6" w14:paraId="2D21D85C" w14:textId="77777777">
        <w:trPr>
          <w:trHeight w:val="310"/>
        </w:trPr>
        <w:tc>
          <w:tcPr>
            <w:tcW w:w="0" w:type="auto"/>
            <w:noWrap/>
            <w:hideMark/>
          </w:tcPr>
          <w:p w14:paraId="7D6C10DE" w14:textId="77777777" w:rsidR="00444FD6" w:rsidRDefault="00CC34DB">
            <w:pPr>
              <w:jc w:val="left"/>
              <w:rPr>
                <w:rFonts w:eastAsia="Times New Roman"/>
                <w:color w:val="000000"/>
                <w:lang w:val="en-GB"/>
              </w:rPr>
            </w:pPr>
            <w:r>
              <w:rPr>
                <w:rFonts w:eastAsia="Times New Roman"/>
                <w:color w:val="000000"/>
                <w:lang w:val="en-GB"/>
              </w:rPr>
              <w:t>PI</w:t>
            </w:r>
          </w:p>
        </w:tc>
        <w:tc>
          <w:tcPr>
            <w:tcW w:w="0" w:type="auto"/>
            <w:noWrap/>
            <w:hideMark/>
          </w:tcPr>
          <w:p w14:paraId="35D008A3" w14:textId="77777777" w:rsidR="00444FD6" w:rsidRDefault="00CC34DB">
            <w:pPr>
              <w:jc w:val="left"/>
              <w:rPr>
                <w:rFonts w:eastAsia="Times New Roman"/>
                <w:color w:val="000000"/>
                <w:lang w:val="en-GB"/>
              </w:rPr>
            </w:pPr>
            <w:r>
              <w:rPr>
                <w:rFonts w:eastAsia="Times New Roman"/>
                <w:color w:val="000000"/>
                <w:lang w:val="en-GB"/>
              </w:rPr>
              <w:t> </w:t>
            </w:r>
          </w:p>
        </w:tc>
        <w:tc>
          <w:tcPr>
            <w:tcW w:w="0" w:type="auto"/>
            <w:noWrap/>
            <w:hideMark/>
          </w:tcPr>
          <w:p w14:paraId="08E835F3" w14:textId="77777777" w:rsidR="00444FD6" w:rsidRDefault="00CC34DB">
            <w:pPr>
              <w:jc w:val="right"/>
              <w:rPr>
                <w:rFonts w:eastAsia="Times New Roman"/>
                <w:color w:val="000000"/>
                <w:lang w:val="en-GB"/>
              </w:rPr>
            </w:pPr>
            <w:r>
              <w:rPr>
                <w:rFonts w:eastAsia="Times New Roman"/>
                <w:color w:val="000000"/>
                <w:lang w:val="en-GB"/>
              </w:rPr>
              <w:t>1.03310442</w:t>
            </w:r>
          </w:p>
        </w:tc>
        <w:tc>
          <w:tcPr>
            <w:tcW w:w="0" w:type="auto"/>
            <w:noWrap/>
            <w:hideMark/>
          </w:tcPr>
          <w:p w14:paraId="4F6A71DC" w14:textId="77777777" w:rsidR="00444FD6" w:rsidRDefault="00CC34DB">
            <w:pPr>
              <w:jc w:val="left"/>
              <w:rPr>
                <w:rFonts w:eastAsia="Times New Roman"/>
                <w:color w:val="000000"/>
                <w:lang w:val="en-GB"/>
              </w:rPr>
            </w:pPr>
            <w:r>
              <w:rPr>
                <w:rFonts w:eastAsia="Times New Roman"/>
                <w:color w:val="000000"/>
                <w:lang w:val="en-GB"/>
              </w:rPr>
              <w:t> </w:t>
            </w:r>
          </w:p>
        </w:tc>
        <w:tc>
          <w:tcPr>
            <w:tcW w:w="0" w:type="auto"/>
            <w:noWrap/>
            <w:hideMark/>
          </w:tcPr>
          <w:p w14:paraId="419EE2CF" w14:textId="77777777" w:rsidR="00444FD6" w:rsidRDefault="00CC34DB">
            <w:pPr>
              <w:jc w:val="right"/>
              <w:rPr>
                <w:rFonts w:eastAsia="Times New Roman"/>
                <w:color w:val="000000"/>
                <w:lang w:val="en-GB"/>
              </w:rPr>
            </w:pPr>
            <w:r>
              <w:rPr>
                <w:rFonts w:eastAsia="Times New Roman"/>
                <w:color w:val="000000"/>
                <w:lang w:val="en-GB"/>
              </w:rPr>
              <w:t>0.758157354</w:t>
            </w:r>
          </w:p>
        </w:tc>
        <w:tc>
          <w:tcPr>
            <w:tcW w:w="0" w:type="auto"/>
            <w:noWrap/>
            <w:hideMark/>
          </w:tcPr>
          <w:p w14:paraId="076FE988" w14:textId="77777777" w:rsidR="00444FD6" w:rsidRDefault="00CC34DB">
            <w:pPr>
              <w:jc w:val="left"/>
              <w:rPr>
                <w:rFonts w:eastAsia="Times New Roman"/>
                <w:color w:val="000000"/>
                <w:lang w:val="en-GB"/>
              </w:rPr>
            </w:pPr>
            <w:r>
              <w:rPr>
                <w:rFonts w:eastAsia="Times New Roman"/>
                <w:color w:val="000000"/>
                <w:lang w:val="en-GB"/>
              </w:rPr>
              <w:t> </w:t>
            </w:r>
          </w:p>
        </w:tc>
        <w:tc>
          <w:tcPr>
            <w:tcW w:w="0" w:type="auto"/>
            <w:noWrap/>
            <w:hideMark/>
          </w:tcPr>
          <w:p w14:paraId="6B5EC113" w14:textId="77777777" w:rsidR="00444FD6" w:rsidRDefault="00CC34DB">
            <w:pPr>
              <w:jc w:val="right"/>
              <w:rPr>
                <w:rFonts w:eastAsia="Times New Roman"/>
                <w:color w:val="000000"/>
                <w:lang w:val="en-GB"/>
              </w:rPr>
            </w:pPr>
            <w:r>
              <w:rPr>
                <w:rFonts w:eastAsia="Times New Roman"/>
                <w:color w:val="000000"/>
                <w:lang w:val="en-GB"/>
              </w:rPr>
              <w:t>1.0845074</w:t>
            </w:r>
          </w:p>
        </w:tc>
      </w:tr>
      <w:tr w:rsidR="00444FD6" w14:paraId="0B03ACE9" w14:textId="77777777">
        <w:trPr>
          <w:trHeight w:val="310"/>
        </w:trPr>
        <w:tc>
          <w:tcPr>
            <w:tcW w:w="0" w:type="auto"/>
            <w:noWrap/>
            <w:hideMark/>
          </w:tcPr>
          <w:p w14:paraId="06760ED4" w14:textId="77777777" w:rsidR="00444FD6" w:rsidRDefault="00CC34DB">
            <w:pPr>
              <w:jc w:val="left"/>
              <w:rPr>
                <w:rFonts w:eastAsia="Times New Roman"/>
                <w:color w:val="000000"/>
                <w:lang w:val="en-GB"/>
              </w:rPr>
            </w:pPr>
            <w:r>
              <w:rPr>
                <w:rFonts w:eastAsia="Times New Roman"/>
                <w:color w:val="000000"/>
                <w:lang w:val="en-GB"/>
              </w:rPr>
              <w:t>IRR℅</w:t>
            </w:r>
          </w:p>
        </w:tc>
        <w:tc>
          <w:tcPr>
            <w:tcW w:w="0" w:type="auto"/>
            <w:noWrap/>
            <w:hideMark/>
          </w:tcPr>
          <w:p w14:paraId="7A23807A" w14:textId="77777777" w:rsidR="00444FD6" w:rsidRDefault="00CC34DB">
            <w:pPr>
              <w:jc w:val="right"/>
              <w:rPr>
                <w:rFonts w:eastAsia="Times New Roman"/>
                <w:color w:val="000000"/>
                <w:lang w:val="en-GB"/>
              </w:rPr>
            </w:pPr>
            <w:r>
              <w:rPr>
                <w:rFonts w:eastAsia="Times New Roman"/>
                <w:color w:val="000000"/>
                <w:lang w:val="en-GB"/>
              </w:rPr>
              <w:t>11.32718%</w:t>
            </w:r>
          </w:p>
        </w:tc>
        <w:tc>
          <w:tcPr>
            <w:tcW w:w="0" w:type="auto"/>
            <w:noWrap/>
            <w:hideMark/>
          </w:tcPr>
          <w:p w14:paraId="3F04C1A1" w14:textId="77777777" w:rsidR="00444FD6" w:rsidRDefault="00CC34DB">
            <w:pPr>
              <w:jc w:val="left"/>
              <w:rPr>
                <w:rFonts w:eastAsia="Times New Roman"/>
                <w:color w:val="000000"/>
                <w:lang w:val="en-GB"/>
              </w:rPr>
            </w:pPr>
            <w:r>
              <w:rPr>
                <w:rFonts w:eastAsia="Times New Roman"/>
                <w:color w:val="000000"/>
                <w:lang w:val="en-GB"/>
              </w:rPr>
              <w:t> </w:t>
            </w:r>
          </w:p>
        </w:tc>
        <w:tc>
          <w:tcPr>
            <w:tcW w:w="0" w:type="auto"/>
            <w:noWrap/>
            <w:hideMark/>
          </w:tcPr>
          <w:p w14:paraId="34851A53" w14:textId="77777777" w:rsidR="00444FD6" w:rsidRDefault="00CC34DB">
            <w:pPr>
              <w:jc w:val="right"/>
              <w:rPr>
                <w:rFonts w:eastAsia="Times New Roman"/>
                <w:color w:val="000000"/>
                <w:lang w:val="en-GB"/>
              </w:rPr>
            </w:pPr>
            <w:r>
              <w:rPr>
                <w:rFonts w:eastAsia="Times New Roman"/>
                <w:color w:val="000000"/>
                <w:lang w:val="en-GB"/>
              </w:rPr>
              <w:t>0.00000%</w:t>
            </w:r>
          </w:p>
        </w:tc>
        <w:tc>
          <w:tcPr>
            <w:tcW w:w="0" w:type="auto"/>
            <w:noWrap/>
            <w:hideMark/>
          </w:tcPr>
          <w:p w14:paraId="714FBE03" w14:textId="77777777" w:rsidR="00444FD6" w:rsidRDefault="00CC34DB">
            <w:pPr>
              <w:jc w:val="left"/>
              <w:rPr>
                <w:rFonts w:eastAsia="Times New Roman"/>
                <w:color w:val="000000"/>
                <w:lang w:val="en-GB"/>
              </w:rPr>
            </w:pPr>
            <w:r>
              <w:rPr>
                <w:rFonts w:eastAsia="Times New Roman"/>
                <w:color w:val="000000"/>
                <w:lang w:val="en-GB"/>
              </w:rPr>
              <w:t> </w:t>
            </w:r>
          </w:p>
        </w:tc>
        <w:tc>
          <w:tcPr>
            <w:tcW w:w="0" w:type="auto"/>
            <w:noWrap/>
            <w:hideMark/>
          </w:tcPr>
          <w:p w14:paraId="1B396D75" w14:textId="77777777" w:rsidR="00444FD6" w:rsidRDefault="00CC34DB">
            <w:pPr>
              <w:jc w:val="right"/>
              <w:rPr>
                <w:rFonts w:eastAsia="Times New Roman"/>
                <w:color w:val="000000"/>
                <w:lang w:val="en-GB"/>
              </w:rPr>
            </w:pPr>
            <w:r>
              <w:rPr>
                <w:rFonts w:eastAsia="Times New Roman"/>
                <w:color w:val="000000"/>
                <w:lang w:val="en-GB"/>
              </w:rPr>
              <w:t>12.71976%</w:t>
            </w:r>
          </w:p>
        </w:tc>
        <w:tc>
          <w:tcPr>
            <w:tcW w:w="0" w:type="auto"/>
            <w:noWrap/>
            <w:hideMark/>
          </w:tcPr>
          <w:p w14:paraId="0528D86E" w14:textId="77777777" w:rsidR="00444FD6" w:rsidRDefault="00CC34DB">
            <w:pPr>
              <w:jc w:val="left"/>
              <w:rPr>
                <w:rFonts w:eastAsia="Times New Roman"/>
                <w:color w:val="000000"/>
                <w:lang w:val="en-GB"/>
              </w:rPr>
            </w:pPr>
            <w:r>
              <w:rPr>
                <w:rFonts w:eastAsia="Times New Roman"/>
                <w:color w:val="000000"/>
                <w:lang w:val="en-GB"/>
              </w:rPr>
              <w:t> </w:t>
            </w:r>
          </w:p>
        </w:tc>
      </w:tr>
      <w:tr w:rsidR="00444FD6" w14:paraId="290B191B" w14:textId="77777777">
        <w:trPr>
          <w:trHeight w:val="1160"/>
        </w:trPr>
        <w:tc>
          <w:tcPr>
            <w:tcW w:w="0" w:type="auto"/>
            <w:noWrap/>
            <w:hideMark/>
          </w:tcPr>
          <w:p w14:paraId="270D1BEC" w14:textId="77777777" w:rsidR="00444FD6" w:rsidRDefault="00CC34DB">
            <w:pPr>
              <w:jc w:val="left"/>
              <w:rPr>
                <w:rFonts w:eastAsia="Times New Roman"/>
                <w:color w:val="000000"/>
                <w:lang w:val="en-GB"/>
              </w:rPr>
            </w:pPr>
            <w:r>
              <w:rPr>
                <w:rFonts w:eastAsia="Times New Roman"/>
                <w:color w:val="000000"/>
                <w:lang w:val="en-GB"/>
              </w:rPr>
              <w:t xml:space="preserve">ARR </w:t>
            </w:r>
          </w:p>
        </w:tc>
        <w:tc>
          <w:tcPr>
            <w:tcW w:w="0" w:type="auto"/>
            <w:noWrap/>
            <w:hideMark/>
          </w:tcPr>
          <w:p w14:paraId="3CF4E5D5" w14:textId="77777777" w:rsidR="00444FD6" w:rsidRDefault="00CC34DB">
            <w:pPr>
              <w:jc w:val="right"/>
              <w:rPr>
                <w:rFonts w:eastAsia="Times New Roman"/>
                <w:color w:val="000000"/>
                <w:lang w:val="en-GB"/>
              </w:rPr>
            </w:pPr>
            <w:r>
              <w:rPr>
                <w:rFonts w:eastAsia="Times New Roman"/>
                <w:color w:val="000000"/>
                <w:lang w:val="en-GB"/>
              </w:rPr>
              <w:t>7%</w:t>
            </w:r>
          </w:p>
        </w:tc>
        <w:tc>
          <w:tcPr>
            <w:tcW w:w="0" w:type="auto"/>
            <w:noWrap/>
            <w:hideMark/>
          </w:tcPr>
          <w:p w14:paraId="1A21DF98" w14:textId="77777777" w:rsidR="00444FD6" w:rsidRDefault="00CC34DB">
            <w:pPr>
              <w:jc w:val="left"/>
              <w:rPr>
                <w:rFonts w:eastAsia="Times New Roman"/>
                <w:color w:val="000000"/>
                <w:lang w:val="en-GB"/>
              </w:rPr>
            </w:pPr>
            <w:r>
              <w:rPr>
                <w:rFonts w:eastAsia="Times New Roman"/>
                <w:color w:val="000000"/>
                <w:lang w:val="en-GB"/>
              </w:rPr>
              <w:t> </w:t>
            </w:r>
          </w:p>
        </w:tc>
        <w:tc>
          <w:tcPr>
            <w:tcW w:w="0" w:type="auto"/>
            <w:noWrap/>
            <w:hideMark/>
          </w:tcPr>
          <w:p w14:paraId="208B7B13" w14:textId="77777777" w:rsidR="00444FD6" w:rsidRDefault="00CC34DB">
            <w:pPr>
              <w:jc w:val="right"/>
              <w:rPr>
                <w:rFonts w:eastAsia="Times New Roman"/>
                <w:color w:val="000000"/>
                <w:lang w:val="en-GB"/>
              </w:rPr>
            </w:pPr>
            <w:r>
              <w:rPr>
                <w:rFonts w:eastAsia="Times New Roman"/>
                <w:color w:val="000000"/>
                <w:lang w:val="en-GB"/>
              </w:rPr>
              <w:t>0%</w:t>
            </w:r>
          </w:p>
        </w:tc>
        <w:tc>
          <w:tcPr>
            <w:tcW w:w="0" w:type="auto"/>
            <w:noWrap/>
            <w:hideMark/>
          </w:tcPr>
          <w:p w14:paraId="21FD4BDD" w14:textId="77777777" w:rsidR="00444FD6" w:rsidRDefault="00CC34DB">
            <w:pPr>
              <w:jc w:val="left"/>
              <w:rPr>
                <w:rFonts w:eastAsia="Times New Roman"/>
                <w:color w:val="000000"/>
                <w:lang w:val="en-GB"/>
              </w:rPr>
            </w:pPr>
            <w:r>
              <w:rPr>
                <w:rFonts w:eastAsia="Times New Roman"/>
                <w:color w:val="000000"/>
                <w:lang w:val="en-GB"/>
              </w:rPr>
              <w:t> </w:t>
            </w:r>
          </w:p>
        </w:tc>
        <w:tc>
          <w:tcPr>
            <w:tcW w:w="0" w:type="auto"/>
            <w:noWrap/>
            <w:hideMark/>
          </w:tcPr>
          <w:p w14:paraId="0D542D76" w14:textId="77777777" w:rsidR="00444FD6" w:rsidRDefault="00CC34DB">
            <w:pPr>
              <w:jc w:val="right"/>
              <w:rPr>
                <w:rFonts w:eastAsia="Times New Roman"/>
                <w:color w:val="000000"/>
                <w:lang w:val="en-GB"/>
              </w:rPr>
            </w:pPr>
            <w:r>
              <w:rPr>
                <w:rFonts w:eastAsia="Times New Roman"/>
                <w:color w:val="000000"/>
                <w:lang w:val="en-GB"/>
              </w:rPr>
              <w:t>10%</w:t>
            </w:r>
          </w:p>
        </w:tc>
        <w:tc>
          <w:tcPr>
            <w:tcW w:w="0" w:type="auto"/>
            <w:noWrap/>
            <w:hideMark/>
          </w:tcPr>
          <w:p w14:paraId="7160C8FA" w14:textId="77777777" w:rsidR="00444FD6" w:rsidRDefault="00CC34DB">
            <w:pPr>
              <w:jc w:val="left"/>
              <w:rPr>
                <w:rFonts w:eastAsia="Times New Roman"/>
                <w:color w:val="000000"/>
                <w:lang w:val="en-GB"/>
              </w:rPr>
            </w:pPr>
            <w:r>
              <w:rPr>
                <w:rFonts w:eastAsia="Times New Roman"/>
                <w:color w:val="000000"/>
                <w:lang w:val="en-GB"/>
              </w:rPr>
              <w:t> </w:t>
            </w:r>
          </w:p>
        </w:tc>
      </w:tr>
    </w:tbl>
    <w:p w14:paraId="29CEE512" w14:textId="77777777" w:rsidR="00444FD6" w:rsidRDefault="00444FD6"/>
    <w:p w14:paraId="2906C6B3" w14:textId="77777777" w:rsidR="00444FD6" w:rsidRDefault="00444FD6"/>
    <w:sectPr w:rsidR="00444FD6">
      <w:pgSz w:w="11906" w:h="16838" w:code="9"/>
      <w:pgMar w:top="1440" w:right="1440" w:bottom="1440" w:left="1440" w:header="720"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BB3437" w14:textId="77777777" w:rsidR="00CC34DB" w:rsidRDefault="00CC34DB">
      <w:pPr>
        <w:spacing w:line="240" w:lineRule="auto"/>
      </w:pPr>
      <w:r>
        <w:separator/>
      </w:r>
    </w:p>
  </w:endnote>
  <w:endnote w:type="continuationSeparator" w:id="0">
    <w:p w14:paraId="51CD4B62" w14:textId="77777777" w:rsidR="00CC34DB" w:rsidRDefault="00CC34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Vrinda">
    <w:panose1 w:val="020B0502040204020203"/>
    <w:charset w:val="00"/>
    <w:family w:val="roman"/>
    <w:pitch w:val="variable"/>
    <w:sig w:usb0="20007A87" w:usb1="80000000" w:usb2="00000008"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D32193" w14:textId="77777777" w:rsidR="00444FD6" w:rsidRDefault="00CC34DB">
    <w:pPr>
      <w:pStyle w:val="Footer"/>
      <w:jc w:val="center"/>
    </w:pPr>
    <w:r>
      <w:fldChar w:fldCharType="begin"/>
    </w:r>
    <w:r>
      <w:instrText xml:space="preserve"> PAGE   \* MERGEFORMAT </w:instrText>
    </w:r>
    <w:r>
      <w:fldChar w:fldCharType="separate"/>
    </w:r>
    <w:r>
      <w:rPr>
        <w:noProof/>
      </w:rPr>
      <w:t>2</w:t>
    </w:r>
    <w:r>
      <w:rPr>
        <w:noProof/>
      </w:rPr>
      <w:fldChar w:fldCharType="end"/>
    </w:r>
  </w:p>
  <w:p w14:paraId="79BC0EDE" w14:textId="77777777" w:rsidR="00444FD6" w:rsidRDefault="00444F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6F9341" w14:textId="77777777" w:rsidR="00CC34DB" w:rsidRDefault="00CC34DB">
      <w:pPr>
        <w:spacing w:line="240" w:lineRule="auto"/>
      </w:pPr>
      <w:r>
        <w:separator/>
      </w:r>
    </w:p>
  </w:footnote>
  <w:footnote w:type="continuationSeparator" w:id="0">
    <w:p w14:paraId="273AF835" w14:textId="77777777" w:rsidR="00CC34DB" w:rsidRDefault="00CC34D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embedTrueTypeFonts/>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3A37"/>
    <w:rsid w:val="000410E2"/>
    <w:rsid w:val="000501B8"/>
    <w:rsid w:val="000502CA"/>
    <w:rsid w:val="00095AA1"/>
    <w:rsid w:val="000A34D9"/>
    <w:rsid w:val="00153AAF"/>
    <w:rsid w:val="00216B18"/>
    <w:rsid w:val="002506D9"/>
    <w:rsid w:val="002E08CD"/>
    <w:rsid w:val="003F2E0B"/>
    <w:rsid w:val="00444FD6"/>
    <w:rsid w:val="004A4800"/>
    <w:rsid w:val="005A4491"/>
    <w:rsid w:val="0060566F"/>
    <w:rsid w:val="006130F9"/>
    <w:rsid w:val="00613A37"/>
    <w:rsid w:val="006551A2"/>
    <w:rsid w:val="00690CF5"/>
    <w:rsid w:val="006E2BFD"/>
    <w:rsid w:val="00753ACA"/>
    <w:rsid w:val="00767E6E"/>
    <w:rsid w:val="007802B1"/>
    <w:rsid w:val="0081052A"/>
    <w:rsid w:val="00824697"/>
    <w:rsid w:val="00833E3C"/>
    <w:rsid w:val="00862290"/>
    <w:rsid w:val="00865778"/>
    <w:rsid w:val="00931DDC"/>
    <w:rsid w:val="009844F6"/>
    <w:rsid w:val="009B6C5E"/>
    <w:rsid w:val="009C6539"/>
    <w:rsid w:val="009D1503"/>
    <w:rsid w:val="00AF1EEE"/>
    <w:rsid w:val="00B65010"/>
    <w:rsid w:val="00BA0FD1"/>
    <w:rsid w:val="00CC34DB"/>
    <w:rsid w:val="00D02D7A"/>
    <w:rsid w:val="00D2644B"/>
    <w:rsid w:val="00E17F02"/>
    <w:rsid w:val="00E20959"/>
    <w:rsid w:val="00E37016"/>
    <w:rsid w:val="00E42C11"/>
    <w:rsid w:val="00E87AD6"/>
    <w:rsid w:val="00EB4D9A"/>
    <w:rsid w:val="00EE0577"/>
    <w:rsid w:val="00EE18D4"/>
    <w:rsid w:val="00FB5559"/>
    <w:rsid w:val="00FD13CC"/>
    <w:rsid w:val="00FD52B8"/>
    <w:rsid w:val="00FF30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81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jc w:val="center"/>
      <w:outlineLvl w:val="0"/>
    </w:pPr>
    <w:rPr>
      <w:b/>
      <w:bCs/>
      <w:color w:val="03045E"/>
      <w:sz w:val="32"/>
      <w:szCs w:val="32"/>
    </w:rPr>
  </w:style>
  <w:style w:type="paragraph" w:styleId="Heading2">
    <w:name w:val="heading 2"/>
    <w:basedOn w:val="Normal"/>
    <w:next w:val="Normal"/>
    <w:link w:val="Heading2Char"/>
    <w:uiPriority w:val="9"/>
    <w:unhideWhenUsed/>
    <w:qFormat/>
    <w:pPr>
      <w:keepNext/>
      <w:keepLines/>
      <w:outlineLvl w:val="1"/>
    </w:pPr>
    <w:rPr>
      <w:b/>
      <w:bCs/>
      <w:color w:val="0096C7"/>
      <w:sz w:val="28"/>
      <w:szCs w:val="28"/>
    </w:rPr>
  </w:style>
  <w:style w:type="paragraph" w:styleId="Heading3">
    <w:name w:val="heading 3"/>
    <w:basedOn w:val="Normal"/>
    <w:next w:val="Normal"/>
    <w:link w:val="Heading3Char"/>
    <w:uiPriority w:val="9"/>
    <w:unhideWhenUsed/>
    <w:qFormat/>
    <w:pPr>
      <w:keepNext/>
      <w:keepLines/>
      <w:outlineLvl w:val="2"/>
    </w:pPr>
    <w:rPr>
      <w:b/>
      <w:bCs/>
      <w:color w:val="1155CC"/>
      <w:sz w:val="26"/>
      <w:szCs w:val="26"/>
    </w:rPr>
  </w:style>
  <w:style w:type="paragraph" w:styleId="Heading4">
    <w:name w:val="heading 4"/>
    <w:basedOn w:val="Normal"/>
    <w:next w:val="Normal"/>
    <w:link w:val="Heading4Char"/>
    <w:uiPriority w:val="9"/>
    <w:semiHidden/>
    <w:unhideWhenUsed/>
    <w:qFormat/>
    <w:pPr>
      <w:keepNext/>
      <w:keepLines/>
      <w:spacing w:before="280" w:after="80"/>
      <w:outlineLvl w:val="3"/>
    </w:pPr>
    <w:rPr>
      <w:color w:val="666666"/>
    </w:rPr>
  </w:style>
  <w:style w:type="paragraph" w:styleId="Heading5">
    <w:name w:val="heading 5"/>
    <w:basedOn w:val="Normal"/>
    <w:next w:val="Normal"/>
    <w:link w:val="Heading5Char"/>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link w:val="Heading6Char"/>
    <w:uiPriority w:val="9"/>
    <w:semiHidden/>
    <w:unhideWhenUsed/>
    <w:qFormat/>
    <w:pPr>
      <w:keepNext/>
      <w:keepLines/>
      <w:spacing w:before="240" w:after="80"/>
      <w:outlineLvl w:val="5"/>
    </w:pPr>
    <w:rPr>
      <w:i/>
      <w:iCs/>
      <w:color w:val="666666"/>
      <w:sz w:val="22"/>
      <w:szCs w:val="22"/>
    </w:rPr>
  </w:style>
  <w:style w:type="paragraph" w:styleId="Heading7">
    <w:name w:val="heading 7"/>
    <w:basedOn w:val="Normal"/>
    <w:next w:val="Normal"/>
    <w:link w:val="Heading7Char"/>
    <w:uiPriority w:val="9"/>
    <w:qFormat/>
    <w:pPr>
      <w:keepNext/>
      <w:keepLines/>
      <w:spacing w:before="40"/>
      <w:outlineLvl w:val="6"/>
    </w:pPr>
    <w:rPr>
      <w:rFonts w:eastAsia="SimSun" w:cs="SimSun"/>
      <w:color w:val="595959"/>
      <w:lang w:val="en-GB" w:eastAsia="en-US"/>
      <w14:ligatures w14:val="standardContextual"/>
    </w:rPr>
  </w:style>
  <w:style w:type="paragraph" w:styleId="Heading8">
    <w:name w:val="heading 8"/>
    <w:basedOn w:val="Normal"/>
    <w:next w:val="Normal"/>
    <w:link w:val="Heading8Char"/>
    <w:uiPriority w:val="9"/>
    <w:qFormat/>
    <w:pPr>
      <w:keepNext/>
      <w:keepLines/>
      <w:outlineLvl w:val="7"/>
    </w:pPr>
    <w:rPr>
      <w:rFonts w:eastAsia="SimSun" w:cs="SimSun"/>
      <w:i/>
      <w:iCs/>
      <w:color w:val="272727"/>
      <w:lang w:val="en-GB" w:eastAsia="en-US"/>
      <w14:ligatures w14:val="standardContextual"/>
    </w:rPr>
  </w:style>
  <w:style w:type="paragraph" w:styleId="Heading9">
    <w:name w:val="heading 9"/>
    <w:basedOn w:val="Normal"/>
    <w:next w:val="Normal"/>
    <w:link w:val="Heading9Char"/>
    <w:uiPriority w:val="9"/>
    <w:qFormat/>
    <w:pPr>
      <w:keepNext/>
      <w:keepLines/>
      <w:outlineLvl w:val="8"/>
    </w:pPr>
    <w:rPr>
      <w:rFonts w:eastAsia="SimSun" w:cs="SimSun"/>
      <w:color w:val="272727"/>
      <w:lang w:val="en-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link w:val="SubtitleChar"/>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7Char">
    <w:name w:val="Heading 7 Char"/>
    <w:basedOn w:val="DefaultParagraphFont"/>
    <w:link w:val="Heading7"/>
    <w:uiPriority w:val="9"/>
    <w:rPr>
      <w:rFonts w:eastAsia="SimSun" w:cs="SimSun"/>
      <w:color w:val="595959"/>
      <w:lang w:val="en-GB" w:eastAsia="en-US"/>
      <w14:ligatures w14:val="standardContextual"/>
    </w:rPr>
  </w:style>
  <w:style w:type="character" w:customStyle="1" w:styleId="Heading8Char">
    <w:name w:val="Heading 8 Char"/>
    <w:basedOn w:val="DefaultParagraphFont"/>
    <w:link w:val="Heading8"/>
    <w:uiPriority w:val="9"/>
    <w:rPr>
      <w:rFonts w:eastAsia="SimSun" w:cs="SimSun"/>
      <w:i/>
      <w:iCs/>
      <w:color w:val="272727"/>
      <w:lang w:val="en-GB" w:eastAsia="en-US"/>
      <w14:ligatures w14:val="standardContextual"/>
    </w:rPr>
  </w:style>
  <w:style w:type="character" w:customStyle="1" w:styleId="Heading9Char">
    <w:name w:val="Heading 9 Char"/>
    <w:basedOn w:val="DefaultParagraphFont"/>
    <w:link w:val="Heading9"/>
    <w:uiPriority w:val="9"/>
    <w:rPr>
      <w:rFonts w:eastAsia="SimSun" w:cs="SimSun"/>
      <w:color w:val="272727"/>
      <w:lang w:val="en-GB" w:eastAsia="en-US"/>
      <w14:ligatures w14:val="standardContextual"/>
    </w:rPr>
  </w:style>
  <w:style w:type="character" w:customStyle="1" w:styleId="Heading1Char">
    <w:name w:val="Heading 1 Char"/>
    <w:basedOn w:val="DefaultParagraphFont"/>
    <w:link w:val="Heading1"/>
    <w:uiPriority w:val="9"/>
    <w:rPr>
      <w:b/>
      <w:bCs/>
      <w:color w:val="03045E"/>
      <w:sz w:val="32"/>
      <w:szCs w:val="32"/>
    </w:rPr>
  </w:style>
  <w:style w:type="character" w:customStyle="1" w:styleId="Heading2Char">
    <w:name w:val="Heading 2 Char"/>
    <w:basedOn w:val="DefaultParagraphFont"/>
    <w:link w:val="Heading2"/>
    <w:uiPriority w:val="9"/>
    <w:rPr>
      <w:b/>
      <w:bCs/>
      <w:color w:val="0096C7"/>
      <w:sz w:val="28"/>
      <w:szCs w:val="28"/>
    </w:rPr>
  </w:style>
  <w:style w:type="character" w:customStyle="1" w:styleId="Heading3Char">
    <w:name w:val="Heading 3 Char"/>
    <w:basedOn w:val="DefaultParagraphFont"/>
    <w:link w:val="Heading3"/>
    <w:uiPriority w:val="9"/>
    <w:rPr>
      <w:b/>
      <w:bCs/>
      <w:color w:val="1155CC"/>
      <w:sz w:val="26"/>
      <w:szCs w:val="26"/>
    </w:rPr>
  </w:style>
  <w:style w:type="character" w:customStyle="1" w:styleId="Heading4Char">
    <w:name w:val="Heading 4 Char"/>
    <w:basedOn w:val="DefaultParagraphFont"/>
    <w:link w:val="Heading4"/>
    <w:uiPriority w:val="9"/>
    <w:rPr>
      <w:color w:val="666666"/>
    </w:rPr>
  </w:style>
  <w:style w:type="character" w:customStyle="1" w:styleId="Heading5Char">
    <w:name w:val="Heading 5 Char"/>
    <w:basedOn w:val="DefaultParagraphFont"/>
    <w:link w:val="Heading5"/>
    <w:uiPriority w:val="9"/>
    <w:rPr>
      <w:color w:val="666666"/>
      <w:sz w:val="22"/>
      <w:szCs w:val="22"/>
    </w:rPr>
  </w:style>
  <w:style w:type="character" w:customStyle="1" w:styleId="Heading6Char">
    <w:name w:val="Heading 6 Char"/>
    <w:basedOn w:val="DefaultParagraphFont"/>
    <w:link w:val="Heading6"/>
    <w:uiPriority w:val="9"/>
    <w:rPr>
      <w:i/>
      <w:iCs/>
      <w:color w:val="666666"/>
      <w:sz w:val="22"/>
      <w:szCs w:val="22"/>
    </w:rPr>
  </w:style>
  <w:style w:type="character" w:customStyle="1" w:styleId="TitleChar">
    <w:name w:val="Title Char"/>
    <w:basedOn w:val="DefaultParagraphFont"/>
    <w:link w:val="Title"/>
    <w:uiPriority w:val="10"/>
    <w:rPr>
      <w:sz w:val="52"/>
      <w:szCs w:val="52"/>
    </w:rPr>
  </w:style>
  <w:style w:type="character" w:customStyle="1" w:styleId="SubtitleChar">
    <w:name w:val="Subtitle Char"/>
    <w:basedOn w:val="DefaultParagraphFont"/>
    <w:link w:val="Subtitle"/>
    <w:uiPriority w:val="11"/>
    <w:rPr>
      <w:color w:val="666666"/>
      <w:sz w:val="30"/>
      <w:szCs w:val="30"/>
    </w:rPr>
  </w:style>
  <w:style w:type="paragraph" w:styleId="Quote">
    <w:name w:val="Quote"/>
    <w:basedOn w:val="Normal"/>
    <w:next w:val="Normal"/>
    <w:link w:val="QuoteChar"/>
    <w:uiPriority w:val="29"/>
    <w:qFormat/>
    <w:pPr>
      <w:spacing w:before="160" w:after="160"/>
      <w:jc w:val="center"/>
    </w:pPr>
    <w:rPr>
      <w:rFonts w:eastAsia="Cambria"/>
      <w:i/>
      <w:iCs/>
      <w:color w:val="404040"/>
      <w:lang w:val="en-GB" w:eastAsia="en-US"/>
      <w14:ligatures w14:val="standardContextual"/>
    </w:rPr>
  </w:style>
  <w:style w:type="character" w:customStyle="1" w:styleId="QuoteChar">
    <w:name w:val="Quote Char"/>
    <w:basedOn w:val="DefaultParagraphFont"/>
    <w:link w:val="Quote"/>
    <w:uiPriority w:val="29"/>
    <w:rPr>
      <w:rFonts w:eastAsia="Cambria"/>
      <w:i/>
      <w:iCs/>
      <w:color w:val="404040"/>
      <w:lang w:val="en-GB" w:eastAsia="en-US"/>
      <w14:ligatures w14:val="standardContextual"/>
    </w:rPr>
  </w:style>
  <w:style w:type="paragraph" w:styleId="ListParagraph">
    <w:name w:val="List Paragraph"/>
    <w:basedOn w:val="Normal"/>
    <w:uiPriority w:val="34"/>
    <w:qFormat/>
    <w:pPr>
      <w:spacing w:after="160"/>
      <w:ind w:left="720"/>
      <w:contextualSpacing/>
    </w:pPr>
    <w:rPr>
      <w:rFonts w:eastAsia="Cambria"/>
      <w:lang w:val="en-GB" w:eastAsia="en-US"/>
      <w14:ligatures w14:val="standardContextual"/>
    </w:rPr>
  </w:style>
  <w:style w:type="character" w:styleId="IntenseEmphasis">
    <w:name w:val="Intense Emphasis"/>
    <w:basedOn w:val="DefaultParagraphFont"/>
    <w:uiPriority w:val="21"/>
    <w:qFormat/>
    <w:rPr>
      <w:i/>
      <w:iCs/>
      <w:color w:val="365F91"/>
    </w:rPr>
  </w:style>
  <w:style w:type="paragraph" w:styleId="IntenseQuote">
    <w:name w:val="Intense Quote"/>
    <w:basedOn w:val="Normal"/>
    <w:next w:val="Normal"/>
    <w:link w:val="IntenseQuoteChar"/>
    <w:uiPriority w:val="30"/>
    <w:qFormat/>
    <w:pPr>
      <w:pBdr>
        <w:top w:val="single" w:sz="4" w:space="10" w:color="365F91"/>
        <w:bottom w:val="single" w:sz="4" w:space="10" w:color="365F91"/>
      </w:pBdr>
      <w:spacing w:before="360" w:after="360"/>
      <w:ind w:left="864" w:right="864"/>
      <w:jc w:val="center"/>
    </w:pPr>
    <w:rPr>
      <w:rFonts w:eastAsia="Cambria"/>
      <w:i/>
      <w:iCs/>
      <w:color w:val="365F91"/>
      <w:lang w:val="en-GB" w:eastAsia="en-US"/>
      <w14:ligatures w14:val="standardContextual"/>
    </w:rPr>
  </w:style>
  <w:style w:type="character" w:customStyle="1" w:styleId="IntenseQuoteChar">
    <w:name w:val="Intense Quote Char"/>
    <w:basedOn w:val="DefaultParagraphFont"/>
    <w:link w:val="IntenseQuote"/>
    <w:uiPriority w:val="30"/>
    <w:rPr>
      <w:rFonts w:eastAsia="Cambria"/>
      <w:i/>
      <w:iCs/>
      <w:color w:val="365F91"/>
      <w:lang w:val="en-GB" w:eastAsia="en-US"/>
      <w14:ligatures w14:val="standardContextual"/>
    </w:rPr>
  </w:style>
  <w:style w:type="character" w:styleId="IntenseReference">
    <w:name w:val="Intense Reference"/>
    <w:basedOn w:val="DefaultParagraphFont"/>
    <w:uiPriority w:val="32"/>
    <w:qFormat/>
    <w:rPr>
      <w:b/>
      <w:bCs/>
      <w:smallCaps/>
      <w:color w:val="365F91"/>
      <w:spacing w:val="5"/>
    </w:rPr>
  </w:style>
  <w:style w:type="table" w:customStyle="1" w:styleId="PlainTable11">
    <w:name w:val="Plain Table 11"/>
    <w:basedOn w:val="TableNormal"/>
    <w:uiPriority w:val="41"/>
    <w:pPr>
      <w:spacing w:line="240" w:lineRule="auto"/>
      <w:jc w:val="left"/>
    </w:pPr>
    <w:rPr>
      <w:rFonts w:ascii="Cambria" w:eastAsia="Cambria" w:hAnsi="Cambria" w:cs="SimSun"/>
      <w:lang w:val="en-GB" w:eastAsia="en-US"/>
      <w14:ligatures w14:val="standardContextual"/>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customStyle="1" w:styleId="GridTable5Dark-Accent11">
    <w:name w:val="Grid Table 5 Dark - Accent 11"/>
    <w:basedOn w:val="TableNormal"/>
    <w:uiPriority w:val="50"/>
    <w:pPr>
      <w:spacing w:line="240" w:lineRule="auto"/>
      <w:jc w:val="left"/>
    </w:pPr>
    <w:rPr>
      <w:rFonts w:ascii="Cambria" w:eastAsia="Cambria" w:hAnsi="Cambria" w:cs="SimSun"/>
      <w:lang w:val="en-GB" w:eastAsia="en-US"/>
      <w14:ligatures w14:val="standardContextual"/>
    </w:rPr>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shd w:val="clear" w:color="auto" w:fill="DBE5F1"/>
    </w:tblPr>
    <w:tcPr>
      <w:shd w:val="clear" w:color="auto" w:fill="DBE5F1"/>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4F81BD"/>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4F81BD"/>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4F81BD"/>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4F81BD"/>
      </w:tcPr>
    </w:tblStylePr>
    <w:tblStylePr w:type="band1Vert">
      <w:tblPr/>
      <w:tcPr>
        <w:shd w:val="clear" w:color="auto" w:fill="B8CCE4"/>
      </w:tcPr>
    </w:tblStylePr>
    <w:tblStylePr w:type="band1Horz">
      <w:tblPr/>
      <w:tcPr>
        <w:shd w:val="clear" w:color="auto" w:fill="B8CCE4"/>
      </w:tcPr>
    </w:tblStylePr>
  </w:style>
  <w:style w:type="table" w:customStyle="1" w:styleId="GridTable5Dark-Accent31">
    <w:name w:val="Grid Table 5 Dark - Accent 31"/>
    <w:basedOn w:val="TableNormal"/>
    <w:uiPriority w:val="50"/>
    <w:pPr>
      <w:spacing w:line="240" w:lineRule="auto"/>
      <w:jc w:val="left"/>
    </w:pPr>
    <w:rPr>
      <w:rFonts w:ascii="Cambria" w:eastAsia="Cambria" w:hAnsi="Cambria" w:cs="SimSun"/>
      <w:lang w:val="en-GB" w:eastAsia="en-US"/>
      <w14:ligatures w14:val="standardContextual"/>
    </w:rPr>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shd w:val="clear" w:color="auto" w:fill="EAF1DD"/>
    </w:tblPr>
    <w:tcPr>
      <w:shd w:val="clear" w:color="auto" w:fill="EAF1DD"/>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9BBB59"/>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9BBB59"/>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9BBB59"/>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9BBB59"/>
      </w:tcPr>
    </w:tblStylePr>
    <w:tblStylePr w:type="band1Vert">
      <w:tblPr/>
      <w:tcPr>
        <w:shd w:val="clear" w:color="auto" w:fill="D6E3BC"/>
      </w:tcPr>
    </w:tblStylePr>
    <w:tblStylePr w:type="band1Horz">
      <w:tblPr/>
      <w:tcPr>
        <w:shd w:val="clear" w:color="auto" w:fill="D6E3BC"/>
      </w:tcPr>
    </w:tblStylePr>
  </w:style>
  <w:style w:type="table" w:customStyle="1" w:styleId="GridTable3-Accent21">
    <w:name w:val="Grid Table 3 - Accent 21"/>
    <w:basedOn w:val="TableNormal"/>
    <w:uiPriority w:val="48"/>
    <w:pPr>
      <w:spacing w:line="240" w:lineRule="auto"/>
      <w:jc w:val="left"/>
    </w:pPr>
    <w:rPr>
      <w:rFonts w:ascii="Cambria" w:eastAsia="Cambria" w:hAnsi="Cambria" w:cs="SimSun"/>
      <w:lang w:val="en-GB" w:eastAsia="en-US"/>
      <w14:ligatures w14:val="standardContextual"/>
    </w:rPr>
    <w:tblPr>
      <w:tblStyleRowBandSize w:val="1"/>
      <w:tblStyleColBandSize w:val="1"/>
      <w:tblBorders>
        <w:top w:val="single" w:sz="4" w:space="0" w:color="D99594"/>
        <w:left w:val="single" w:sz="4" w:space="0" w:color="D99594"/>
        <w:bottom w:val="single" w:sz="4" w:space="0" w:color="D99594"/>
        <w:right w:val="single" w:sz="4" w:space="0" w:color="D99594"/>
        <w:insideH w:val="single" w:sz="4" w:space="0" w:color="D99594"/>
        <w:insideV w:val="single" w:sz="4" w:space="0" w:color="D99594"/>
      </w:tblBorders>
    </w:tblPr>
    <w:tblStylePr w:type="firstRow">
      <w:rPr>
        <w:b/>
        <w:bCs/>
      </w:rPr>
      <w:tblPr/>
      <w:tcPr>
        <w:tcBorders>
          <w:top w:val="nil"/>
          <w:left w:val="nil"/>
          <w:right w:val="nil"/>
          <w:insideH w:val="nil"/>
          <w:insideV w:val="nil"/>
        </w:tcBorders>
        <w:shd w:val="clear" w:color="auto" w:fill="FFFFFF"/>
      </w:tcPr>
    </w:tblStylePr>
    <w:tblStylePr w:type="lastRow">
      <w:rPr>
        <w:b/>
        <w:bCs/>
      </w:rPr>
      <w:tblPr/>
      <w:tcPr>
        <w:tcBorders>
          <w:left w:val="nil"/>
          <w:bottom w:val="nil"/>
          <w:right w:val="nil"/>
          <w:insideH w:val="nil"/>
          <w:insideV w:val="nil"/>
        </w:tcBorders>
        <w:shd w:val="clear" w:color="auto" w:fill="FFFFFF"/>
      </w:tcPr>
    </w:tblStylePr>
    <w:tblStylePr w:type="firstCol">
      <w:pPr>
        <w:jc w:val="right"/>
      </w:pPr>
      <w:rPr>
        <w:i/>
        <w:iCs/>
      </w:rPr>
      <w:tblPr/>
      <w:tcPr>
        <w:tcBorders>
          <w:top w:val="nil"/>
          <w:left w:val="nil"/>
          <w:bottom w:val="nil"/>
          <w:insideH w:val="nil"/>
          <w:insideV w:val="nil"/>
        </w:tcBorders>
        <w:shd w:val="clear" w:color="auto" w:fill="FFFFFF"/>
      </w:tcPr>
    </w:tblStylePr>
    <w:tblStylePr w:type="lastCol">
      <w:rPr>
        <w:i/>
        <w:iCs/>
      </w:rPr>
      <w:tblPr/>
      <w:tcPr>
        <w:tcBorders>
          <w:top w:val="nil"/>
          <w:bottom w:val="nil"/>
          <w:right w:val="nil"/>
          <w:insideH w:val="nil"/>
          <w:insideV w:val="nil"/>
        </w:tcBorders>
        <w:shd w:val="clear" w:color="auto" w:fill="FFFFFF"/>
      </w:tcPr>
    </w:tblStylePr>
    <w:tblStylePr w:type="band1Vert">
      <w:tblPr/>
      <w:tcPr>
        <w:shd w:val="clear" w:color="auto" w:fill="F2DBDB"/>
      </w:tcPr>
    </w:tblStylePr>
    <w:tblStylePr w:type="band1Horz">
      <w:tblPr/>
      <w:tcPr>
        <w:shd w:val="clear" w:color="auto" w:fill="F2DBDB"/>
      </w:tcPr>
    </w:tblStylePr>
    <w:tblStylePr w:type="neCell">
      <w:tblPr/>
      <w:tcPr>
        <w:tcBorders>
          <w:bottom w:val="single" w:sz="4" w:space="0" w:color="D99594"/>
        </w:tcBorders>
      </w:tcPr>
    </w:tblStylePr>
    <w:tblStylePr w:type="nwCell">
      <w:tblPr/>
      <w:tcPr>
        <w:tcBorders>
          <w:bottom w:val="single" w:sz="4" w:space="0" w:color="D99594"/>
        </w:tcBorders>
      </w:tcPr>
    </w:tblStylePr>
    <w:tblStylePr w:type="seCell">
      <w:tblPr/>
      <w:tcPr>
        <w:tcBorders>
          <w:top w:val="single" w:sz="4" w:space="0" w:color="D99594"/>
        </w:tcBorders>
      </w:tcPr>
    </w:tblStylePr>
    <w:tblStylePr w:type="swCell">
      <w:tblPr/>
      <w:tcPr>
        <w:tcBorders>
          <w:top w:val="single" w:sz="4" w:space="0" w:color="D99594"/>
        </w:tcBorders>
      </w:tcPr>
    </w:tblStylePr>
  </w:style>
  <w:style w:type="table" w:customStyle="1" w:styleId="GridTable3-Accent31">
    <w:name w:val="Grid Table 3 - Accent 31"/>
    <w:basedOn w:val="TableNormal"/>
    <w:uiPriority w:val="48"/>
    <w:pPr>
      <w:spacing w:line="240" w:lineRule="auto"/>
      <w:jc w:val="left"/>
    </w:pPr>
    <w:rPr>
      <w:rFonts w:ascii="Cambria" w:eastAsia="Cambria" w:hAnsi="Cambria" w:cs="SimSun"/>
      <w:lang w:val="en-GB" w:eastAsia="en-US"/>
      <w14:ligatures w14:val="standardContextual"/>
    </w:rPr>
    <w:tblPr>
      <w:tblStyleRowBandSize w:val="1"/>
      <w:tblStyleColBandSize w:val="1"/>
      <w:tblBorders>
        <w:top w:val="single" w:sz="4" w:space="0" w:color="C2D69B"/>
        <w:left w:val="single" w:sz="4" w:space="0" w:color="C2D69B"/>
        <w:bottom w:val="single" w:sz="4" w:space="0" w:color="C2D69B"/>
        <w:right w:val="single" w:sz="4" w:space="0" w:color="C2D69B"/>
        <w:insideH w:val="single" w:sz="4" w:space="0" w:color="C2D69B"/>
        <w:insideV w:val="single" w:sz="4" w:space="0" w:color="C2D69B"/>
      </w:tblBorders>
    </w:tblPr>
    <w:tblStylePr w:type="firstRow">
      <w:rPr>
        <w:b/>
        <w:bCs/>
      </w:rPr>
      <w:tblPr/>
      <w:tcPr>
        <w:tcBorders>
          <w:top w:val="nil"/>
          <w:left w:val="nil"/>
          <w:right w:val="nil"/>
          <w:insideH w:val="nil"/>
          <w:insideV w:val="nil"/>
        </w:tcBorders>
        <w:shd w:val="clear" w:color="auto" w:fill="FFFFFF"/>
      </w:tcPr>
    </w:tblStylePr>
    <w:tblStylePr w:type="lastRow">
      <w:rPr>
        <w:b/>
        <w:bCs/>
      </w:rPr>
      <w:tblPr/>
      <w:tcPr>
        <w:tcBorders>
          <w:left w:val="nil"/>
          <w:bottom w:val="nil"/>
          <w:right w:val="nil"/>
          <w:insideH w:val="nil"/>
          <w:insideV w:val="nil"/>
        </w:tcBorders>
        <w:shd w:val="clear" w:color="auto" w:fill="FFFFFF"/>
      </w:tcPr>
    </w:tblStylePr>
    <w:tblStylePr w:type="firstCol">
      <w:pPr>
        <w:jc w:val="right"/>
      </w:pPr>
      <w:rPr>
        <w:i/>
        <w:iCs/>
      </w:rPr>
      <w:tblPr/>
      <w:tcPr>
        <w:tcBorders>
          <w:top w:val="nil"/>
          <w:left w:val="nil"/>
          <w:bottom w:val="nil"/>
          <w:insideH w:val="nil"/>
          <w:insideV w:val="nil"/>
        </w:tcBorders>
        <w:shd w:val="clear" w:color="auto" w:fill="FFFFFF"/>
      </w:tcPr>
    </w:tblStylePr>
    <w:tblStylePr w:type="lastCol">
      <w:rPr>
        <w:i/>
        <w:iCs/>
      </w:rPr>
      <w:tblPr/>
      <w:tcPr>
        <w:tcBorders>
          <w:top w:val="nil"/>
          <w:bottom w:val="nil"/>
          <w:right w:val="nil"/>
          <w:insideH w:val="nil"/>
          <w:insideV w:val="nil"/>
        </w:tcBorders>
        <w:shd w:val="clear" w:color="auto" w:fill="FFFFFF"/>
      </w:tcPr>
    </w:tblStylePr>
    <w:tblStylePr w:type="band1Vert">
      <w:tblPr/>
      <w:tcPr>
        <w:shd w:val="clear" w:color="auto" w:fill="EAF1DD"/>
      </w:tcPr>
    </w:tblStylePr>
    <w:tblStylePr w:type="band1Horz">
      <w:tblPr/>
      <w:tcPr>
        <w:shd w:val="clear" w:color="auto" w:fill="EAF1DD"/>
      </w:tcPr>
    </w:tblStylePr>
    <w:tblStylePr w:type="neCell">
      <w:tblPr/>
      <w:tcPr>
        <w:tcBorders>
          <w:bottom w:val="single" w:sz="4" w:space="0" w:color="C2D69B"/>
        </w:tcBorders>
      </w:tcPr>
    </w:tblStylePr>
    <w:tblStylePr w:type="nwCell">
      <w:tblPr/>
      <w:tcPr>
        <w:tcBorders>
          <w:bottom w:val="single" w:sz="4" w:space="0" w:color="C2D69B"/>
        </w:tcBorders>
      </w:tcPr>
    </w:tblStylePr>
    <w:tblStylePr w:type="seCell">
      <w:tblPr/>
      <w:tcPr>
        <w:tcBorders>
          <w:top w:val="single" w:sz="4" w:space="0" w:color="C2D69B"/>
        </w:tcBorders>
      </w:tcPr>
    </w:tblStylePr>
    <w:tblStylePr w:type="swCell">
      <w:tblPr/>
      <w:tcPr>
        <w:tcBorders>
          <w:top w:val="single" w:sz="4" w:space="0" w:color="C2D69B"/>
        </w:tcBorders>
      </w:tcPr>
    </w:tblStylePr>
  </w:style>
  <w:style w:type="table" w:customStyle="1" w:styleId="TableGridLight1">
    <w:name w:val="Table Grid Light1"/>
    <w:basedOn w:val="TableNormal"/>
    <w:uiPriority w:val="40"/>
    <w:pPr>
      <w:spacing w:line="240" w:lineRule="auto"/>
      <w:jc w:val="left"/>
    </w:pPr>
    <w:rPr>
      <w:rFonts w:ascii="Cambria" w:eastAsia="Cambria" w:hAnsi="Cambria" w:cs="SimSun"/>
      <w:lang w:val="en-GB" w:eastAsia="en-US"/>
      <w14:ligatures w14:val="standardContextual"/>
    </w:rPr>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style>
  <w:style w:type="table" w:customStyle="1" w:styleId="PlainTable31">
    <w:name w:val="Plain Table 31"/>
    <w:basedOn w:val="TableNormal"/>
    <w:uiPriority w:val="43"/>
    <w:pPr>
      <w:spacing w:line="240" w:lineRule="auto"/>
      <w:jc w:val="left"/>
    </w:pPr>
    <w:rPr>
      <w:rFonts w:ascii="Cambria" w:eastAsia="Cambria" w:hAnsi="Cambria" w:cs="SimSun"/>
      <w:lang w:val="en-GB" w:eastAsia="en-US"/>
      <w14:ligatures w14:val="standardContextual"/>
    </w:rPr>
    <w:tblPr>
      <w:tblStyleRowBandSize w:val="1"/>
      <w:tblStyleColBandSize w:val="1"/>
    </w:tblPr>
    <w:tblStylePr w:type="firstRow">
      <w:rPr>
        <w:b/>
        <w:bCs/>
        <w:caps/>
      </w:rPr>
      <w:tblPr/>
      <w:tcPr>
        <w:tcBorders>
          <w:bottom w:val="single" w:sz="4" w:space="0" w:color="7F7F7F"/>
        </w:tcBorders>
      </w:tcPr>
    </w:tblStylePr>
    <w:tblStylePr w:type="lastRow">
      <w:rPr>
        <w:b/>
        <w:bCs/>
        <w:caps/>
      </w:rPr>
      <w:tblPr/>
      <w:tcPr>
        <w:tcBorders>
          <w:top w:val="nil"/>
        </w:tcBorders>
      </w:tcPr>
    </w:tblStylePr>
    <w:tblStylePr w:type="firstCol">
      <w:rPr>
        <w:b/>
        <w:bCs/>
        <w:caps/>
      </w:rPr>
      <w:tblPr/>
      <w:tcPr>
        <w:tcBorders>
          <w:right w:val="single" w:sz="4" w:space="0" w:color="7F7F7F"/>
        </w:tcBorders>
      </w:tcPr>
    </w:tblStylePr>
    <w:tblStylePr w:type="lastCol">
      <w:rPr>
        <w:b/>
        <w:bCs/>
        <w:caps/>
      </w:rPr>
      <w:tblPr/>
      <w:tcPr>
        <w:tcBorders>
          <w:left w:val="nil"/>
        </w:tcBorders>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style>
  <w:style w:type="paragraph" w:styleId="Header">
    <w:name w:val="header"/>
    <w:basedOn w:val="Normal"/>
    <w:link w:val="HeaderChar"/>
    <w:uiPriority w:val="99"/>
    <w:pPr>
      <w:tabs>
        <w:tab w:val="center" w:pos="4513"/>
        <w:tab w:val="right" w:pos="9026"/>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spacing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qFormat/>
    <w:pPr>
      <w:spacing w:before="240" w:line="259" w:lineRule="auto"/>
      <w:jc w:val="left"/>
      <w:outlineLvl w:val="9"/>
    </w:pPr>
    <w:rPr>
      <w:rFonts w:ascii="Calibri" w:eastAsia="SimSun" w:hAnsi="Calibri" w:cs="SimSun"/>
      <w:b w:val="0"/>
      <w:bCs w:val="0"/>
      <w:color w:val="365F91"/>
      <w:lang w:eastAsia="en-US"/>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paragraph" w:styleId="TOC3">
    <w:name w:val="toc 3"/>
    <w:basedOn w:val="Normal"/>
    <w:next w:val="Normal"/>
    <w:uiPriority w:val="39"/>
    <w:pPr>
      <w:spacing w:after="100"/>
      <w:ind w:left="480"/>
    </w:pPr>
  </w:style>
  <w:style w:type="character" w:styleId="Hyperlink">
    <w:name w:val="Hyperlink"/>
    <w:basedOn w:val="DefaultParagraphFont"/>
    <w:uiPriority w:val="99"/>
    <w:rPr>
      <w:color w:val="0000FF"/>
      <w:u w:val="single"/>
    </w:rPr>
  </w:style>
  <w:style w:type="table" w:customStyle="1" w:styleId="GridTable2-Accent31">
    <w:name w:val="Grid Table 2 - Accent 31"/>
    <w:basedOn w:val="TableNormal"/>
    <w:uiPriority w:val="47"/>
    <w:pPr>
      <w:spacing w:line="240" w:lineRule="auto"/>
    </w:pPr>
    <w:tblPr>
      <w:tblStyleRowBandSize w:val="1"/>
      <w:tblStyleColBandSize w:val="1"/>
      <w:tblBorders>
        <w:top w:val="single" w:sz="2" w:space="0" w:color="C2D69B"/>
        <w:bottom w:val="single" w:sz="2" w:space="0" w:color="C2D69B"/>
        <w:insideH w:val="single" w:sz="2" w:space="0" w:color="C2D69B"/>
        <w:insideV w:val="single" w:sz="2" w:space="0" w:color="C2D69B"/>
      </w:tblBorders>
    </w:tblPr>
    <w:tblStylePr w:type="firstRow">
      <w:rPr>
        <w:b/>
        <w:bCs/>
      </w:rPr>
      <w:tblPr/>
      <w:tcPr>
        <w:tcBorders>
          <w:top w:val="nil"/>
          <w:bottom w:val="single" w:sz="12" w:space="0" w:color="C2D69B"/>
          <w:insideH w:val="nil"/>
          <w:insideV w:val="nil"/>
        </w:tcBorders>
        <w:shd w:val="clear" w:color="auto" w:fill="FFFFFF"/>
      </w:tcPr>
    </w:tblStylePr>
    <w:tblStylePr w:type="lastRow">
      <w:rPr>
        <w:b/>
        <w:bCs/>
      </w:rPr>
      <w:tblPr/>
      <w:tcPr>
        <w:tcBorders>
          <w:top w:val="double" w:sz="2" w:space="0" w:color="C2D69B"/>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EAF1DD"/>
      </w:tcPr>
    </w:tblStylePr>
    <w:tblStylePr w:type="band1Horz">
      <w:tblPr/>
      <w:tcPr>
        <w:shd w:val="clear" w:color="auto" w:fill="EAF1DD"/>
      </w:tcPr>
    </w:tblStylePr>
  </w:style>
  <w:style w:type="table" w:customStyle="1" w:styleId="GridTable1Light-Accent31">
    <w:name w:val="Grid Table 1 Light - Accent 31"/>
    <w:basedOn w:val="TableNormal"/>
    <w:uiPriority w:val="46"/>
    <w:pPr>
      <w:spacing w:line="240" w:lineRule="auto"/>
    </w:pPr>
    <w:tblPr>
      <w:tblStyleRowBandSize w:val="1"/>
      <w:tblStyleColBandSize w:val="1"/>
      <w:tblBorders>
        <w:top w:val="single" w:sz="4" w:space="0" w:color="D6E3BC"/>
        <w:left w:val="single" w:sz="4" w:space="0" w:color="D6E3BC"/>
        <w:bottom w:val="single" w:sz="4" w:space="0" w:color="D6E3BC"/>
        <w:right w:val="single" w:sz="4" w:space="0" w:color="D6E3BC"/>
        <w:insideH w:val="single" w:sz="4" w:space="0" w:color="D6E3BC"/>
        <w:insideV w:val="single" w:sz="4" w:space="0" w:color="D6E3BC"/>
      </w:tblBorders>
    </w:tblPr>
    <w:tblStylePr w:type="firstRow">
      <w:rPr>
        <w:b/>
        <w:bCs/>
      </w:rPr>
      <w:tblPr/>
      <w:tcPr>
        <w:tcBorders>
          <w:bottom w:val="single" w:sz="12" w:space="0" w:color="C2D69B"/>
        </w:tcBorders>
      </w:tcPr>
    </w:tblStylePr>
    <w:tblStylePr w:type="lastRow">
      <w:rPr>
        <w:b/>
        <w:bCs/>
      </w:rPr>
      <w:tblPr/>
      <w:tcPr>
        <w:tcBorders>
          <w:top w:val="double" w:sz="2" w:space="0" w:color="C2D69B"/>
        </w:tcBorders>
      </w:tcPr>
    </w:tblStylePr>
    <w:tblStylePr w:type="firstCol">
      <w:rPr>
        <w:b/>
        <w:bCs/>
      </w:rPr>
    </w:tblStylePr>
    <w:tblStylePr w:type="lastCol">
      <w:rPr>
        <w:b/>
        <w:bCs/>
      </w:rPr>
    </w:tblStylePr>
  </w:style>
  <w:style w:type="table" w:customStyle="1" w:styleId="GridTable1Light1">
    <w:name w:val="Grid Table 1 Light1"/>
    <w:basedOn w:val="TableNormal"/>
    <w:uiPriority w:val="46"/>
    <w:pPr>
      <w:spacing w:line="240" w:lineRule="auto"/>
    </w:pPr>
    <w:tblPr>
      <w:tblStyleRowBandSize w:val="1"/>
      <w:tblStyleColBandSize w:val="1"/>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Pr>
    <w:tblStylePr w:type="firstRow">
      <w:rPr>
        <w:b/>
        <w:bCs/>
      </w:rPr>
      <w:tblPr/>
      <w:tcPr>
        <w:tcBorders>
          <w:bottom w:val="single" w:sz="12" w:space="0" w:color="666666"/>
        </w:tcBorders>
      </w:tcPr>
    </w:tblStylePr>
    <w:tblStylePr w:type="lastRow">
      <w:rPr>
        <w:b/>
        <w:bCs/>
      </w:rPr>
      <w:tblPr/>
      <w:tcPr>
        <w:tcBorders>
          <w:top w:val="double" w:sz="2" w:space="0" w:color="666666"/>
        </w:tcBorders>
      </w:tcPr>
    </w:tblStylePr>
    <w:tblStylePr w:type="firstCol">
      <w:rPr>
        <w:b/>
        <w:bCs/>
      </w:rPr>
    </w:tblStylePr>
    <w:tblStylePr w:type="lastCol">
      <w:rPr>
        <w:b/>
        <w:bCs/>
      </w:rPr>
    </w:tblStylePr>
  </w:style>
  <w:style w:type="table" w:customStyle="1" w:styleId="GridTable1Light-Accent61">
    <w:name w:val="Grid Table 1 Light - Accent 61"/>
    <w:basedOn w:val="TableNormal"/>
    <w:uiPriority w:val="46"/>
    <w:pPr>
      <w:spacing w:line="240" w:lineRule="auto"/>
    </w:pPr>
    <w:tblPr>
      <w:tblStyleRowBandSize w:val="1"/>
      <w:tblStyleColBandSize w:val="1"/>
      <w:tblBorders>
        <w:top w:val="single" w:sz="4" w:space="0" w:color="FBD4B4"/>
        <w:left w:val="single" w:sz="4" w:space="0" w:color="FBD4B4"/>
        <w:bottom w:val="single" w:sz="4" w:space="0" w:color="FBD4B4"/>
        <w:right w:val="single" w:sz="4" w:space="0" w:color="FBD4B4"/>
        <w:insideH w:val="single" w:sz="4" w:space="0" w:color="FBD4B4"/>
        <w:insideV w:val="single" w:sz="4" w:space="0" w:color="FBD4B4"/>
      </w:tblBorders>
    </w:tblPr>
    <w:tblStylePr w:type="firstRow">
      <w:rPr>
        <w:b/>
        <w:bCs/>
      </w:rPr>
      <w:tblPr/>
      <w:tcPr>
        <w:tcBorders>
          <w:bottom w:val="single" w:sz="12" w:space="0" w:color="FABF8F"/>
        </w:tcBorders>
      </w:tcPr>
    </w:tblStylePr>
    <w:tblStylePr w:type="lastRow">
      <w:rPr>
        <w:b/>
        <w:bCs/>
      </w:rPr>
      <w:tblPr/>
      <w:tcPr>
        <w:tcBorders>
          <w:top w:val="double" w:sz="2" w:space="0" w:color="FABF8F"/>
        </w:tcBorders>
      </w:tcPr>
    </w:tblStylePr>
    <w:tblStylePr w:type="firstCol">
      <w:rPr>
        <w:b/>
        <w:bCs/>
      </w:rPr>
    </w:tblStylePr>
    <w:tblStylePr w:type="lastCol">
      <w:rPr>
        <w:b/>
        <w:bCs/>
      </w:rPr>
    </w:tblStylePr>
  </w:style>
  <w:style w:type="character" w:styleId="Strong">
    <w:name w:val="Strong"/>
    <w:basedOn w:val="DefaultParagraphFont"/>
    <w:uiPriority w:val="22"/>
    <w:qFormat/>
    <w:rPr>
      <w:b/>
      <w:bCs/>
    </w:rPr>
  </w:style>
  <w:style w:type="paragraph" w:styleId="Caption">
    <w:name w:val="caption"/>
    <w:basedOn w:val="Normal"/>
    <w:qFormat/>
    <w:pPr>
      <w:spacing w:after="200"/>
      <w:jc w:val="center"/>
    </w:pPr>
    <w:rPr>
      <w:rFonts w:ascii="Times New Roman" w:eastAsia="Calibri" w:hAnsi="Times New Roman" w:cs="Vrinda"/>
      <w:b/>
      <w:bCs/>
      <w:sz w:val="20"/>
      <w:lang w:eastAsia="en-US"/>
    </w:rPr>
  </w:style>
  <w:style w:type="table" w:styleId="MediumGrid3">
    <w:name w:val="Medium Grid 3"/>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C0C0C0"/>
    </w:tblPr>
    <w:tcPr>
      <w:shd w:val="clear" w:color="auto" w:fill="C0C0C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000000"/>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000000"/>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000000"/>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000000"/>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80808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808080"/>
      </w:tcPr>
    </w:tblStylePr>
  </w:style>
  <w:style w:type="table" w:styleId="MediumGrid3-Accent1">
    <w:name w:val="Medium Grid 3 Accent 1"/>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3DFEE"/>
    </w:tblPr>
    <w:tcPr>
      <w:shd w:val="clear" w:color="auto" w:fill="D3DFEE"/>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F81B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F81B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F81B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F81B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7BFDE"/>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7BFDE"/>
      </w:tcPr>
    </w:tblStylePr>
  </w:style>
  <w:style w:type="table" w:styleId="MediumGrid3-Accent2">
    <w:name w:val="Medium Grid 3 Accent 2"/>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FD3D2"/>
    </w:tblPr>
    <w:tcPr>
      <w:shd w:val="clear" w:color="auto" w:fill="EFD3D2"/>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C0504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C0504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C0504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C0504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DFA7A6"/>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DFA7A6"/>
      </w:tcPr>
    </w:tblStylePr>
  </w:style>
  <w:style w:type="table" w:styleId="MediumGrid3-Accent3">
    <w:name w:val="Medium Grid 3 Accent 3"/>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6EED5"/>
    </w:tblPr>
    <w:tcPr>
      <w:shd w:val="clear" w:color="auto" w:fill="E6EED5"/>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9BBB59"/>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9BBB59"/>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9BBB59"/>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9BBB59"/>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CDDDAC"/>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CDDDAC"/>
      </w:tcPr>
    </w:tblStylePr>
  </w:style>
  <w:style w:type="table" w:styleId="MediumGrid3-Accent4">
    <w:name w:val="Medium Grid 3 Accent 4"/>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FD8E8"/>
    </w:tblPr>
    <w:tcPr>
      <w:shd w:val="clear" w:color="auto" w:fill="DFD8E8"/>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8064A2"/>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8064A2"/>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8064A2"/>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8064A2"/>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BFB1D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BFB1D0"/>
      </w:tcPr>
    </w:tblStylePr>
  </w:style>
  <w:style w:type="table" w:styleId="MediumGrid3-Accent5">
    <w:name w:val="Medium Grid 3 Accent 5"/>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2EAF1"/>
    </w:tblPr>
    <w:tcPr>
      <w:shd w:val="clear" w:color="auto" w:fill="D2EAF1"/>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4BACC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4BACC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BACC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BACC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5D5E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A5D5E2"/>
      </w:tcPr>
    </w:tblStylePr>
  </w:style>
  <w:style w:type="table" w:styleId="MediumGrid3-Accent6">
    <w:name w:val="Medium Grid 3 Accent 6"/>
    <w:basedOn w:val="TableNormal"/>
    <w:uiPriority w:val="69"/>
    <w:tblPr>
      <w:tblStyleRowBandSize w:val="1"/>
      <w:tblStyleColBandSize w:val="1"/>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FDE4D0"/>
    </w:tblPr>
    <w:tcPr>
      <w:shd w:val="clear" w:color="auto" w:fill="FDE4D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CCE8CF"/>
        </w:tcBorders>
        <w:shd w:val="clear" w:color="auto" w:fill="F7964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CCE8CF"/>
        </w:tcBorders>
        <w:shd w:val="clear" w:color="auto" w:fill="F7964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F7964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F7964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FBCAA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CCE8CF"/>
          <w:insideV w:val="single" w:sz="8" w:space="0" w:color="CCE8CF"/>
        </w:tcBorders>
        <w:shd w:val="clear" w:color="auto" w:fill="FBCAA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5.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4.png"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png"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image" Target="media/image2.png" /><Relationship Id="rId4" Type="http://schemas.openxmlformats.org/officeDocument/2006/relationships/settings" Target="settings.xml" /><Relationship Id="rId9" Type="http://schemas.openxmlformats.org/officeDocument/2006/relationships/footer" Target="footer1.xml" /><Relationship Id="rId14" Type="http://schemas.openxmlformats.org/officeDocument/2006/relationships/image" Target="media/image6.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DB36B3-F56F-4A19-9183-4FDDAF1C440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7428</Words>
  <Characters>42345</Characters>
  <Application>Microsoft Office Word</Application>
  <DocSecurity>0</DocSecurity>
  <Lines>352</Lines>
  <Paragraphs>99</Paragraphs>
  <ScaleCrop>false</ScaleCrop>
  <LinksUpToDate>false</LinksUpToDate>
  <CharactersWithSpaces>49674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2025-12-17T14:07:00Z</dcterms:created>
  <dcterms:modified xsi:type="dcterms:W3CDTF">2025-12-19T20:41:00Z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627f0df7-e81a-4b4e-8705-b7effb3079e2</vt:lpwstr>
  </property>
  <property fmtid="{D5CDD505-2E9C-101B-9397-08002B2CF9AE}" pid="3" name="ICV">
    <vt:lpwstr>6359d26a32f447b68be9c852c66ea983</vt:lpwstr>
  </property>
</Properties>
</file>