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E07C2" w:rsidRDefault="000E07C2">
      <w:pPr>
        <w:jc w:val="center"/>
        <w:rPr>
          <w:b/>
          <w:sz w:val="26"/>
          <w:szCs w:val="26"/>
        </w:rPr>
      </w:pPr>
    </w:p>
    <w:p w14:paraId="00000002" w14:textId="77777777" w:rsidR="000E07C2" w:rsidRDefault="000E07C2">
      <w:pPr>
        <w:jc w:val="center"/>
        <w:rPr>
          <w:b/>
          <w:sz w:val="26"/>
          <w:szCs w:val="26"/>
        </w:rPr>
      </w:pPr>
    </w:p>
    <w:p w14:paraId="00000003" w14:textId="77777777" w:rsidR="000E07C2" w:rsidRDefault="000E07C2">
      <w:pPr>
        <w:jc w:val="center"/>
        <w:rPr>
          <w:b/>
          <w:sz w:val="26"/>
          <w:szCs w:val="26"/>
        </w:rPr>
      </w:pPr>
    </w:p>
    <w:p w14:paraId="00000004" w14:textId="0CE25FA7" w:rsidR="000E07C2" w:rsidRDefault="005341DF">
      <w:pPr>
        <w:jc w:val="center"/>
        <w:rPr>
          <w:b/>
          <w:sz w:val="26"/>
          <w:szCs w:val="26"/>
        </w:rPr>
      </w:pPr>
      <w:r>
        <w:rPr>
          <w:noProof/>
        </w:rPr>
        <w:drawing>
          <wp:inline distT="0" distB="0" distL="0" distR="0" wp14:anchorId="637C5006" wp14:editId="1DF019B4">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00000005" w14:textId="77777777" w:rsidR="000E07C2" w:rsidRDefault="000E07C2">
      <w:pPr>
        <w:jc w:val="center"/>
        <w:rPr>
          <w:b/>
          <w:sz w:val="26"/>
          <w:szCs w:val="26"/>
        </w:rPr>
      </w:pPr>
    </w:p>
    <w:p w14:paraId="3FF25C17" w14:textId="77777777" w:rsidR="00FB10CE" w:rsidRDefault="00FB10CE">
      <w:pPr>
        <w:jc w:val="center"/>
        <w:rPr>
          <w:b/>
          <w:sz w:val="26"/>
          <w:szCs w:val="26"/>
        </w:rPr>
      </w:pPr>
    </w:p>
    <w:p w14:paraId="247DD0D1" w14:textId="77777777" w:rsidR="00FB10CE" w:rsidRDefault="00FB10CE">
      <w:pPr>
        <w:jc w:val="center"/>
        <w:rPr>
          <w:b/>
          <w:sz w:val="26"/>
          <w:szCs w:val="26"/>
        </w:rPr>
      </w:pPr>
    </w:p>
    <w:p w14:paraId="412CA8AB" w14:textId="77777777" w:rsidR="00FB10CE" w:rsidRDefault="00FB10CE">
      <w:pPr>
        <w:jc w:val="center"/>
        <w:rPr>
          <w:b/>
          <w:sz w:val="26"/>
          <w:szCs w:val="26"/>
        </w:rPr>
      </w:pPr>
    </w:p>
    <w:p w14:paraId="2BE8B8A4" w14:textId="77777777" w:rsidR="00FB10CE" w:rsidRDefault="00FB10CE">
      <w:pPr>
        <w:jc w:val="center"/>
        <w:rPr>
          <w:b/>
          <w:sz w:val="26"/>
          <w:szCs w:val="26"/>
        </w:rPr>
      </w:pPr>
    </w:p>
    <w:p w14:paraId="16BBF3D3" w14:textId="77777777" w:rsidR="00FB10CE" w:rsidRDefault="00FB10CE">
      <w:pPr>
        <w:jc w:val="center"/>
        <w:rPr>
          <w:b/>
          <w:sz w:val="26"/>
          <w:szCs w:val="26"/>
        </w:rPr>
      </w:pPr>
    </w:p>
    <w:p w14:paraId="768721B6" w14:textId="77777777" w:rsidR="00FB10CE" w:rsidRDefault="00FB10CE">
      <w:pPr>
        <w:jc w:val="center"/>
        <w:rPr>
          <w:b/>
          <w:sz w:val="26"/>
          <w:szCs w:val="26"/>
        </w:rPr>
      </w:pPr>
    </w:p>
    <w:p w14:paraId="62C01320" w14:textId="77777777" w:rsidR="00FB10CE" w:rsidRDefault="00FB10CE">
      <w:pPr>
        <w:jc w:val="center"/>
        <w:rPr>
          <w:b/>
          <w:sz w:val="26"/>
          <w:szCs w:val="26"/>
        </w:rPr>
      </w:pPr>
    </w:p>
    <w:p w14:paraId="143D1300" w14:textId="77777777" w:rsidR="00FB10CE" w:rsidRDefault="00FB10CE">
      <w:pPr>
        <w:jc w:val="center"/>
        <w:rPr>
          <w:b/>
          <w:sz w:val="26"/>
          <w:szCs w:val="26"/>
        </w:rPr>
      </w:pPr>
    </w:p>
    <w:p w14:paraId="78015ABB" w14:textId="77777777" w:rsidR="00FB10CE" w:rsidRDefault="00FB10CE">
      <w:pPr>
        <w:jc w:val="center"/>
        <w:rPr>
          <w:b/>
          <w:sz w:val="26"/>
          <w:szCs w:val="26"/>
        </w:rPr>
      </w:pPr>
    </w:p>
    <w:p w14:paraId="00000006" w14:textId="77777777" w:rsidR="000E07C2" w:rsidRDefault="000E07C2">
      <w:pPr>
        <w:jc w:val="center"/>
        <w:rPr>
          <w:b/>
          <w:sz w:val="26"/>
          <w:szCs w:val="26"/>
        </w:rPr>
      </w:pPr>
    </w:p>
    <w:p w14:paraId="087C5068" w14:textId="77777777" w:rsidR="005341DF" w:rsidRPr="005341DF" w:rsidRDefault="005341DF" w:rsidP="005341DF">
      <w:pPr>
        <w:shd w:val="clear" w:color="auto" w:fill="FFFFFF"/>
        <w:spacing w:line="240" w:lineRule="auto"/>
        <w:jc w:val="left"/>
        <w:rPr>
          <w:b/>
          <w:bCs/>
          <w:color w:val="222222"/>
          <w:sz w:val="28"/>
          <w:szCs w:val="28"/>
          <w:lang w:eastAsia="en-GB"/>
        </w:rPr>
      </w:pPr>
      <w:r w:rsidRPr="005341DF">
        <w:rPr>
          <w:b/>
          <w:bCs/>
          <w:color w:val="222222"/>
          <w:sz w:val="28"/>
          <w:szCs w:val="28"/>
          <w:lang w:eastAsia="en-GB"/>
        </w:rPr>
        <w:t>Name: Alina Don</w:t>
      </w:r>
    </w:p>
    <w:p w14:paraId="242562B3" w14:textId="77777777" w:rsidR="005341DF" w:rsidRPr="005341DF" w:rsidRDefault="005341DF" w:rsidP="005341DF">
      <w:pPr>
        <w:shd w:val="clear" w:color="auto" w:fill="FFFFFF"/>
        <w:spacing w:line="240" w:lineRule="auto"/>
        <w:jc w:val="left"/>
        <w:rPr>
          <w:b/>
          <w:bCs/>
          <w:color w:val="222222"/>
          <w:sz w:val="28"/>
          <w:szCs w:val="28"/>
          <w:lang w:eastAsia="en-GB"/>
        </w:rPr>
      </w:pPr>
      <w:r w:rsidRPr="005341DF">
        <w:rPr>
          <w:b/>
          <w:bCs/>
          <w:color w:val="222222"/>
          <w:sz w:val="28"/>
          <w:szCs w:val="28"/>
          <w:lang w:eastAsia="en-GB"/>
        </w:rPr>
        <w:t>Student ID: 2209918</w:t>
      </w:r>
    </w:p>
    <w:p w14:paraId="49483A5A" w14:textId="51723097" w:rsidR="005341DF" w:rsidRPr="005341DF" w:rsidRDefault="005341DF" w:rsidP="005341DF">
      <w:pPr>
        <w:shd w:val="clear" w:color="auto" w:fill="FFFFFF"/>
        <w:spacing w:line="240" w:lineRule="auto"/>
        <w:jc w:val="left"/>
        <w:rPr>
          <w:b/>
          <w:bCs/>
          <w:color w:val="222222"/>
          <w:sz w:val="28"/>
          <w:szCs w:val="28"/>
          <w:lang w:eastAsia="en-GB"/>
        </w:rPr>
      </w:pPr>
      <w:r w:rsidRPr="005341DF">
        <w:rPr>
          <w:b/>
          <w:bCs/>
          <w:color w:val="222222"/>
          <w:sz w:val="28"/>
          <w:szCs w:val="28"/>
          <w:lang w:eastAsia="en-GB"/>
        </w:rPr>
        <w:t>Module code: LCBB</w:t>
      </w:r>
      <w:r>
        <w:rPr>
          <w:b/>
          <w:bCs/>
          <w:color w:val="222222"/>
          <w:sz w:val="28"/>
          <w:szCs w:val="28"/>
          <w:lang w:eastAsia="en-GB"/>
        </w:rPr>
        <w:t>5004</w:t>
      </w:r>
    </w:p>
    <w:p w14:paraId="72F379EA" w14:textId="0A8F08C5" w:rsidR="005341DF" w:rsidRPr="005341DF" w:rsidRDefault="005341DF" w:rsidP="005341DF">
      <w:pPr>
        <w:shd w:val="clear" w:color="auto" w:fill="FFFFFF"/>
        <w:spacing w:line="240" w:lineRule="auto"/>
        <w:jc w:val="left"/>
        <w:rPr>
          <w:b/>
          <w:bCs/>
          <w:color w:val="222222"/>
          <w:sz w:val="28"/>
          <w:szCs w:val="28"/>
          <w:lang w:eastAsia="en-GB"/>
        </w:rPr>
      </w:pPr>
      <w:r w:rsidRPr="005341DF">
        <w:rPr>
          <w:b/>
          <w:bCs/>
          <w:color w:val="222222"/>
          <w:sz w:val="28"/>
          <w:szCs w:val="28"/>
          <w:lang w:eastAsia="en-GB"/>
        </w:rPr>
        <w:t xml:space="preserve">Module name: </w:t>
      </w:r>
      <w:r>
        <w:rPr>
          <w:b/>
          <w:bCs/>
          <w:color w:val="222222"/>
          <w:sz w:val="28"/>
          <w:szCs w:val="28"/>
          <w:lang w:eastAsia="en-GB"/>
        </w:rPr>
        <w:t>Managing People</w:t>
      </w:r>
    </w:p>
    <w:p w14:paraId="01990371" w14:textId="55F7C93D" w:rsidR="005341DF" w:rsidRPr="005341DF" w:rsidRDefault="005341DF" w:rsidP="005341DF">
      <w:pPr>
        <w:rPr>
          <w:rFonts w:ascii="Arial" w:eastAsia="Arial" w:hAnsi="Arial" w:cs="Arial"/>
          <w:sz w:val="22"/>
          <w:szCs w:val="22"/>
          <w:lang w:eastAsia="en-GB"/>
        </w:rPr>
      </w:pPr>
      <w:r w:rsidRPr="005341DF">
        <w:rPr>
          <w:b/>
          <w:bCs/>
          <w:color w:val="222222"/>
          <w:sz w:val="28"/>
          <w:szCs w:val="28"/>
          <w:lang w:eastAsia="en-GB"/>
        </w:rPr>
        <w:t xml:space="preserve">Lecturer: </w:t>
      </w:r>
      <w:proofErr w:type="spellStart"/>
      <w:r>
        <w:rPr>
          <w:b/>
          <w:bCs/>
          <w:color w:val="222222"/>
          <w:sz w:val="28"/>
          <w:szCs w:val="28"/>
          <w:lang w:eastAsia="en-GB"/>
        </w:rPr>
        <w:t>Dr.</w:t>
      </w:r>
      <w:proofErr w:type="spellEnd"/>
      <w:r>
        <w:rPr>
          <w:b/>
          <w:bCs/>
          <w:color w:val="222222"/>
          <w:sz w:val="28"/>
          <w:szCs w:val="28"/>
          <w:lang w:eastAsia="en-GB"/>
        </w:rPr>
        <w:t xml:space="preserve"> Mushfiqur Rahman</w:t>
      </w:r>
    </w:p>
    <w:p w14:paraId="00000007" w14:textId="77777777" w:rsidR="000E07C2" w:rsidRDefault="000E07C2">
      <w:pPr>
        <w:jc w:val="center"/>
        <w:rPr>
          <w:b/>
          <w:sz w:val="26"/>
          <w:szCs w:val="26"/>
        </w:rPr>
      </w:pPr>
    </w:p>
    <w:p w14:paraId="0000000D" w14:textId="77777777" w:rsidR="000E07C2" w:rsidRDefault="00000000">
      <w:pPr>
        <w:rPr>
          <w:b/>
        </w:rPr>
      </w:pPr>
      <w:r>
        <w:br w:type="page"/>
      </w:r>
    </w:p>
    <w:bookmarkStart w:id="0" w:name="_heading=h.9hfeiq4sna49"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927377288"/>
        <w:docPartObj>
          <w:docPartGallery w:val="Table of Contents"/>
          <w:docPartUnique/>
        </w:docPartObj>
      </w:sdtPr>
      <w:sdtEndPr>
        <w:rPr>
          <w:b/>
          <w:bCs/>
          <w:noProof/>
        </w:rPr>
      </w:sdtEndPr>
      <w:sdtContent>
        <w:p w14:paraId="316B0DB5" w14:textId="77777777" w:rsidR="00D93133" w:rsidRDefault="00D93133" w:rsidP="00812F0D">
          <w:pPr>
            <w:pStyle w:val="TOCHeading"/>
            <w:jc w:val="center"/>
            <w:rPr>
              <w:rFonts w:ascii="Times New Roman" w:eastAsia="Times New Roman" w:hAnsi="Times New Roman" w:cs="Times New Roman"/>
              <w:color w:val="auto"/>
              <w:sz w:val="24"/>
              <w:szCs w:val="24"/>
              <w:lang w:val="en-GB" w:eastAsia="en-IN"/>
            </w:rPr>
          </w:pPr>
        </w:p>
        <w:p w14:paraId="389CF350" w14:textId="77777777" w:rsidR="00D93133" w:rsidRDefault="00D93133" w:rsidP="00812F0D">
          <w:pPr>
            <w:pStyle w:val="TOCHeading"/>
            <w:jc w:val="center"/>
            <w:rPr>
              <w:rFonts w:ascii="Times New Roman" w:hAnsi="Times New Roman" w:cs="Times New Roman"/>
              <w:b/>
              <w:bCs/>
            </w:rPr>
          </w:pPr>
        </w:p>
        <w:p w14:paraId="3EBE2514" w14:textId="77777777" w:rsidR="00D93133" w:rsidRDefault="00D93133" w:rsidP="00812F0D">
          <w:pPr>
            <w:pStyle w:val="TOCHeading"/>
            <w:jc w:val="center"/>
            <w:rPr>
              <w:rFonts w:ascii="Times New Roman" w:hAnsi="Times New Roman" w:cs="Times New Roman"/>
              <w:b/>
              <w:bCs/>
            </w:rPr>
          </w:pPr>
        </w:p>
        <w:p w14:paraId="326D4C18" w14:textId="782F0420" w:rsidR="00812F0D" w:rsidRDefault="00812F0D" w:rsidP="00812F0D">
          <w:pPr>
            <w:pStyle w:val="TOCHeading"/>
            <w:jc w:val="center"/>
            <w:rPr>
              <w:rFonts w:ascii="Times New Roman" w:hAnsi="Times New Roman" w:cs="Times New Roman"/>
              <w:b/>
              <w:bCs/>
            </w:rPr>
          </w:pPr>
          <w:r w:rsidRPr="00812F0D">
            <w:rPr>
              <w:rFonts w:ascii="Times New Roman" w:hAnsi="Times New Roman" w:cs="Times New Roman"/>
              <w:b/>
              <w:bCs/>
            </w:rPr>
            <w:t>Table of Contents</w:t>
          </w:r>
        </w:p>
        <w:p w14:paraId="0954431B" w14:textId="77777777" w:rsidR="00D93133" w:rsidRDefault="00D93133" w:rsidP="00D93133">
          <w:pPr>
            <w:rPr>
              <w:lang w:val="en-US" w:eastAsia="en-US"/>
            </w:rPr>
          </w:pPr>
        </w:p>
        <w:p w14:paraId="72210073" w14:textId="77777777" w:rsidR="00D93133" w:rsidRPr="00D93133" w:rsidRDefault="00D93133" w:rsidP="00D93133">
          <w:pPr>
            <w:rPr>
              <w:lang w:val="en-US" w:eastAsia="en-US"/>
            </w:rPr>
          </w:pPr>
        </w:p>
        <w:p w14:paraId="661FD788" w14:textId="2E79946F" w:rsidR="00812F0D" w:rsidRDefault="00812F0D">
          <w:pPr>
            <w:pStyle w:val="TOC1"/>
            <w:tabs>
              <w:tab w:val="right" w:leader="dot" w:pos="9019"/>
            </w:tabs>
            <w:rPr>
              <w:noProof/>
            </w:rPr>
          </w:pPr>
          <w:r>
            <w:fldChar w:fldCharType="begin"/>
          </w:r>
          <w:r>
            <w:instrText xml:space="preserve"> TOC \o "1-3" \h \z \u </w:instrText>
          </w:r>
          <w:r>
            <w:fldChar w:fldCharType="separate"/>
          </w:r>
          <w:hyperlink w:anchor="_Toc150160224" w:history="1">
            <w:r w:rsidRPr="00670558">
              <w:rPr>
                <w:rStyle w:val="Hyperlink"/>
                <w:noProof/>
              </w:rPr>
              <w:t>Introduction</w:t>
            </w:r>
            <w:r>
              <w:rPr>
                <w:noProof/>
                <w:webHidden/>
              </w:rPr>
              <w:tab/>
            </w:r>
            <w:r>
              <w:rPr>
                <w:noProof/>
                <w:webHidden/>
              </w:rPr>
              <w:fldChar w:fldCharType="begin"/>
            </w:r>
            <w:r>
              <w:rPr>
                <w:noProof/>
                <w:webHidden/>
              </w:rPr>
              <w:instrText xml:space="preserve"> PAGEREF _Toc150160224 \h </w:instrText>
            </w:r>
            <w:r>
              <w:rPr>
                <w:noProof/>
                <w:webHidden/>
              </w:rPr>
            </w:r>
            <w:r>
              <w:rPr>
                <w:noProof/>
                <w:webHidden/>
              </w:rPr>
              <w:fldChar w:fldCharType="separate"/>
            </w:r>
            <w:r>
              <w:rPr>
                <w:noProof/>
                <w:webHidden/>
              </w:rPr>
              <w:t>3</w:t>
            </w:r>
            <w:r>
              <w:rPr>
                <w:noProof/>
                <w:webHidden/>
              </w:rPr>
              <w:fldChar w:fldCharType="end"/>
            </w:r>
          </w:hyperlink>
        </w:p>
        <w:p w14:paraId="6E9C7197" w14:textId="7FB612DD" w:rsidR="00812F0D" w:rsidRDefault="00000000">
          <w:pPr>
            <w:pStyle w:val="TOC1"/>
            <w:tabs>
              <w:tab w:val="right" w:leader="dot" w:pos="9019"/>
            </w:tabs>
            <w:rPr>
              <w:noProof/>
            </w:rPr>
          </w:pPr>
          <w:hyperlink w:anchor="_Toc150160225" w:history="1">
            <w:r w:rsidR="00812F0D" w:rsidRPr="00670558">
              <w:rPr>
                <w:rStyle w:val="Hyperlink"/>
                <w:noProof/>
              </w:rPr>
              <w:t>Role of technology in appraising the performance of remote workers</w:t>
            </w:r>
            <w:r w:rsidR="00812F0D">
              <w:rPr>
                <w:noProof/>
                <w:webHidden/>
              </w:rPr>
              <w:tab/>
            </w:r>
            <w:r w:rsidR="00812F0D">
              <w:rPr>
                <w:noProof/>
                <w:webHidden/>
              </w:rPr>
              <w:fldChar w:fldCharType="begin"/>
            </w:r>
            <w:r w:rsidR="00812F0D">
              <w:rPr>
                <w:noProof/>
                <w:webHidden/>
              </w:rPr>
              <w:instrText xml:space="preserve"> PAGEREF _Toc150160225 \h </w:instrText>
            </w:r>
            <w:r w:rsidR="00812F0D">
              <w:rPr>
                <w:noProof/>
                <w:webHidden/>
              </w:rPr>
            </w:r>
            <w:r w:rsidR="00812F0D">
              <w:rPr>
                <w:noProof/>
                <w:webHidden/>
              </w:rPr>
              <w:fldChar w:fldCharType="separate"/>
            </w:r>
            <w:r w:rsidR="00812F0D">
              <w:rPr>
                <w:noProof/>
                <w:webHidden/>
              </w:rPr>
              <w:t>3</w:t>
            </w:r>
            <w:r w:rsidR="00812F0D">
              <w:rPr>
                <w:noProof/>
                <w:webHidden/>
              </w:rPr>
              <w:fldChar w:fldCharType="end"/>
            </w:r>
          </w:hyperlink>
        </w:p>
        <w:p w14:paraId="02BEB15C" w14:textId="36071BE1" w:rsidR="00812F0D" w:rsidRDefault="00000000">
          <w:pPr>
            <w:pStyle w:val="TOC1"/>
            <w:tabs>
              <w:tab w:val="right" w:leader="dot" w:pos="9019"/>
            </w:tabs>
            <w:rPr>
              <w:noProof/>
            </w:rPr>
          </w:pPr>
          <w:hyperlink w:anchor="_Toc150160226" w:history="1">
            <w:r w:rsidR="00812F0D" w:rsidRPr="00670558">
              <w:rPr>
                <w:rStyle w:val="Hyperlink"/>
                <w:noProof/>
              </w:rPr>
              <w:t>Evaluate four different performance measurement techniques</w:t>
            </w:r>
            <w:r w:rsidR="00812F0D">
              <w:rPr>
                <w:noProof/>
                <w:webHidden/>
              </w:rPr>
              <w:tab/>
            </w:r>
            <w:r w:rsidR="00812F0D">
              <w:rPr>
                <w:noProof/>
                <w:webHidden/>
              </w:rPr>
              <w:fldChar w:fldCharType="begin"/>
            </w:r>
            <w:r w:rsidR="00812F0D">
              <w:rPr>
                <w:noProof/>
                <w:webHidden/>
              </w:rPr>
              <w:instrText xml:space="preserve"> PAGEREF _Toc150160226 \h </w:instrText>
            </w:r>
            <w:r w:rsidR="00812F0D">
              <w:rPr>
                <w:noProof/>
                <w:webHidden/>
              </w:rPr>
            </w:r>
            <w:r w:rsidR="00812F0D">
              <w:rPr>
                <w:noProof/>
                <w:webHidden/>
              </w:rPr>
              <w:fldChar w:fldCharType="separate"/>
            </w:r>
            <w:r w:rsidR="00812F0D">
              <w:rPr>
                <w:noProof/>
                <w:webHidden/>
              </w:rPr>
              <w:t>4</w:t>
            </w:r>
            <w:r w:rsidR="00812F0D">
              <w:rPr>
                <w:noProof/>
                <w:webHidden/>
              </w:rPr>
              <w:fldChar w:fldCharType="end"/>
            </w:r>
          </w:hyperlink>
        </w:p>
        <w:p w14:paraId="68A6C181" w14:textId="19BA7FD5" w:rsidR="00812F0D" w:rsidRDefault="00000000">
          <w:pPr>
            <w:pStyle w:val="TOC1"/>
            <w:tabs>
              <w:tab w:val="right" w:leader="dot" w:pos="9019"/>
            </w:tabs>
            <w:rPr>
              <w:noProof/>
            </w:rPr>
          </w:pPr>
          <w:hyperlink w:anchor="_Toc150160227" w:history="1">
            <w:r w:rsidR="00812F0D" w:rsidRPr="00670558">
              <w:rPr>
                <w:rStyle w:val="Hyperlink"/>
                <w:noProof/>
              </w:rPr>
              <w:t>Evaluate four different performance appraisal tools</w:t>
            </w:r>
            <w:r w:rsidR="00812F0D">
              <w:rPr>
                <w:noProof/>
                <w:webHidden/>
              </w:rPr>
              <w:tab/>
            </w:r>
            <w:r w:rsidR="00812F0D">
              <w:rPr>
                <w:noProof/>
                <w:webHidden/>
              </w:rPr>
              <w:fldChar w:fldCharType="begin"/>
            </w:r>
            <w:r w:rsidR="00812F0D">
              <w:rPr>
                <w:noProof/>
                <w:webHidden/>
              </w:rPr>
              <w:instrText xml:space="preserve"> PAGEREF _Toc150160227 \h </w:instrText>
            </w:r>
            <w:r w:rsidR="00812F0D">
              <w:rPr>
                <w:noProof/>
                <w:webHidden/>
              </w:rPr>
            </w:r>
            <w:r w:rsidR="00812F0D">
              <w:rPr>
                <w:noProof/>
                <w:webHidden/>
              </w:rPr>
              <w:fldChar w:fldCharType="separate"/>
            </w:r>
            <w:r w:rsidR="00812F0D">
              <w:rPr>
                <w:noProof/>
                <w:webHidden/>
              </w:rPr>
              <w:t>6</w:t>
            </w:r>
            <w:r w:rsidR="00812F0D">
              <w:rPr>
                <w:noProof/>
                <w:webHidden/>
              </w:rPr>
              <w:fldChar w:fldCharType="end"/>
            </w:r>
          </w:hyperlink>
        </w:p>
        <w:p w14:paraId="605A5CB6" w14:textId="67C79987" w:rsidR="00812F0D" w:rsidRDefault="00000000">
          <w:pPr>
            <w:pStyle w:val="TOC1"/>
            <w:tabs>
              <w:tab w:val="right" w:leader="dot" w:pos="9019"/>
            </w:tabs>
            <w:rPr>
              <w:noProof/>
            </w:rPr>
          </w:pPr>
          <w:hyperlink w:anchor="_Toc150160228" w:history="1">
            <w:r w:rsidR="00812F0D" w:rsidRPr="00670558">
              <w:rPr>
                <w:rStyle w:val="Hyperlink"/>
                <w:noProof/>
              </w:rPr>
              <w:t>Conclusion</w:t>
            </w:r>
            <w:r w:rsidR="00812F0D">
              <w:rPr>
                <w:noProof/>
                <w:webHidden/>
              </w:rPr>
              <w:tab/>
            </w:r>
            <w:r w:rsidR="00812F0D">
              <w:rPr>
                <w:noProof/>
                <w:webHidden/>
              </w:rPr>
              <w:fldChar w:fldCharType="begin"/>
            </w:r>
            <w:r w:rsidR="00812F0D">
              <w:rPr>
                <w:noProof/>
                <w:webHidden/>
              </w:rPr>
              <w:instrText xml:space="preserve"> PAGEREF _Toc150160228 \h </w:instrText>
            </w:r>
            <w:r w:rsidR="00812F0D">
              <w:rPr>
                <w:noProof/>
                <w:webHidden/>
              </w:rPr>
            </w:r>
            <w:r w:rsidR="00812F0D">
              <w:rPr>
                <w:noProof/>
                <w:webHidden/>
              </w:rPr>
              <w:fldChar w:fldCharType="separate"/>
            </w:r>
            <w:r w:rsidR="00812F0D">
              <w:rPr>
                <w:noProof/>
                <w:webHidden/>
              </w:rPr>
              <w:t>7</w:t>
            </w:r>
            <w:r w:rsidR="00812F0D">
              <w:rPr>
                <w:noProof/>
                <w:webHidden/>
              </w:rPr>
              <w:fldChar w:fldCharType="end"/>
            </w:r>
          </w:hyperlink>
        </w:p>
        <w:p w14:paraId="05A3A3B6" w14:textId="6D8877CC" w:rsidR="00812F0D" w:rsidRDefault="00000000">
          <w:pPr>
            <w:pStyle w:val="TOC1"/>
            <w:tabs>
              <w:tab w:val="right" w:leader="dot" w:pos="9019"/>
            </w:tabs>
            <w:rPr>
              <w:noProof/>
            </w:rPr>
          </w:pPr>
          <w:hyperlink w:anchor="_Toc150160229" w:history="1">
            <w:r w:rsidR="00812F0D" w:rsidRPr="00670558">
              <w:rPr>
                <w:rStyle w:val="Hyperlink"/>
                <w:noProof/>
              </w:rPr>
              <w:t>References</w:t>
            </w:r>
            <w:r w:rsidR="00812F0D">
              <w:rPr>
                <w:noProof/>
                <w:webHidden/>
              </w:rPr>
              <w:tab/>
            </w:r>
            <w:r w:rsidR="00812F0D">
              <w:rPr>
                <w:noProof/>
                <w:webHidden/>
              </w:rPr>
              <w:fldChar w:fldCharType="begin"/>
            </w:r>
            <w:r w:rsidR="00812F0D">
              <w:rPr>
                <w:noProof/>
                <w:webHidden/>
              </w:rPr>
              <w:instrText xml:space="preserve"> PAGEREF _Toc150160229 \h </w:instrText>
            </w:r>
            <w:r w:rsidR="00812F0D">
              <w:rPr>
                <w:noProof/>
                <w:webHidden/>
              </w:rPr>
            </w:r>
            <w:r w:rsidR="00812F0D">
              <w:rPr>
                <w:noProof/>
                <w:webHidden/>
              </w:rPr>
              <w:fldChar w:fldCharType="separate"/>
            </w:r>
            <w:r w:rsidR="00812F0D">
              <w:rPr>
                <w:noProof/>
                <w:webHidden/>
              </w:rPr>
              <w:t>8</w:t>
            </w:r>
            <w:r w:rsidR="00812F0D">
              <w:rPr>
                <w:noProof/>
                <w:webHidden/>
              </w:rPr>
              <w:fldChar w:fldCharType="end"/>
            </w:r>
          </w:hyperlink>
        </w:p>
        <w:p w14:paraId="260CFD67" w14:textId="2768B3C3" w:rsidR="00812F0D" w:rsidRDefault="00812F0D">
          <w:r>
            <w:rPr>
              <w:b/>
              <w:bCs/>
              <w:noProof/>
            </w:rPr>
            <w:fldChar w:fldCharType="end"/>
          </w:r>
        </w:p>
      </w:sdtContent>
    </w:sdt>
    <w:p w14:paraId="5FFD7B2E" w14:textId="77777777" w:rsidR="00812F0D" w:rsidRDefault="00812F0D">
      <w:pPr>
        <w:rPr>
          <w:b/>
          <w:color w:val="000000" w:themeColor="text1"/>
          <w:szCs w:val="40"/>
        </w:rPr>
      </w:pPr>
      <w:r>
        <w:br w:type="page"/>
      </w:r>
    </w:p>
    <w:p w14:paraId="0000000E" w14:textId="7B49F9B4" w:rsidR="000E07C2" w:rsidRDefault="00000000">
      <w:pPr>
        <w:pStyle w:val="Heading1"/>
      </w:pPr>
      <w:bookmarkStart w:id="1" w:name="_Toc150160224"/>
      <w:r>
        <w:lastRenderedPageBreak/>
        <w:t>Introduction</w:t>
      </w:r>
      <w:bookmarkEnd w:id="1"/>
      <w:r>
        <w:t xml:space="preserve"> </w:t>
      </w:r>
    </w:p>
    <w:p w14:paraId="0000000F" w14:textId="77777777" w:rsidR="000E07C2" w:rsidRDefault="00000000">
      <w:pPr>
        <w:rPr>
          <w:b/>
        </w:rPr>
      </w:pPr>
      <w:r>
        <w:t>The purpose of the essay to demonstrates the technological importance among remote workers. The basement is going to analyse technological importance among remote workers. Technological importance creates benefits among remote workers. The technology increases ability as well as increases productivity among the workers. Workers use effective tools and software so that they become more productive (</w:t>
      </w:r>
      <w:proofErr w:type="spellStart"/>
      <w:r>
        <w:rPr>
          <w:color w:val="222222"/>
          <w:highlight w:val="white"/>
        </w:rPr>
        <w:t>Sahut</w:t>
      </w:r>
      <w:proofErr w:type="spellEnd"/>
      <w:r>
        <w:rPr>
          <w:color w:val="222222"/>
          <w:highlight w:val="white"/>
        </w:rPr>
        <w:t xml:space="preserve"> and </w:t>
      </w:r>
      <w:proofErr w:type="spellStart"/>
      <w:r>
        <w:rPr>
          <w:color w:val="222222"/>
          <w:highlight w:val="white"/>
        </w:rPr>
        <w:t>Lissillour</w:t>
      </w:r>
      <w:proofErr w:type="spellEnd"/>
      <w:r>
        <w:rPr>
          <w:color w:val="222222"/>
          <w:highlight w:val="white"/>
        </w:rPr>
        <w:t>, 2023)</w:t>
      </w:r>
      <w:r>
        <w:t xml:space="preserve">. The assessment is an analysis of the four different techniques of performance measurement for remote working forces. Management and measures of performance promote improvement. These procedures track the performance to increase productivity among the remote workers as well as help to improve the effective outcomes among the team members. The assessment is going to discuss several performance appraisal tools among the remote working forces. The procedures are evaluated to improve performance among the employees. The tool focuses on the enhancement of the experiences among the employees that help to revamp the performance of appraisal to retail development among the employees. </w:t>
      </w:r>
    </w:p>
    <w:p w14:paraId="00000010" w14:textId="77777777" w:rsidR="000E07C2" w:rsidRDefault="00000000">
      <w:pPr>
        <w:pStyle w:val="Heading1"/>
      </w:pPr>
      <w:bookmarkStart w:id="2" w:name="_heading=h.9mtn74yk747g" w:colFirst="0" w:colLast="0"/>
      <w:bookmarkStart w:id="3" w:name="_Toc150160225"/>
      <w:bookmarkEnd w:id="2"/>
      <w:r>
        <w:t>Role of technology in appraising the performance of remote workers</w:t>
      </w:r>
      <w:bookmarkEnd w:id="3"/>
    </w:p>
    <w:p w14:paraId="00000011" w14:textId="1B1B0BBE" w:rsidR="000E07C2" w:rsidRDefault="00000000">
      <w:pPr>
        <w:rPr>
          <w:color w:val="0E101A"/>
        </w:rPr>
      </w:pPr>
      <w:r>
        <w:rPr>
          <w:color w:val="0E101A"/>
        </w:rPr>
        <w:t>In the modern workplace, technology plays a crucial role in bringing transformation. It can be seen that the remote work environment has been growing. As per the data of Forbes, it can be seen that almost 12.7% of employees are working full time from home, and on the other hand 28.2% of employees prefer a hybrid mode of working (Haan, 2023). It can be seen that almost 4 in 10 working from home and travelling for the works it means they move with hybrid mode in the UK (</w:t>
      </w:r>
      <w:r>
        <w:t>King and Hendry, 2023)</w:t>
      </w:r>
      <w:r>
        <w:rPr>
          <w:b/>
          <w:color w:val="0E101A"/>
        </w:rPr>
        <w:t>.</w:t>
      </w:r>
      <w:r>
        <w:rPr>
          <w:color w:val="0E101A"/>
        </w:rPr>
        <w:t xml:space="preserve"> The rapid shift in the work dynamic leads to increased use of technology. Along with this, it is also very beneficial to increase productivity as well as get innovative solutions through the implementation of technology. Technology plays a considerable role in the performance appraisal of the remote worker. It is very effective to bridge the distance connection with their managers. Through the implementation of numerous tools, it has become easy to gather the data and then </w:t>
      </w:r>
      <w:r w:rsidR="006E4BEF">
        <w:rPr>
          <w:color w:val="0E101A"/>
        </w:rPr>
        <w:t>analyse</w:t>
      </w:r>
      <w:r>
        <w:rPr>
          <w:color w:val="0E101A"/>
        </w:rPr>
        <w:t xml:space="preserve"> it about the work quality as well as productivity in the work. </w:t>
      </w:r>
    </w:p>
    <w:p w14:paraId="00000012" w14:textId="77777777" w:rsidR="000E07C2" w:rsidRDefault="00000000">
      <w:pPr>
        <w:rPr>
          <w:color w:val="0E101A"/>
        </w:rPr>
      </w:pPr>
      <w:r>
        <w:rPr>
          <w:color w:val="0E101A"/>
        </w:rPr>
        <w:t>In the modern work environment, technology assists in performance appraisal by providing a data-driven as well as transparent approach to evaluate the remote work output. Through the help of data collection, the technology can capture a wide range of data about the activities of the remote worker (</w:t>
      </w:r>
      <w:proofErr w:type="spellStart"/>
      <w:r>
        <w:rPr>
          <w:color w:val="0E101A"/>
        </w:rPr>
        <w:t>Sahut</w:t>
      </w:r>
      <w:proofErr w:type="spellEnd"/>
      <w:r>
        <w:rPr>
          <w:color w:val="0E101A"/>
        </w:rPr>
        <w:t xml:space="preserve"> and </w:t>
      </w:r>
      <w:proofErr w:type="spellStart"/>
      <w:r>
        <w:rPr>
          <w:color w:val="0E101A"/>
        </w:rPr>
        <w:t>Lissillour</w:t>
      </w:r>
      <w:proofErr w:type="spellEnd"/>
      <w:r>
        <w:rPr>
          <w:color w:val="0E101A"/>
        </w:rPr>
        <w:t xml:space="preserve">, 2023). Technology can collect data on how long remote workers are working. It can be seen that the technology talks based on facts rather than </w:t>
      </w:r>
      <w:r>
        <w:rPr>
          <w:color w:val="0E101A"/>
        </w:rPr>
        <w:lastRenderedPageBreak/>
        <w:t xml:space="preserve">opinions so that it becomes easy to evaluate the performance. In the performance appraisal, the manager can check real-time work and keep an eye on it and the managers are also able to track the record of the employee about its performance. Some special programs are there in the technology and on this not it is easy to track the projects and tasks of the remote workers. </w:t>
      </w:r>
    </w:p>
    <w:p w14:paraId="00000013" w14:textId="77777777" w:rsidR="000E07C2" w:rsidRDefault="00000000">
      <w:pPr>
        <w:rPr>
          <w:color w:val="0E101A"/>
        </w:rPr>
      </w:pPr>
      <w:r>
        <w:rPr>
          <w:color w:val="0E101A"/>
        </w:rPr>
        <w:t xml:space="preserve">Technology provides many benefits in the performance evaluation and this is very efficient for the manager in many contexts. Through the implementation of technology, the manager can treat everyone fairly in the workplace, which also leads to saving time (Kral </w:t>
      </w:r>
      <w:r>
        <w:rPr>
          <w:i/>
          <w:color w:val="0E101A"/>
        </w:rPr>
        <w:t xml:space="preserve">et al. </w:t>
      </w:r>
      <w:r>
        <w:rPr>
          <w:color w:val="0E101A"/>
        </w:rPr>
        <w:t xml:space="preserve">2022). Remote workers are also able to improve their performance and they can make smart decisions also. But on the other hand, some limitations resonate with the technology in the performance evaluation. Sometimes technology can not cover everything like difficulties of the task because it can consume time in the completion or lack of problem-solving skills also create issues. Technology is far from the personal touch and in this way, it is very difficult for the technology to create friendly relationships with the employees and comprehend the individual challenges. So that these things create issues in the performance evaluation. </w:t>
      </w:r>
    </w:p>
    <w:p w14:paraId="00000014" w14:textId="77777777" w:rsidR="000E07C2" w:rsidRDefault="00000000">
      <w:pPr>
        <w:pStyle w:val="Heading1"/>
      </w:pPr>
      <w:bookmarkStart w:id="4" w:name="_heading=h.vbnpxatafzap" w:colFirst="0" w:colLast="0"/>
      <w:bookmarkStart w:id="5" w:name="_Toc150160226"/>
      <w:bookmarkEnd w:id="4"/>
      <w:r>
        <w:t>Evaluate four different performance measurement techniques</w:t>
      </w:r>
      <w:bookmarkEnd w:id="5"/>
    </w:p>
    <w:p w14:paraId="00000015" w14:textId="0AA1378C" w:rsidR="000E07C2" w:rsidRDefault="00000000">
      <w:pPr>
        <w:rPr>
          <w:color w:val="0E101A"/>
        </w:rPr>
      </w:pPr>
      <w:r>
        <w:rPr>
          <w:color w:val="0E101A"/>
        </w:rPr>
        <w:t xml:space="preserve">In remote work </w:t>
      </w:r>
      <w:r>
        <w:rPr>
          <w:b/>
          <w:color w:val="0E101A"/>
        </w:rPr>
        <w:t xml:space="preserve">performance management techniques </w:t>
      </w:r>
      <w:r>
        <w:rPr>
          <w:color w:val="0E101A"/>
        </w:rPr>
        <w:t xml:space="preserve">are very crucial because they aid in knowing how the workers are performing in their jobs regardless of the working location. Through the help of different techniques, it will be easy to judge their performance and </w:t>
      </w:r>
      <w:r w:rsidR="006E4BEF">
        <w:rPr>
          <w:color w:val="0E101A"/>
        </w:rPr>
        <w:t>analyse</w:t>
      </w:r>
      <w:r>
        <w:rPr>
          <w:color w:val="0E101A"/>
        </w:rPr>
        <w:t xml:space="preserve"> their contribution to the work. This is going to demonstrate four performance management techniques that will help to evaluate the performance of the employees. </w:t>
      </w:r>
    </w:p>
    <w:p w14:paraId="00000016" w14:textId="5B86683A" w:rsidR="000E07C2" w:rsidRDefault="00000000">
      <w:pPr>
        <w:rPr>
          <w:color w:val="0E101A"/>
        </w:rPr>
      </w:pPr>
      <w:r>
        <w:rPr>
          <w:b/>
          <w:color w:val="0E101A"/>
        </w:rPr>
        <w:t>Key Performance Indicator</w:t>
      </w:r>
      <w:r>
        <w:rPr>
          <w:color w:val="0E101A"/>
        </w:rPr>
        <w:t xml:space="preserve"> is one of the great tools for measurement of the performance of the employees. It includes some particular matrix that demonstrates how the employee performs in their job roles. For example, if the job role of the employee is to respond to customer </w:t>
      </w:r>
      <w:r w:rsidR="006E4BEF">
        <w:rPr>
          <w:color w:val="0E101A"/>
        </w:rPr>
        <w:t>inquiries,</w:t>
      </w:r>
      <w:r>
        <w:rPr>
          <w:color w:val="0E101A"/>
        </w:rPr>
        <w:t xml:space="preserve"> then in this case the KPI will record the average reply to the customers (</w:t>
      </w:r>
      <w:proofErr w:type="spellStart"/>
      <w:r>
        <w:rPr>
          <w:color w:val="0E101A"/>
        </w:rPr>
        <w:t>Dipura</w:t>
      </w:r>
      <w:proofErr w:type="spellEnd"/>
      <w:r>
        <w:rPr>
          <w:color w:val="0E101A"/>
        </w:rPr>
        <w:t xml:space="preserve"> and </w:t>
      </w:r>
      <w:proofErr w:type="spellStart"/>
      <w:r>
        <w:rPr>
          <w:color w:val="0E101A"/>
        </w:rPr>
        <w:t>Soediantono</w:t>
      </w:r>
      <w:proofErr w:type="spellEnd"/>
      <w:r>
        <w:rPr>
          <w:color w:val="0E101A"/>
        </w:rPr>
        <w:t>, 2022</w:t>
      </w:r>
      <w:r w:rsidR="006E4BEF">
        <w:rPr>
          <w:color w:val="0E101A"/>
        </w:rPr>
        <w:t>).</w:t>
      </w:r>
      <w:r>
        <w:rPr>
          <w:color w:val="0E101A"/>
        </w:rPr>
        <w:t xml:space="preserve"> This is essential for remote workers because it aids in measuring the work progress of the employee. Through the help of KPI, it becomes easy for the manager to understand whether the employee has been meeting expectations or not. </w:t>
      </w:r>
      <w:r>
        <w:rPr>
          <w:b/>
          <w:color w:val="0E101A"/>
        </w:rPr>
        <w:t>Output-based metrics</w:t>
      </w:r>
      <w:r>
        <w:rPr>
          <w:color w:val="0E101A"/>
        </w:rPr>
        <w:t xml:space="preserve"> concentrate on the achievements or results of remote workers. They assess both the volume and excellence of their work. As an illustration, if a remote worker's role involves content generation, output-oriented metrics might encompass the number of articles produced and the </w:t>
      </w:r>
      <w:proofErr w:type="spellStart"/>
      <w:r>
        <w:rPr>
          <w:color w:val="0E101A"/>
        </w:rPr>
        <w:t>caliber</w:t>
      </w:r>
      <w:proofErr w:type="spellEnd"/>
      <w:r>
        <w:rPr>
          <w:color w:val="0E101A"/>
        </w:rPr>
        <w:t xml:space="preserve"> of those articles. These metrics aid in evaluating productivity </w:t>
      </w:r>
      <w:r>
        <w:rPr>
          <w:color w:val="0E101A"/>
        </w:rPr>
        <w:lastRenderedPageBreak/>
        <w:t>and the quality of work provided (</w:t>
      </w:r>
      <w:proofErr w:type="spellStart"/>
      <w:r>
        <w:rPr>
          <w:color w:val="0E101A"/>
        </w:rPr>
        <w:t>Fidkowski</w:t>
      </w:r>
      <w:proofErr w:type="spellEnd"/>
      <w:r>
        <w:rPr>
          <w:color w:val="0E101A"/>
        </w:rPr>
        <w:t xml:space="preserve">, 2023). This is very effective in providing the qualifying result of the employee's performance. </w:t>
      </w:r>
    </w:p>
    <w:p w14:paraId="00000017" w14:textId="77777777" w:rsidR="000E07C2" w:rsidRDefault="00000000">
      <w:r>
        <w:t>The</w:t>
      </w:r>
      <w:r>
        <w:rPr>
          <w:b/>
        </w:rPr>
        <w:t xml:space="preserve"> balanced scorecard</w:t>
      </w:r>
      <w:r>
        <w:t xml:space="preserve"> is like a detailed report card for distant employees. It considers different items of their productivity, showing a more compressive view in comparison to single metrics such as KPIs. It mainly holds different aspects like financial productivity, customer care, internal procedure, and workers' development. This method is important for distant employees because it develops a well-rounded system for production analysis. Moreover, the execution of the balanced scorecard may be more critical and consume more time in comparison to applying the single KPIs or other metrics. </w:t>
      </w:r>
    </w:p>
    <w:p w14:paraId="00000018" w14:textId="5535D626" w:rsidR="000E07C2" w:rsidRDefault="00000000">
      <w:r>
        <w:rPr>
          <w:b/>
        </w:rPr>
        <w:t xml:space="preserve">360-degree feedback </w:t>
      </w:r>
      <w:r>
        <w:t xml:space="preserve">collects contributions from all aspects of </w:t>
      </w:r>
      <w:proofErr w:type="spellStart"/>
      <w:r>
        <w:t>Ditanat</w:t>
      </w:r>
      <w:proofErr w:type="spellEnd"/>
      <w:r>
        <w:t xml:space="preserve"> employees' professional lives, not only from their senior manager. It considers feedback from subordinates, co-workers, and even proper self-analysis. This method gives a wide range and is more inclined to the balanced perspective on productivity. This aids employees to recognize their solid positive aspects and perspectives for development, providing a culture of consistent productivity and growth. While considering the 360- degree feedback is important for interpreting a distant worker's productivity from different aspects and angles, it can be beyond the reach of </w:t>
      </w:r>
      <w:r w:rsidR="006E4BEF">
        <w:t>gather</w:t>
      </w:r>
      <w:r>
        <w:t xml:space="preserve"> and may not always be fully objective. </w:t>
      </w:r>
    </w:p>
    <w:p w14:paraId="00000019" w14:textId="77777777" w:rsidR="000E07C2" w:rsidRDefault="00000000">
      <w:r>
        <w:t xml:space="preserve">KPIs are efficient for remote employees because they give particular targets, helping them focus on what is most significant. Work-from-home employees can monitor their development and make sure they are linked with the company’s purpose.  These metrics are efficient for analysis performance and quality of work, making them valuable for productivity analysis. Moreover, they may not secure the full breadth of distant work jobs.  The balance scored is efficient as it designed different aspects of productivity. It provides a detailed view but may need more available resources to execute and manage. Through the help of a 360 degree view the manager can see the overall performance of the remote workers. </w:t>
      </w:r>
    </w:p>
    <w:p w14:paraId="0000001A" w14:textId="77777777" w:rsidR="000E07C2" w:rsidRDefault="00000000">
      <w:pPr>
        <w:rPr>
          <w:color w:val="0E101A"/>
        </w:rPr>
      </w:pPr>
      <w:r>
        <w:rPr>
          <w:color w:val="0E101A"/>
        </w:rPr>
        <w:t>The performance appraisal tool secures online performance as well as is designed to support staff and supervisors in meaningful ways to perform a management process. Performance appraisal is a review process that is used through the business that leads to the betterment of the business performances among the employees (</w:t>
      </w:r>
      <w:r>
        <w:rPr>
          <w:color w:val="222222"/>
          <w:highlight w:val="white"/>
        </w:rPr>
        <w:t>Er and Ismail, 2023)</w:t>
      </w:r>
      <w:r>
        <w:rPr>
          <w:color w:val="0E101A"/>
        </w:rPr>
        <w:t xml:space="preserve">. Performance appraisal helps to identify strengths among the employees as well as it helps to determine areas to improve. The performance appraisal works to improve the performances of remote workers in different ways. There are different types of performance appraisal tools used to measure the performance of remote work. </w:t>
      </w:r>
    </w:p>
    <w:p w14:paraId="0000001B" w14:textId="77777777" w:rsidR="000E07C2" w:rsidRDefault="00000000">
      <w:pPr>
        <w:pStyle w:val="Heading1"/>
      </w:pPr>
      <w:bookmarkStart w:id="6" w:name="_heading=h.ikjxrtoi417y" w:colFirst="0" w:colLast="0"/>
      <w:bookmarkStart w:id="7" w:name="_Toc150160227"/>
      <w:bookmarkEnd w:id="6"/>
      <w:r>
        <w:lastRenderedPageBreak/>
        <w:t>Evaluate four different performance appraisal tools</w:t>
      </w:r>
      <w:bookmarkEnd w:id="7"/>
    </w:p>
    <w:p w14:paraId="0000001C" w14:textId="77777777" w:rsidR="000E07C2" w:rsidRDefault="00000000">
      <w:pPr>
        <w:rPr>
          <w:color w:val="0E101A"/>
        </w:rPr>
      </w:pPr>
      <w:r>
        <w:rPr>
          <w:b/>
          <w:color w:val="0E101A"/>
        </w:rPr>
        <w:t>Management by Objectives (MBO)</w:t>
      </w:r>
      <w:r>
        <w:rPr>
          <w:color w:val="0E101A"/>
        </w:rPr>
        <w:t xml:space="preserve"> is an effective tool that helps to measure performances among remote workers. The process is used to determine specific performance goals among the employee base as well and they can develop the plan to reach the organisational goals in flexible ways. The tool is designed to align with the objective of the working process throughout the company as well and it helps to boost participation and commitment among the employee base (</w:t>
      </w:r>
      <w:r>
        <w:rPr>
          <w:color w:val="222222"/>
          <w:highlight w:val="white"/>
        </w:rPr>
        <w:t>CFI, 2023)</w:t>
      </w:r>
      <w:r>
        <w:rPr>
          <w:color w:val="0E101A"/>
        </w:rPr>
        <w:t xml:space="preserve">. Performance appraisal tool focuses on the improvement of the performance levels among the employee based for that reason organisation creates the frequent communication among the management and working. Management of the organisation objectifies commitment among the employees. The procedure ensures the alignment of the individual objectives to reach the goals of the business. The framework created a review of the performances for that reason managers became concerned about the issues that the employees were facing during the working process. Management objectifies the feedback of the employees that tracks the employees as well as takes actions to correct their performances. </w:t>
      </w:r>
    </w:p>
    <w:p w14:paraId="0000001D" w14:textId="77777777" w:rsidR="000E07C2" w:rsidRDefault="00000000">
      <w:pPr>
        <w:rPr>
          <w:color w:val="0E101A"/>
        </w:rPr>
      </w:pPr>
      <w:r>
        <w:rPr>
          <w:b/>
          <w:color w:val="0E101A"/>
        </w:rPr>
        <w:t>The behaviour Anchor rating scale (BARS)</w:t>
      </w:r>
      <w:r>
        <w:rPr>
          <w:color w:val="0E101A"/>
        </w:rPr>
        <w:t xml:space="preserve"> is used as a tool designed to promote the benefit of the qualitative and qualitative appraisal process of the employees. A performance appraisal tool uses a mechanism that is a combination of the benefit of critical incidents, narratives and quantified rating. A performance appraisal tool shows a scale as well as evaluates the performances of the new employees and trainees through well-defined behavioural patterns (</w:t>
      </w:r>
      <w:proofErr w:type="spellStart"/>
      <w:r>
        <w:rPr>
          <w:color w:val="222222"/>
          <w:highlight w:val="white"/>
        </w:rPr>
        <w:t>TalentLyft</w:t>
      </w:r>
      <w:proofErr w:type="spellEnd"/>
      <w:r>
        <w:rPr>
          <w:color w:val="222222"/>
          <w:highlight w:val="white"/>
        </w:rPr>
        <w:t>, 2023)</w:t>
      </w:r>
      <w:r>
        <w:rPr>
          <w:color w:val="0E101A"/>
        </w:rPr>
        <w:t xml:space="preserve">. This pattern is used to predict the performance capacity of the employee. The behavioural anchor became an important component in the interview process for the analysis of performance levels. Performance appraisal tool evaluates the performance of the employees regarding specific behaviour through the implementing numerical scale and scale evaluates the behaviour of the employees with the performance and role of the task. The performance appraisal tool analyses the scale of the performance management that is used in the different positions to point out the scale with the other employees. </w:t>
      </w:r>
    </w:p>
    <w:p w14:paraId="0000001E" w14:textId="6DC5E70B" w:rsidR="000E07C2" w:rsidRDefault="00000000">
      <w:pPr>
        <w:rPr>
          <w:color w:val="0E101A"/>
        </w:rPr>
      </w:pPr>
      <w:r>
        <w:rPr>
          <w:b/>
          <w:color w:val="0E101A"/>
        </w:rPr>
        <w:t>The human resource accounting method</w:t>
      </w:r>
      <w:r>
        <w:rPr>
          <w:color w:val="0E101A"/>
        </w:rPr>
        <w:t xml:space="preserve"> is another performance appraisal tool to report and identify about performance of the human resources within the organisation. The process impacts conventional accounting practices and tools and focuses on different objectives such as interpersonal skills, unit-wise service value, working quality etc among the remote working forces (</w:t>
      </w:r>
      <w:r>
        <w:rPr>
          <w:color w:val="222222"/>
          <w:highlight w:val="white"/>
        </w:rPr>
        <w:t>Saxena, 2023)</w:t>
      </w:r>
      <w:r>
        <w:rPr>
          <w:color w:val="0E101A"/>
        </w:rPr>
        <w:t xml:space="preserve">. This tool measures retaining cost, overhead cost hiring values and different expenses of the working forces. This process creates comparison among the employees that leads to the benefit among the employees of the organisation. The process is </w:t>
      </w:r>
      <w:r>
        <w:rPr>
          <w:color w:val="0E101A"/>
        </w:rPr>
        <w:lastRenderedPageBreak/>
        <w:t xml:space="preserve">considered a traditional sector as well as an appraisal method which suits the organisational skills. This method promotes better ways of benefit among the employees of the organisation. This procedure combines with different motivated steps as a result employees become upskilled. </w:t>
      </w:r>
      <w:r w:rsidR="006E4BEF">
        <w:rPr>
          <w:color w:val="0E101A"/>
        </w:rPr>
        <w:t>Therefore,</w:t>
      </w:r>
      <w:r>
        <w:rPr>
          <w:color w:val="0E101A"/>
        </w:rPr>
        <w:t xml:space="preserve"> the tool is beneficial to develop better relationships among the employer and employees. </w:t>
      </w:r>
    </w:p>
    <w:p w14:paraId="0000001F" w14:textId="1E585014" w:rsidR="000E07C2" w:rsidRDefault="00000000">
      <w:r>
        <w:rPr>
          <w:b/>
          <w:color w:val="0E101A"/>
        </w:rPr>
        <w:t>360-degree feedback appraisal method</w:t>
      </w:r>
      <w:r>
        <w:rPr>
          <w:color w:val="0E101A"/>
        </w:rPr>
        <w:t xml:space="preserve"> helps create the review of performance levels among the employees. The process gathers anonymous views regarding colleges and directs reports and managers. This measure creates constructive feedback among the employees. This performance appraisal tool helps to promote effective and collaborative communication among remote employees. These methods access performance levels through feedback from the subordinates, superiors, external and internal stakeholders and peer managers of the company (</w:t>
      </w:r>
      <w:r>
        <w:rPr>
          <w:color w:val="222222"/>
          <w:highlight w:val="white"/>
        </w:rPr>
        <w:t>Rolfe, 2017)</w:t>
      </w:r>
      <w:r>
        <w:rPr>
          <w:color w:val="0E101A"/>
        </w:rPr>
        <w:t xml:space="preserve">. This tool could only deliver the </w:t>
      </w:r>
      <w:r w:rsidR="006E4BEF">
        <w:rPr>
          <w:color w:val="0E101A"/>
        </w:rPr>
        <w:t>biased</w:t>
      </w:r>
      <w:r>
        <w:rPr>
          <w:color w:val="0E101A"/>
        </w:rPr>
        <w:t xml:space="preserve"> review for that organisation and can find future leaders of the organisation. The apparel process focuses on the feedback method that can be used for the additional source in the appraisal process. Employees can promote self-appraisal through the use of the tool. </w:t>
      </w:r>
      <w:r w:rsidR="006E4BEF">
        <w:rPr>
          <w:color w:val="0E101A"/>
        </w:rPr>
        <w:t>Therefore,</w:t>
      </w:r>
      <w:r>
        <w:rPr>
          <w:color w:val="0E101A"/>
        </w:rPr>
        <w:t xml:space="preserve"> workers can evaluate their actions and behaviour on goals as per competencies. </w:t>
      </w:r>
    </w:p>
    <w:p w14:paraId="00000020" w14:textId="77777777" w:rsidR="000E07C2" w:rsidRDefault="00000000">
      <w:pPr>
        <w:pStyle w:val="Heading1"/>
      </w:pPr>
      <w:bookmarkStart w:id="8" w:name="_heading=h.65tyfeq0jijv" w:colFirst="0" w:colLast="0"/>
      <w:bookmarkStart w:id="9" w:name="_Toc150160228"/>
      <w:bookmarkEnd w:id="8"/>
      <w:r>
        <w:t>Conclusion</w:t>
      </w:r>
      <w:bookmarkEnd w:id="9"/>
      <w:r>
        <w:t xml:space="preserve"> </w:t>
      </w:r>
    </w:p>
    <w:p w14:paraId="00000021" w14:textId="1AB3A76F" w:rsidR="000E07C2" w:rsidRDefault="00000000">
      <w:r>
        <w:t xml:space="preserve">It concludes that the essay evaluates technological improvement's impacts on the performances of remote workers. After the pandemic situation, organisations have shifted their working process towards remote places. Where technological improvement contributes to collaboration among the workers. </w:t>
      </w:r>
      <w:r w:rsidR="006E4BEF">
        <w:t>Thus,</w:t>
      </w:r>
      <w:r>
        <w:t xml:space="preserve"> technological improvement helps to eliminate biases as well as ensure effectiveness in the organisational operational process. This evaluation is based on the objectives rather than the subject's judgement. The accurate assessment of employees' performances lead to better decisions regarding promotion bonus and needs for training. The assessment measures four different performance management among the remote workers that lead to the evaluated progress and management of the performances through the implementation of different proactive methods. Organisations track production capability through the techniques. The assessment assesses the different performance appraisals that improve through the effective performance management process. This toll retail higher levels often potential employees as well as it keeps employees productive, engaged and motivated. </w:t>
      </w:r>
    </w:p>
    <w:p w14:paraId="00000022" w14:textId="77777777" w:rsidR="000E07C2" w:rsidRDefault="000E07C2"/>
    <w:p w14:paraId="00000023" w14:textId="77777777" w:rsidR="000E07C2" w:rsidRDefault="00000000">
      <w:r>
        <w:br w:type="page"/>
      </w:r>
    </w:p>
    <w:p w14:paraId="00000024" w14:textId="77777777" w:rsidR="000E07C2" w:rsidRDefault="00000000">
      <w:pPr>
        <w:pStyle w:val="Heading1"/>
      </w:pPr>
      <w:bookmarkStart w:id="10" w:name="_heading=h.lucmcdwl04s" w:colFirst="0" w:colLast="0"/>
      <w:bookmarkStart w:id="11" w:name="_Toc150160229"/>
      <w:bookmarkEnd w:id="10"/>
      <w:r>
        <w:lastRenderedPageBreak/>
        <w:t>References</w:t>
      </w:r>
      <w:bookmarkEnd w:id="11"/>
    </w:p>
    <w:p w14:paraId="00000025" w14:textId="77777777" w:rsidR="000E07C2" w:rsidRDefault="00000000">
      <w:pPr>
        <w:spacing w:before="240" w:after="240"/>
      </w:pPr>
      <w:r>
        <w:t xml:space="preserve">Amer, F., Hammoud, S., </w:t>
      </w:r>
      <w:proofErr w:type="spellStart"/>
      <w:r>
        <w:t>Khatatbeh</w:t>
      </w:r>
      <w:proofErr w:type="spellEnd"/>
      <w:r>
        <w:t>, H., Lohner, S., Boncz, I. and Endrei, D., (2022). The deployment of balanced scorecard in health care organizations: is it beneficial? A systematic review. BMC health services research, 22(1), pp.1-14.</w:t>
      </w:r>
      <w:hyperlink r:id="rId9">
        <w:r>
          <w:rPr>
            <w:color w:val="1155CC"/>
            <w:u w:val="single"/>
          </w:rPr>
          <w:t>https://bmchealthservres.biomedcentral.com/articles/10.1186/s12913-021-07452-7</w:t>
        </w:r>
      </w:hyperlink>
      <w:r>
        <w:t xml:space="preserve"> </w:t>
      </w:r>
    </w:p>
    <w:p w14:paraId="00000026" w14:textId="77777777" w:rsidR="000E07C2" w:rsidRDefault="00000000">
      <w:pPr>
        <w:spacing w:before="240" w:after="240"/>
        <w:rPr>
          <w:color w:val="222222"/>
          <w:highlight w:val="white"/>
        </w:rPr>
      </w:pPr>
      <w:r>
        <w:rPr>
          <w:color w:val="222222"/>
          <w:highlight w:val="white"/>
        </w:rPr>
        <w:t xml:space="preserve">CFI (2023) </w:t>
      </w:r>
      <w:r>
        <w:rPr>
          <w:i/>
          <w:color w:val="222222"/>
          <w:highlight w:val="white"/>
        </w:rPr>
        <w:t>Management by objectives (MBO)</w:t>
      </w:r>
      <w:r>
        <w:rPr>
          <w:color w:val="222222"/>
          <w:highlight w:val="white"/>
        </w:rPr>
        <w:t xml:space="preserve">, </w:t>
      </w:r>
      <w:r>
        <w:rPr>
          <w:i/>
          <w:color w:val="222222"/>
          <w:highlight w:val="white"/>
        </w:rPr>
        <w:t>Corporate Finance Institute</w:t>
      </w:r>
      <w:r>
        <w:rPr>
          <w:color w:val="222222"/>
          <w:highlight w:val="white"/>
        </w:rPr>
        <w:t xml:space="preserve">. Available at: https://corporatefinanceinstitute.com/resources/management/management-by-objectives-mbo/ (Accessed: 04 November 2023). </w:t>
      </w:r>
    </w:p>
    <w:p w14:paraId="00000027" w14:textId="77777777" w:rsidR="000E07C2" w:rsidRDefault="00000000">
      <w:pPr>
        <w:spacing w:before="240" w:after="240"/>
      </w:pPr>
      <w:proofErr w:type="spellStart"/>
      <w:r>
        <w:t>Dipura</w:t>
      </w:r>
      <w:proofErr w:type="spellEnd"/>
      <w:r>
        <w:t xml:space="preserve">, S. and </w:t>
      </w:r>
      <w:proofErr w:type="spellStart"/>
      <w:r>
        <w:t>Soediantono</w:t>
      </w:r>
      <w:proofErr w:type="spellEnd"/>
      <w:r>
        <w:t xml:space="preserve">, D., (2022). Benefits of Key Performance Indicators (KPI) and Proposed Applications in the </w:t>
      </w:r>
      <w:proofErr w:type="spellStart"/>
      <w:r>
        <w:t>Defense</w:t>
      </w:r>
      <w:proofErr w:type="spellEnd"/>
      <w:r>
        <w:t xml:space="preserve"> Industry: A Literature Review. International Journal of Social and Management Studies, 3(4), pp.23-33.</w:t>
      </w:r>
      <w:hyperlink r:id="rId10">
        <w:r>
          <w:rPr>
            <w:color w:val="1155CC"/>
            <w:u w:val="single"/>
          </w:rPr>
          <w:t>https://ijosmas.org/index.php/ijosmas/article/download/146/114</w:t>
        </w:r>
      </w:hyperlink>
      <w:r>
        <w:t xml:space="preserve"> </w:t>
      </w:r>
    </w:p>
    <w:p w14:paraId="00000028" w14:textId="77777777" w:rsidR="000E07C2" w:rsidRDefault="00000000">
      <w:r>
        <w:rPr>
          <w:color w:val="222222"/>
          <w:highlight w:val="white"/>
        </w:rPr>
        <w:t xml:space="preserve">Er, E.Y. and Ismail, F., (2023). Performance Appraisal During Pandemic Covid-19: How to Evaluate Remote Worker Productivity. </w:t>
      </w:r>
      <w:r>
        <w:rPr>
          <w:i/>
          <w:color w:val="222222"/>
          <w:highlight w:val="white"/>
        </w:rPr>
        <w:t>Journal of Social Transformation and Regional Development</w:t>
      </w:r>
      <w:r>
        <w:rPr>
          <w:color w:val="222222"/>
          <w:highlight w:val="white"/>
        </w:rPr>
        <w:t xml:space="preserve">, </w:t>
      </w:r>
      <w:r>
        <w:rPr>
          <w:i/>
          <w:color w:val="222222"/>
          <w:highlight w:val="white"/>
        </w:rPr>
        <w:t>5</w:t>
      </w:r>
      <w:r>
        <w:rPr>
          <w:color w:val="222222"/>
          <w:highlight w:val="white"/>
        </w:rPr>
        <w:t>(1), pp.10-14.</w:t>
      </w:r>
      <w:hyperlink r:id="rId11">
        <w:r>
          <w:rPr>
            <w:color w:val="1155CC"/>
            <w:highlight w:val="white"/>
            <w:u w:val="single"/>
          </w:rPr>
          <w:t>https://publisher.uthm.edu.my/ojs/index.php/jstard/article/view/7809</w:t>
        </w:r>
      </w:hyperlink>
      <w:r>
        <w:rPr>
          <w:color w:val="222222"/>
          <w:highlight w:val="white"/>
        </w:rPr>
        <w:t xml:space="preserve"> </w:t>
      </w:r>
    </w:p>
    <w:p w14:paraId="00000029" w14:textId="77777777" w:rsidR="000E07C2" w:rsidRDefault="00000000">
      <w:pPr>
        <w:spacing w:before="240" w:after="240"/>
      </w:pPr>
      <w:proofErr w:type="spellStart"/>
      <w:r>
        <w:t>Fidkowski</w:t>
      </w:r>
      <w:proofErr w:type="spellEnd"/>
      <w:r>
        <w:t>, K., (2023). Output-Based Mesh Optimization Using Metric-Conforming Node Movement. In AIAA SCITECH 2023 Forum (p. 2369).</w:t>
      </w:r>
      <w:hyperlink r:id="rId12">
        <w:r>
          <w:rPr>
            <w:color w:val="1155CC"/>
            <w:u w:val="single"/>
          </w:rPr>
          <w:t>http://www-personal.umich.edu/~kfid/MYPUBS/Fidkowski_2023_NodeOptimMOESS.pdf</w:t>
        </w:r>
      </w:hyperlink>
      <w:r>
        <w:t xml:space="preserve"> </w:t>
      </w:r>
    </w:p>
    <w:p w14:paraId="0000002A" w14:textId="77777777" w:rsidR="000E07C2" w:rsidRDefault="00000000">
      <w:pPr>
        <w:spacing w:before="240" w:after="240"/>
      </w:pPr>
      <w:r>
        <w:t xml:space="preserve">Haan, K. (2023) </w:t>
      </w:r>
      <w:r>
        <w:rPr>
          <w:i/>
        </w:rPr>
        <w:t>Remote work statistics and trends in 2023</w:t>
      </w:r>
      <w:r>
        <w:t xml:space="preserve">, </w:t>
      </w:r>
      <w:r>
        <w:rPr>
          <w:i/>
        </w:rPr>
        <w:t>Forbes</w:t>
      </w:r>
      <w:r>
        <w:t xml:space="preserve">. Available at: https://www.forbes.com/advisor/business/remote-work-statistics/#:~:text=As%20of%202023%2C%2012.7%25%20of,to%20a%20hybrid%20work%20model (Accessed: 04 November 2023). </w:t>
      </w:r>
    </w:p>
    <w:p w14:paraId="0000002B" w14:textId="77777777" w:rsidR="000E07C2" w:rsidRDefault="00000000">
      <w:r>
        <w:t xml:space="preserve">King, S. and Hendry, C. (2023) Characteristics of homeworkers, Great Britain: September 2022 to January 2023, Characteristics of homeworkers, Great Britain - Office for National Statistics. Available at: https://www.ons.gov.uk/employmentandlabourmarket/peopleinwork/employmentandemployeetypes/articles/characteristicsofhomeworkersgreatbritain/september2022tojanuary2023 (Accessed: 04 November 2023). </w:t>
      </w:r>
    </w:p>
    <w:p w14:paraId="0000002C" w14:textId="77777777" w:rsidR="000E07C2" w:rsidRDefault="00000000">
      <w:pPr>
        <w:spacing w:before="240" w:after="240"/>
      </w:pPr>
      <w:r>
        <w:lastRenderedPageBreak/>
        <w:t xml:space="preserve">Kral, P., </w:t>
      </w:r>
      <w:proofErr w:type="spellStart"/>
      <w:r>
        <w:t>Janoskova</w:t>
      </w:r>
      <w:proofErr w:type="spellEnd"/>
      <w:r>
        <w:t>, K. and Dawson, A., (2022). Virtual skill acquisition, remote working tools, and employee engagement and retention on blockchain-based metaverse platforms. Psychosociological Issues in Human Resource Management, 10(1), pp.92-105.</w:t>
      </w:r>
      <w:hyperlink r:id="rId13">
        <w:r>
          <w:rPr>
            <w:color w:val="1155CC"/>
            <w:u w:val="single"/>
          </w:rPr>
          <w:t>https://www.ceeol.com/search/article-detail?id=1052540</w:t>
        </w:r>
      </w:hyperlink>
      <w:r>
        <w:t xml:space="preserve"> </w:t>
      </w:r>
    </w:p>
    <w:p w14:paraId="0000002D" w14:textId="77777777" w:rsidR="000E07C2" w:rsidRDefault="00000000">
      <w:pPr>
        <w:spacing w:before="240" w:after="240"/>
        <w:rPr>
          <w:color w:val="222222"/>
          <w:highlight w:val="white"/>
        </w:rPr>
      </w:pPr>
      <w:r>
        <w:rPr>
          <w:color w:val="222222"/>
          <w:highlight w:val="white"/>
        </w:rPr>
        <w:t xml:space="preserve">Rolfe, A. (2017) </w:t>
      </w:r>
      <w:r>
        <w:rPr>
          <w:i/>
          <w:color w:val="222222"/>
          <w:highlight w:val="white"/>
        </w:rPr>
        <w:t>360 degree appraisal: What you need to know</w:t>
      </w:r>
      <w:r>
        <w:rPr>
          <w:color w:val="222222"/>
          <w:highlight w:val="white"/>
        </w:rPr>
        <w:t xml:space="preserve">, </w:t>
      </w:r>
      <w:r>
        <w:rPr>
          <w:i/>
          <w:color w:val="222222"/>
          <w:highlight w:val="white"/>
        </w:rPr>
        <w:t>reed.co.uk</w:t>
      </w:r>
      <w:r>
        <w:rPr>
          <w:color w:val="222222"/>
          <w:highlight w:val="white"/>
        </w:rPr>
        <w:t xml:space="preserve">. Available at: https://www.reed.co.uk/career-advice/360-degree-appraisal-what-you-need-to-know/ (Accessed: 04 November 2023). </w:t>
      </w:r>
    </w:p>
    <w:p w14:paraId="0000002E" w14:textId="77777777" w:rsidR="000E07C2" w:rsidRDefault="00000000">
      <w:proofErr w:type="spellStart"/>
      <w:r>
        <w:rPr>
          <w:color w:val="222222"/>
          <w:highlight w:val="white"/>
        </w:rPr>
        <w:t>Sahut</w:t>
      </w:r>
      <w:proofErr w:type="spellEnd"/>
      <w:r>
        <w:rPr>
          <w:color w:val="222222"/>
          <w:highlight w:val="white"/>
        </w:rPr>
        <w:t xml:space="preserve">, J.M. and </w:t>
      </w:r>
      <w:proofErr w:type="spellStart"/>
      <w:r>
        <w:rPr>
          <w:color w:val="222222"/>
          <w:highlight w:val="white"/>
        </w:rPr>
        <w:t>Lissillour</w:t>
      </w:r>
      <w:proofErr w:type="spellEnd"/>
      <w:r>
        <w:rPr>
          <w:color w:val="222222"/>
          <w:highlight w:val="white"/>
        </w:rPr>
        <w:t xml:space="preserve">, R., (2023). The adoption of remote work platforms after the Covid-19 lockdown: New approach, new evidence. </w:t>
      </w:r>
      <w:r>
        <w:rPr>
          <w:i/>
          <w:color w:val="222222"/>
          <w:highlight w:val="white"/>
        </w:rPr>
        <w:t>Journal of Business Research</w:t>
      </w:r>
      <w:r>
        <w:rPr>
          <w:color w:val="222222"/>
          <w:highlight w:val="white"/>
        </w:rPr>
        <w:t xml:space="preserve">, </w:t>
      </w:r>
      <w:r>
        <w:rPr>
          <w:i/>
          <w:color w:val="222222"/>
          <w:highlight w:val="white"/>
        </w:rPr>
        <w:t>154</w:t>
      </w:r>
      <w:r>
        <w:rPr>
          <w:color w:val="222222"/>
          <w:highlight w:val="white"/>
        </w:rPr>
        <w:t>, p.113345.</w:t>
      </w:r>
      <w:hyperlink r:id="rId14">
        <w:r>
          <w:rPr>
            <w:color w:val="1155CC"/>
            <w:highlight w:val="white"/>
            <w:u w:val="single"/>
          </w:rPr>
          <w:t>https://doi.org/10.1016/j.jbusres.2022.113345</w:t>
        </w:r>
      </w:hyperlink>
      <w:r>
        <w:rPr>
          <w:color w:val="222222"/>
          <w:highlight w:val="white"/>
        </w:rPr>
        <w:t xml:space="preserve"> </w:t>
      </w:r>
    </w:p>
    <w:p w14:paraId="0000002F" w14:textId="77777777" w:rsidR="000E07C2" w:rsidRDefault="00000000">
      <w:pPr>
        <w:spacing w:before="240" w:after="240"/>
      </w:pPr>
      <w:proofErr w:type="spellStart"/>
      <w:r>
        <w:t>Sahut</w:t>
      </w:r>
      <w:proofErr w:type="spellEnd"/>
      <w:r>
        <w:t xml:space="preserve">, J.M. and </w:t>
      </w:r>
      <w:proofErr w:type="spellStart"/>
      <w:r>
        <w:t>Lissillour</w:t>
      </w:r>
      <w:proofErr w:type="spellEnd"/>
      <w:r>
        <w:t>, R., (2023). The adoption of remote work platforms after the Covid-19 lockdown: New approach, new evidence. Journal of Business Research, 154, p.113345.</w:t>
      </w:r>
      <w:hyperlink r:id="rId15">
        <w:r>
          <w:rPr>
            <w:color w:val="1155CC"/>
            <w:u w:val="single"/>
          </w:rPr>
          <w:t>https://www.ncbi.nlm.nih.gov/pmc/articles/PMC9519525/</w:t>
        </w:r>
      </w:hyperlink>
      <w:r>
        <w:t xml:space="preserve"> </w:t>
      </w:r>
    </w:p>
    <w:p w14:paraId="00000030" w14:textId="77777777" w:rsidR="000E07C2" w:rsidRDefault="00000000">
      <w:pPr>
        <w:spacing w:before="240" w:after="240"/>
        <w:rPr>
          <w:color w:val="222222"/>
          <w:highlight w:val="white"/>
        </w:rPr>
      </w:pPr>
      <w:r>
        <w:rPr>
          <w:color w:val="222222"/>
          <w:highlight w:val="white"/>
        </w:rPr>
        <w:t xml:space="preserve">Saxena, A. (2023) </w:t>
      </w:r>
      <w:r>
        <w:rPr>
          <w:i/>
          <w:color w:val="222222"/>
          <w:highlight w:val="white"/>
        </w:rPr>
        <w:t>Methods of human resource accounting</w:t>
      </w:r>
      <w:r>
        <w:rPr>
          <w:color w:val="222222"/>
          <w:highlight w:val="white"/>
        </w:rPr>
        <w:t xml:space="preserve">, </w:t>
      </w:r>
      <w:proofErr w:type="spellStart"/>
      <w:r>
        <w:rPr>
          <w:i/>
          <w:color w:val="222222"/>
          <w:highlight w:val="white"/>
        </w:rPr>
        <w:t>Enterslice</w:t>
      </w:r>
      <w:proofErr w:type="spellEnd"/>
      <w:r>
        <w:rPr>
          <w:color w:val="222222"/>
          <w:highlight w:val="white"/>
        </w:rPr>
        <w:t xml:space="preserve">. Available at: https://enterslice.com/learning/methods-of-human-resource-accounting/ (Accessed: 04 November 2023). </w:t>
      </w:r>
    </w:p>
    <w:p w14:paraId="00000031" w14:textId="77777777" w:rsidR="000E07C2" w:rsidRDefault="00000000">
      <w:pPr>
        <w:spacing w:before="240" w:after="240"/>
        <w:rPr>
          <w:color w:val="222222"/>
          <w:highlight w:val="white"/>
        </w:rPr>
      </w:pPr>
      <w:proofErr w:type="spellStart"/>
      <w:r>
        <w:rPr>
          <w:color w:val="222222"/>
          <w:highlight w:val="white"/>
        </w:rPr>
        <w:t>TalentLyft</w:t>
      </w:r>
      <w:proofErr w:type="spellEnd"/>
      <w:r>
        <w:rPr>
          <w:color w:val="222222"/>
          <w:highlight w:val="white"/>
        </w:rPr>
        <w:t xml:space="preserve"> (2023) </w:t>
      </w:r>
      <w:r>
        <w:rPr>
          <w:i/>
          <w:color w:val="222222"/>
          <w:highlight w:val="white"/>
        </w:rPr>
        <w:t xml:space="preserve">What is </w:t>
      </w:r>
      <w:proofErr w:type="spellStart"/>
      <w:r>
        <w:rPr>
          <w:i/>
          <w:color w:val="222222"/>
          <w:highlight w:val="white"/>
        </w:rPr>
        <w:t>behaviorally</w:t>
      </w:r>
      <w:proofErr w:type="spellEnd"/>
      <w:r>
        <w:rPr>
          <w:i/>
          <w:color w:val="222222"/>
          <w:highlight w:val="white"/>
        </w:rPr>
        <w:t xml:space="preserve"> anchored Rating Scale (bars)?</w:t>
      </w:r>
      <w:r>
        <w:rPr>
          <w:color w:val="222222"/>
          <w:highlight w:val="white"/>
        </w:rPr>
        <w:t xml:space="preserve">, </w:t>
      </w:r>
      <w:r>
        <w:rPr>
          <w:i/>
          <w:color w:val="222222"/>
          <w:highlight w:val="white"/>
        </w:rPr>
        <w:t>Recruiting and Hiring Resources</w:t>
      </w:r>
      <w:r>
        <w:rPr>
          <w:color w:val="222222"/>
          <w:highlight w:val="white"/>
        </w:rPr>
        <w:t xml:space="preserve">. Available at: https://www.talentlyft.com/en/resources/what-is-behaviorally-anchored-rating-scale-bars (Accessed: 04 November 2023). </w:t>
      </w:r>
    </w:p>
    <w:p w14:paraId="00000032" w14:textId="77777777" w:rsidR="000E07C2" w:rsidRDefault="000E07C2"/>
    <w:p w14:paraId="00000033" w14:textId="77777777" w:rsidR="000E07C2" w:rsidRDefault="000E07C2"/>
    <w:p w14:paraId="00000034" w14:textId="77777777" w:rsidR="000E07C2" w:rsidRDefault="000E07C2"/>
    <w:sectPr w:rsidR="000E07C2" w:rsidSect="00812F0D">
      <w:footerReference w:type="default" r:id="rId16"/>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3D05E" w14:textId="77777777" w:rsidR="00851B3C" w:rsidRDefault="00851B3C">
      <w:pPr>
        <w:spacing w:line="240" w:lineRule="auto"/>
      </w:pPr>
      <w:r>
        <w:separator/>
      </w:r>
    </w:p>
  </w:endnote>
  <w:endnote w:type="continuationSeparator" w:id="0">
    <w:p w14:paraId="0FAB70A2" w14:textId="77777777" w:rsidR="00851B3C" w:rsidRDefault="00851B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430A8376" w:rsidR="000E07C2"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12F0D">
      <w:rPr>
        <w:noProof/>
        <w:color w:val="000000"/>
      </w:rPr>
      <w:t>1</w:t>
    </w:r>
    <w:r>
      <w:rPr>
        <w:color w:val="000000"/>
      </w:rPr>
      <w:fldChar w:fldCharType="end"/>
    </w:r>
  </w:p>
  <w:p w14:paraId="00000036" w14:textId="77777777" w:rsidR="000E07C2" w:rsidRDefault="000E07C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4A53A" w14:textId="77777777" w:rsidR="00851B3C" w:rsidRDefault="00851B3C">
      <w:pPr>
        <w:spacing w:line="240" w:lineRule="auto"/>
      </w:pPr>
      <w:r>
        <w:separator/>
      </w:r>
    </w:p>
  </w:footnote>
  <w:footnote w:type="continuationSeparator" w:id="0">
    <w:p w14:paraId="4222DB67" w14:textId="77777777" w:rsidR="00851B3C" w:rsidRDefault="00851B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7C2"/>
    <w:rsid w:val="000E07C2"/>
    <w:rsid w:val="00270DA4"/>
    <w:rsid w:val="005341DF"/>
    <w:rsid w:val="006E4BEF"/>
    <w:rsid w:val="00812F0D"/>
    <w:rsid w:val="00851B3C"/>
    <w:rsid w:val="00D93133"/>
    <w:rsid w:val="00FB10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BD65"/>
  <w15:docId w15:val="{1A846671-311A-4153-B560-DDBB395E5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2F0D"/>
    <w:pPr>
      <w:keepNext/>
      <w:keepLines/>
      <w:spacing w:before="400" w:after="120"/>
      <w:outlineLvl w:val="0"/>
    </w:pPr>
    <w:rPr>
      <w:b/>
      <w:color w:val="000000" w:themeColor="text1"/>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578F5"/>
    <w:pPr>
      <w:tabs>
        <w:tab w:val="center" w:pos="4513"/>
        <w:tab w:val="right" w:pos="9026"/>
      </w:tabs>
      <w:spacing w:line="240" w:lineRule="auto"/>
    </w:pPr>
  </w:style>
  <w:style w:type="character" w:customStyle="1" w:styleId="HeaderChar">
    <w:name w:val="Header Char"/>
    <w:basedOn w:val="DefaultParagraphFont"/>
    <w:link w:val="Header"/>
    <w:uiPriority w:val="99"/>
    <w:rsid w:val="000578F5"/>
  </w:style>
  <w:style w:type="paragraph" w:styleId="Footer">
    <w:name w:val="footer"/>
    <w:basedOn w:val="Normal"/>
    <w:link w:val="FooterChar"/>
    <w:uiPriority w:val="99"/>
    <w:unhideWhenUsed/>
    <w:rsid w:val="000578F5"/>
    <w:pPr>
      <w:tabs>
        <w:tab w:val="center" w:pos="4513"/>
        <w:tab w:val="right" w:pos="9026"/>
      </w:tabs>
      <w:spacing w:line="240" w:lineRule="auto"/>
    </w:pPr>
  </w:style>
  <w:style w:type="character" w:customStyle="1" w:styleId="FooterChar">
    <w:name w:val="Footer Char"/>
    <w:basedOn w:val="DefaultParagraphFont"/>
    <w:link w:val="Footer"/>
    <w:uiPriority w:val="99"/>
    <w:rsid w:val="000578F5"/>
  </w:style>
  <w:style w:type="paragraph" w:styleId="NormalWeb">
    <w:name w:val="Normal (Web)"/>
    <w:basedOn w:val="Normal"/>
    <w:uiPriority w:val="99"/>
    <w:semiHidden/>
    <w:unhideWhenUsed/>
    <w:rsid w:val="001A1F86"/>
    <w:pPr>
      <w:spacing w:before="100" w:beforeAutospacing="1" w:after="100" w:afterAutospacing="1" w:line="240" w:lineRule="auto"/>
      <w:jc w:val="left"/>
    </w:pPr>
    <w:rPr>
      <w:lang w:val="en-IN"/>
    </w:rPr>
  </w:style>
  <w:style w:type="paragraph" w:styleId="TOCHeading">
    <w:name w:val="TOC Heading"/>
    <w:basedOn w:val="Heading1"/>
    <w:next w:val="Normal"/>
    <w:uiPriority w:val="39"/>
    <w:unhideWhenUsed/>
    <w:qFormat/>
    <w:rsid w:val="00812F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2F0D"/>
    <w:pPr>
      <w:spacing w:after="100"/>
    </w:pPr>
  </w:style>
  <w:style w:type="character" w:styleId="Hyperlink">
    <w:name w:val="Hyperlink"/>
    <w:basedOn w:val="DefaultParagraphFont"/>
    <w:uiPriority w:val="99"/>
    <w:unhideWhenUsed/>
    <w:rsid w:val="00812F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eeol.com/search/article-detail?id=105254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rsonal.umich.edu/~kfid/MYPUBS/Fidkowski_2023_NodeOptimMOES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sher.uthm.edu.my/ojs/index.php/jstard/article/view/7809" TargetMode="External"/><Relationship Id="rId5" Type="http://schemas.openxmlformats.org/officeDocument/2006/relationships/webSettings" Target="webSettings.xml"/><Relationship Id="rId15" Type="http://schemas.openxmlformats.org/officeDocument/2006/relationships/hyperlink" Target="https://www.ncbi.nlm.nih.gov/pmc/articles/PMC9519525/" TargetMode="External"/><Relationship Id="rId10" Type="http://schemas.openxmlformats.org/officeDocument/2006/relationships/hyperlink" Target="https://ijosmas.org/index.php/ijosmas/article/download/146/114" TargetMode="External"/><Relationship Id="rId4" Type="http://schemas.openxmlformats.org/officeDocument/2006/relationships/settings" Target="settings.xml"/><Relationship Id="rId9" Type="http://schemas.openxmlformats.org/officeDocument/2006/relationships/hyperlink" Target="https://bmchealthservres.biomedcentral.com/articles/10.1186/s12913-021-07452-7" TargetMode="External"/><Relationship Id="rId14" Type="http://schemas.openxmlformats.org/officeDocument/2006/relationships/hyperlink" Target="https://doi.org/10.1016/j.jbusres.2022.113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xwaCMb7l59L2eH53E/JdsA2Gw==">CgMxLjAyDmguOWhmZWlxNHNuYTQ5Mg5oLjltdG43NHlrNzQ3ZzIOaC52Ym5weGF0YWZ6YXAyDmguaWtqeHJ0b2k0MTd5Mg5oLjY1dHlmZXEwamlqdjINaC5sdWNtY2R3bDA0czgAciExZ2cwdXJUaEM3a1htcWNoTlR6cEotVTVncmhCTm1CYkQ=</go:docsCustomData>
</go:gDocsCustomXmlDataStorage>
</file>

<file path=customXml/itemProps1.xml><?xml version="1.0" encoding="utf-8"?>
<ds:datastoreItem xmlns:ds="http://schemas.openxmlformats.org/officeDocument/2006/customXml" ds:itemID="{74D73B9C-752D-4F48-8CBD-A091C5C1872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2745</Words>
  <Characters>15651</Characters>
  <Application>Microsoft Office Word</Application>
  <DocSecurity>0</DocSecurity>
  <Lines>130</Lines>
  <Paragraphs>36</Paragraphs>
  <ScaleCrop>false</ScaleCrop>
  <Company/>
  <LinksUpToDate>false</LinksUpToDate>
  <CharactersWithSpaces>18360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Don</cp:lastModifiedBy>
  <cp:revision>19</cp:revision>
  <dcterms:created xsi:type="dcterms:W3CDTF">2023-11-04T11:58:00Z</dcterms:created>
  <dcterms:modified xsi:type="dcterms:W3CDTF">2023-11-17T12:37:00Z</dcterms:modified>
</cp:coreProperties>
</file>