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572D7" w14:textId="77777777" w:rsidR="000A02DE" w:rsidRDefault="000A02DE">
      <w:pPr>
        <w:pStyle w:val="p1"/>
      </w:pPr>
      <w:r>
        <w:rPr>
          <w:rStyle w:val="s1"/>
        </w:rPr>
        <w:t>Seminar Presentation on Youth Work Skills, Tools, and Approaches</w:t>
      </w:r>
    </w:p>
    <w:p w14:paraId="6F539ABD" w14:textId="77777777" w:rsidR="000A02DE" w:rsidRDefault="000A02DE">
      <w:pPr>
        <w:pStyle w:val="p2"/>
      </w:pPr>
    </w:p>
    <w:p w14:paraId="75642F6E" w14:textId="77777777" w:rsidR="000A02DE" w:rsidRDefault="000A02DE">
      <w:pPr>
        <w:pStyle w:val="p3"/>
      </w:pPr>
      <w:r>
        <w:rPr>
          <w:rStyle w:val="s3"/>
        </w:rPr>
        <w:t>Programme:</w:t>
      </w:r>
      <w:r>
        <w:rPr>
          <w:rStyle w:val="s2"/>
        </w:rPr>
        <w:t xml:space="preserve"> BA Youth Work and Social Education</w:t>
      </w:r>
    </w:p>
    <w:p w14:paraId="1F7C8905" w14:textId="77777777" w:rsidR="000A02DE" w:rsidRDefault="000A02DE">
      <w:pPr>
        <w:pStyle w:val="p3"/>
      </w:pPr>
      <w:r>
        <w:rPr>
          <w:rStyle w:val="s3"/>
        </w:rPr>
        <w:t>Module:</w:t>
      </w:r>
      <w:r>
        <w:rPr>
          <w:rStyle w:val="s2"/>
        </w:rPr>
        <w:t xml:space="preserve"> Counselling Skills, Mindfulness and Therapeutic Practice (ECYW4004)</w:t>
      </w:r>
    </w:p>
    <w:p w14:paraId="07A15A9D" w14:textId="77777777" w:rsidR="000A02DE" w:rsidRDefault="000A02DE">
      <w:pPr>
        <w:pStyle w:val="p3"/>
      </w:pPr>
      <w:r>
        <w:rPr>
          <w:rStyle w:val="s3"/>
        </w:rPr>
        <w:t>Lecturer:</w:t>
      </w:r>
      <w:r>
        <w:rPr>
          <w:rStyle w:val="s2"/>
        </w:rPr>
        <w:t xml:space="preserve"> Angharad Lewis</w:t>
      </w:r>
    </w:p>
    <w:p w14:paraId="541DEBB0" w14:textId="77777777" w:rsidR="000A02DE" w:rsidRDefault="000A02DE">
      <w:pPr>
        <w:pStyle w:val="p3"/>
      </w:pPr>
      <w:r>
        <w:rPr>
          <w:rStyle w:val="s3"/>
        </w:rPr>
        <w:t>Submission Deadline:</w:t>
      </w:r>
      <w:r>
        <w:rPr>
          <w:rStyle w:val="s2"/>
        </w:rPr>
        <w:t xml:space="preserve"> 20th February 2025</w:t>
      </w:r>
    </w:p>
    <w:p w14:paraId="36455B43" w14:textId="77777777" w:rsidR="00215A82" w:rsidRDefault="000A02DE" w:rsidP="00215A82">
      <w:pPr>
        <w:pStyle w:val="p1"/>
        <w:rPr>
          <w:rStyle w:val="s1"/>
        </w:rPr>
      </w:pPr>
      <w:r>
        <w:rPr>
          <w:rStyle w:val="s1"/>
        </w:rPr>
        <w:t>Part 1: Youth Work Skills, Tools, and Approaches</w:t>
      </w:r>
      <w:r w:rsidR="00215A82">
        <w:rPr>
          <w:rStyle w:val="s1"/>
        </w:rPr>
        <w:t xml:space="preserve"> </w:t>
      </w:r>
    </w:p>
    <w:p w14:paraId="0E3ED91E" w14:textId="77777777" w:rsidR="000A02DE" w:rsidRDefault="000A02DE" w:rsidP="00215A82">
      <w:pPr>
        <w:pStyle w:val="p1"/>
        <w:rPr>
          <w:rStyle w:val="s1"/>
        </w:rPr>
      </w:pPr>
    </w:p>
    <w:p w14:paraId="4B3ABFEE" w14:textId="1DCAF5A7" w:rsidR="000A02DE" w:rsidRDefault="000A02DE" w:rsidP="00215A82">
      <w:pPr>
        <w:pStyle w:val="p1"/>
        <w:rPr>
          <w:rStyle w:val="s3"/>
        </w:rPr>
      </w:pPr>
      <w:r>
        <w:rPr>
          <w:rStyle w:val="s3"/>
        </w:rPr>
        <w:t>Introduction</w:t>
      </w:r>
    </w:p>
    <w:p w14:paraId="13DF7BAA" w14:textId="77777777" w:rsidR="0016325F" w:rsidRDefault="0016325F" w:rsidP="00215A82">
      <w:pPr>
        <w:pStyle w:val="p1"/>
      </w:pPr>
    </w:p>
    <w:p w14:paraId="27E1D997" w14:textId="77777777" w:rsidR="000A02DE" w:rsidRDefault="000A02DE">
      <w:pPr>
        <w:pStyle w:val="p2"/>
      </w:pPr>
    </w:p>
    <w:p w14:paraId="1E653E50" w14:textId="77777777" w:rsidR="000A02DE" w:rsidRDefault="000A02DE">
      <w:pPr>
        <w:pStyle w:val="p4"/>
        <w:rPr>
          <w:rStyle w:val="s2"/>
        </w:rPr>
      </w:pPr>
      <w:r w:rsidRPr="00215A82">
        <w:rPr>
          <w:rStyle w:val="s2"/>
          <w:highlight w:val="green"/>
        </w:rPr>
        <w:t>The foundation of effective youth work lies in the ability to build meaningful relationships with young people. This process is guided by key skills such as active listening, empathy, and empowerment, alongside structured approaches like the strengths-based model and restorative practices. These methods are crucial in creating supportive environments that facilitate personal development and social learning. Drawing upon theoretical frameworks, such as Carl Rogers’ Person-Centred Approach and Paulo Freire’s Empowerment Theory, this seminar will explore how these tools contribute to youth work practice. Furthermore, the discussion will be linked to the Youth Work National Occupational Standards (YWNOS) (CLD Standards Council Scotland, 2019), ensuring that practice aligns with professional expectations and ethical considerations.</w:t>
      </w:r>
    </w:p>
    <w:p w14:paraId="1DB1C9B5" w14:textId="77777777" w:rsidR="00CF68D9" w:rsidRDefault="00CF68D9">
      <w:pPr>
        <w:pStyle w:val="p4"/>
        <w:rPr>
          <w:rStyle w:val="s2"/>
        </w:rPr>
      </w:pPr>
    </w:p>
    <w:p w14:paraId="7CE04230" w14:textId="77777777" w:rsidR="00215A82" w:rsidRDefault="00215A82">
      <w:pPr>
        <w:pStyle w:val="p4"/>
      </w:pPr>
    </w:p>
    <w:p w14:paraId="2D144F57" w14:textId="77777777" w:rsidR="000A02DE" w:rsidRDefault="000A02DE">
      <w:pPr>
        <w:pStyle w:val="p2"/>
      </w:pPr>
    </w:p>
    <w:p w14:paraId="362CA6D3" w14:textId="77777777" w:rsidR="00CF68D9" w:rsidRDefault="00CF68D9">
      <w:pPr>
        <w:pStyle w:val="p3"/>
        <w:rPr>
          <w:rStyle w:val="s3"/>
        </w:rPr>
      </w:pPr>
    </w:p>
    <w:p w14:paraId="6D9122FF" w14:textId="77777777" w:rsidR="00CF68D9" w:rsidRDefault="00CF68D9">
      <w:pPr>
        <w:pStyle w:val="p3"/>
        <w:rPr>
          <w:rStyle w:val="s3"/>
        </w:rPr>
      </w:pPr>
    </w:p>
    <w:p w14:paraId="7F3492FF" w14:textId="6A08C597" w:rsidR="000A02DE" w:rsidRPr="00CF68D9" w:rsidRDefault="000A02DE">
      <w:pPr>
        <w:pStyle w:val="p3"/>
        <w:rPr>
          <w:highlight w:val="green"/>
        </w:rPr>
      </w:pPr>
      <w:r w:rsidRPr="00CF68D9">
        <w:rPr>
          <w:rStyle w:val="s3"/>
          <w:highlight w:val="green"/>
        </w:rPr>
        <w:t>Active Listening and Empathy in Youth Work</w:t>
      </w:r>
    </w:p>
    <w:p w14:paraId="1EF82B0A" w14:textId="77777777" w:rsidR="000A02DE" w:rsidRPr="00CF68D9" w:rsidRDefault="000A02DE">
      <w:pPr>
        <w:pStyle w:val="p2"/>
        <w:rPr>
          <w:highlight w:val="green"/>
        </w:rPr>
      </w:pPr>
    </w:p>
    <w:p w14:paraId="3197CF6A" w14:textId="77777777" w:rsidR="000A02DE" w:rsidRPr="00CF68D9" w:rsidRDefault="000A02DE">
      <w:pPr>
        <w:pStyle w:val="p4"/>
        <w:rPr>
          <w:highlight w:val="green"/>
        </w:rPr>
      </w:pPr>
      <w:r w:rsidRPr="00CF68D9">
        <w:rPr>
          <w:rStyle w:val="s2"/>
          <w:highlight w:val="green"/>
        </w:rPr>
        <w:t xml:space="preserve">Active listening is an essential skill in youth work, as it fosters trust and enables young people to feel heard and understood. An example of this in practice is when a youth worker supports a young person experiencing anxiety. By engaging in active listening—using verbal </w:t>
      </w:r>
      <w:r w:rsidRPr="00CF68D9">
        <w:rPr>
          <w:rStyle w:val="s2"/>
          <w:highlight w:val="green"/>
        </w:rPr>
        <w:lastRenderedPageBreak/>
        <w:t>and non-verbal cues such as nodding, maintaining eye contact, and paraphrasing the young person’s words—the youth worker creates a safe space for self-expression. This interaction aligns with Carl Rogers’ Person-Centred Approach, which emphasizes the importance of empathy, unconditional positive regard, and congruence in human relationships (Rogers, 1961).</w:t>
      </w:r>
    </w:p>
    <w:p w14:paraId="27FCD280" w14:textId="77777777" w:rsidR="000A02DE" w:rsidRPr="00CF68D9" w:rsidRDefault="000A02DE">
      <w:pPr>
        <w:pStyle w:val="p2"/>
        <w:rPr>
          <w:highlight w:val="green"/>
        </w:rPr>
      </w:pPr>
    </w:p>
    <w:p w14:paraId="29244CCC" w14:textId="77777777" w:rsidR="000A02DE" w:rsidRPr="00CF68D9" w:rsidRDefault="000A02DE">
      <w:pPr>
        <w:pStyle w:val="p4"/>
        <w:rPr>
          <w:highlight w:val="green"/>
        </w:rPr>
      </w:pPr>
      <w:r w:rsidRPr="00CF68D9">
        <w:rPr>
          <w:rStyle w:val="s2"/>
          <w:highlight w:val="green"/>
        </w:rPr>
        <w:t>The Youth Work National Occupational Standards (Standard 1) highlight the necessity of engaging with young people to build relationships. Active listening and empathy directly contribute to this standard by ensuring that young people feel valued and respected, which in turn encourages their continued participation in youth work programs. Furthermore, research by Thompson (2018) suggests that active listening enhances young people’s self-confidence and emotional resilience, demonstrating its wider impact beyond individual conversations.</w:t>
      </w:r>
    </w:p>
    <w:p w14:paraId="70A2EED8" w14:textId="77777777" w:rsidR="000A02DE" w:rsidRPr="00CF68D9" w:rsidRDefault="000A02DE">
      <w:pPr>
        <w:pStyle w:val="p2"/>
        <w:rPr>
          <w:highlight w:val="green"/>
        </w:rPr>
      </w:pPr>
    </w:p>
    <w:p w14:paraId="35B1D246" w14:textId="77777777" w:rsidR="000A02DE" w:rsidRPr="00CF68D9" w:rsidRDefault="000A02DE">
      <w:pPr>
        <w:pStyle w:val="p3"/>
        <w:rPr>
          <w:highlight w:val="green"/>
        </w:rPr>
      </w:pPr>
      <w:r w:rsidRPr="00CF68D9">
        <w:rPr>
          <w:rStyle w:val="s3"/>
          <w:highlight w:val="green"/>
        </w:rPr>
        <w:t>The Strengths-Based Approach and Empowerment</w:t>
      </w:r>
    </w:p>
    <w:p w14:paraId="01DCA060" w14:textId="77777777" w:rsidR="000A02DE" w:rsidRPr="00CF68D9" w:rsidRDefault="000A02DE">
      <w:pPr>
        <w:pStyle w:val="p2"/>
        <w:rPr>
          <w:highlight w:val="green"/>
        </w:rPr>
      </w:pPr>
    </w:p>
    <w:p w14:paraId="0801274B" w14:textId="77777777" w:rsidR="000A02DE" w:rsidRPr="00CF68D9" w:rsidRDefault="000A02DE">
      <w:pPr>
        <w:pStyle w:val="p4"/>
        <w:rPr>
          <w:highlight w:val="green"/>
        </w:rPr>
      </w:pPr>
      <w:r w:rsidRPr="00CF68D9">
        <w:rPr>
          <w:rStyle w:val="s2"/>
          <w:highlight w:val="green"/>
        </w:rPr>
        <w:t>The strengths-based approach focuses on young people’s abilities rather than their problems, fostering a sense of ownership over their personal development. A practical example of this approach is a youth worker facilitating a youth-led community project. By identifying and nurturing young people’s strengths—such as leadership, creativity, and teamwork—the youth worker supports their growth and self-efficacy.</w:t>
      </w:r>
    </w:p>
    <w:p w14:paraId="2F4D265E" w14:textId="77777777" w:rsidR="000A02DE" w:rsidRPr="00CF68D9" w:rsidRDefault="000A02DE">
      <w:pPr>
        <w:pStyle w:val="p2"/>
        <w:rPr>
          <w:highlight w:val="green"/>
        </w:rPr>
      </w:pPr>
    </w:p>
    <w:p w14:paraId="3DC59E82" w14:textId="77777777" w:rsidR="000A02DE" w:rsidRPr="00CF68D9" w:rsidRDefault="000A02DE">
      <w:pPr>
        <w:pStyle w:val="p4"/>
        <w:rPr>
          <w:highlight w:val="green"/>
        </w:rPr>
      </w:pPr>
      <w:r w:rsidRPr="00CF68D9">
        <w:rPr>
          <w:rStyle w:val="s2"/>
          <w:highlight w:val="green"/>
        </w:rPr>
        <w:t xml:space="preserve">This aligns with Paulo Freire’s Empowerment Theory, which posits that education should be participatory and liberatory, allowing individuals to become active agents in their own development (Freire, 1970). The approach also connects with YWNOS Standard 2, which focuses on facilitating young people’s learning and development in a manner that promotes self-reliance. Research by </w:t>
      </w:r>
      <w:proofErr w:type="spellStart"/>
      <w:r w:rsidRPr="00CF68D9">
        <w:rPr>
          <w:rStyle w:val="s2"/>
          <w:highlight w:val="green"/>
        </w:rPr>
        <w:t>Saleebey</w:t>
      </w:r>
      <w:proofErr w:type="spellEnd"/>
      <w:r w:rsidRPr="00CF68D9">
        <w:rPr>
          <w:rStyle w:val="s2"/>
          <w:highlight w:val="green"/>
        </w:rPr>
        <w:t xml:space="preserve"> (2019) further supports the effectiveness of the strengths-based model, demonstrating that young people who engage in strengths-focused interventions develop greater resilience and motivation.</w:t>
      </w:r>
    </w:p>
    <w:p w14:paraId="615EBEEC" w14:textId="77777777" w:rsidR="000A02DE" w:rsidRPr="00CF68D9" w:rsidRDefault="000A02DE">
      <w:pPr>
        <w:pStyle w:val="p2"/>
        <w:rPr>
          <w:highlight w:val="green"/>
        </w:rPr>
      </w:pPr>
    </w:p>
    <w:p w14:paraId="0ACF563A" w14:textId="77777777" w:rsidR="000A02DE" w:rsidRPr="00CF68D9" w:rsidRDefault="000A02DE">
      <w:pPr>
        <w:pStyle w:val="p3"/>
        <w:rPr>
          <w:highlight w:val="green"/>
        </w:rPr>
      </w:pPr>
      <w:r w:rsidRPr="00CF68D9">
        <w:rPr>
          <w:rStyle w:val="s3"/>
          <w:highlight w:val="green"/>
        </w:rPr>
        <w:t>Restorative Approaches and Conflict Resolution</w:t>
      </w:r>
    </w:p>
    <w:p w14:paraId="4F2BB786" w14:textId="77777777" w:rsidR="000A02DE" w:rsidRPr="00CF68D9" w:rsidRDefault="000A02DE">
      <w:pPr>
        <w:pStyle w:val="p2"/>
        <w:rPr>
          <w:highlight w:val="green"/>
        </w:rPr>
      </w:pPr>
    </w:p>
    <w:p w14:paraId="5B2C8252" w14:textId="77777777" w:rsidR="000A02DE" w:rsidRPr="00CF68D9" w:rsidRDefault="000A02DE">
      <w:pPr>
        <w:pStyle w:val="p4"/>
        <w:rPr>
          <w:highlight w:val="green"/>
        </w:rPr>
      </w:pPr>
      <w:r w:rsidRPr="00CF68D9">
        <w:rPr>
          <w:rStyle w:val="s2"/>
          <w:highlight w:val="green"/>
        </w:rPr>
        <w:t>Youth work often involves managing conflicts among young people. A restorative approach provides an alternative to punitive measures, focusing instead on dialogue and accountability. For example, if two young people have an altercation in a youth centre, a youth worker might facilitate a restorative justice circle. Through guided discussion, the young people involved explore the impact of their actions and work toward a resolution.</w:t>
      </w:r>
    </w:p>
    <w:p w14:paraId="55905A2E" w14:textId="77777777" w:rsidR="000A02DE" w:rsidRPr="00CF68D9" w:rsidRDefault="000A02DE">
      <w:pPr>
        <w:pStyle w:val="p2"/>
        <w:rPr>
          <w:highlight w:val="green"/>
        </w:rPr>
      </w:pPr>
    </w:p>
    <w:p w14:paraId="1DE0811D" w14:textId="77777777" w:rsidR="000A02DE" w:rsidRPr="00CF68D9" w:rsidRDefault="000A02DE">
      <w:pPr>
        <w:pStyle w:val="p4"/>
        <w:rPr>
          <w:highlight w:val="green"/>
        </w:rPr>
      </w:pPr>
      <w:r w:rsidRPr="00CF68D9">
        <w:rPr>
          <w:rStyle w:val="s2"/>
          <w:highlight w:val="green"/>
        </w:rPr>
        <w:lastRenderedPageBreak/>
        <w:t>This method is supported by Albert Bandura’s Social Learning Theory, which suggests that individuals learn behaviours through observation and social interaction (Bandura, 1977). By engaging in restorative practices, young people develop conflict-resolution skills that they can apply in broader social contexts. This aligns with YWNOS Standard 3, which emphasizes the importance of supporting young people’s personal and social development. Research by Hopkins (2016) further highlights the effectiveness of restorative approaches, demonstrating that they reduce repeated conflict and improve peer relationships.</w:t>
      </w:r>
    </w:p>
    <w:p w14:paraId="48C5E650" w14:textId="77777777" w:rsidR="000A02DE" w:rsidRPr="00CF68D9" w:rsidRDefault="000A02DE">
      <w:pPr>
        <w:pStyle w:val="p2"/>
        <w:rPr>
          <w:highlight w:val="green"/>
        </w:rPr>
      </w:pPr>
    </w:p>
    <w:p w14:paraId="6B216E6A" w14:textId="77777777" w:rsidR="000A02DE" w:rsidRPr="00CF68D9" w:rsidRDefault="000A02DE">
      <w:pPr>
        <w:pStyle w:val="p3"/>
        <w:rPr>
          <w:highlight w:val="green"/>
        </w:rPr>
      </w:pPr>
      <w:r w:rsidRPr="00CF68D9">
        <w:rPr>
          <w:rStyle w:val="s3"/>
          <w:highlight w:val="green"/>
        </w:rPr>
        <w:t>Conclusion</w:t>
      </w:r>
    </w:p>
    <w:p w14:paraId="7C95D329" w14:textId="77777777" w:rsidR="000A02DE" w:rsidRPr="00CF68D9" w:rsidRDefault="000A02DE">
      <w:pPr>
        <w:pStyle w:val="p2"/>
        <w:rPr>
          <w:highlight w:val="green"/>
        </w:rPr>
      </w:pPr>
    </w:p>
    <w:p w14:paraId="1AD2D970" w14:textId="77777777" w:rsidR="000A02DE" w:rsidRDefault="000A02DE">
      <w:pPr>
        <w:pStyle w:val="p4"/>
      </w:pPr>
      <w:r w:rsidRPr="00CF68D9">
        <w:rPr>
          <w:rStyle w:val="s2"/>
          <w:highlight w:val="green"/>
        </w:rPr>
        <w:t>Meaningful relationships in youth work are built through a combination of active listening, empathy, empowerment, and restorative approaches. These methods are grounded in established theories and align with professional standards, ensuring that youth workers create supportive environments for young people. By integrating these approaches into practice, youth workers facilitate personal growth, social development, and long-term engagement in positive activities.</w:t>
      </w:r>
    </w:p>
    <w:p w14:paraId="25EC55D0" w14:textId="77777777" w:rsidR="000A02DE" w:rsidRDefault="000A02DE">
      <w:pPr>
        <w:pStyle w:val="p1"/>
      </w:pPr>
      <w:r>
        <w:rPr>
          <w:rStyle w:val="s1"/>
        </w:rPr>
        <w:t>Part 2: Using Drama to Address Bullying</w:t>
      </w:r>
    </w:p>
    <w:p w14:paraId="76A4C1E9" w14:textId="77777777" w:rsidR="000A02DE" w:rsidRDefault="000A02DE">
      <w:pPr>
        <w:pStyle w:val="p2"/>
      </w:pPr>
    </w:p>
    <w:p w14:paraId="29AFEE13" w14:textId="77777777" w:rsidR="000A02DE" w:rsidRDefault="000A02DE">
      <w:pPr>
        <w:pStyle w:val="p3"/>
      </w:pPr>
      <w:r>
        <w:rPr>
          <w:rStyle w:val="s3"/>
        </w:rPr>
        <w:t>Introduction</w:t>
      </w:r>
    </w:p>
    <w:p w14:paraId="5D4D0E11" w14:textId="77777777" w:rsidR="000A02DE" w:rsidRDefault="000A02DE">
      <w:pPr>
        <w:pStyle w:val="p2"/>
      </w:pPr>
    </w:p>
    <w:p w14:paraId="702180BC" w14:textId="77777777" w:rsidR="000A02DE" w:rsidRDefault="000A02DE">
      <w:pPr>
        <w:pStyle w:val="p4"/>
      </w:pPr>
      <w:r>
        <w:rPr>
          <w:rStyle w:val="s2"/>
        </w:rPr>
        <w:t>Drama is an effective youth work method that fosters communication, emotional intelligence, and problem-solving skills. It provides young people with a creative and engaging way to explore difficult topics, such as bullying, while also strengthening their relationships with peers and youth workers. This section will demonstrate how drama can be used in both group and one-to-one settings to address bullying, with links to theoretical frameworks and youth work standards.</w:t>
      </w:r>
    </w:p>
    <w:p w14:paraId="50548EFA" w14:textId="77777777" w:rsidR="000A02DE" w:rsidRDefault="000A02DE">
      <w:pPr>
        <w:pStyle w:val="p2"/>
      </w:pPr>
    </w:p>
    <w:p w14:paraId="56FDEF33" w14:textId="77777777" w:rsidR="000A02DE" w:rsidRDefault="000A02DE">
      <w:pPr>
        <w:pStyle w:val="p3"/>
      </w:pPr>
      <w:r>
        <w:rPr>
          <w:rStyle w:val="s3"/>
        </w:rPr>
        <w:t>Drama as a Tool for Relationship-Building</w:t>
      </w:r>
    </w:p>
    <w:p w14:paraId="66CE6452" w14:textId="77777777" w:rsidR="000A02DE" w:rsidRDefault="000A02DE">
      <w:pPr>
        <w:pStyle w:val="p2"/>
      </w:pPr>
    </w:p>
    <w:p w14:paraId="16EB941B" w14:textId="77777777" w:rsidR="000A02DE" w:rsidRDefault="000A02DE">
      <w:pPr>
        <w:pStyle w:val="p4"/>
      </w:pPr>
      <w:r>
        <w:rPr>
          <w:rStyle w:val="s2"/>
        </w:rPr>
        <w:t>Drama-based activities encourage active participation and experiential learning. In a group setting, a youth worker might facilitate a role-play exercise where young people act out different roles in a bullying scenario—such as the bully, the victim, and bystanders. After the performance, the group engages in reflective discussion, exploring how each character felt and identifying constructive ways to handle similar situations in real life.</w:t>
      </w:r>
    </w:p>
    <w:p w14:paraId="669D7C04" w14:textId="77777777" w:rsidR="000A02DE" w:rsidRDefault="000A02DE">
      <w:pPr>
        <w:pStyle w:val="p2"/>
      </w:pPr>
    </w:p>
    <w:p w14:paraId="42AB85BC" w14:textId="77777777" w:rsidR="000A02DE" w:rsidRDefault="000A02DE">
      <w:pPr>
        <w:pStyle w:val="p4"/>
      </w:pPr>
      <w:r>
        <w:rPr>
          <w:rStyle w:val="s2"/>
        </w:rPr>
        <w:lastRenderedPageBreak/>
        <w:t>When working one-to-one, drama can also serve as a therapeutic tool. For example, a young person who has experienced bullying may struggle to articulate their feelings directly. Through improvisation exercises, they can express their emotions and explore assertive responses in a supportive environment. This method aligns with Vygotsky’s Social Development Theory, which emphasizes the role of social interaction in learning (Vygotsky, 1978). It also connects with Augusto Boal’s Theatre of the Oppressed, which uses drama as a means of empowerment and social change (Boal, 1979).</w:t>
      </w:r>
    </w:p>
    <w:p w14:paraId="493666CC" w14:textId="77777777" w:rsidR="000A02DE" w:rsidRDefault="000A02DE">
      <w:pPr>
        <w:pStyle w:val="p2"/>
      </w:pPr>
    </w:p>
    <w:p w14:paraId="4712705C" w14:textId="77777777" w:rsidR="000A02DE" w:rsidRDefault="000A02DE">
      <w:pPr>
        <w:pStyle w:val="p3"/>
      </w:pPr>
      <w:r>
        <w:rPr>
          <w:rStyle w:val="s3"/>
        </w:rPr>
        <w:t>Link to Youth Work National Occupational Standards and Policy</w:t>
      </w:r>
    </w:p>
    <w:p w14:paraId="296D4181" w14:textId="77777777" w:rsidR="000A02DE" w:rsidRDefault="000A02DE">
      <w:pPr>
        <w:pStyle w:val="p2"/>
      </w:pPr>
    </w:p>
    <w:p w14:paraId="5F76C1A9" w14:textId="77777777" w:rsidR="000A02DE" w:rsidRDefault="000A02DE">
      <w:pPr>
        <w:pStyle w:val="p4"/>
      </w:pPr>
      <w:r>
        <w:rPr>
          <w:rStyle w:val="s2"/>
        </w:rPr>
        <w:t>Drama-based youth work aligns with YWNOS Standard 2 by fostering participatory learning and self-expression. It also contributes to Standard 3 by promoting young people’s emotional and social development. Additionally, drama supports the National Youth Service Strategy for Wales (WAG, 2007) by addressing key youth work outcomes, including:</w:t>
      </w:r>
    </w:p>
    <w:p w14:paraId="69F05B64" w14:textId="77777777" w:rsidR="000A02DE" w:rsidRDefault="000A02DE">
      <w:pPr>
        <w:pStyle w:val="p5"/>
      </w:pPr>
      <w:r>
        <w:rPr>
          <w:rStyle w:val="s2"/>
        </w:rPr>
        <w:t>•</w:t>
      </w:r>
      <w:r>
        <w:rPr>
          <w:rStyle w:val="apple-tab-span"/>
        </w:rPr>
        <w:t xml:space="preserve"> </w:t>
      </w:r>
      <w:r>
        <w:rPr>
          <w:rStyle w:val="s4"/>
        </w:rPr>
        <w:t>Active Participation:</w:t>
      </w:r>
      <w:r>
        <w:rPr>
          <w:rStyle w:val="s2"/>
        </w:rPr>
        <w:t xml:space="preserve"> Drama encourages young people to engage in discussions about real-life issues, developing their confidence and decision-making skills.</w:t>
      </w:r>
    </w:p>
    <w:p w14:paraId="44EEF3DA" w14:textId="77777777" w:rsidR="000A02DE" w:rsidRDefault="000A02DE">
      <w:pPr>
        <w:pStyle w:val="p5"/>
      </w:pPr>
      <w:r>
        <w:rPr>
          <w:rStyle w:val="s2"/>
        </w:rPr>
        <w:t>•</w:t>
      </w:r>
      <w:r>
        <w:rPr>
          <w:rStyle w:val="apple-tab-span"/>
        </w:rPr>
        <w:t xml:space="preserve"> </w:t>
      </w:r>
      <w:r>
        <w:rPr>
          <w:rStyle w:val="s4"/>
        </w:rPr>
        <w:t>Wider Skills Development:</w:t>
      </w:r>
      <w:r>
        <w:rPr>
          <w:rStyle w:val="s2"/>
        </w:rPr>
        <w:t xml:space="preserve"> Through drama, young people build communication, teamwork, and problem-solving abilities that are transferable to other aspects of life.</w:t>
      </w:r>
    </w:p>
    <w:p w14:paraId="1E0DDAF3" w14:textId="77777777" w:rsidR="000A02DE" w:rsidRDefault="000A02DE">
      <w:pPr>
        <w:pStyle w:val="p5"/>
      </w:pPr>
      <w:r>
        <w:rPr>
          <w:rStyle w:val="s2"/>
        </w:rPr>
        <w:t>•</w:t>
      </w:r>
      <w:r>
        <w:rPr>
          <w:rStyle w:val="apple-tab-span"/>
        </w:rPr>
        <w:t xml:space="preserve"> </w:t>
      </w:r>
      <w:r>
        <w:rPr>
          <w:rStyle w:val="s4"/>
        </w:rPr>
        <w:t>Enhanced Emotional Competence:</w:t>
      </w:r>
      <w:r>
        <w:rPr>
          <w:rStyle w:val="s2"/>
        </w:rPr>
        <w:t xml:space="preserve"> Drama helps young people develop self-awareness and empathy, which are essential for building healthy relationships.</w:t>
      </w:r>
    </w:p>
    <w:p w14:paraId="14954D35" w14:textId="77777777" w:rsidR="000A02DE" w:rsidRDefault="000A02DE">
      <w:pPr>
        <w:pStyle w:val="p2"/>
      </w:pPr>
    </w:p>
    <w:p w14:paraId="3EBFB52F" w14:textId="77777777" w:rsidR="000A02DE" w:rsidRDefault="000A02DE">
      <w:pPr>
        <w:pStyle w:val="p4"/>
      </w:pPr>
      <w:r>
        <w:rPr>
          <w:rStyle w:val="s2"/>
        </w:rPr>
        <w:t>Research by Neelands and Goode (2015) further supports the role of drama in youth work, demonstrating that drama-based interventions improve young people’s ability to navigate social challenges and express themselves effectively.</w:t>
      </w:r>
    </w:p>
    <w:p w14:paraId="5B969820" w14:textId="77777777" w:rsidR="000A02DE" w:rsidRDefault="000A02DE">
      <w:pPr>
        <w:pStyle w:val="p2"/>
      </w:pPr>
    </w:p>
    <w:p w14:paraId="3B56EB7A" w14:textId="77777777" w:rsidR="000A02DE" w:rsidRDefault="000A02DE">
      <w:pPr>
        <w:pStyle w:val="p3"/>
      </w:pPr>
      <w:r>
        <w:rPr>
          <w:rStyle w:val="s3"/>
        </w:rPr>
        <w:t>Conclusion and Practical Demonstration</w:t>
      </w:r>
    </w:p>
    <w:p w14:paraId="109477B9" w14:textId="77777777" w:rsidR="000A02DE" w:rsidRDefault="000A02DE">
      <w:pPr>
        <w:pStyle w:val="p2"/>
      </w:pPr>
    </w:p>
    <w:p w14:paraId="2AC1A3DD" w14:textId="77777777" w:rsidR="000A02DE" w:rsidRDefault="000A02DE">
      <w:pPr>
        <w:pStyle w:val="p4"/>
      </w:pPr>
      <w:r>
        <w:rPr>
          <w:rStyle w:val="s2"/>
        </w:rPr>
        <w:t>Drama is a powerful method for addressing bullying and building meaningful relationships among young people. Its interactive nature makes it an engaging tool for both group and one-to-one work, allowing young people to explore complex social issues in a safe environment. To conclude, I will now lead a short drama-based exercise where participants will engage in a role-play activity to experience firsthand how this method fosters empathy, communication, and conflict-resolution skills.</w:t>
      </w:r>
    </w:p>
    <w:p w14:paraId="61B81CD7" w14:textId="77777777" w:rsidR="000A02DE" w:rsidRDefault="000A02DE">
      <w:pPr>
        <w:pStyle w:val="p2"/>
      </w:pPr>
    </w:p>
    <w:p w14:paraId="6F374FDA" w14:textId="77777777" w:rsidR="000A02DE" w:rsidRDefault="000A02DE">
      <w:pPr>
        <w:pStyle w:val="p4"/>
      </w:pPr>
      <w:r>
        <w:rPr>
          <w:rStyle w:val="s2"/>
        </w:rPr>
        <w:lastRenderedPageBreak/>
        <w:t>This practical demonstration will illustrate how drama can be integrated into youth work practice to create inclusive, supportive spaces where young people feel empowered to navigate social challenges.</w:t>
      </w:r>
    </w:p>
    <w:p w14:paraId="37FF3FAE" w14:textId="77777777" w:rsidR="000A02DE" w:rsidRDefault="000A02DE">
      <w:pPr>
        <w:pStyle w:val="p1"/>
      </w:pPr>
      <w:r>
        <w:rPr>
          <w:rStyle w:val="s1"/>
        </w:rPr>
        <w:t>References</w:t>
      </w:r>
    </w:p>
    <w:p w14:paraId="563AB5D3" w14:textId="77777777" w:rsidR="000A02DE" w:rsidRDefault="000A02DE">
      <w:pPr>
        <w:pStyle w:val="p2"/>
      </w:pPr>
      <w:r>
        <w:rPr>
          <w:rStyle w:val="s2"/>
        </w:rPr>
        <w:t>•</w:t>
      </w:r>
      <w:r>
        <w:rPr>
          <w:rStyle w:val="apple-tab-span"/>
        </w:rPr>
        <w:t xml:space="preserve"> </w:t>
      </w:r>
      <w:r>
        <w:rPr>
          <w:rStyle w:val="s2"/>
        </w:rPr>
        <w:t xml:space="preserve">Bandura, A. (1977). </w:t>
      </w:r>
      <w:r>
        <w:rPr>
          <w:rStyle w:val="s3"/>
        </w:rPr>
        <w:t>Social Learning Theory.</w:t>
      </w:r>
      <w:r>
        <w:rPr>
          <w:rStyle w:val="s2"/>
        </w:rPr>
        <w:t xml:space="preserve"> Englewood Cliffs, NJ: Prentice Hall.</w:t>
      </w:r>
    </w:p>
    <w:p w14:paraId="255E41A9" w14:textId="77777777" w:rsidR="000A02DE" w:rsidRDefault="000A02DE">
      <w:pPr>
        <w:pStyle w:val="p2"/>
      </w:pPr>
      <w:r>
        <w:rPr>
          <w:rStyle w:val="s2"/>
        </w:rPr>
        <w:t>•</w:t>
      </w:r>
      <w:r>
        <w:rPr>
          <w:rStyle w:val="apple-tab-span"/>
        </w:rPr>
        <w:t xml:space="preserve"> </w:t>
      </w:r>
      <w:r>
        <w:rPr>
          <w:rStyle w:val="s2"/>
        </w:rPr>
        <w:t xml:space="preserve">Boal, A. (1979). </w:t>
      </w:r>
      <w:r>
        <w:rPr>
          <w:rStyle w:val="s3"/>
        </w:rPr>
        <w:t>Theatre of the Oppressed.</w:t>
      </w:r>
      <w:r>
        <w:rPr>
          <w:rStyle w:val="s2"/>
        </w:rPr>
        <w:t xml:space="preserve"> London: Pluto Press.</w:t>
      </w:r>
    </w:p>
    <w:p w14:paraId="2C09BA5A" w14:textId="77777777" w:rsidR="000A02DE" w:rsidRDefault="000A02DE">
      <w:pPr>
        <w:pStyle w:val="p2"/>
      </w:pPr>
      <w:r>
        <w:rPr>
          <w:rStyle w:val="s2"/>
        </w:rPr>
        <w:t>•</w:t>
      </w:r>
      <w:r>
        <w:rPr>
          <w:rStyle w:val="apple-tab-span"/>
        </w:rPr>
        <w:t xml:space="preserve"> </w:t>
      </w:r>
      <w:r>
        <w:rPr>
          <w:rStyle w:val="s2"/>
        </w:rPr>
        <w:t xml:space="preserve">CLD Standards Council Scotland. (2019). </w:t>
      </w:r>
      <w:r>
        <w:rPr>
          <w:rStyle w:val="s3"/>
        </w:rPr>
        <w:t>Youth Work National Occupational Standards.</w:t>
      </w:r>
      <w:r>
        <w:rPr>
          <w:rStyle w:val="s2"/>
        </w:rPr>
        <w:t xml:space="preserve"> Available at: [URL]</w:t>
      </w:r>
    </w:p>
    <w:p w14:paraId="0C3ECCE4" w14:textId="77777777" w:rsidR="000A02DE" w:rsidRDefault="000A02DE">
      <w:pPr>
        <w:pStyle w:val="p2"/>
      </w:pPr>
      <w:r>
        <w:rPr>
          <w:rStyle w:val="s2"/>
        </w:rPr>
        <w:t>•</w:t>
      </w:r>
      <w:r>
        <w:rPr>
          <w:rStyle w:val="apple-tab-span"/>
        </w:rPr>
        <w:t xml:space="preserve"> </w:t>
      </w:r>
      <w:r>
        <w:rPr>
          <w:rStyle w:val="s2"/>
        </w:rPr>
        <w:t xml:space="preserve">Freire, P. (1970). </w:t>
      </w:r>
      <w:r>
        <w:rPr>
          <w:rStyle w:val="s3"/>
        </w:rPr>
        <w:t>Pedagogy of the Oppressed.</w:t>
      </w:r>
      <w:r>
        <w:rPr>
          <w:rStyle w:val="s2"/>
        </w:rPr>
        <w:t xml:space="preserve"> New York: Continuum.</w:t>
      </w:r>
    </w:p>
    <w:p w14:paraId="6046F129" w14:textId="77777777" w:rsidR="000A02DE" w:rsidRDefault="000A02DE">
      <w:pPr>
        <w:pStyle w:val="p2"/>
      </w:pPr>
      <w:r>
        <w:rPr>
          <w:rStyle w:val="s2"/>
        </w:rPr>
        <w:t>•</w:t>
      </w:r>
      <w:r>
        <w:rPr>
          <w:rStyle w:val="apple-tab-span"/>
        </w:rPr>
        <w:t xml:space="preserve"> </w:t>
      </w:r>
      <w:r>
        <w:rPr>
          <w:rStyle w:val="s2"/>
        </w:rPr>
        <w:t xml:space="preserve">Hopkins, B. (2016). </w:t>
      </w:r>
      <w:r>
        <w:rPr>
          <w:rStyle w:val="s3"/>
        </w:rPr>
        <w:t>Restorative Practices in Schools: Building Relationships and Community.</w:t>
      </w:r>
      <w:r>
        <w:rPr>
          <w:rStyle w:val="s2"/>
        </w:rPr>
        <w:t xml:space="preserve"> London: Jessica Kingsley.</w:t>
      </w:r>
    </w:p>
    <w:p w14:paraId="1C9EA3CA" w14:textId="77777777" w:rsidR="000A02DE" w:rsidRDefault="000A02DE">
      <w:pPr>
        <w:pStyle w:val="p2"/>
      </w:pPr>
      <w:r>
        <w:rPr>
          <w:rStyle w:val="s2"/>
        </w:rPr>
        <w:t>•</w:t>
      </w:r>
      <w:r>
        <w:rPr>
          <w:rStyle w:val="apple-tab-span"/>
        </w:rPr>
        <w:t xml:space="preserve"> </w:t>
      </w:r>
      <w:r>
        <w:rPr>
          <w:rStyle w:val="s2"/>
        </w:rPr>
        <w:t xml:space="preserve">Neelands, J., &amp; Goode, T. (2015). </w:t>
      </w:r>
      <w:r>
        <w:rPr>
          <w:rStyle w:val="s3"/>
        </w:rPr>
        <w:t>Structuring Drama Work: A Handbook of Available Forms in Theatre and Drama.</w:t>
      </w:r>
      <w:r>
        <w:rPr>
          <w:rStyle w:val="s2"/>
        </w:rPr>
        <w:t xml:space="preserve"> Cambridge University Press.</w:t>
      </w:r>
    </w:p>
    <w:p w14:paraId="0CFE3375" w14:textId="77777777" w:rsidR="000A02DE" w:rsidRDefault="000A02DE">
      <w:pPr>
        <w:pStyle w:val="p2"/>
      </w:pPr>
      <w:r>
        <w:rPr>
          <w:rStyle w:val="s2"/>
        </w:rPr>
        <w:t>•</w:t>
      </w:r>
      <w:r>
        <w:rPr>
          <w:rStyle w:val="apple-tab-span"/>
        </w:rPr>
        <w:t xml:space="preserve"> </w:t>
      </w:r>
      <w:r>
        <w:rPr>
          <w:rStyle w:val="s2"/>
        </w:rPr>
        <w:t xml:space="preserve">Rogers, C. (1961). </w:t>
      </w:r>
      <w:r>
        <w:rPr>
          <w:rStyle w:val="s3"/>
        </w:rPr>
        <w:t>On Becoming a Person.</w:t>
      </w:r>
      <w:r>
        <w:rPr>
          <w:rStyle w:val="s2"/>
        </w:rPr>
        <w:t xml:space="preserve"> Boston: Houghton Mifflin.</w:t>
      </w:r>
    </w:p>
    <w:p w14:paraId="0F08D664" w14:textId="77777777" w:rsidR="000A02DE" w:rsidRDefault="000A02DE">
      <w:pPr>
        <w:pStyle w:val="p2"/>
      </w:pPr>
      <w:r>
        <w:rPr>
          <w:rStyle w:val="s2"/>
        </w:rPr>
        <w:t>•</w:t>
      </w:r>
      <w:r>
        <w:rPr>
          <w:rStyle w:val="apple-tab-span"/>
        </w:rPr>
        <w:t xml:space="preserve"> </w:t>
      </w:r>
      <w:proofErr w:type="spellStart"/>
      <w:r>
        <w:rPr>
          <w:rStyle w:val="s2"/>
        </w:rPr>
        <w:t>Saleebey</w:t>
      </w:r>
      <w:proofErr w:type="spellEnd"/>
      <w:r>
        <w:rPr>
          <w:rStyle w:val="s2"/>
        </w:rPr>
        <w:t xml:space="preserve">, D. (2019). </w:t>
      </w:r>
      <w:r>
        <w:rPr>
          <w:rStyle w:val="s3"/>
        </w:rPr>
        <w:t>The Strengths Perspective in Social Work Practice.</w:t>
      </w:r>
      <w:r>
        <w:rPr>
          <w:rStyle w:val="s2"/>
        </w:rPr>
        <w:t xml:space="preserve"> London: Pearson.</w:t>
      </w:r>
    </w:p>
    <w:p w14:paraId="6115675C" w14:textId="77777777" w:rsidR="000A02DE" w:rsidRDefault="000A02DE">
      <w:pPr>
        <w:pStyle w:val="p2"/>
      </w:pPr>
      <w:r>
        <w:rPr>
          <w:rStyle w:val="s2"/>
        </w:rPr>
        <w:t>•</w:t>
      </w:r>
      <w:r>
        <w:rPr>
          <w:rStyle w:val="apple-tab-span"/>
        </w:rPr>
        <w:t xml:space="preserve"> </w:t>
      </w:r>
      <w:r>
        <w:rPr>
          <w:rStyle w:val="s2"/>
        </w:rPr>
        <w:t xml:space="preserve">Thompson, N. (2018). </w:t>
      </w:r>
      <w:r>
        <w:rPr>
          <w:rStyle w:val="s3"/>
        </w:rPr>
        <w:t>Effective Communication: A Guide for the People Professions.</w:t>
      </w:r>
      <w:r>
        <w:rPr>
          <w:rStyle w:val="s2"/>
        </w:rPr>
        <w:t xml:space="preserve"> London: Palgrave Macmillan.</w:t>
      </w:r>
    </w:p>
    <w:p w14:paraId="0D2B14A2" w14:textId="77777777" w:rsidR="000A02DE" w:rsidRDefault="000A02DE">
      <w:pPr>
        <w:pStyle w:val="p2"/>
      </w:pPr>
      <w:r>
        <w:rPr>
          <w:rStyle w:val="s2"/>
        </w:rPr>
        <w:t>•</w:t>
      </w:r>
      <w:r>
        <w:rPr>
          <w:rStyle w:val="apple-tab-span"/>
        </w:rPr>
        <w:t xml:space="preserve"> </w:t>
      </w:r>
      <w:r>
        <w:rPr>
          <w:rStyle w:val="s2"/>
        </w:rPr>
        <w:t xml:space="preserve">Vygotsky, L. (1978). </w:t>
      </w:r>
      <w:r>
        <w:rPr>
          <w:rStyle w:val="s3"/>
        </w:rPr>
        <w:t>Mind in Society: The Development of Higher Psychological Processes.</w:t>
      </w:r>
      <w:r>
        <w:rPr>
          <w:rStyle w:val="s2"/>
        </w:rPr>
        <w:t xml:space="preserve"> Harvard University Press.</w:t>
      </w:r>
    </w:p>
    <w:p w14:paraId="48C34705" w14:textId="77777777" w:rsidR="000A02DE" w:rsidRDefault="000A02DE">
      <w:pPr>
        <w:pStyle w:val="p2"/>
      </w:pPr>
      <w:r>
        <w:rPr>
          <w:rStyle w:val="s2"/>
        </w:rPr>
        <w:t>•</w:t>
      </w:r>
      <w:r>
        <w:rPr>
          <w:rStyle w:val="apple-tab-span"/>
        </w:rPr>
        <w:t xml:space="preserve"> </w:t>
      </w:r>
      <w:r>
        <w:rPr>
          <w:rStyle w:val="s2"/>
        </w:rPr>
        <w:t xml:space="preserve">WAG (Welsh Assembly Government). (2007). </w:t>
      </w:r>
      <w:r>
        <w:rPr>
          <w:rStyle w:val="s3"/>
        </w:rPr>
        <w:t>National Youth Service Strategy for Wales.</w:t>
      </w:r>
      <w:r>
        <w:rPr>
          <w:rStyle w:val="s2"/>
        </w:rPr>
        <w:t xml:space="preserve"> Available at: [URL]</w:t>
      </w:r>
    </w:p>
    <w:p w14:paraId="3FE9DA93" w14:textId="77777777" w:rsidR="000A02DE" w:rsidRDefault="000A02DE"/>
    <w:sectPr w:rsidR="000A02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2DE"/>
    <w:rsid w:val="00016915"/>
    <w:rsid w:val="000A02DE"/>
    <w:rsid w:val="000E4564"/>
    <w:rsid w:val="001503BC"/>
    <w:rsid w:val="0016325F"/>
    <w:rsid w:val="001C05A2"/>
    <w:rsid w:val="00204D89"/>
    <w:rsid w:val="00215A82"/>
    <w:rsid w:val="003A6291"/>
    <w:rsid w:val="003F74D1"/>
    <w:rsid w:val="0047014D"/>
    <w:rsid w:val="005D624D"/>
    <w:rsid w:val="00675771"/>
    <w:rsid w:val="006927CC"/>
    <w:rsid w:val="006B1149"/>
    <w:rsid w:val="006B555B"/>
    <w:rsid w:val="0070217D"/>
    <w:rsid w:val="00706926"/>
    <w:rsid w:val="007B1DF0"/>
    <w:rsid w:val="00956661"/>
    <w:rsid w:val="009A3270"/>
    <w:rsid w:val="00CF68D9"/>
    <w:rsid w:val="00DF38A8"/>
    <w:rsid w:val="00E174B2"/>
    <w:rsid w:val="00EE3548"/>
    <w:rsid w:val="00F06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809C2"/>
  <w15:chartTrackingRefBased/>
  <w15:docId w15:val="{1D2F42E6-0ED0-4F5B-9595-0472CA960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2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02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2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2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2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2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2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2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2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2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2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2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2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2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2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2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2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2DE"/>
    <w:rPr>
      <w:rFonts w:eastAsiaTheme="majorEastAsia" w:cstheme="majorBidi"/>
      <w:color w:val="272727" w:themeColor="text1" w:themeTint="D8"/>
    </w:rPr>
  </w:style>
  <w:style w:type="paragraph" w:styleId="Title">
    <w:name w:val="Title"/>
    <w:basedOn w:val="Normal"/>
    <w:next w:val="Normal"/>
    <w:link w:val="TitleChar"/>
    <w:uiPriority w:val="10"/>
    <w:qFormat/>
    <w:rsid w:val="000A02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2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2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2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2DE"/>
    <w:pPr>
      <w:spacing w:before="160"/>
      <w:jc w:val="center"/>
    </w:pPr>
    <w:rPr>
      <w:i/>
      <w:iCs/>
      <w:color w:val="404040" w:themeColor="text1" w:themeTint="BF"/>
    </w:rPr>
  </w:style>
  <w:style w:type="character" w:customStyle="1" w:styleId="QuoteChar">
    <w:name w:val="Quote Char"/>
    <w:basedOn w:val="DefaultParagraphFont"/>
    <w:link w:val="Quote"/>
    <w:uiPriority w:val="29"/>
    <w:rsid w:val="000A02DE"/>
    <w:rPr>
      <w:i/>
      <w:iCs/>
      <w:color w:val="404040" w:themeColor="text1" w:themeTint="BF"/>
    </w:rPr>
  </w:style>
  <w:style w:type="paragraph" w:styleId="ListParagraph">
    <w:name w:val="List Paragraph"/>
    <w:basedOn w:val="Normal"/>
    <w:uiPriority w:val="34"/>
    <w:qFormat/>
    <w:rsid w:val="000A02DE"/>
    <w:pPr>
      <w:ind w:left="720"/>
      <w:contextualSpacing/>
    </w:pPr>
  </w:style>
  <w:style w:type="character" w:styleId="IntenseEmphasis">
    <w:name w:val="Intense Emphasis"/>
    <w:basedOn w:val="DefaultParagraphFont"/>
    <w:uiPriority w:val="21"/>
    <w:qFormat/>
    <w:rsid w:val="000A02DE"/>
    <w:rPr>
      <w:i/>
      <w:iCs/>
      <w:color w:val="0F4761" w:themeColor="accent1" w:themeShade="BF"/>
    </w:rPr>
  </w:style>
  <w:style w:type="paragraph" w:styleId="IntenseQuote">
    <w:name w:val="Intense Quote"/>
    <w:basedOn w:val="Normal"/>
    <w:next w:val="Normal"/>
    <w:link w:val="IntenseQuoteChar"/>
    <w:uiPriority w:val="30"/>
    <w:qFormat/>
    <w:rsid w:val="000A02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2DE"/>
    <w:rPr>
      <w:i/>
      <w:iCs/>
      <w:color w:val="0F4761" w:themeColor="accent1" w:themeShade="BF"/>
    </w:rPr>
  </w:style>
  <w:style w:type="character" w:styleId="IntenseReference">
    <w:name w:val="Intense Reference"/>
    <w:basedOn w:val="DefaultParagraphFont"/>
    <w:uiPriority w:val="32"/>
    <w:qFormat/>
    <w:rsid w:val="000A02DE"/>
    <w:rPr>
      <w:b/>
      <w:bCs/>
      <w:smallCaps/>
      <w:color w:val="0F4761" w:themeColor="accent1" w:themeShade="BF"/>
      <w:spacing w:val="5"/>
    </w:rPr>
  </w:style>
  <w:style w:type="paragraph" w:customStyle="1" w:styleId="p1">
    <w:name w:val="p1"/>
    <w:basedOn w:val="Normal"/>
    <w:rsid w:val="000A02D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0A02DE"/>
  </w:style>
  <w:style w:type="paragraph" w:customStyle="1" w:styleId="p2">
    <w:name w:val="p2"/>
    <w:basedOn w:val="Normal"/>
    <w:rsid w:val="000A02D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A02DE"/>
  </w:style>
  <w:style w:type="paragraph" w:customStyle="1" w:styleId="p3">
    <w:name w:val="p3"/>
    <w:basedOn w:val="Normal"/>
    <w:rsid w:val="000A02D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A02DE"/>
  </w:style>
  <w:style w:type="paragraph" w:customStyle="1" w:styleId="p4">
    <w:name w:val="p4"/>
    <w:basedOn w:val="Normal"/>
    <w:rsid w:val="000A02DE"/>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0A02DE"/>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0A02DE"/>
  </w:style>
  <w:style w:type="character" w:customStyle="1" w:styleId="s4">
    <w:name w:val="s4"/>
    <w:basedOn w:val="DefaultParagraphFont"/>
    <w:rsid w:val="000A02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3016647">
      <w:bodyDiv w:val="1"/>
      <w:marLeft w:val="0"/>
      <w:marRight w:val="0"/>
      <w:marTop w:val="0"/>
      <w:marBottom w:val="0"/>
      <w:divBdr>
        <w:top w:val="none" w:sz="0" w:space="0" w:color="auto"/>
        <w:left w:val="none" w:sz="0" w:space="0" w:color="auto"/>
        <w:bottom w:val="none" w:sz="0" w:space="0" w:color="auto"/>
        <w:right w:val="none" w:sz="0" w:space="0" w:color="auto"/>
      </w:divBdr>
    </w:div>
    <w:div w:id="1217620578">
      <w:bodyDiv w:val="1"/>
      <w:marLeft w:val="0"/>
      <w:marRight w:val="0"/>
      <w:marTop w:val="0"/>
      <w:marBottom w:val="0"/>
      <w:divBdr>
        <w:top w:val="none" w:sz="0" w:space="0" w:color="auto"/>
        <w:left w:val="none" w:sz="0" w:space="0" w:color="auto"/>
        <w:bottom w:val="none" w:sz="0" w:space="0" w:color="auto"/>
        <w:right w:val="none" w:sz="0" w:space="0" w:color="auto"/>
      </w:divBdr>
    </w:div>
    <w:div w:id="2140537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5" ma:contentTypeDescription="Create a new document." ma:contentTypeScope="" ma:versionID="833a70e5b49e91f1a85ff8a6c5dac3c7">
  <xsd:schema xmlns:xsd="http://www.w3.org/2001/XMLSchema" xmlns:xs="http://www.w3.org/2001/XMLSchema" xmlns:p="http://schemas.microsoft.com/office/2006/metadata/properties" xmlns:ns3="170d7878-6d73-463a-a069-a6c57769e00c" targetNamespace="http://schemas.microsoft.com/office/2006/metadata/properties" ma:root="true" ma:fieldsID="fd7a6e80fd221486233f1bad5b1872bf"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1ED358A-0A62-4FC7-AD43-B58DD03750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1F6F25-9E46-479B-9B52-AB6A89EDAAD2}">
  <ds:schemaRefs>
    <ds:schemaRef ds:uri="http://schemas.microsoft.com/sharepoint/v3/contenttype/forms"/>
  </ds:schemaRefs>
</ds:datastoreItem>
</file>

<file path=customXml/itemProps3.xml><?xml version="1.0" encoding="utf-8"?>
<ds:datastoreItem xmlns:ds="http://schemas.openxmlformats.org/officeDocument/2006/customXml" ds:itemID="{0047E37A-67AD-4248-BF7D-09B7CEE60A10}">
  <ds:schemaRefs>
    <ds:schemaRef ds:uri="http://schemas.microsoft.com/office/2006/documentManagement/types"/>
    <ds:schemaRef ds:uri="http://schemas.microsoft.com/office/infopath/2007/PartnerControls"/>
    <ds:schemaRef ds:uri="http://www.w3.org/XML/1998/namespace"/>
    <ds:schemaRef ds:uri="http://purl.org/dc/dcmitype/"/>
    <ds:schemaRef ds:uri="http://purl.org/dc/elements/1.1/"/>
    <ds:schemaRef ds:uri="http://schemas.openxmlformats.org/package/2006/metadata/core-properties"/>
    <ds:schemaRef ds:uri="170d7878-6d73-463a-a069-a6c57769e00c"/>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1423</Words>
  <Characters>8117</Characters>
  <Application>Microsoft Office Word</Application>
  <DocSecurity>0</DocSecurity>
  <Lines>67</Lines>
  <Paragraphs>19</Paragraphs>
  <ScaleCrop>false</ScaleCrop>
  <Company/>
  <LinksUpToDate>false</LinksUpToDate>
  <CharactersWithSpaces>9521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Russell (2400258)</dc:creator>
  <cp:keywords/>
  <dc:description/>
  <cp:lastModifiedBy>Ella Russell (2400258)</cp:lastModifiedBy>
  <cp:revision>2</cp:revision>
  <dcterms:created xsi:type="dcterms:W3CDTF">2025-02-18T20:10:00Z</dcterms:created>
  <dcterms:modified xsi:type="dcterms:W3CDTF">2025-02-18T20:10:00Z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