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47A4F3">
      <w:pPr>
        <w:jc w:val="center"/>
        <w:rPr>
          <w:sz w:val="36"/>
          <w:szCs w:val="36"/>
        </w:rPr>
      </w:pPr>
    </w:p>
    <w:p w14:paraId="328FB49A">
      <w:pPr>
        <w:jc w:val="center"/>
        <w:rPr>
          <w:sz w:val="36"/>
          <w:szCs w:val="36"/>
        </w:rPr>
      </w:pPr>
    </w:p>
    <w:p w14:paraId="4E1045DF">
      <w:pPr>
        <w:jc w:val="center"/>
        <w:rPr>
          <w:sz w:val="36"/>
          <w:szCs w:val="36"/>
        </w:rPr>
      </w:pPr>
    </w:p>
    <w:p w14:paraId="61555241">
      <w:pPr>
        <w:jc w:val="center"/>
        <w:rPr>
          <w:sz w:val="36"/>
          <w:szCs w:val="36"/>
        </w:rPr>
      </w:pPr>
    </w:p>
    <w:p w14:paraId="21416414">
      <w:pPr>
        <w:jc w:val="center"/>
        <w:rPr>
          <w:sz w:val="36"/>
          <w:szCs w:val="36"/>
        </w:rPr>
      </w:pPr>
    </w:p>
    <w:p w14:paraId="64A90C49">
      <w:pPr>
        <w:jc w:val="center"/>
        <w:rPr>
          <w:sz w:val="36"/>
          <w:szCs w:val="36"/>
        </w:rPr>
      </w:pPr>
    </w:p>
    <w:p w14:paraId="44492F20">
      <w:pPr>
        <w:jc w:val="center"/>
        <w:rPr>
          <w:sz w:val="36"/>
          <w:szCs w:val="36"/>
        </w:rPr>
      </w:pPr>
    </w:p>
    <w:p w14:paraId="46A1B9F6">
      <w:pPr>
        <w:jc w:val="center"/>
        <w:rPr>
          <w:sz w:val="36"/>
          <w:szCs w:val="36"/>
        </w:rPr>
      </w:pPr>
    </w:p>
    <w:p w14:paraId="4567FC51">
      <w:pPr>
        <w:jc w:val="center"/>
        <w:rPr>
          <w:sz w:val="36"/>
          <w:szCs w:val="36"/>
        </w:rPr>
      </w:pPr>
    </w:p>
    <w:p w14:paraId="4147831F">
      <w:pPr>
        <w:jc w:val="center"/>
        <w:rPr>
          <w:sz w:val="36"/>
          <w:szCs w:val="36"/>
        </w:rPr>
      </w:pPr>
      <w:r>
        <w:rPr>
          <w:sz w:val="36"/>
          <w:szCs w:val="36"/>
        </w:rPr>
        <w:t xml:space="preserve">Module: Sustainable Hospitality &amp; Tourism Management </w:t>
      </w:r>
    </w:p>
    <w:p w14:paraId="6F7E11FA">
      <w:pPr>
        <w:jc w:val="center"/>
        <w:rPr>
          <w:sz w:val="36"/>
          <w:szCs w:val="36"/>
        </w:rPr>
      </w:pPr>
      <w:r>
        <w:rPr>
          <w:sz w:val="36"/>
          <w:szCs w:val="36"/>
        </w:rPr>
        <w:t xml:space="preserve">Module code: BMIH5006 </w:t>
      </w:r>
    </w:p>
    <w:p w14:paraId="034FAA71">
      <w:pPr>
        <w:jc w:val="center"/>
        <w:rPr>
          <w:rFonts w:hint="default"/>
          <w:sz w:val="36"/>
          <w:szCs w:val="36"/>
          <w:lang w:val="en-GB"/>
        </w:rPr>
      </w:pPr>
      <w:bookmarkStart w:id="18" w:name="_GoBack"/>
      <w:r>
        <w:rPr>
          <w:sz w:val="36"/>
          <w:szCs w:val="36"/>
        </w:rPr>
        <w:t xml:space="preserve">Lecturer: </w:t>
      </w:r>
      <w:r>
        <w:rPr>
          <w:rFonts w:hint="default"/>
          <w:sz w:val="36"/>
          <w:szCs w:val="36"/>
          <w:lang w:val="en-GB"/>
        </w:rPr>
        <w:t>Antoinette Milne</w:t>
      </w:r>
    </w:p>
    <w:bookmarkEnd w:id="18"/>
    <w:p w14:paraId="7EE82707">
      <w:pPr>
        <w:jc w:val="center"/>
        <w:rPr>
          <w:rFonts w:hint="default"/>
          <w:lang w:val="en-GB"/>
        </w:rPr>
      </w:pPr>
      <w:r>
        <w:rPr>
          <w:rFonts w:hint="default"/>
        </w:rPr>
        <w:t xml:space="preserve">Student name: </w:t>
      </w:r>
      <w:r>
        <w:rPr>
          <w:rFonts w:hint="default"/>
          <w:lang w:val="en-GB"/>
        </w:rPr>
        <w:t xml:space="preserve">Lidia Leva </w:t>
      </w:r>
    </w:p>
    <w:p w14:paraId="22DADD6E">
      <w:pPr>
        <w:jc w:val="center"/>
        <w:rPr>
          <w:rFonts w:hint="default"/>
        </w:rPr>
      </w:pPr>
      <w:r>
        <w:rPr>
          <w:rFonts w:hint="default"/>
        </w:rPr>
        <w:t xml:space="preserve">Student number:2242891 </w:t>
      </w:r>
    </w:p>
    <w:p w14:paraId="61609248">
      <w:pPr>
        <w:spacing w:line="360" w:lineRule="auto"/>
        <w:jc w:val="center"/>
        <w:rPr>
          <w:rFonts w:hint="default" w:eastAsia="Times New Roman"/>
          <w:sz w:val="16"/>
          <w:szCs w:val="16"/>
          <w:lang w:val="en-GB"/>
        </w:rPr>
      </w:pPr>
    </w:p>
    <w:p w14:paraId="7C8C25C3">
      <w:pPr>
        <w:spacing w:line="360" w:lineRule="auto"/>
        <w:jc w:val="center"/>
        <w:rPr>
          <w:rFonts w:hint="default" w:eastAsia="Times New Roman"/>
          <w:sz w:val="16"/>
          <w:szCs w:val="16"/>
          <w:lang w:val="en-GB"/>
        </w:rPr>
      </w:pPr>
    </w:p>
    <w:p w14:paraId="02F8473D">
      <w:pPr>
        <w:spacing w:line="360" w:lineRule="auto"/>
        <w:jc w:val="center"/>
        <w:rPr>
          <w:rFonts w:hint="default" w:eastAsia="Times New Roman"/>
          <w:sz w:val="16"/>
          <w:szCs w:val="16"/>
          <w:lang w:val="en-GB"/>
        </w:rPr>
      </w:pPr>
      <w:r>
        <w:rPr>
          <w:rFonts w:hint="default" w:eastAsia="Times New Roman"/>
          <w:sz w:val="16"/>
          <w:szCs w:val="16"/>
          <w:lang w:val="en-GB"/>
        </w:rPr>
        <w:t>I confirm that I have not used any AI tools in the research and creation of this</w:t>
      </w:r>
    </w:p>
    <w:p w14:paraId="63EAA3B4">
      <w:pPr>
        <w:spacing w:line="360" w:lineRule="auto"/>
        <w:jc w:val="center"/>
        <w:rPr>
          <w:rFonts w:hint="default" w:eastAsia="Times New Roman"/>
          <w:sz w:val="16"/>
          <w:szCs w:val="16"/>
          <w:lang w:val="en-GB"/>
        </w:rPr>
      </w:pPr>
      <w:r>
        <w:rPr>
          <w:rFonts w:hint="default" w:eastAsia="Times New Roman"/>
          <w:sz w:val="16"/>
          <w:szCs w:val="16"/>
          <w:lang w:val="en-GB"/>
        </w:rPr>
        <w:t>assignment. I confirm that I have not presented any AI generated materials as my own</w:t>
      </w:r>
    </w:p>
    <w:p w14:paraId="41683EEE">
      <w:pPr>
        <w:spacing w:line="360" w:lineRule="auto"/>
        <w:jc w:val="center"/>
        <w:rPr>
          <w:rFonts w:hint="default" w:eastAsia="Times New Roman"/>
          <w:sz w:val="16"/>
          <w:szCs w:val="16"/>
          <w:lang w:val="en-GB"/>
        </w:rPr>
      </w:pPr>
      <w:r>
        <w:rPr>
          <w:rFonts w:hint="default" w:eastAsia="Times New Roman"/>
          <w:sz w:val="16"/>
          <w:szCs w:val="16"/>
          <w:lang w:val="en-GB"/>
        </w:rPr>
        <w:t>work. I confirm I have copies of my drafts, notes, and other resources I used, which I may be asked to provide in evidence.</w:t>
      </w:r>
    </w:p>
    <w:p w14:paraId="03C77283">
      <w:pPr>
        <w:jc w:val="center"/>
        <w:rPr>
          <w:b/>
          <w:sz w:val="28"/>
          <w:szCs w:val="28"/>
        </w:rPr>
      </w:pPr>
      <w:r>
        <w:br w:type="page"/>
      </w:r>
    </w:p>
    <w:p w14:paraId="52849C3B">
      <w:pPr>
        <w:rPr>
          <w:b/>
          <w:sz w:val="28"/>
          <w:szCs w:val="28"/>
        </w:rPr>
      </w:pPr>
    </w:p>
    <w:p w14:paraId="446A5960">
      <w:pPr>
        <w:keepNext/>
        <w:keepLines/>
        <w:pBdr>
          <w:top w:val="none" w:color="auto" w:sz="0" w:space="0"/>
          <w:left w:val="none" w:color="auto" w:sz="0" w:space="0"/>
          <w:bottom w:val="none" w:color="auto" w:sz="0" w:space="0"/>
          <w:right w:val="none" w:color="auto" w:sz="0" w:space="0"/>
          <w:between w:val="none" w:color="auto" w:sz="0" w:space="0"/>
        </w:pBdr>
        <w:spacing w:before="240" w:line="259" w:lineRule="auto"/>
        <w:jc w:val="center"/>
        <w:rPr>
          <w:b/>
          <w:sz w:val="32"/>
          <w:szCs w:val="32"/>
        </w:rPr>
      </w:pPr>
      <w:r>
        <w:rPr>
          <w:b/>
          <w:sz w:val="32"/>
          <w:szCs w:val="32"/>
        </w:rPr>
        <w:t>Table of Contents</w:t>
      </w:r>
    </w:p>
    <w:sdt>
      <w:sdtPr>
        <w:id w:val="-2116507114"/>
        <w:docPartObj>
          <w:docPartGallery w:val="Table of Contents"/>
          <w:docPartUnique/>
        </w:docPartObj>
      </w:sdtPr>
      <w:sdtContent>
        <w:p w14:paraId="2A1ED473">
          <w:pPr>
            <w:widowControl w:val="0"/>
            <w:tabs>
              <w:tab w:val="right" w:leader="dot" w:pos="12000"/>
            </w:tabs>
            <w:spacing w:before="60" w:line="240" w:lineRule="auto"/>
            <w:jc w:val="left"/>
            <w:rPr>
              <w:rFonts w:ascii="Arial" w:hAnsi="Arial" w:eastAsia="Arial" w:cs="Arial"/>
              <w:sz w:val="24"/>
              <w:szCs w:val="24"/>
              <w:lang w:val="en-IN" w:eastAsia="en-IN" w:bidi="ar-SA"/>
            </w:rPr>
          </w:pPr>
          <w:r>
            <w:fldChar w:fldCharType="begin"/>
          </w:r>
          <w:r>
            <w:instrText xml:space="preserve"> TOC \h \u \z \t "Heading 1,1,Heading 2,2,Heading 3,3,"</w:instrText>
          </w:r>
          <w:r>
            <w:fldChar w:fldCharType="separate"/>
          </w:r>
        </w:p>
        <w:p w14:paraId="6DA32E97">
          <w:pPr>
            <w:pStyle w:val="18"/>
            <w:tabs>
              <w:tab w:val="right" w:leader="dot" w:pos="9360"/>
            </w:tabs>
          </w:pPr>
          <w:r>
            <w:fldChar w:fldCharType="begin"/>
          </w:r>
          <w:r>
            <w:instrText xml:space="preserve"> HYPERLINK \l _Toc30082 </w:instrText>
          </w:r>
          <w:r>
            <w:fldChar w:fldCharType="separate"/>
          </w:r>
          <w:r>
            <w:t>Assessment 2 – Report</w:t>
          </w:r>
          <w:r>
            <w:tab/>
          </w:r>
          <w:r>
            <w:fldChar w:fldCharType="begin"/>
          </w:r>
          <w:r>
            <w:instrText xml:space="preserve"> PAGEREF _Toc30082 \h </w:instrText>
          </w:r>
          <w:r>
            <w:fldChar w:fldCharType="separate"/>
          </w:r>
          <w:r>
            <w:t>4</w:t>
          </w:r>
          <w:r>
            <w:fldChar w:fldCharType="end"/>
          </w:r>
          <w:r>
            <w:fldChar w:fldCharType="end"/>
          </w:r>
        </w:p>
        <w:p w14:paraId="05020230">
          <w:pPr>
            <w:pStyle w:val="19"/>
            <w:tabs>
              <w:tab w:val="right" w:leader="dot" w:pos="9360"/>
            </w:tabs>
          </w:pPr>
          <w:r>
            <w:fldChar w:fldCharType="begin"/>
          </w:r>
          <w:r>
            <w:instrText xml:space="preserve"> HYPERLINK \l _Toc2078 </w:instrText>
          </w:r>
          <w:r>
            <w:fldChar w:fldCharType="separate"/>
          </w:r>
          <w:r>
            <w:t>Introduction </w:t>
          </w:r>
          <w:r>
            <w:tab/>
          </w:r>
          <w:r>
            <w:fldChar w:fldCharType="begin"/>
          </w:r>
          <w:r>
            <w:instrText xml:space="preserve"> PAGEREF _Toc2078 \h </w:instrText>
          </w:r>
          <w:r>
            <w:fldChar w:fldCharType="separate"/>
          </w:r>
          <w:r>
            <w:t>4</w:t>
          </w:r>
          <w:r>
            <w:fldChar w:fldCharType="end"/>
          </w:r>
          <w:r>
            <w:fldChar w:fldCharType="end"/>
          </w:r>
        </w:p>
        <w:p w14:paraId="36E583AE">
          <w:pPr>
            <w:pStyle w:val="19"/>
            <w:tabs>
              <w:tab w:val="right" w:leader="dot" w:pos="9360"/>
            </w:tabs>
          </w:pPr>
          <w:r>
            <w:fldChar w:fldCharType="begin"/>
          </w:r>
          <w:r>
            <w:instrText xml:space="preserve"> HYPERLINK \l _Toc5587 </w:instrText>
          </w:r>
          <w:r>
            <w:fldChar w:fldCharType="separate"/>
          </w:r>
          <w:r>
            <w:t>Discussion</w:t>
          </w:r>
          <w:r>
            <w:tab/>
          </w:r>
          <w:r>
            <w:fldChar w:fldCharType="begin"/>
          </w:r>
          <w:r>
            <w:instrText xml:space="preserve"> PAGEREF _Toc5587 \h </w:instrText>
          </w:r>
          <w:r>
            <w:fldChar w:fldCharType="separate"/>
          </w:r>
          <w:r>
            <w:t>6</w:t>
          </w:r>
          <w:r>
            <w:fldChar w:fldCharType="end"/>
          </w:r>
          <w:r>
            <w:fldChar w:fldCharType="end"/>
          </w:r>
        </w:p>
        <w:p w14:paraId="1D4D4E13">
          <w:pPr>
            <w:pStyle w:val="20"/>
            <w:tabs>
              <w:tab w:val="right" w:leader="dot" w:pos="9360"/>
            </w:tabs>
          </w:pPr>
          <w:r>
            <w:fldChar w:fldCharType="begin"/>
          </w:r>
          <w:r>
            <w:instrText xml:space="preserve"> HYPERLINK \l _Toc8714 </w:instrText>
          </w:r>
          <w:r>
            <w:fldChar w:fldCharType="separate"/>
          </w:r>
          <w:r>
            <w:t>Overview of Autonomous Electric Vehicles (AEVs)</w:t>
          </w:r>
          <w:r>
            <w:tab/>
          </w:r>
          <w:r>
            <w:fldChar w:fldCharType="begin"/>
          </w:r>
          <w:r>
            <w:instrText xml:space="preserve"> PAGEREF _Toc8714 \h </w:instrText>
          </w:r>
          <w:r>
            <w:fldChar w:fldCharType="separate"/>
          </w:r>
          <w:r>
            <w:t>6</w:t>
          </w:r>
          <w:r>
            <w:fldChar w:fldCharType="end"/>
          </w:r>
          <w:r>
            <w:fldChar w:fldCharType="end"/>
          </w:r>
        </w:p>
        <w:p w14:paraId="05B19419">
          <w:pPr>
            <w:pStyle w:val="20"/>
            <w:tabs>
              <w:tab w:val="right" w:leader="dot" w:pos="9360"/>
            </w:tabs>
          </w:pPr>
          <w:r>
            <w:fldChar w:fldCharType="begin"/>
          </w:r>
          <w:r>
            <w:instrText xml:space="preserve"> HYPERLINK \l _Toc2963 </w:instrText>
          </w:r>
          <w:r>
            <w:fldChar w:fldCharType="separate"/>
          </w:r>
          <w:r>
            <w:t>Key Components and Functionality of AEVs</w:t>
          </w:r>
          <w:r>
            <w:tab/>
          </w:r>
          <w:r>
            <w:fldChar w:fldCharType="begin"/>
          </w:r>
          <w:r>
            <w:instrText xml:space="preserve"> PAGEREF _Toc2963 \h </w:instrText>
          </w:r>
          <w:r>
            <w:fldChar w:fldCharType="separate"/>
          </w:r>
          <w:r>
            <w:t>7</w:t>
          </w:r>
          <w:r>
            <w:fldChar w:fldCharType="end"/>
          </w:r>
          <w:r>
            <w:fldChar w:fldCharType="end"/>
          </w:r>
        </w:p>
        <w:p w14:paraId="0DC4D635">
          <w:pPr>
            <w:pStyle w:val="20"/>
            <w:tabs>
              <w:tab w:val="right" w:leader="dot" w:pos="9360"/>
            </w:tabs>
          </w:pPr>
          <w:r>
            <w:fldChar w:fldCharType="begin"/>
          </w:r>
          <w:r>
            <w:instrText xml:space="preserve"> HYPERLINK \l _Toc23004 </w:instrText>
          </w:r>
          <w:r>
            <w:fldChar w:fldCharType="separate"/>
          </w:r>
          <w:r>
            <w:t>Challenges Associated with The Selected Mode of Transport</w:t>
          </w:r>
          <w:r>
            <w:tab/>
          </w:r>
          <w:r>
            <w:fldChar w:fldCharType="begin"/>
          </w:r>
          <w:r>
            <w:instrText xml:space="preserve"> PAGEREF _Toc23004 \h </w:instrText>
          </w:r>
          <w:r>
            <w:fldChar w:fldCharType="separate"/>
          </w:r>
          <w:r>
            <w:t>7</w:t>
          </w:r>
          <w:r>
            <w:fldChar w:fldCharType="end"/>
          </w:r>
          <w:r>
            <w:fldChar w:fldCharType="end"/>
          </w:r>
        </w:p>
        <w:p w14:paraId="6FA47FA3">
          <w:pPr>
            <w:pStyle w:val="19"/>
            <w:tabs>
              <w:tab w:val="right" w:leader="dot" w:pos="9360"/>
            </w:tabs>
          </w:pPr>
          <w:r>
            <w:fldChar w:fldCharType="begin"/>
          </w:r>
          <w:r>
            <w:instrText xml:space="preserve"> HYPERLINK \l _Toc28165 </w:instrText>
          </w:r>
          <w:r>
            <w:fldChar w:fldCharType="separate"/>
          </w:r>
          <w:r>
            <w:t>Improvement of this mode of transport with cost-effectiveness and realism</w:t>
          </w:r>
          <w:r>
            <w:tab/>
          </w:r>
          <w:r>
            <w:fldChar w:fldCharType="begin"/>
          </w:r>
          <w:r>
            <w:instrText xml:space="preserve"> PAGEREF _Toc28165 \h </w:instrText>
          </w:r>
          <w:r>
            <w:fldChar w:fldCharType="separate"/>
          </w:r>
          <w:r>
            <w:t>8</w:t>
          </w:r>
          <w:r>
            <w:fldChar w:fldCharType="end"/>
          </w:r>
          <w:r>
            <w:fldChar w:fldCharType="end"/>
          </w:r>
        </w:p>
        <w:p w14:paraId="26AE2237">
          <w:pPr>
            <w:pStyle w:val="20"/>
            <w:tabs>
              <w:tab w:val="right" w:leader="dot" w:pos="9360"/>
            </w:tabs>
          </w:pPr>
          <w:r>
            <w:fldChar w:fldCharType="begin"/>
          </w:r>
          <w:r>
            <w:instrText xml:space="preserve"> HYPERLINK \l _Toc5486 </w:instrText>
          </w:r>
          <w:r>
            <w:fldChar w:fldCharType="separate"/>
          </w:r>
          <w:r>
            <w:t>Improvement</w:t>
          </w:r>
          <w:r>
            <w:tab/>
          </w:r>
          <w:r>
            <w:fldChar w:fldCharType="begin"/>
          </w:r>
          <w:r>
            <w:instrText xml:space="preserve"> PAGEREF _Toc5486 \h </w:instrText>
          </w:r>
          <w:r>
            <w:fldChar w:fldCharType="separate"/>
          </w:r>
          <w:r>
            <w:t>8</w:t>
          </w:r>
          <w:r>
            <w:fldChar w:fldCharType="end"/>
          </w:r>
          <w:r>
            <w:fldChar w:fldCharType="end"/>
          </w:r>
        </w:p>
        <w:p w14:paraId="0F8A9147">
          <w:pPr>
            <w:pStyle w:val="20"/>
            <w:tabs>
              <w:tab w:val="right" w:leader="dot" w:pos="9360"/>
            </w:tabs>
          </w:pPr>
          <w:r>
            <w:fldChar w:fldCharType="begin"/>
          </w:r>
          <w:r>
            <w:instrText xml:space="preserve"> HYPERLINK \l _Toc4276 </w:instrText>
          </w:r>
          <w:r>
            <w:fldChar w:fldCharType="separate"/>
          </w:r>
          <w:r>
            <w:t>Cost-effectiveness</w:t>
          </w:r>
          <w:r>
            <w:tab/>
          </w:r>
          <w:r>
            <w:fldChar w:fldCharType="begin"/>
          </w:r>
          <w:r>
            <w:instrText xml:space="preserve"> PAGEREF _Toc4276 \h </w:instrText>
          </w:r>
          <w:r>
            <w:fldChar w:fldCharType="separate"/>
          </w:r>
          <w:r>
            <w:t>8</w:t>
          </w:r>
          <w:r>
            <w:fldChar w:fldCharType="end"/>
          </w:r>
          <w:r>
            <w:fldChar w:fldCharType="end"/>
          </w:r>
        </w:p>
        <w:p w14:paraId="42D7A6A2">
          <w:pPr>
            <w:pStyle w:val="20"/>
            <w:tabs>
              <w:tab w:val="right" w:leader="dot" w:pos="9360"/>
            </w:tabs>
          </w:pPr>
          <w:r>
            <w:fldChar w:fldCharType="begin"/>
          </w:r>
          <w:r>
            <w:instrText xml:space="preserve"> HYPERLINK \l _Toc13010 </w:instrText>
          </w:r>
          <w:r>
            <w:fldChar w:fldCharType="separate"/>
          </w:r>
          <w:r>
            <w:t>Realism Analysis using the Technology Acceptance Model (TAM)</w:t>
          </w:r>
          <w:r>
            <w:tab/>
          </w:r>
          <w:r>
            <w:fldChar w:fldCharType="begin"/>
          </w:r>
          <w:r>
            <w:instrText xml:space="preserve"> PAGEREF _Toc13010 \h </w:instrText>
          </w:r>
          <w:r>
            <w:fldChar w:fldCharType="separate"/>
          </w:r>
          <w:r>
            <w:t>8</w:t>
          </w:r>
          <w:r>
            <w:fldChar w:fldCharType="end"/>
          </w:r>
          <w:r>
            <w:fldChar w:fldCharType="end"/>
          </w:r>
        </w:p>
        <w:p w14:paraId="67AE15BE">
          <w:pPr>
            <w:pStyle w:val="19"/>
            <w:tabs>
              <w:tab w:val="right" w:leader="dot" w:pos="9360"/>
            </w:tabs>
          </w:pPr>
          <w:r>
            <w:fldChar w:fldCharType="begin"/>
          </w:r>
          <w:r>
            <w:instrText xml:space="preserve"> HYPERLINK \l _Toc5970 </w:instrText>
          </w:r>
          <w:r>
            <w:fldChar w:fldCharType="separate"/>
          </w:r>
          <w:r>
            <w:t>Impact over community</w:t>
          </w:r>
          <w:r>
            <w:tab/>
          </w:r>
          <w:r>
            <w:fldChar w:fldCharType="begin"/>
          </w:r>
          <w:r>
            <w:instrText xml:space="preserve"> PAGEREF _Toc5970 \h </w:instrText>
          </w:r>
          <w:r>
            <w:fldChar w:fldCharType="separate"/>
          </w:r>
          <w:r>
            <w:t>9</w:t>
          </w:r>
          <w:r>
            <w:fldChar w:fldCharType="end"/>
          </w:r>
          <w:r>
            <w:fldChar w:fldCharType="end"/>
          </w:r>
        </w:p>
        <w:p w14:paraId="2B9CB465">
          <w:pPr>
            <w:pStyle w:val="19"/>
            <w:tabs>
              <w:tab w:val="right" w:leader="dot" w:pos="9360"/>
            </w:tabs>
          </w:pPr>
          <w:r>
            <w:fldChar w:fldCharType="begin"/>
          </w:r>
          <w:r>
            <w:instrText xml:space="preserve"> HYPERLINK \l _Toc13620 </w:instrText>
          </w:r>
          <w:r>
            <w:fldChar w:fldCharType="separate"/>
          </w:r>
          <w:r>
            <w:t>The improvements’ benefits to the environment</w:t>
          </w:r>
          <w:r>
            <w:tab/>
          </w:r>
          <w:r>
            <w:fldChar w:fldCharType="begin"/>
          </w:r>
          <w:r>
            <w:instrText xml:space="preserve"> PAGEREF _Toc13620 \h </w:instrText>
          </w:r>
          <w:r>
            <w:fldChar w:fldCharType="separate"/>
          </w:r>
          <w:r>
            <w:t>9</w:t>
          </w:r>
          <w:r>
            <w:fldChar w:fldCharType="end"/>
          </w:r>
          <w:r>
            <w:fldChar w:fldCharType="end"/>
          </w:r>
        </w:p>
        <w:p w14:paraId="5BFA4C6E">
          <w:pPr>
            <w:pStyle w:val="20"/>
            <w:tabs>
              <w:tab w:val="right" w:leader="dot" w:pos="9360"/>
            </w:tabs>
          </w:pPr>
          <w:r>
            <w:fldChar w:fldCharType="begin"/>
          </w:r>
          <w:r>
            <w:instrText xml:space="preserve"> HYPERLINK \l _Toc13723 </w:instrText>
          </w:r>
          <w:r>
            <w:fldChar w:fldCharType="separate"/>
          </w:r>
          <w:r>
            <w:t>Reduced Emissions</w:t>
          </w:r>
          <w:r>
            <w:tab/>
          </w:r>
          <w:r>
            <w:fldChar w:fldCharType="begin"/>
          </w:r>
          <w:r>
            <w:instrText xml:space="preserve"> PAGEREF _Toc13723 \h </w:instrText>
          </w:r>
          <w:r>
            <w:fldChar w:fldCharType="separate"/>
          </w:r>
          <w:r>
            <w:t>9</w:t>
          </w:r>
          <w:r>
            <w:fldChar w:fldCharType="end"/>
          </w:r>
          <w:r>
            <w:fldChar w:fldCharType="end"/>
          </w:r>
        </w:p>
        <w:p w14:paraId="05834934">
          <w:pPr>
            <w:pStyle w:val="20"/>
            <w:tabs>
              <w:tab w:val="right" w:leader="dot" w:pos="9360"/>
            </w:tabs>
          </w:pPr>
          <w:r>
            <w:fldChar w:fldCharType="begin"/>
          </w:r>
          <w:r>
            <w:instrText xml:space="preserve"> HYPERLINK \l _Toc12720 </w:instrText>
          </w:r>
          <w:r>
            <w:fldChar w:fldCharType="separate"/>
          </w:r>
          <w:r>
            <w:t>Energy Efficiency</w:t>
          </w:r>
          <w:r>
            <w:tab/>
          </w:r>
          <w:r>
            <w:fldChar w:fldCharType="begin"/>
          </w:r>
          <w:r>
            <w:instrText xml:space="preserve"> PAGEREF _Toc12720 \h </w:instrText>
          </w:r>
          <w:r>
            <w:fldChar w:fldCharType="separate"/>
          </w:r>
          <w:r>
            <w:t>9</w:t>
          </w:r>
          <w:r>
            <w:fldChar w:fldCharType="end"/>
          </w:r>
          <w:r>
            <w:fldChar w:fldCharType="end"/>
          </w:r>
        </w:p>
        <w:p w14:paraId="4EA7FE6C">
          <w:pPr>
            <w:pStyle w:val="20"/>
            <w:tabs>
              <w:tab w:val="right" w:leader="dot" w:pos="9360"/>
            </w:tabs>
          </w:pPr>
          <w:r>
            <w:fldChar w:fldCharType="begin"/>
          </w:r>
          <w:r>
            <w:instrText xml:space="preserve"> HYPERLINK \l _Toc25407 </w:instrText>
          </w:r>
          <w:r>
            <w:fldChar w:fldCharType="separate"/>
          </w:r>
          <w:r>
            <w:t>Reduced Traffic Congestion</w:t>
          </w:r>
          <w:r>
            <w:tab/>
          </w:r>
          <w:r>
            <w:fldChar w:fldCharType="begin"/>
          </w:r>
          <w:r>
            <w:instrText xml:space="preserve"> PAGEREF _Toc25407 \h </w:instrText>
          </w:r>
          <w:r>
            <w:fldChar w:fldCharType="separate"/>
          </w:r>
          <w:r>
            <w:t>10</w:t>
          </w:r>
          <w:r>
            <w:fldChar w:fldCharType="end"/>
          </w:r>
          <w:r>
            <w:fldChar w:fldCharType="end"/>
          </w:r>
        </w:p>
        <w:p w14:paraId="136AE737">
          <w:pPr>
            <w:pStyle w:val="19"/>
            <w:tabs>
              <w:tab w:val="right" w:leader="dot" w:pos="9360"/>
            </w:tabs>
          </w:pPr>
          <w:r>
            <w:fldChar w:fldCharType="begin"/>
          </w:r>
          <w:r>
            <w:instrText xml:space="preserve"> HYPERLINK \l _Toc17436 </w:instrText>
          </w:r>
          <w:r>
            <w:fldChar w:fldCharType="separate"/>
          </w:r>
          <w:r>
            <w:t>Conclusion/Recommendations</w:t>
          </w:r>
          <w:r>
            <w:tab/>
          </w:r>
          <w:r>
            <w:fldChar w:fldCharType="begin"/>
          </w:r>
          <w:r>
            <w:instrText xml:space="preserve"> PAGEREF _Toc17436 \h </w:instrText>
          </w:r>
          <w:r>
            <w:fldChar w:fldCharType="separate"/>
          </w:r>
          <w:r>
            <w:t>10</w:t>
          </w:r>
          <w:r>
            <w:fldChar w:fldCharType="end"/>
          </w:r>
          <w:r>
            <w:fldChar w:fldCharType="end"/>
          </w:r>
        </w:p>
        <w:p w14:paraId="386E06C0">
          <w:pPr>
            <w:pStyle w:val="18"/>
            <w:tabs>
              <w:tab w:val="right" w:leader="dot" w:pos="9360"/>
            </w:tabs>
          </w:pPr>
          <w:r>
            <w:fldChar w:fldCharType="begin"/>
          </w:r>
          <w:r>
            <w:instrText xml:space="preserve"> HYPERLINK \l _Toc19483 </w:instrText>
          </w:r>
          <w:r>
            <w:fldChar w:fldCharType="separate"/>
          </w:r>
          <w:r>
            <w:t>References</w:t>
          </w:r>
          <w:r>
            <w:tab/>
          </w:r>
          <w:r>
            <w:fldChar w:fldCharType="begin"/>
          </w:r>
          <w:r>
            <w:instrText xml:space="preserve"> PAGEREF _Toc19483 \h </w:instrText>
          </w:r>
          <w:r>
            <w:fldChar w:fldCharType="separate"/>
          </w:r>
          <w:r>
            <w:t>11</w:t>
          </w:r>
          <w:r>
            <w:fldChar w:fldCharType="end"/>
          </w:r>
          <w:r>
            <w:fldChar w:fldCharType="end"/>
          </w:r>
        </w:p>
        <w:p w14:paraId="1561010C">
          <w:pPr>
            <w:pStyle w:val="18"/>
            <w:widowControl w:val="0"/>
            <w:tabs>
              <w:tab w:val="right" w:leader="dot" w:pos="9350"/>
            </w:tabs>
            <w:spacing w:before="60" w:line="240" w:lineRule="auto"/>
            <w:jc w:val="left"/>
            <w:rPr>
              <w:b/>
              <w:color w:val="000000"/>
              <w:sz w:val="22"/>
              <w:szCs w:val="22"/>
            </w:rPr>
          </w:pPr>
          <w:r>
            <w:fldChar w:fldCharType="end"/>
          </w:r>
        </w:p>
      </w:sdtContent>
    </w:sdt>
    <w:p w14:paraId="7D54CA36">
      <w:r>
        <w:br w:type="page"/>
      </w:r>
    </w:p>
    <w:p w14:paraId="38DE6836">
      <w:pPr>
        <w:rPr>
          <w:b/>
          <w:sz w:val="28"/>
          <w:szCs w:val="28"/>
        </w:rPr>
      </w:pPr>
    </w:p>
    <w:p w14:paraId="4750BD5A">
      <w:pPr>
        <w:pStyle w:val="2"/>
      </w:pPr>
      <w:bookmarkStart w:id="0" w:name="_Toc30082"/>
      <w:r>
        <w:t>Assessment 2 – Report</w:t>
      </w:r>
      <w:bookmarkEnd w:id="0"/>
    </w:p>
    <w:p w14:paraId="7F7D0872">
      <w:pPr>
        <w:jc w:val="center"/>
        <w:rPr>
          <w:b/>
          <w:sz w:val="28"/>
          <w:szCs w:val="28"/>
        </w:rPr>
      </w:pPr>
      <w:r>
        <w:rPr>
          <w:b/>
          <w:sz w:val="28"/>
          <w:szCs w:val="28"/>
        </w:rPr>
        <w:t>Executive Summary</w:t>
      </w:r>
    </w:p>
    <w:p w14:paraId="7ABA0D0C">
      <w:r>
        <w:t>Autonomous Electric Vehicles (AEVs) offer a transformative approach to transportation considering the hospitality industry. This can be achieved through the integration of artificial intelligence with a set of solutions based on mobility. AEVs utilise a number of AI, sensors, and cameras to navigate a range of roads. On the other hand, associated batteries can reduce the emissions of carbon in a major way. The potential of AEVs lies in the improvement of the safety of roads. This can reduce congestion of traffic along with promoting sustainability of the environment. A number of sectors based on hospitality in the UK such as Hilton and The Zetter Hotel are prone to explore the adoption of AEV. These can benefit from cost-effectiveness, a reduced level of emissions, and enhanced experiences for guests through the integration of smart approaches to transport.</w:t>
      </w:r>
    </w:p>
    <w:p w14:paraId="4E938D81">
      <w:pPr>
        <w:pStyle w:val="3"/>
      </w:pPr>
      <w:bookmarkStart w:id="1" w:name="_Toc2078"/>
      <w:r>
        <w:t>Introduction </w:t>
      </w:r>
      <w:bookmarkEnd w:id="1"/>
    </w:p>
    <w:p w14:paraId="0DA8695B">
      <w:r>
        <w:t xml:space="preserve">Hospitality transport demonstrates the seamless movements of the guests within and around the establishment of the hospitality sectors such as resorts, hotels, entertainment venues and so on (Mercan </w:t>
      </w:r>
      <w:r>
        <w:rPr>
          <w:i/>
        </w:rPr>
        <w:t>et al.,</w:t>
      </w:r>
      <w:r>
        <w:t xml:space="preserve"> 2021). It encompasses a range of services that are specially designed to enhance the guest experiences and ensure comfort with further efficiency and convenience. This includes shuttle services, airport transfers, valet parking and in-house transportation. The hospitality transport also includes luxury buses which are mainly offered by the high-end result that run exclusively between the city centres, airports and hotel premises only. The Changi Airport in Singapore uses self-driving EVs between the hotels and terminals to improve efficiency and reduce carbon emissions to offer attractive and futuristic travel experiences (connectedtechnologysolutions.co.uk, 2023). </w:t>
      </w:r>
    </w:p>
    <w:p w14:paraId="10DE7338"/>
    <w:p w14:paraId="40F6F6CC">
      <w:r>
        <w:t>AEVs are self-driving battery-powered vehicles that leverage Artificial Intelligence and sensor technology for navigating roads without the intervention of humans. These vehicles are considered by hospitality transport due to their exceptional potential to reduce operational costs along with enhancing efficiency and profitability. In the resorts and hotels, AEVs can be deployed for guest pick-ups, inhouse mobility and luggage transport by offering a futuristic and eco-friendly alternative to traditional services. The hospitality industry seeks to adopt yo smarter and greener transportation, where AEVs outline a transformative shift for efficiency and conscious guest experiences.</w:t>
      </w:r>
    </w:p>
    <w:p w14:paraId="5D66C693"/>
    <w:p w14:paraId="4ADCE6C5">
      <w:pPr>
        <w:rPr>
          <w:b/>
        </w:rPr>
      </w:pPr>
      <w:r>
        <w:br w:type="page"/>
      </w:r>
    </w:p>
    <w:p w14:paraId="178DE697">
      <w:pPr>
        <w:pStyle w:val="3"/>
      </w:pPr>
      <w:bookmarkStart w:id="2" w:name="_Toc5587"/>
      <w:r>
        <w:t>Discussion</w:t>
      </w:r>
      <w:bookmarkEnd w:id="2"/>
    </w:p>
    <w:p w14:paraId="39D3EC39">
      <w:pPr>
        <w:pStyle w:val="4"/>
      </w:pPr>
      <w:bookmarkStart w:id="3" w:name="_Toc8714"/>
      <w:r>
        <w:t>Overview of Autonomous Electric Vehicles (AEVs)</w:t>
      </w:r>
      <w:bookmarkEnd w:id="3"/>
      <w:r>
        <w:t xml:space="preserve"> </w:t>
      </w:r>
    </w:p>
    <w:p w14:paraId="121A177C">
      <w:r>
        <w:t>Autonomous Electric Vehicles (AEVs) deliver a radical departure in transportation through their combination of artificial intelligence (AI) alongside eco-friendly mobility solutions. Apart from human supervision AEVs use sensors and cameras together with LiDAR and machine-learning algorithms for safe road and traffic navigation (</w:t>
      </w:r>
      <w:r>
        <w:rPr>
          <w:highlight w:val="white"/>
        </w:rPr>
        <w:t xml:space="preserve">Damaj </w:t>
      </w:r>
      <w:r>
        <w:rPr>
          <w:i/>
          <w:highlight w:val="white"/>
        </w:rPr>
        <w:t>et al</w:t>
      </w:r>
      <w:r>
        <w:rPr>
          <w:highlight w:val="white"/>
        </w:rPr>
        <w:t>., 2021)</w:t>
      </w:r>
      <w:r>
        <w:t>. AEVs are powered by electric batteries in place of conventional fuel systems which results in substantial reductions of carbon pollution. The main purpose behind AEVs remains to boost safety on roads alongside optimizing traffic flow while preserving environmental sustainability. Smart city programs worldwide use these vehicles in testing and implementation stages through leaders such as Tesla, Waymo and Cruise. The adoption of AEVs enables reduced carbon emissions together with driver-error prevention features along with cheaper operational expenses and greater accessibility for those with mobility limitations (</w:t>
      </w:r>
      <w:r>
        <w:rPr>
          <w:highlight w:val="white"/>
        </w:rPr>
        <w:t>Zhuge and Wang, 2021)</w:t>
      </w:r>
      <w:r>
        <w:t>. Developing AEV technology requires addressing infrastructure readiness limitations along with regulatory framework implementation and cybersecurity security policies before achieving widespread adoption.</w:t>
      </w:r>
    </w:p>
    <w:p w14:paraId="0E039C2F">
      <w:pPr>
        <w:jc w:val="center"/>
      </w:pPr>
      <w:r>
        <w:drawing>
          <wp:inline distT="114300" distB="114300" distL="114300" distR="114300">
            <wp:extent cx="4896485" cy="3162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6"/>
                    <a:srcRect/>
                    <a:stretch>
                      <a:fillRect/>
                    </a:stretch>
                  </pic:blipFill>
                  <pic:spPr>
                    <a:xfrm>
                      <a:off x="0" y="0"/>
                      <a:ext cx="4896576" cy="3162769"/>
                    </a:xfrm>
                    <a:prstGeom prst="rect">
                      <a:avLst/>
                    </a:prstGeom>
                  </pic:spPr>
                </pic:pic>
              </a:graphicData>
            </a:graphic>
          </wp:inline>
        </w:drawing>
      </w:r>
    </w:p>
    <w:p w14:paraId="3B8B6A07">
      <w:pPr>
        <w:jc w:val="center"/>
        <w:rPr>
          <w:b/>
        </w:rPr>
      </w:pPr>
      <w:r>
        <w:rPr>
          <w:b/>
        </w:rPr>
        <w:t xml:space="preserve">Figure: Features of Autonomous Electric Vehicles (AEVs) </w:t>
      </w:r>
    </w:p>
    <w:p w14:paraId="6E6F55CC">
      <w:pPr>
        <w:jc w:val="center"/>
      </w:pPr>
      <w:r>
        <w:t xml:space="preserve">(Source: </w:t>
      </w:r>
      <w:r>
        <w:rPr>
          <w:highlight w:val="white"/>
        </w:rPr>
        <w:t>El Hamdani and Benamar, 2019)</w:t>
      </w:r>
    </w:p>
    <w:p w14:paraId="403B6959">
      <w:pPr>
        <w:pStyle w:val="4"/>
      </w:pPr>
      <w:bookmarkStart w:id="4" w:name="_Toc2963"/>
      <w:r>
        <w:t>Key Components and Functionality of AEVs</w:t>
      </w:r>
      <w:bookmarkEnd w:id="4"/>
    </w:p>
    <w:p w14:paraId="42454716">
      <w:r>
        <w:t>Autonomous Electric Vehicles (AEVs) need various technological systems alongside infrastructural elements for their development. The vehicles implement AI programs, GPS navigation and high-definition mapping systems to process instant data which helps them execute decisions (</w:t>
      </w:r>
      <w:r>
        <w:rPr>
          <w:highlight w:val="white"/>
        </w:rPr>
        <w:t>Ajao and Sadeeq, 2023)</w:t>
      </w:r>
      <w:r>
        <w:t>. AEVs operate at six autonomous levels starting from Level 0 through to Level 5 which represents complete automation requiring no human driver intervention. The ADAS systems found in AEVs allow the detection of pedestrians and recognition of traffic signals at the same time they monitor environmental conditions. AEV infrastructure depends on discrete charging facilities along with 5G technology for V2V and V2I communication through dedicated networks backed by established safety standards. Several organizations alongside governmental entities spend their resources on thorough technical research and experimental projects that improve this innovation (</w:t>
      </w:r>
      <w:r>
        <w:rPr>
          <w:highlight w:val="white"/>
        </w:rPr>
        <w:t>Ajao and Sadeeq, 2024)</w:t>
      </w:r>
      <w:r>
        <w:t>. AEVs offer safer and more efficient transportation but their widespread success depends on resolving moral challenges and security risks and integrating this technology into both urban and countryside areas.</w:t>
      </w:r>
    </w:p>
    <w:p w14:paraId="76C4E2F7">
      <w:pPr>
        <w:pStyle w:val="4"/>
      </w:pPr>
      <w:bookmarkStart w:id="5" w:name="_Toc23004"/>
      <w:r>
        <w:t>Challenges Associated with The Selected Mode of Transport</w:t>
      </w:r>
      <w:bookmarkEnd w:id="5"/>
      <w:r>
        <w:t xml:space="preserve"> </w:t>
      </w:r>
    </w:p>
    <w:p w14:paraId="7A4424F9">
      <w:r>
        <w:t>The environmental advantages of AEVs exist alongside sustainability issues that create challenges for their operation. Electric vehicle battery manufacturing demands rare earth minerals such as lithium and cobalt to produce batteries thus regarding both environmental and ethical mining practices negatively. AEVs need extensive data processing that raises their power requirements for electric vehicle operation (</w:t>
      </w:r>
      <w:r>
        <w:rPr>
          <w:highlight w:val="white"/>
        </w:rPr>
        <w:t>Valente, U., 2024)</w:t>
      </w:r>
      <w:r>
        <w:t>. The management of EV batteries stands as a problem because improper recycling processes result in toxic waste production. When AEVs gain extensive market penetration they could cause public transportation demand to decrease resulting in more traffic congestion and more development of residential areas. The resolution of these problems needs progress in battery recycling procedures along with the integration of clean energy technology and enhanced urban transport policy systems.</w:t>
      </w:r>
    </w:p>
    <w:p w14:paraId="234B5F6B">
      <w:pPr>
        <w:rPr>
          <w:b/>
        </w:rPr>
      </w:pPr>
      <w:bookmarkStart w:id="6" w:name="_heading=h.tyjcwt" w:colFirst="0" w:colLast="0"/>
      <w:bookmarkEnd w:id="6"/>
      <w:r>
        <w:br w:type="page"/>
      </w:r>
    </w:p>
    <w:p w14:paraId="1D984232">
      <w:pPr>
        <w:pStyle w:val="3"/>
      </w:pPr>
      <w:bookmarkStart w:id="7" w:name="_Toc28165"/>
      <w:r>
        <w:t>Improvement of this mode of transport with cost-effectiveness and realism</w:t>
      </w:r>
      <w:bookmarkEnd w:id="7"/>
    </w:p>
    <w:p w14:paraId="75304616">
      <w:pPr>
        <w:pStyle w:val="4"/>
      </w:pPr>
      <w:bookmarkStart w:id="8" w:name="_Toc5486"/>
      <w:r>
        <w:t>Improvement</w:t>
      </w:r>
      <w:bookmarkEnd w:id="8"/>
    </w:p>
    <w:p w14:paraId="57FDB699">
      <w:pPr>
        <w:rPr>
          <w:b/>
          <w:i/>
        </w:rPr>
      </w:pPr>
      <w:r>
        <w:rPr>
          <w:b/>
          <w:i/>
        </w:rPr>
        <w:t>Battery Life and Charging-related Efficiency</w:t>
      </w:r>
    </w:p>
    <w:p w14:paraId="3B52E81E">
      <w:r>
        <w:t xml:space="preserve">Current batteries integrated in electric vehicles generally last for up to 8 years along with requiring a major form of improvements in the density of energy. The probability of advancements in batteries with a solid state in enhancing range is evident. The market of solid-state batteries is projected to witness an annual growth of around 13% from 2024 to 2031 (Mahajan, 2024). This can make AEVs excessively practical for usage on a daily basis considering transport from airports or hotels. A number of ultra-fast chargers could reduce the time of charging to under 30 minutes. This can introduce improvements in the level of efficiency. </w:t>
      </w:r>
    </w:p>
    <w:p w14:paraId="769FAD3F">
      <w:pPr>
        <w:rPr>
          <w:b/>
          <w:i/>
        </w:rPr>
      </w:pPr>
      <w:r>
        <w:rPr>
          <w:b/>
          <w:i/>
        </w:rPr>
        <w:t>Integration with Smart Infrastructure</w:t>
      </w:r>
    </w:p>
    <w:p w14:paraId="66C64EBC">
      <w:r>
        <w:t xml:space="preserve">Technology related to smart cities can reduce congestion in traffic along with enhancing the safety of roads. This can introduce improvements in the operations of AEV. The European Commission plans to invest around 42 billion euros in a set of smart mobility-based technologies by 2030 to support such infrastructure to focus on the vast adaptability of AEVs by hotels and resorts (European Commission, 2025). </w:t>
      </w:r>
    </w:p>
    <w:p w14:paraId="60C75E15">
      <w:pPr>
        <w:pStyle w:val="4"/>
      </w:pPr>
      <w:bookmarkStart w:id="9" w:name="_Toc4276"/>
      <w:r>
        <w:t>Cost-effectiveness</w:t>
      </w:r>
      <w:bookmarkEnd w:id="9"/>
    </w:p>
    <w:p w14:paraId="5B713906">
      <w:r>
        <w:t>An estimated set of costs within the range from £100,000 to £200,000 for AEVs can be considered per vehicle. Operating costs such as electricity and software are lower compared to a number of traditional vehicles. AEVs could reduce operational costs over time for hotels focused on transportation-as-a-service such as The Zetter Hotel or Hilton London Bankside (Torres and George, 2023). UK-based company ‘Tusker’ claimed maintenance and repair-based costs of EVs are around 40% less compared to vehicles run on petrol and diesel. However, the prices of Tesla cars have increased since the implementation of software based on the self-driving feature.</w:t>
      </w:r>
    </w:p>
    <w:p w14:paraId="21A57C84">
      <w:pPr>
        <w:pStyle w:val="4"/>
      </w:pPr>
      <w:bookmarkStart w:id="10" w:name="_Toc13010"/>
      <w:r>
        <w:t>Realism Analysis using the Technology Acceptance Model (TAM)</w:t>
      </w:r>
      <w:bookmarkEnd w:id="10"/>
    </w:p>
    <w:p w14:paraId="64A6858E">
      <w:r>
        <w:t xml:space="preserve">AEVs must have a user-friendly approach to the interface and installation. Business entities such as Hilton are on the verge of involving autonomous EVs by partnering with Tesla along with building a network of 20,000 charging-based stations. The focus is on simplicity and seamlessness of integration with existing transport-based protocols (Hilton, 2023). </w:t>
      </w:r>
    </w:p>
    <w:p w14:paraId="635E7BDD">
      <w:r>
        <w:t>AEVs are required to offer a set of real beneficial aspects. These include convenience and sustainability. Arrival introduced electric vehicles with a set of autonomous capabilities in 2022. This showcased potential for a commercial form of usage in the hospitality-focused industry along with reducing emissions by up to 30%.</w:t>
      </w:r>
    </w:p>
    <w:p w14:paraId="3AC2C0FA">
      <w:pPr>
        <w:pStyle w:val="3"/>
      </w:pPr>
      <w:bookmarkStart w:id="11" w:name="_Toc5970"/>
      <w:r>
        <w:t>Impact over community</w:t>
      </w:r>
      <w:bookmarkEnd w:id="11"/>
    </w:p>
    <w:p w14:paraId="5C71FBAE">
      <w:r>
        <w:t>The development of AEVs in the hospitality transforms facilitates job transformations. The traditional driving jobs get declined due to AEVs and the new job roles further include AI monitoring, maintenance, fleet management and so on. AEVs can enhance accessibility for disabled and elderly individuals also by offering barrier-free and in-demand mobility solutions (Martin, 2019). There are concerns regarding privacy data security and potential job displacements within the transport sectors which are challenges that need to be addressed further. </w:t>
      </w:r>
    </w:p>
    <w:p w14:paraId="1BD11948">
      <w:pPr>
        <w:pStyle w:val="3"/>
      </w:pPr>
      <w:bookmarkStart w:id="12" w:name="_Toc13620"/>
      <w:r>
        <w:t>The improvements’ benefits to the environment</w:t>
      </w:r>
      <w:bookmarkEnd w:id="12"/>
    </w:p>
    <w:p w14:paraId="3FC3952E">
      <w:pPr>
        <w:pStyle w:val="4"/>
      </w:pPr>
      <w:bookmarkStart w:id="13" w:name="_Toc13723"/>
      <w:r>
        <w:t>Reduced Emissions</w:t>
      </w:r>
      <w:bookmarkEnd w:id="13"/>
    </w:p>
    <w:p w14:paraId="4D3EDE20">
      <w:r>
        <w:t>AEVs are considered electric along with being capable of producing zero emissions. This can reduce the emissions of greenhouse gases in a major way compared to a traditional set of vehicles powered by fossil fuels. Their autonomous form of nature can optimise a set of patterns of driving. This can reduce the consumption of energy along with decreasing emissions further. The Gateway Project in Greenwich, London tested a number of autonomous forms of electric shuttles. This was part of a joint initiative of the government in the UK. The goal was to explore a set of solutions based on a smart approach to transport. Apart from these, the Luton DART system is successfully testing a number of solutions related to autonomous and electric transport between Luton Airport and the railway station (Railway Technology, 2020).</w:t>
      </w:r>
    </w:p>
    <w:p w14:paraId="7FDC5859">
      <w:pPr>
        <w:pStyle w:val="4"/>
      </w:pPr>
      <w:bookmarkStart w:id="14" w:name="_Toc12720"/>
      <w:r>
        <w:t>Energy Efficiency</w:t>
      </w:r>
      <w:bookmarkEnd w:id="14"/>
    </w:p>
    <w:p w14:paraId="43364FA9">
      <w:r>
        <w:t xml:space="preserve">AEVs can be programmed to introduce optimisation in routes, reduce the time of idling, and adjust to the circumstances of traffic. This can enhance the efficiency of energy. Such aspects make them excessively sustainable considering the consumption of electricity. Westfield London is exploring the utilisation of a number of autonomous forms of electric shuttles. The goal is to move guests around its vast shopping-based complex. The vehicles are designed to introduce optimisation in the routes of travel. This can ensure a minimal form of usage of energy along with reducing footprints in the carbon as a whole (Brown </w:t>
      </w:r>
      <w:r>
        <w:rPr>
          <w:i/>
        </w:rPr>
        <w:t>et al.</w:t>
      </w:r>
      <w:r>
        <w:t>, 2022).</w:t>
      </w:r>
    </w:p>
    <w:p w14:paraId="159ACDA7">
      <w:pPr>
        <w:pStyle w:val="4"/>
      </w:pPr>
      <w:bookmarkStart w:id="15" w:name="_Toc25407"/>
      <w:r>
        <w:t>Reduced Traffic Congestion</w:t>
      </w:r>
      <w:bookmarkEnd w:id="15"/>
    </w:p>
    <w:p w14:paraId="6ED04F8A">
      <w:r>
        <w:t xml:space="preserve">AEVs can be helpful in the reduction of the number of traditional forms of vehicles on the road. This can additionally reduce the emissions of carbon along with promoting a smoother, excessively efficient flow of traffic in urban areas. The UK’s MK: Smart initiative includes a set of trials of AEVs in Milton Keynes. The goal is to introduce improvements in the transport at a local level. The project focuses on the reduction of congestion in a number of busy areas. This can tend toward a low amount of idling-related time for vehicles along with a lower range of emissions from transport (Kumakoshi </w:t>
      </w:r>
      <w:r>
        <w:rPr>
          <w:i/>
        </w:rPr>
        <w:t>et al.</w:t>
      </w:r>
      <w:r>
        <w:t>, 2021).</w:t>
      </w:r>
    </w:p>
    <w:p w14:paraId="48885319">
      <w:pPr>
        <w:pStyle w:val="3"/>
      </w:pPr>
      <w:bookmarkStart w:id="16" w:name="_Toc17436"/>
      <w:r>
        <w:t>Conclusion/Recommendations</w:t>
      </w:r>
      <w:bookmarkEnd w:id="16"/>
    </w:p>
    <w:p w14:paraId="30E8CA90">
      <w:r>
        <w:t>Autonomous Electric Vehicles (AEVs) represent a transformative approach to a shift in transportation. This is achieved by combining artificial intelligence with eco-friendly forms of electric mobility. AEVs utilise a number of sensors, cameras, LiDAR, and machine learning-based algorithms to navigate in a safe way. This can reduce the error of humans along with introducing optimisation in the flow of traffic. This can align with the goals of sustainability of the environment. Leaders around the globe such as Tesla, Waymo, and Cruise are on the verge of testing and implementing these vehicles in smart city-based programs. However, a vast form of adoption requires crossing the barriers of a number of obstacles. These include readiness of infrastructure, regulation-based frameworks, and cybersecurity-related concerns. Improvements in the life of batteries and efficiency are core to the enhancement of their practicality. Hotels such as Hilton already partnered with Tesla by incorporating chargers of EVs along with capitalising on its AEVs in the future. However, the initial cost of AEVs is still considered high. The focus is on a simple interface for users and a seamless form of integration with existing systems. A number of real-world instances such as the Gateway Project in Greenwich highlight the potential of AEVs in the reduction of emissions along with promoting sustainability.</w:t>
      </w:r>
    </w:p>
    <w:p w14:paraId="6DAFC00A">
      <w:r>
        <w:br w:type="page"/>
      </w:r>
    </w:p>
    <w:p w14:paraId="0A6735A6">
      <w:pPr>
        <w:pStyle w:val="2"/>
      </w:pPr>
      <w:bookmarkStart w:id="17" w:name="_Toc19483"/>
      <w:r>
        <w:t>References</w:t>
      </w:r>
      <w:bookmarkEnd w:id="17"/>
    </w:p>
    <w:p w14:paraId="3481D814">
      <w:r>
        <w:t>Railway Technology, 2020</w:t>
      </w:r>
      <w:r>
        <w:rPr>
          <w:i/>
        </w:rPr>
        <w:t>. Luton Direct Air-Rail Transit, London</w:t>
      </w:r>
      <w:r>
        <w:t>. Available at: https://www.railway-technology.com/projects/luton-direct-air-rail-transit-london/ (Accessed: 5 February 2025).</w:t>
      </w:r>
    </w:p>
    <w:p w14:paraId="744B48A3">
      <w:r>
        <w:t>Mahajan, R., 2024. </w:t>
      </w:r>
      <w:r>
        <w:rPr>
          <w:i/>
        </w:rPr>
        <w:t>5 Advancements in Solid-State Battery Beyond Lithium-ion Systems</w:t>
      </w:r>
      <w:r>
        <w:t>, </w:t>
      </w:r>
      <w:r>
        <w:rPr>
          <w:i/>
        </w:rPr>
        <w:t>Grey</w:t>
      </w:r>
      <w:r>
        <w:t>. Available at: https://www.greyb.com/blog/advancements-in-solid-state-batteries/ (Accessed: 5 February 2025).</w:t>
      </w:r>
    </w:p>
    <w:p w14:paraId="072E7919">
      <w:r>
        <w:t>European Commission, 2025</w:t>
      </w:r>
      <w:r>
        <w:rPr>
          <w:i/>
        </w:rPr>
        <w:t>. EU Budget: Commission proposes increased funding to invest in connecting Europeans with high-performance infrastructure</w:t>
      </w:r>
      <w:r>
        <w:t>. Available at: https://ec.europa.eu/commission/presscorner/detail/en/ip_18_4029 (Accessed: 5 February 2025).</w:t>
      </w:r>
    </w:p>
    <w:p w14:paraId="1CE86C81">
      <w:r>
        <w:t>Hilton, 2023. </w:t>
      </w:r>
      <w:r>
        <w:rPr>
          <w:i/>
        </w:rPr>
        <w:t>Hilton to Install Up to 20,000 Tesla Universal Wall Connectors at 2,000 Hotels: Hilton News</w:t>
      </w:r>
      <w:r>
        <w:t>, </w:t>
      </w:r>
      <w:r>
        <w:rPr>
          <w:i/>
        </w:rPr>
        <w:t>Stories From Hilton</w:t>
      </w:r>
      <w:r>
        <w:t>. Available at: https://stories.hilton.com/releases/hilton-to-install-up-to-20000-tesla-universal-wall-connectors-at-2000-hotels (Accessed: 5 February 2025).</w:t>
      </w:r>
    </w:p>
    <w:p w14:paraId="1B976217">
      <w:r>
        <w:t>Brown, N.E., Rojas, J.F., Garberville, N.A., Alzubi, H., Arousal, Q., Wang, C., Huff, S., Rios-Torres, J., Ekta, A.R., LaClair, T.J. and Meyer, R., 2022. Development of an energy efficient and cost-effective autonomous vehicle research platform. </w:t>
      </w:r>
      <w:r>
        <w:rPr>
          <w:i/>
        </w:rPr>
        <w:t>Sensors</w:t>
      </w:r>
      <w:r>
        <w:t>, </w:t>
      </w:r>
      <w:r>
        <w:rPr>
          <w:i/>
        </w:rPr>
        <w:t>22</w:t>
      </w:r>
      <w:r>
        <w:t>(16), p.5999.</w:t>
      </w:r>
    </w:p>
    <w:p w14:paraId="199ABBF0">
      <w:r>
        <w:t>Kumakoshi, Y., Hanabusa, H. and Oguchi, T., 2021. Impacts of shared autonomous vehicles: Tradeoff between parking demand reduction and congestion increase. </w:t>
      </w:r>
      <w:r>
        <w:rPr>
          <w:i/>
        </w:rPr>
        <w:t>Transportation Research Interdisciplinary Perspectives</w:t>
      </w:r>
      <w:r>
        <w:t>, </w:t>
      </w:r>
      <w:r>
        <w:rPr>
          <w:i/>
        </w:rPr>
        <w:t>12</w:t>
      </w:r>
      <w:r>
        <w:t>, p.100482.</w:t>
      </w:r>
    </w:p>
    <w:p w14:paraId="6028A6C6">
      <w:r>
        <w:t>Torres, P.S. and George, B., 2023. Disruptive transformation in the transport industry: Autonomous vehicles and transportation-as-a-service. </w:t>
      </w:r>
      <w:r>
        <w:rPr>
          <w:i/>
        </w:rPr>
        <w:t>Int J Emerg Trends Soc Sci</w:t>
      </w:r>
      <w:r>
        <w:t>, </w:t>
      </w:r>
      <w:r>
        <w:rPr>
          <w:i/>
        </w:rPr>
        <w:t>14</w:t>
      </w:r>
      <w:r>
        <w:t>, pp.28-37.</w:t>
      </w:r>
    </w:p>
    <w:p w14:paraId="1292E9CD">
      <w:pPr>
        <w:rPr>
          <w:highlight w:val="white"/>
        </w:rPr>
      </w:pPr>
      <w:r>
        <w:rPr>
          <w:highlight w:val="white"/>
        </w:rPr>
        <w:t xml:space="preserve">Ajao, Q. and Sadeeq, L., 2024. Modeling and Simulation of a Fully Autonomous Electric Vehicle (AEV). </w:t>
      </w:r>
      <w:r>
        <w:rPr>
          <w:i/>
          <w:highlight w:val="white"/>
        </w:rPr>
        <w:t>arrive preprint arXiv:2409.11641</w:t>
      </w:r>
      <w:r>
        <w:rPr>
          <w:highlight w:val="white"/>
        </w:rPr>
        <w:t>.</w:t>
      </w:r>
    </w:p>
    <w:p w14:paraId="29201838">
      <w:pPr>
        <w:rPr>
          <w:highlight w:val="white"/>
        </w:rPr>
      </w:pPr>
      <w:r>
        <w:rPr>
          <w:highlight w:val="white"/>
        </w:rPr>
        <w:t xml:space="preserve">Ajao, Q. and Sadeeq, L.G., 2023. Overview analysis of recent developments on self-driving electric vehicles. </w:t>
      </w:r>
      <w:r>
        <w:rPr>
          <w:i/>
          <w:highlight w:val="white"/>
        </w:rPr>
        <w:t>arrive preprint arXiv:2307.00016</w:t>
      </w:r>
      <w:r>
        <w:rPr>
          <w:highlight w:val="white"/>
        </w:rPr>
        <w:t>.</w:t>
      </w:r>
    </w:p>
    <w:p w14:paraId="4F4DDF67">
      <w:r>
        <w:rPr>
          <w:highlight w:val="white"/>
        </w:rPr>
        <w:t xml:space="preserve">Damaj, I.W., Serhal, D.K., Hamadi, L.A., Zan tout, R.N. and Muftah, H.T., 2021. Connected and autonomous electric vehicles: Quality of experience survey and taxonomy. </w:t>
      </w:r>
      <w:r>
        <w:rPr>
          <w:i/>
          <w:highlight w:val="white"/>
        </w:rPr>
        <w:t>Vehicular Communications</w:t>
      </w:r>
      <w:r>
        <w:rPr>
          <w:highlight w:val="white"/>
        </w:rPr>
        <w:t xml:space="preserve">, </w:t>
      </w:r>
      <w:r>
        <w:rPr>
          <w:i/>
          <w:highlight w:val="white"/>
        </w:rPr>
        <w:t>28</w:t>
      </w:r>
      <w:r>
        <w:rPr>
          <w:highlight w:val="white"/>
        </w:rPr>
        <w:t>, p.100312.</w:t>
      </w:r>
    </w:p>
    <w:p w14:paraId="7980620F">
      <w:pPr>
        <w:rPr>
          <w:highlight w:val="white"/>
        </w:rPr>
      </w:pPr>
      <w:r>
        <w:rPr>
          <w:highlight w:val="white"/>
        </w:rPr>
        <w:t xml:space="preserve">El Hamdani, S. and Benamar, N., 2019. DBDA: distant bicycle detection and avoidance protocol based on V2V communication for autonomous vehicle-bicycle road share. In </w:t>
      </w:r>
      <w:r>
        <w:rPr>
          <w:i/>
          <w:highlight w:val="white"/>
        </w:rPr>
        <w:t>2019 International Conference on Wireless Technologies, Embedded and Intelligent Systems (WITS)</w:t>
      </w:r>
      <w:r>
        <w:rPr>
          <w:highlight w:val="white"/>
        </w:rPr>
        <w:t>, pp. 1-6.</w:t>
      </w:r>
    </w:p>
    <w:p w14:paraId="4D3ECC04">
      <w:pPr>
        <w:rPr>
          <w:highlight w:val="white"/>
        </w:rPr>
      </w:pPr>
      <w:r>
        <w:rPr>
          <w:highlight w:val="white"/>
        </w:rPr>
        <w:t xml:space="preserve">Valente, U., 2024. </w:t>
      </w:r>
      <w:r>
        <w:rPr>
          <w:i/>
          <w:highlight w:val="white"/>
        </w:rPr>
        <w:t>Development of Autonomous Driving in Electric Vehicles: Analysis of Quality Engineering and Future Applicability</w:t>
      </w:r>
      <w:r>
        <w:rPr>
          <w:highlight w:val="white"/>
        </w:rPr>
        <w:t>, pp.1-24.</w:t>
      </w:r>
    </w:p>
    <w:p w14:paraId="7D2584F3">
      <w:r>
        <w:rPr>
          <w:highlight w:val="white"/>
        </w:rPr>
        <w:t xml:space="preserve">Zhuge, C. and Wang, C., 2021. Integrated modelling of autonomous electric vehicle diffusion: From review to conceptual design. </w:t>
      </w:r>
      <w:r>
        <w:rPr>
          <w:i/>
          <w:highlight w:val="white"/>
        </w:rPr>
        <w:t>Transportation research part D: transport and environment</w:t>
      </w:r>
      <w:r>
        <w:rPr>
          <w:highlight w:val="white"/>
        </w:rPr>
        <w:t xml:space="preserve">, </w:t>
      </w:r>
      <w:r>
        <w:rPr>
          <w:i/>
          <w:highlight w:val="white"/>
        </w:rPr>
        <w:t>91</w:t>
      </w:r>
      <w:r>
        <w:rPr>
          <w:highlight w:val="white"/>
        </w:rPr>
        <w:t>, p.102679.</w:t>
      </w:r>
    </w:p>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embedRegular r:id="rId1" w:fontKey="{3D0FF46B-D476-4D12-A88C-3901666D5B85}"/>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B1C95274-EDC9-446D-8B62-BF5A7A6D5074}"/>
  </w:font>
  <w:font w:name="Wingdings">
    <w:panose1 w:val="05000000000000000000"/>
    <w:charset w:val="02"/>
    <w:family w:val="auto"/>
    <w:pitch w:val="default"/>
    <w:sig w:usb0="00000000" w:usb1="00000000" w:usb2="00000000" w:usb3="00000000" w:csb0="80000000" w:csb1="00000000"/>
    <w:embedRegular r:id="rId3" w:fontKey="{6415E5E5-233F-49E2-BA52-509482922B67}"/>
  </w:font>
  <w:font w:name="Calibri">
    <w:panose1 w:val="020F0502020204030204"/>
    <w:charset w:val="00"/>
    <w:family w:val="swiss"/>
    <w:pitch w:val="default"/>
    <w:sig w:usb0="E4002EFF" w:usb1="C200247B" w:usb2="00000009" w:usb3="00000000" w:csb0="200001FF" w:csb1="00000000"/>
    <w:embedRegular r:id="rId4" w:fontKey="{2AFED5CB-2830-4DC7-98A8-4791080500A5}"/>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embedRegular r:id="rId5" w:fontKey="{8DB345DA-5E5E-46F0-AE54-BBE8A9B433D2}"/>
  </w:font>
  <w:font w:name="Cambria">
    <w:panose1 w:val="02040503050406030204"/>
    <w:charset w:val="00"/>
    <w:family w:val="roman"/>
    <w:pitch w:val="default"/>
    <w:sig w:usb0="E00006FF" w:usb1="420024FF" w:usb2="02000000" w:usb3="00000000" w:csb0="2000019F" w:csb1="00000000"/>
    <w:embedRegular r:id="rId6" w:fontKey="{8277D297-D283-4D17-A3BE-1A684C25E946}"/>
  </w:font>
  <w:font w:name="Cambria Math">
    <w:panose1 w:val="02040503050406030204"/>
    <w:charset w:val="00"/>
    <w:family w:val="roman"/>
    <w:pitch w:val="default"/>
    <w:sig w:usb0="E00006FF" w:usb1="420024FF" w:usb2="02000000" w:usb3="00000000" w:csb0="2000019F" w:csb1="00000000"/>
    <w:embedRegular r:id="rId7" w:fontKey="{C96B5EFE-6624-4940-BB55-3F3B55A102E1}"/>
  </w:font>
  <w:font w:name="Quattrocento Sans">
    <w:panose1 w:val="020B0502050000020003"/>
    <w:charset w:val="00"/>
    <w:family w:val="swiss"/>
    <w:pitch w:val="default"/>
    <w:sig w:usb0="800000BF" w:usb1="4000005B" w:usb2="00000000" w:usb3="00000000" w:csb0="00000001" w:csb1="00000000"/>
    <w:embedRegular r:id="rId8" w:fontKey="{6B84919A-864E-4F8B-B572-ADBE843B0249}"/>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B50"/>
    <w:rsid w:val="00174C20"/>
    <w:rsid w:val="002847AC"/>
    <w:rsid w:val="00C14B50"/>
    <w:rsid w:val="00D327F1"/>
    <w:rsid w:val="00D546AD"/>
    <w:rsid w:val="00E43EDD"/>
    <w:rsid w:val="00FC5CC5"/>
    <w:rsid w:val="25190071"/>
    <w:rsid w:val="3D6B2F4F"/>
    <w:rsid w:val="59E76D8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4"/>
      <w:lang w:val="en-IN"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unhideWhenUsed/>
    <w:qFormat/>
    <w:uiPriority w:val="9"/>
    <w:pPr>
      <w:keepNext/>
      <w:keepLines/>
      <w:outlineLvl w:val="1"/>
    </w:pPr>
    <w:rPr>
      <w:b/>
    </w:rPr>
  </w:style>
  <w:style w:type="paragraph" w:styleId="4">
    <w:name w:val="heading 3"/>
    <w:basedOn w:val="1"/>
    <w:next w:val="1"/>
    <w:unhideWhenUsed/>
    <w:qFormat/>
    <w:uiPriority w:val="9"/>
    <w:pPr>
      <w:keepNext/>
      <w:keepLines/>
      <w:outlineLvl w:val="2"/>
    </w:pPr>
    <w:rPr>
      <w:b/>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6"/>
    <w:semiHidden/>
    <w:unhideWhenUsed/>
    <w:qFormat/>
    <w:uiPriority w:val="99"/>
    <w:pPr>
      <w:spacing w:line="240" w:lineRule="auto"/>
    </w:pPr>
    <w:rPr>
      <w:rFonts w:ascii="Tahoma" w:hAnsi="Tahoma" w:cs="Tahoma"/>
      <w:sz w:val="16"/>
      <w:szCs w:val="16"/>
    </w:rPr>
  </w:style>
  <w:style w:type="character" w:styleId="11">
    <w:name w:val="annotation reference"/>
    <w:basedOn w:val="8"/>
    <w:semiHidden/>
    <w:unhideWhenUsed/>
    <w:qFormat/>
    <w:uiPriority w:val="99"/>
    <w:rPr>
      <w:sz w:val="16"/>
      <w:szCs w:val="16"/>
    </w:rPr>
  </w:style>
  <w:style w:type="paragraph" w:styleId="12">
    <w:name w:val="annotation text"/>
    <w:basedOn w:val="1"/>
    <w:link w:val="21"/>
    <w:semiHidden/>
    <w:unhideWhenUsed/>
    <w:uiPriority w:val="99"/>
    <w:pPr>
      <w:spacing w:line="240" w:lineRule="auto"/>
    </w:pPr>
    <w:rPr>
      <w:sz w:val="20"/>
      <w:szCs w:val="20"/>
    </w:rPr>
  </w:style>
  <w:style w:type="paragraph" w:styleId="13">
    <w:name w:val="footer"/>
    <w:basedOn w:val="1"/>
    <w:link w:val="23"/>
    <w:unhideWhenUsed/>
    <w:uiPriority w:val="99"/>
    <w:pPr>
      <w:tabs>
        <w:tab w:val="center" w:pos="4513"/>
        <w:tab w:val="right" w:pos="9026"/>
      </w:tabs>
      <w:spacing w:line="240" w:lineRule="auto"/>
    </w:pPr>
  </w:style>
  <w:style w:type="paragraph" w:styleId="14">
    <w:name w:val="header"/>
    <w:basedOn w:val="1"/>
    <w:link w:val="22"/>
    <w:unhideWhenUsed/>
    <w:uiPriority w:val="99"/>
    <w:pPr>
      <w:tabs>
        <w:tab w:val="center" w:pos="4513"/>
        <w:tab w:val="right" w:pos="9026"/>
      </w:tabs>
      <w:spacing w:line="240" w:lineRule="auto"/>
    </w:pPr>
  </w:style>
  <w:style w:type="character" w:styleId="15">
    <w:name w:val="Hyperlink"/>
    <w:basedOn w:val="8"/>
    <w:unhideWhenUsed/>
    <w:qFormat/>
    <w:uiPriority w:val="99"/>
    <w:rPr>
      <w:color w:val="0000FF" w:themeColor="hyperlink"/>
      <w:u w:val="single"/>
      <w14:textFill>
        <w14:solidFill>
          <w14:schemeClr w14:val="hlink"/>
        </w14:solidFill>
      </w14:textFill>
    </w:rPr>
  </w:style>
  <w:style w:type="paragraph" w:styleId="16">
    <w:name w:val="Subtitle"/>
    <w:basedOn w:val="1"/>
    <w:next w:val="1"/>
    <w:qFormat/>
    <w:uiPriority w:val="11"/>
    <w:pPr>
      <w:keepNext/>
      <w:keepLines/>
      <w:spacing w:after="320"/>
    </w:pPr>
    <w:rPr>
      <w:color w:val="666666"/>
      <w:sz w:val="30"/>
      <w:szCs w:val="30"/>
    </w:rPr>
  </w:style>
  <w:style w:type="paragraph" w:styleId="17">
    <w:name w:val="Title"/>
    <w:basedOn w:val="1"/>
    <w:next w:val="1"/>
    <w:qFormat/>
    <w:uiPriority w:val="10"/>
    <w:pPr>
      <w:keepNext/>
      <w:keepLines/>
      <w:spacing w:after="60"/>
    </w:pPr>
    <w:rPr>
      <w:sz w:val="52"/>
      <w:szCs w:val="52"/>
    </w:rPr>
  </w:style>
  <w:style w:type="paragraph" w:styleId="18">
    <w:name w:val="toc 1"/>
    <w:basedOn w:val="1"/>
    <w:next w:val="1"/>
    <w:autoRedefine/>
    <w:unhideWhenUsed/>
    <w:qFormat/>
    <w:uiPriority w:val="39"/>
    <w:pPr>
      <w:spacing w:after="100"/>
    </w:pPr>
  </w:style>
  <w:style w:type="paragraph" w:styleId="19">
    <w:name w:val="toc 2"/>
    <w:basedOn w:val="1"/>
    <w:next w:val="1"/>
    <w:autoRedefine/>
    <w:unhideWhenUsed/>
    <w:qFormat/>
    <w:uiPriority w:val="39"/>
    <w:pPr>
      <w:spacing w:after="100"/>
      <w:ind w:left="240"/>
    </w:pPr>
  </w:style>
  <w:style w:type="paragraph" w:styleId="20">
    <w:name w:val="toc 3"/>
    <w:basedOn w:val="1"/>
    <w:next w:val="1"/>
    <w:autoRedefine/>
    <w:unhideWhenUsed/>
    <w:qFormat/>
    <w:uiPriority w:val="39"/>
    <w:pPr>
      <w:spacing w:after="100"/>
      <w:ind w:left="480"/>
    </w:pPr>
  </w:style>
  <w:style w:type="character" w:customStyle="1" w:styleId="21">
    <w:name w:val="Comment Text Char"/>
    <w:basedOn w:val="8"/>
    <w:link w:val="12"/>
    <w:semiHidden/>
    <w:qFormat/>
    <w:uiPriority w:val="99"/>
    <w:rPr>
      <w:sz w:val="20"/>
      <w:szCs w:val="20"/>
    </w:rPr>
  </w:style>
  <w:style w:type="character" w:customStyle="1" w:styleId="22">
    <w:name w:val="Header Char"/>
    <w:basedOn w:val="8"/>
    <w:link w:val="14"/>
    <w:qFormat/>
    <w:uiPriority w:val="99"/>
  </w:style>
  <w:style w:type="character" w:customStyle="1" w:styleId="23">
    <w:name w:val="Footer Char"/>
    <w:basedOn w:val="8"/>
    <w:link w:val="13"/>
    <w:qFormat/>
    <w:uiPriority w:val="99"/>
  </w:style>
  <w:style w:type="character" w:customStyle="1" w:styleId="24">
    <w:name w:val="Unresolved Mention1"/>
    <w:basedOn w:val="8"/>
    <w:semiHidden/>
    <w:unhideWhenUsed/>
    <w:qFormat/>
    <w:uiPriority w:val="99"/>
    <w:rPr>
      <w:color w:val="605E5C"/>
      <w:shd w:val="clear" w:color="auto" w:fill="E1DFDD"/>
    </w:rPr>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6">
    <w:name w:val="Balloon Text Char"/>
    <w:basedOn w:val="8"/>
    <w:link w:val="10"/>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sJEV38kxEp3a6ddpICVZ9Cjq6A==">CgMxLjAyCWguNDRzaW5pbzINaC5vemxwd2t2MDAzazIOaC5rOHl3c3p3ZXcyc3EyCWguMmp4c3hxaDIIaC56MzM3eWEyCWguM2oycXFtMzIJaC4xeTgxMHR3MgloLjRpN29qaHAyCWguMnhjeXRwaTIJaC4xY2k5M3hiMgloLjN3aHdtbDQyCWguMmJuNndzeDIIaC5xc2g3MHEyCGgudHlqY3d0MgloLjNhczRwb2oyCWguMXB4ZXp3YzIJaC40OXgyaWs1MgloLjJwMmNzcnkyCWguMTQ3bjJ6cjIJaC4zbzdhbG5rMgloLjIzY2t2dmQyCGguaWh2NjM2MgloLjMyaGlvcXoyCWguMWhtc3l5czIJaC40MW1naG1sOAByITFCNHI3LVBURGF5X3lIa3dlbjZlZUZ0VWt4eHphNWFpOQ==</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11</Pages>
  <Words>5142</Words>
  <Characters>29312</Characters>
  <Lines>244</Lines>
  <Paragraphs>68</Paragraphs>
  <TotalTime>7</TotalTime>
  <ScaleCrop>false</ScaleCrop>
  <LinksUpToDate>false</LinksUpToDate>
  <CharactersWithSpaces>34386</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2025-02-05T12:19:00Z</dcterms:created>
  <dc:creator>Alina</dc:creator>
  <cp:lastModifiedBy>i study</cp:lastModifiedBy>
  <dcterms:modified xsi:type="dcterms:W3CDTF">2025-02-06T14:04:25Z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145ab8ff127ce343b416a14660a1c697926b6a3a583646b54f03133e84bfa0a2</vt:lpwstr>
  </property>
  <property fmtid="{D5CDD505-2E9C-101B-9397-08002B2CF9AE}" pid="3" name="KSOProductBuildVer">
    <vt:lpwstr>2057-12.2.0.19805</vt:lpwstr>
  </property>
  <property fmtid="{D5CDD505-2E9C-101B-9397-08002B2CF9AE}" pid="4" name="ICV">
    <vt:lpwstr>1B21D35CDBDB426790A7D2BE73734A1D_12</vt:lpwstr>
  </property>
</Properties>
</file>