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C4D80F3" wp14:paraId="50F7B904" wp14:textId="779A6C19">
      <w:pPr>
        <w:pStyle w:val="Heading1"/>
        <w:rPr>
          <w:rFonts w:ascii="Arial Nova" w:hAnsi="Arial Nova" w:eastAsia="Arial Nova" w:cs="Arial Nova"/>
          <w:noProof w:val="0"/>
          <w:color w:val="auto"/>
          <w:sz w:val="32"/>
          <w:szCs w:val="32"/>
          <w:lang w:val="en-GB"/>
        </w:rPr>
      </w:pPr>
      <w:r w:rsidRPr="7C4D80F3" w:rsidR="062CB050">
        <w:rPr>
          <w:noProof w:val="0"/>
          <w:color w:val="auto"/>
          <w:lang w:val="en-GB"/>
        </w:rPr>
        <w:t xml:space="preserve">Certificate of Higher Education </w:t>
      </w:r>
      <w:r w:rsidRPr="7C4D80F3" w:rsidR="40BD37DD">
        <w:rPr>
          <w:noProof w:val="0"/>
          <w:color w:val="auto"/>
          <w:lang w:val="en-GB"/>
        </w:rPr>
        <w:t xml:space="preserve">in </w:t>
      </w:r>
      <w:r w:rsidRPr="7C4D80F3" w:rsidR="062CB050">
        <w:rPr>
          <w:noProof w:val="0"/>
          <w:color w:val="auto"/>
          <w:lang w:val="en-GB"/>
        </w:rPr>
        <w:t>Health &amp; Social Care</w:t>
      </w:r>
      <w:r>
        <w:br/>
      </w:r>
    </w:p>
    <w:p xmlns:wp14="http://schemas.microsoft.com/office/word/2010/wordml" w:rsidP="7C4D80F3" wp14:paraId="4740DF48" wp14:textId="505D314C">
      <w:pPr>
        <w:spacing w:line="360" w:lineRule="auto"/>
        <w:rPr>
          <w:rFonts w:ascii="Arial Nova" w:hAnsi="Arial Nova" w:eastAsia="Arial Nova" w:cs="Arial Nova"/>
          <w:b w:val="1"/>
          <w:bCs w:val="1"/>
          <w:i w:val="0"/>
          <w:iCs w:val="0"/>
          <w:caps w:val="0"/>
          <w:smallCaps w:val="0"/>
          <w:noProof w:val="0"/>
          <w:color w:val="auto"/>
          <w:sz w:val="32"/>
          <w:szCs w:val="32"/>
          <w:lang w:val="en-GB"/>
        </w:rPr>
      </w:pPr>
    </w:p>
    <w:p xmlns:wp14="http://schemas.microsoft.com/office/word/2010/wordml" w:rsidP="7C4D80F3" wp14:paraId="6FAA2990" wp14:textId="50A1DFF1">
      <w:pPr>
        <w:spacing w:line="360" w:lineRule="auto"/>
        <w:rPr>
          <w:rFonts w:ascii="Arial" w:hAnsi="Arial" w:eastAsia="Arial" w:cs="Arial"/>
          <w:b w:val="1"/>
          <w:bCs w:val="1"/>
          <w:i w:val="0"/>
          <w:iCs w:val="0"/>
          <w:caps w:val="0"/>
          <w:smallCaps w:val="0"/>
          <w:noProof w:val="0"/>
          <w:color w:val="000000" w:themeColor="text1" w:themeTint="FF" w:themeShade="FF"/>
          <w:sz w:val="32"/>
          <w:szCs w:val="32"/>
          <w:lang w:val="en-GB"/>
        </w:rPr>
      </w:pPr>
    </w:p>
    <w:p xmlns:wp14="http://schemas.microsoft.com/office/word/2010/wordml" w:rsidP="7C4D80F3" wp14:paraId="55BC46D7" wp14:textId="60569D93">
      <w:pPr>
        <w:spacing w:line="360" w:lineRule="auto"/>
        <w:rPr>
          <w:rFonts w:ascii="Arial" w:hAnsi="Arial" w:eastAsia="Arial" w:cs="Arial"/>
          <w:b w:val="1"/>
          <w:bCs w:val="1"/>
          <w:i w:val="0"/>
          <w:iCs w:val="0"/>
          <w:caps w:val="0"/>
          <w:smallCaps w:val="0"/>
          <w:noProof w:val="0"/>
          <w:color w:val="000000" w:themeColor="text1" w:themeTint="FF" w:themeShade="FF"/>
          <w:sz w:val="32"/>
          <w:szCs w:val="32"/>
          <w:lang w:val="en-GB"/>
        </w:rPr>
      </w:pPr>
    </w:p>
    <w:p xmlns:wp14="http://schemas.microsoft.com/office/word/2010/wordml" w:rsidP="7C4D80F3" wp14:paraId="4BBF059A" wp14:textId="530A6194">
      <w:pPr>
        <w:pStyle w:val="Heading1"/>
        <w:rPr>
          <w:rFonts w:ascii="Arial Nova" w:hAnsi="Arial Nova" w:eastAsia="Arial Nova" w:cs="Arial Nova"/>
          <w:b w:val="0"/>
          <w:bCs w:val="0"/>
          <w:i w:val="0"/>
          <w:iCs w:val="0"/>
          <w:caps w:val="0"/>
          <w:smallCaps w:val="0"/>
          <w:noProof w:val="0"/>
          <w:color w:val="auto"/>
          <w:sz w:val="32"/>
          <w:szCs w:val="32"/>
          <w:lang w:val="en-GB"/>
        </w:rPr>
      </w:pPr>
      <w:r w:rsidRPr="7C4D80F3" w:rsidR="062CB050">
        <w:rPr>
          <w:noProof w:val="0"/>
          <w:color w:val="auto"/>
          <w:lang w:val="en-GB"/>
        </w:rPr>
        <w:t>Name: Muhammad Taimoor </w:t>
      </w:r>
    </w:p>
    <w:p xmlns:wp14="http://schemas.microsoft.com/office/word/2010/wordml" w:rsidP="7C4D80F3" wp14:paraId="4CE4CAF3" wp14:textId="6B38BD2F">
      <w:pPr>
        <w:pStyle w:val="Heading1"/>
        <w:rPr>
          <w:rFonts w:ascii="Arial Nova" w:hAnsi="Arial Nova" w:eastAsia="Arial Nova" w:cs="Arial Nova"/>
          <w:b w:val="1"/>
          <w:bCs w:val="1"/>
          <w:i w:val="0"/>
          <w:iCs w:val="0"/>
          <w:caps w:val="0"/>
          <w:smallCaps w:val="0"/>
          <w:noProof w:val="0"/>
          <w:color w:val="auto"/>
          <w:sz w:val="32"/>
          <w:szCs w:val="32"/>
          <w:lang w:val="en-GB"/>
        </w:rPr>
      </w:pPr>
      <w:r w:rsidRPr="7C4D80F3" w:rsidR="062CB050">
        <w:rPr>
          <w:noProof w:val="0"/>
          <w:color w:val="auto"/>
          <w:lang w:val="en-GB"/>
        </w:rPr>
        <w:t xml:space="preserve">Student </w:t>
      </w:r>
      <w:r w:rsidRPr="7C4D80F3" w:rsidR="176D38AE">
        <w:rPr>
          <w:noProof w:val="0"/>
          <w:color w:val="auto"/>
          <w:lang w:val="en-GB"/>
        </w:rPr>
        <w:t>ID</w:t>
      </w:r>
      <w:r w:rsidRPr="7C4D80F3" w:rsidR="062CB050">
        <w:rPr>
          <w:noProof w:val="0"/>
          <w:color w:val="auto"/>
          <w:lang w:val="en-GB"/>
        </w:rPr>
        <w:t>: 2</w:t>
      </w:r>
      <w:r w:rsidRPr="7C4D80F3" w:rsidR="2A45871C">
        <w:rPr>
          <w:noProof w:val="0"/>
          <w:color w:val="auto"/>
          <w:lang w:val="en-GB"/>
        </w:rPr>
        <w:t>334543</w:t>
      </w:r>
    </w:p>
    <w:p xmlns:wp14="http://schemas.microsoft.com/office/word/2010/wordml" w:rsidP="7C4D80F3" wp14:paraId="618C91C5" wp14:textId="104AC039">
      <w:pPr>
        <w:pStyle w:val="Heading1"/>
        <w:rPr>
          <w:rFonts w:ascii="Arial Nova" w:hAnsi="Arial Nova" w:eastAsia="Arial Nova" w:cs="Arial Nova"/>
          <w:b w:val="0"/>
          <w:bCs w:val="0"/>
          <w:i w:val="0"/>
          <w:iCs w:val="0"/>
          <w:caps w:val="0"/>
          <w:smallCaps w:val="0"/>
          <w:noProof w:val="0"/>
          <w:color w:val="auto"/>
          <w:sz w:val="32"/>
          <w:szCs w:val="32"/>
          <w:lang w:val="en-GB"/>
        </w:rPr>
      </w:pPr>
      <w:r w:rsidRPr="7C4D80F3" w:rsidR="062CB050">
        <w:rPr>
          <w:noProof w:val="0"/>
          <w:color w:val="auto"/>
          <w:lang w:val="en-GB"/>
        </w:rPr>
        <w:t>Module Code: LCHS4008</w:t>
      </w:r>
    </w:p>
    <w:p xmlns:wp14="http://schemas.microsoft.com/office/word/2010/wordml" w:rsidP="7C4D80F3" wp14:paraId="3909FF30" wp14:textId="6C6CC485">
      <w:pPr>
        <w:pStyle w:val="Heading1"/>
        <w:rPr>
          <w:rFonts w:ascii="Arial Nova" w:hAnsi="Arial Nova" w:eastAsia="Arial Nova" w:cs="Arial Nova"/>
          <w:b w:val="0"/>
          <w:bCs w:val="0"/>
          <w:i w:val="0"/>
          <w:iCs w:val="0"/>
          <w:caps w:val="0"/>
          <w:smallCaps w:val="0"/>
          <w:noProof w:val="0"/>
          <w:color w:val="auto"/>
          <w:sz w:val="32"/>
          <w:szCs w:val="32"/>
          <w:lang w:val="en-GB"/>
        </w:rPr>
      </w:pPr>
      <w:r w:rsidRPr="7C4D80F3" w:rsidR="062CB050">
        <w:rPr>
          <w:noProof w:val="0"/>
          <w:color w:val="auto"/>
          <w:lang w:val="en-GB"/>
        </w:rPr>
        <w:t>Module Title: Introduction to Public Health</w:t>
      </w:r>
    </w:p>
    <w:p xmlns:wp14="http://schemas.microsoft.com/office/word/2010/wordml" w:rsidP="7C4D80F3" wp14:paraId="2A550F4D" wp14:textId="6AEB35AD">
      <w:pPr>
        <w:pStyle w:val="Heading1"/>
        <w:rPr>
          <w:rFonts w:ascii="Arial Nova" w:hAnsi="Arial Nova" w:eastAsia="Arial Nova" w:cs="Arial Nova"/>
          <w:b w:val="0"/>
          <w:bCs w:val="0"/>
          <w:i w:val="0"/>
          <w:iCs w:val="0"/>
          <w:caps w:val="0"/>
          <w:smallCaps w:val="0"/>
          <w:noProof w:val="0"/>
          <w:color w:val="auto"/>
          <w:sz w:val="32"/>
          <w:szCs w:val="32"/>
          <w:lang w:val="en-GB"/>
        </w:rPr>
      </w:pPr>
      <w:r w:rsidRPr="7C4D80F3" w:rsidR="062CB050">
        <w:rPr>
          <w:noProof w:val="0"/>
          <w:color w:val="auto"/>
          <w:lang w:val="en-GB"/>
        </w:rPr>
        <w:t>Lecturer Name: Olufemi Oluranti </w:t>
      </w:r>
    </w:p>
    <w:p xmlns:wp14="http://schemas.microsoft.com/office/word/2010/wordml" w:rsidP="7C4D80F3" wp14:paraId="0CB8A677" wp14:textId="10857D1E">
      <w:pPr>
        <w:pStyle w:val="Heading1"/>
        <w:rPr>
          <w:rFonts w:ascii="Arial Nova" w:hAnsi="Arial Nova" w:eastAsia="Arial Nova" w:cs="Arial Nova"/>
          <w:b w:val="0"/>
          <w:bCs w:val="0"/>
          <w:i w:val="0"/>
          <w:iCs w:val="0"/>
          <w:caps w:val="0"/>
          <w:smallCaps w:val="0"/>
          <w:noProof w:val="0"/>
          <w:color w:val="auto"/>
          <w:sz w:val="32"/>
          <w:szCs w:val="32"/>
          <w:lang w:val="en-GB"/>
        </w:rPr>
      </w:pPr>
      <w:r w:rsidRPr="7C4D80F3" w:rsidR="062CB050">
        <w:rPr>
          <w:noProof w:val="0"/>
          <w:color w:val="auto"/>
          <w:lang w:val="en-GB"/>
        </w:rPr>
        <w:t>Assignment Title: Assessment 2 – Report on a Health Issue</w:t>
      </w:r>
    </w:p>
    <w:p xmlns:wp14="http://schemas.microsoft.com/office/word/2010/wordml" w:rsidP="5B2073E3" wp14:paraId="7959E259" wp14:textId="32F2D821">
      <w:pPr>
        <w:spacing w:line="360" w:lineRule="auto"/>
        <w:rPr>
          <w:rFonts w:ascii="Arial Nova" w:hAnsi="Arial Nova" w:eastAsia="Arial Nova" w:cs="Arial Nova"/>
          <w:b w:val="0"/>
          <w:bCs w:val="0"/>
          <w:color w:val="auto"/>
        </w:rPr>
      </w:pPr>
    </w:p>
    <w:p xmlns:wp14="http://schemas.microsoft.com/office/word/2010/wordml" w:rsidP="7C4D80F3" wp14:paraId="2B456B0B" wp14:textId="270D36F2">
      <w:pPr>
        <w:spacing w:before="322" w:beforeAutospacing="off" w:after="322" w:afterAutospacing="off" w:line="360" w:lineRule="auto"/>
        <w:rPr>
          <w:rFonts w:ascii="Arial Nova" w:hAnsi="Arial Nova" w:eastAsia="Arial Nova" w:cs="Arial Nova"/>
          <w:b w:val="0"/>
          <w:bCs w:val="0"/>
          <w:color w:val="auto"/>
        </w:rPr>
      </w:pPr>
    </w:p>
    <w:p xmlns:wp14="http://schemas.microsoft.com/office/word/2010/wordml" w:rsidP="7C4D80F3" wp14:paraId="52150E22" wp14:textId="3E362D97">
      <w:pPr>
        <w:pStyle w:val="Heading1"/>
        <w:spacing w:before="322" w:beforeAutospacing="off" w:after="322" w:afterAutospacing="off" w:line="360" w:lineRule="auto"/>
        <w:jc w:val="left"/>
        <w:rPr>
          <w:rFonts w:ascii="Arial Nova" w:hAnsi="Arial Nova" w:eastAsia="Arial Nova" w:cs="Arial Nova"/>
          <w:b w:val="0"/>
          <w:bCs w:val="0"/>
          <w:noProof w:val="0"/>
          <w:color w:val="auto"/>
          <w:sz w:val="48"/>
          <w:szCs w:val="48"/>
          <w:u w:val="none"/>
          <w:lang w:val="en-GB"/>
        </w:rPr>
      </w:pPr>
      <w:r w:rsidRPr="7C4D80F3" w:rsidR="0F2246E9">
        <w:rPr>
          <w:rFonts w:ascii="Arial Nova" w:hAnsi="Arial Nova" w:eastAsia="Arial Nova" w:cs="Arial Nova"/>
          <w:b w:val="0"/>
          <w:bCs w:val="0"/>
          <w:noProof w:val="0"/>
          <w:color w:val="auto"/>
          <w:sz w:val="48"/>
          <w:szCs w:val="48"/>
          <w:u w:val="none"/>
          <w:lang w:val="en-GB"/>
        </w:rPr>
        <w:t>Type 2 Diabetes: A Public Health Challenge</w:t>
      </w:r>
      <w:r w:rsidRPr="7C4D80F3" w:rsidR="5DC401A2">
        <w:rPr>
          <w:rFonts w:ascii="Arial Nova" w:hAnsi="Arial Nova" w:eastAsia="Arial Nova" w:cs="Arial Nova"/>
          <w:b w:val="0"/>
          <w:bCs w:val="0"/>
          <w:noProof w:val="0"/>
          <w:color w:val="auto"/>
          <w:sz w:val="48"/>
          <w:szCs w:val="48"/>
          <w:u w:val="none"/>
          <w:lang w:val="en-GB"/>
        </w:rPr>
        <w:t xml:space="preserve"> (5 years Data)</w:t>
      </w:r>
    </w:p>
    <w:p w:rsidR="7C4D80F3" w:rsidP="7C4D80F3" w:rsidRDefault="7C4D80F3" w14:paraId="4106ECA4" w14:textId="2794BFDE">
      <w:pPr>
        <w:pStyle w:val="Heading2"/>
        <w:spacing w:before="299" w:beforeAutospacing="off" w:after="299" w:afterAutospacing="off" w:line="360" w:lineRule="auto"/>
        <w:rPr>
          <w:rFonts w:ascii="Arial Nova" w:hAnsi="Arial Nova" w:eastAsia="Arial Nova" w:cs="Arial Nova"/>
          <w:b w:val="0"/>
          <w:bCs w:val="0"/>
          <w:noProof w:val="0"/>
          <w:color w:val="auto"/>
          <w:sz w:val="36"/>
          <w:szCs w:val="36"/>
          <w:u w:val="single"/>
          <w:lang w:val="en-GB"/>
        </w:rPr>
      </w:pPr>
    </w:p>
    <w:p xmlns:wp14="http://schemas.microsoft.com/office/word/2010/wordml" w:rsidP="7C4D80F3" wp14:paraId="54F8A234" wp14:textId="5654E10F">
      <w:pPr>
        <w:pStyle w:val="Heading2"/>
        <w:spacing w:before="299" w:beforeAutospacing="off" w:after="299" w:afterAutospacing="off" w:line="360" w:lineRule="auto"/>
        <w:rPr>
          <w:rFonts w:ascii="Arial Nova" w:hAnsi="Arial Nova" w:eastAsia="Arial Nova" w:cs="Arial Nova"/>
          <w:b w:val="0"/>
          <w:bCs w:val="0"/>
          <w:noProof w:val="0"/>
          <w:color w:val="auto"/>
          <w:sz w:val="36"/>
          <w:szCs w:val="36"/>
          <w:u w:val="single"/>
          <w:lang w:val="en-GB"/>
        </w:rPr>
      </w:pPr>
      <w:r w:rsidRPr="7C4D80F3" w:rsidR="0F2246E9">
        <w:rPr>
          <w:rFonts w:ascii="Arial Nova" w:hAnsi="Arial Nova" w:eastAsia="Arial Nova" w:cs="Arial Nova"/>
          <w:b w:val="0"/>
          <w:bCs w:val="0"/>
          <w:noProof w:val="0"/>
          <w:color w:val="auto"/>
          <w:sz w:val="36"/>
          <w:szCs w:val="36"/>
          <w:u w:val="single"/>
          <w:lang w:val="en-GB"/>
        </w:rPr>
        <w:t>Introduction</w:t>
      </w:r>
    </w:p>
    <w:p xmlns:wp14="http://schemas.microsoft.com/office/word/2010/wordml" w:rsidP="7C4D80F3" wp14:paraId="11E60B5C" wp14:textId="48E2AD73">
      <w:pPr>
        <w:pStyle w:val="Heading2"/>
        <w:spacing w:line="360" w:lineRule="auto"/>
        <w:rPr>
          <w:rFonts w:ascii="Arial" w:hAnsi="Arial" w:eastAsia="Arial" w:cs="Arial"/>
          <w:b w:val="0"/>
          <w:bCs w:val="0"/>
          <w:noProof w:val="0"/>
          <w:color w:val="000000" w:themeColor="text1" w:themeTint="FF" w:themeShade="FF"/>
          <w:sz w:val="22"/>
          <w:szCs w:val="22"/>
          <w:u w:val="none"/>
          <w:lang w:val="en-GB"/>
        </w:rPr>
      </w:pPr>
      <w:r w:rsidRPr="7C4D80F3" w:rsidR="4E47354D">
        <w:rPr>
          <w:rFonts w:ascii="Arial" w:hAnsi="Arial" w:eastAsia="Arial" w:cs="Arial"/>
          <w:b w:val="0"/>
          <w:bCs w:val="0"/>
          <w:noProof w:val="0"/>
          <w:color w:val="000000" w:themeColor="text1" w:themeTint="FF" w:themeShade="FF"/>
          <w:sz w:val="22"/>
          <w:szCs w:val="22"/>
          <w:u w:val="none"/>
          <w:lang w:val="en-GB"/>
        </w:rPr>
        <w:t xml:space="preserve">Type 2 diabetes mellitus (T2DM) is a long-term </w:t>
      </w:r>
      <w:r w:rsidRPr="7C4D80F3" w:rsidR="0DF0847B">
        <w:rPr>
          <w:rFonts w:ascii="Arial" w:hAnsi="Arial" w:eastAsia="Arial" w:cs="Arial"/>
          <w:b w:val="0"/>
          <w:bCs w:val="0"/>
          <w:noProof w:val="0"/>
          <w:color w:val="000000" w:themeColor="text1" w:themeTint="FF" w:themeShade="FF"/>
          <w:sz w:val="22"/>
          <w:szCs w:val="22"/>
          <w:u w:val="none"/>
          <w:lang w:val="en-GB"/>
        </w:rPr>
        <w:t>health disorder</w:t>
      </w:r>
      <w:r w:rsidRPr="7C4D80F3" w:rsidR="4E47354D">
        <w:rPr>
          <w:rFonts w:ascii="Arial" w:hAnsi="Arial" w:eastAsia="Arial" w:cs="Arial"/>
          <w:b w:val="0"/>
          <w:bCs w:val="0"/>
          <w:noProof w:val="0"/>
          <w:color w:val="000000" w:themeColor="text1" w:themeTint="FF" w:themeShade="FF"/>
          <w:sz w:val="22"/>
          <w:szCs w:val="22"/>
          <w:u w:val="none"/>
          <w:lang w:val="en-GB"/>
        </w:rPr>
        <w:t xml:space="preserve"> marked by insulin resistance and gradual decline in beta-cell function, leading to persistent high blood glucose levels (NICE, 2022). </w:t>
      </w:r>
      <w:r w:rsidRPr="7C4D80F3" w:rsidR="14252920">
        <w:rPr>
          <w:rFonts w:ascii="Arial" w:hAnsi="Arial" w:eastAsia="Arial" w:cs="Arial"/>
          <w:b w:val="0"/>
          <w:bCs w:val="0"/>
          <w:noProof w:val="0"/>
          <w:color w:val="000000" w:themeColor="text1" w:themeTint="FF" w:themeShade="FF"/>
          <w:sz w:val="22"/>
          <w:szCs w:val="22"/>
          <w:u w:val="none"/>
          <w:lang w:val="en-GB"/>
        </w:rPr>
        <w:t>In contrast to</w:t>
      </w:r>
      <w:r w:rsidRPr="7C4D80F3" w:rsidR="4E47354D">
        <w:rPr>
          <w:rFonts w:ascii="Arial" w:hAnsi="Arial" w:eastAsia="Arial" w:cs="Arial"/>
          <w:b w:val="0"/>
          <w:bCs w:val="0"/>
          <w:noProof w:val="0"/>
          <w:color w:val="000000" w:themeColor="text1" w:themeTint="FF" w:themeShade="FF"/>
          <w:sz w:val="22"/>
          <w:szCs w:val="22"/>
          <w:u w:val="none"/>
          <w:lang w:val="en-GB"/>
        </w:rPr>
        <w:t xml:space="preserve"> type 1 diabetes, which </w:t>
      </w:r>
      <w:r w:rsidRPr="7C4D80F3" w:rsidR="5933228D">
        <w:rPr>
          <w:rFonts w:ascii="Arial" w:hAnsi="Arial" w:eastAsia="Arial" w:cs="Arial"/>
          <w:b w:val="0"/>
          <w:bCs w:val="0"/>
          <w:noProof w:val="0"/>
          <w:color w:val="000000" w:themeColor="text1" w:themeTint="FF" w:themeShade="FF"/>
          <w:sz w:val="22"/>
          <w:szCs w:val="22"/>
          <w:u w:val="none"/>
          <w:lang w:val="en-GB"/>
        </w:rPr>
        <w:t xml:space="preserve">involves an </w:t>
      </w:r>
      <w:r w:rsidRPr="7C4D80F3" w:rsidR="4E47354D">
        <w:rPr>
          <w:rFonts w:ascii="Arial" w:hAnsi="Arial" w:eastAsia="Arial" w:cs="Arial"/>
          <w:b w:val="0"/>
          <w:bCs w:val="0"/>
          <w:noProof w:val="0"/>
          <w:color w:val="000000" w:themeColor="text1" w:themeTint="FF" w:themeShade="FF"/>
          <w:sz w:val="22"/>
          <w:szCs w:val="22"/>
          <w:u w:val="none"/>
          <w:lang w:val="en-GB"/>
        </w:rPr>
        <w:t xml:space="preserve">autoimmune </w:t>
      </w:r>
      <w:r w:rsidRPr="7C4D80F3" w:rsidR="586999CD">
        <w:rPr>
          <w:rFonts w:ascii="Arial" w:hAnsi="Arial" w:eastAsia="Arial" w:cs="Arial"/>
          <w:b w:val="0"/>
          <w:bCs w:val="0"/>
          <w:noProof w:val="0"/>
          <w:color w:val="000000" w:themeColor="text1" w:themeTint="FF" w:themeShade="FF"/>
          <w:sz w:val="22"/>
          <w:szCs w:val="22"/>
          <w:u w:val="none"/>
          <w:lang w:val="en-GB"/>
        </w:rPr>
        <w:t>mechanism</w:t>
      </w:r>
      <w:r w:rsidRPr="7C4D80F3" w:rsidR="4E47354D">
        <w:rPr>
          <w:rFonts w:ascii="Arial" w:hAnsi="Arial" w:eastAsia="Arial" w:cs="Arial"/>
          <w:b w:val="0"/>
          <w:bCs w:val="0"/>
          <w:noProof w:val="0"/>
          <w:color w:val="000000" w:themeColor="text1" w:themeTint="FF" w:themeShade="FF"/>
          <w:sz w:val="22"/>
          <w:szCs w:val="22"/>
          <w:u w:val="none"/>
          <w:lang w:val="en-GB"/>
        </w:rPr>
        <w:t xml:space="preserve">, T2DM is </w:t>
      </w:r>
      <w:r w:rsidRPr="7C4D80F3" w:rsidR="30B4707E">
        <w:rPr>
          <w:rFonts w:ascii="Arial" w:hAnsi="Arial" w:eastAsia="Arial" w:cs="Arial"/>
          <w:b w:val="0"/>
          <w:bCs w:val="0"/>
          <w:noProof w:val="0"/>
          <w:color w:val="000000" w:themeColor="text1" w:themeTint="FF" w:themeShade="FF"/>
          <w:sz w:val="22"/>
          <w:szCs w:val="22"/>
          <w:u w:val="none"/>
          <w:lang w:val="en-GB"/>
        </w:rPr>
        <w:t>strongly associated</w:t>
      </w:r>
      <w:r w:rsidRPr="7C4D80F3" w:rsidR="4E47354D">
        <w:rPr>
          <w:rFonts w:ascii="Arial" w:hAnsi="Arial" w:eastAsia="Arial" w:cs="Arial"/>
          <w:b w:val="0"/>
          <w:bCs w:val="0"/>
          <w:noProof w:val="0"/>
          <w:color w:val="000000" w:themeColor="text1" w:themeTint="FF" w:themeShade="FF"/>
          <w:sz w:val="22"/>
          <w:szCs w:val="22"/>
          <w:u w:val="none"/>
          <w:lang w:val="en-GB"/>
        </w:rPr>
        <w:t xml:space="preserve"> with modifiable lifestyle factors </w:t>
      </w:r>
      <w:r w:rsidRPr="7C4D80F3" w:rsidR="013EB760">
        <w:rPr>
          <w:rFonts w:ascii="Arial" w:hAnsi="Arial" w:eastAsia="Arial" w:cs="Arial"/>
          <w:b w:val="0"/>
          <w:bCs w:val="0"/>
          <w:noProof w:val="0"/>
          <w:color w:val="000000" w:themeColor="text1" w:themeTint="FF" w:themeShade="FF"/>
          <w:sz w:val="22"/>
          <w:szCs w:val="22"/>
          <w:u w:val="none"/>
          <w:lang w:val="en-GB"/>
        </w:rPr>
        <w:t>including</w:t>
      </w:r>
      <w:r w:rsidRPr="7C4D80F3" w:rsidR="4E47354D">
        <w:rPr>
          <w:rFonts w:ascii="Arial" w:hAnsi="Arial" w:eastAsia="Arial" w:cs="Arial"/>
          <w:b w:val="0"/>
          <w:bCs w:val="0"/>
          <w:noProof w:val="0"/>
          <w:color w:val="000000" w:themeColor="text1" w:themeTint="FF" w:themeShade="FF"/>
          <w:sz w:val="22"/>
          <w:szCs w:val="22"/>
          <w:u w:val="none"/>
          <w:lang w:val="en-GB"/>
        </w:rPr>
        <w:t xml:space="preserve"> </w:t>
      </w:r>
      <w:r w:rsidRPr="7C4D80F3" w:rsidR="603410C2">
        <w:rPr>
          <w:rFonts w:ascii="Arial" w:hAnsi="Arial" w:eastAsia="Arial" w:cs="Arial"/>
          <w:b w:val="0"/>
          <w:bCs w:val="0"/>
          <w:noProof w:val="0"/>
          <w:color w:val="000000" w:themeColor="text1" w:themeTint="FF" w:themeShade="FF"/>
          <w:sz w:val="22"/>
          <w:szCs w:val="22"/>
          <w:u w:val="none"/>
          <w:lang w:val="en-GB"/>
        </w:rPr>
        <w:t>unbalanced</w:t>
      </w:r>
      <w:r w:rsidRPr="7C4D80F3" w:rsidR="4E47354D">
        <w:rPr>
          <w:rFonts w:ascii="Arial" w:hAnsi="Arial" w:eastAsia="Arial" w:cs="Arial"/>
          <w:b w:val="0"/>
          <w:bCs w:val="0"/>
          <w:noProof w:val="0"/>
          <w:color w:val="000000" w:themeColor="text1" w:themeTint="FF" w:themeShade="FF"/>
          <w:sz w:val="22"/>
          <w:szCs w:val="22"/>
          <w:u w:val="none"/>
          <w:lang w:val="en-GB"/>
        </w:rPr>
        <w:t xml:space="preserve"> </w:t>
      </w:r>
      <w:r w:rsidRPr="7C4D80F3" w:rsidR="2A25CA3E">
        <w:rPr>
          <w:rFonts w:ascii="Arial" w:hAnsi="Arial" w:eastAsia="Arial" w:cs="Arial"/>
          <w:b w:val="0"/>
          <w:bCs w:val="0"/>
          <w:noProof w:val="0"/>
          <w:color w:val="000000" w:themeColor="text1" w:themeTint="FF" w:themeShade="FF"/>
          <w:sz w:val="22"/>
          <w:szCs w:val="22"/>
          <w:u w:val="none"/>
          <w:lang w:val="en-GB"/>
        </w:rPr>
        <w:t>diet, excess</w:t>
      </w:r>
      <w:r w:rsidRPr="7C4D80F3" w:rsidR="69A13695">
        <w:rPr>
          <w:rFonts w:ascii="Arial" w:hAnsi="Arial" w:eastAsia="Arial" w:cs="Arial"/>
          <w:b w:val="0"/>
          <w:bCs w:val="0"/>
          <w:noProof w:val="0"/>
          <w:color w:val="000000" w:themeColor="text1" w:themeTint="FF" w:themeShade="FF"/>
          <w:sz w:val="22"/>
          <w:szCs w:val="22"/>
          <w:u w:val="none"/>
          <w:lang w:val="en-GB"/>
        </w:rPr>
        <w:t xml:space="preserve"> body </w:t>
      </w:r>
      <w:r w:rsidRPr="7C4D80F3" w:rsidR="36DF0A53">
        <w:rPr>
          <w:rFonts w:ascii="Arial" w:hAnsi="Arial" w:eastAsia="Arial" w:cs="Arial"/>
          <w:b w:val="0"/>
          <w:bCs w:val="0"/>
          <w:noProof w:val="0"/>
          <w:color w:val="000000" w:themeColor="text1" w:themeTint="FF" w:themeShade="FF"/>
          <w:sz w:val="22"/>
          <w:szCs w:val="22"/>
          <w:u w:val="none"/>
          <w:lang w:val="en-GB"/>
        </w:rPr>
        <w:t>weight,</w:t>
      </w:r>
      <w:r w:rsidRPr="7C4D80F3" w:rsidR="472285DF">
        <w:rPr>
          <w:rFonts w:ascii="Arial" w:hAnsi="Arial" w:eastAsia="Arial" w:cs="Arial"/>
          <w:b w:val="0"/>
          <w:bCs w:val="0"/>
          <w:noProof w:val="0"/>
          <w:color w:val="000000" w:themeColor="text1" w:themeTint="FF" w:themeShade="FF"/>
          <w:sz w:val="22"/>
          <w:szCs w:val="22"/>
          <w:u w:val="none"/>
          <w:lang w:val="en-GB"/>
        </w:rPr>
        <w:t xml:space="preserve"> </w:t>
      </w:r>
      <w:r w:rsidRPr="7C4D80F3" w:rsidR="4E47354D">
        <w:rPr>
          <w:rFonts w:ascii="Arial" w:hAnsi="Arial" w:eastAsia="Arial" w:cs="Arial"/>
          <w:b w:val="0"/>
          <w:bCs w:val="0"/>
          <w:noProof w:val="0"/>
          <w:color w:val="000000" w:themeColor="text1" w:themeTint="FF" w:themeShade="FF"/>
          <w:sz w:val="22"/>
          <w:szCs w:val="22"/>
          <w:u w:val="none"/>
          <w:lang w:val="en-GB"/>
        </w:rPr>
        <w:t>and l</w:t>
      </w:r>
      <w:r w:rsidRPr="7C4D80F3" w:rsidR="5EEB691F">
        <w:rPr>
          <w:rFonts w:ascii="Arial" w:hAnsi="Arial" w:eastAsia="Arial" w:cs="Arial"/>
          <w:b w:val="0"/>
          <w:bCs w:val="0"/>
          <w:noProof w:val="0"/>
          <w:color w:val="000000" w:themeColor="text1" w:themeTint="FF" w:themeShade="FF"/>
          <w:sz w:val="22"/>
          <w:szCs w:val="22"/>
          <w:u w:val="none"/>
          <w:lang w:val="en-GB"/>
        </w:rPr>
        <w:t xml:space="preserve">imited </w:t>
      </w:r>
      <w:r w:rsidRPr="7C4D80F3" w:rsidR="7DB11467">
        <w:rPr>
          <w:rFonts w:ascii="Arial" w:hAnsi="Arial" w:eastAsia="Arial" w:cs="Arial"/>
          <w:b w:val="0"/>
          <w:bCs w:val="0"/>
          <w:noProof w:val="0"/>
          <w:color w:val="000000" w:themeColor="text1" w:themeTint="FF" w:themeShade="FF"/>
          <w:sz w:val="22"/>
          <w:szCs w:val="22"/>
          <w:u w:val="none"/>
          <w:lang w:val="en-GB"/>
        </w:rPr>
        <w:t>engagement</w:t>
      </w:r>
      <w:r w:rsidRPr="7C4D80F3" w:rsidR="5EEB691F">
        <w:rPr>
          <w:rFonts w:ascii="Arial" w:hAnsi="Arial" w:eastAsia="Arial" w:cs="Arial"/>
          <w:b w:val="0"/>
          <w:bCs w:val="0"/>
          <w:noProof w:val="0"/>
          <w:color w:val="000000" w:themeColor="text1" w:themeTint="FF" w:themeShade="FF"/>
          <w:sz w:val="22"/>
          <w:szCs w:val="22"/>
          <w:u w:val="none"/>
          <w:lang w:val="en-GB"/>
        </w:rPr>
        <w:t xml:space="preserve"> in </w:t>
      </w:r>
      <w:r w:rsidRPr="7C4D80F3" w:rsidR="4E47354D">
        <w:rPr>
          <w:rFonts w:ascii="Arial" w:hAnsi="Arial" w:eastAsia="Arial" w:cs="Arial"/>
          <w:b w:val="0"/>
          <w:bCs w:val="0"/>
          <w:noProof w:val="0"/>
          <w:color w:val="000000" w:themeColor="text1" w:themeTint="FF" w:themeShade="FF"/>
          <w:sz w:val="22"/>
          <w:szCs w:val="22"/>
          <w:u w:val="none"/>
          <w:lang w:val="en-GB"/>
        </w:rPr>
        <w:t>physical activity. Common symptoms</w:t>
      </w:r>
      <w:r w:rsidRPr="7C4D80F3" w:rsidR="4E47354D">
        <w:rPr>
          <w:rFonts w:ascii="Arial" w:hAnsi="Arial" w:eastAsia="Arial" w:cs="Arial"/>
          <w:b w:val="0"/>
          <w:bCs w:val="0"/>
          <w:noProof w:val="0"/>
          <w:color w:val="000000" w:themeColor="text1" w:themeTint="FF" w:themeShade="FF"/>
          <w:sz w:val="22"/>
          <w:szCs w:val="22"/>
          <w:u w:val="none"/>
          <w:lang w:val="en-GB"/>
        </w:rPr>
        <w:t xml:space="preserve"> </w:t>
      </w:r>
      <w:r w:rsidRPr="7C4D80F3" w:rsidR="6E988043">
        <w:rPr>
          <w:rFonts w:ascii="Arial" w:hAnsi="Arial" w:eastAsia="Arial" w:cs="Arial"/>
          <w:b w:val="0"/>
          <w:bCs w:val="0"/>
          <w:noProof w:val="0"/>
          <w:color w:val="000000" w:themeColor="text1" w:themeTint="FF" w:themeShade="FF"/>
          <w:sz w:val="22"/>
          <w:szCs w:val="22"/>
          <w:u w:val="none"/>
          <w:lang w:val="en-GB"/>
        </w:rPr>
        <w:t>such as</w:t>
      </w:r>
      <w:r w:rsidRPr="7C4D80F3" w:rsidR="4E47354D">
        <w:rPr>
          <w:rFonts w:ascii="Arial" w:hAnsi="Arial" w:eastAsia="Arial" w:cs="Arial"/>
          <w:b w:val="0"/>
          <w:bCs w:val="0"/>
          <w:noProof w:val="0"/>
          <w:color w:val="000000" w:themeColor="text1" w:themeTint="FF" w:themeShade="FF"/>
          <w:sz w:val="22"/>
          <w:szCs w:val="22"/>
          <w:u w:val="none"/>
          <w:lang w:val="en-GB"/>
        </w:rPr>
        <w:t xml:space="preserve"> increased thirst, frequent urination, tiredness, blurred vision, delayed wound healing, and recurrent infections (NHS, 2024). Globally, more than 830 million people were living with diabetes in 2022, with the fastest growth seen in low- and middle-income nations (WHO, 2024). In the UK, over 5.8 million individuals have diabetes, and around 90% of these cases are type 2 (Diabetes UK, 2025). Furthermore, approximately 6.3 million people in the UK are considered at </w:t>
      </w:r>
      <w:r w:rsidRPr="7C4D80F3" w:rsidR="64FF46BC">
        <w:rPr>
          <w:rFonts w:ascii="Arial" w:hAnsi="Arial" w:eastAsia="Arial" w:cs="Arial"/>
          <w:b w:val="0"/>
          <w:bCs w:val="0"/>
          <w:noProof w:val="0"/>
          <w:color w:val="000000" w:themeColor="text1" w:themeTint="FF" w:themeShade="FF"/>
          <w:sz w:val="22"/>
          <w:szCs w:val="22"/>
          <w:u w:val="none"/>
          <w:lang w:val="en-GB"/>
        </w:rPr>
        <w:t>substantial risk</w:t>
      </w:r>
      <w:r w:rsidRPr="7C4D80F3" w:rsidR="4E47354D">
        <w:rPr>
          <w:rFonts w:ascii="Arial" w:hAnsi="Arial" w:eastAsia="Arial" w:cs="Arial"/>
          <w:b w:val="0"/>
          <w:bCs w:val="0"/>
          <w:noProof w:val="0"/>
          <w:color w:val="000000" w:themeColor="text1" w:themeTint="FF" w:themeShade="FF"/>
          <w:sz w:val="22"/>
          <w:szCs w:val="22"/>
          <w:u w:val="none"/>
          <w:lang w:val="en-GB"/>
        </w:rPr>
        <w:t xml:space="preserve"> of developing T2DM, highlighting the </w:t>
      </w:r>
      <w:r w:rsidRPr="7C4D80F3" w:rsidR="4E47354D">
        <w:rPr>
          <w:rFonts w:ascii="Arial" w:hAnsi="Arial" w:eastAsia="Arial" w:cs="Arial"/>
          <w:b w:val="0"/>
          <w:bCs w:val="0"/>
          <w:noProof w:val="0"/>
          <w:color w:val="000000" w:themeColor="text1" w:themeTint="FF" w:themeShade="FF"/>
          <w:sz w:val="22"/>
          <w:szCs w:val="22"/>
          <w:u w:val="none"/>
          <w:lang w:val="en-GB"/>
        </w:rPr>
        <w:t>magnitude</w:t>
      </w:r>
      <w:r w:rsidRPr="7C4D80F3" w:rsidR="4E47354D">
        <w:rPr>
          <w:rFonts w:ascii="Arial" w:hAnsi="Arial" w:eastAsia="Arial" w:cs="Arial"/>
          <w:b w:val="0"/>
          <w:bCs w:val="0"/>
          <w:noProof w:val="0"/>
          <w:color w:val="000000" w:themeColor="text1" w:themeTint="FF" w:themeShade="FF"/>
          <w:sz w:val="22"/>
          <w:szCs w:val="22"/>
          <w:u w:val="none"/>
          <w:lang w:val="en-GB"/>
        </w:rPr>
        <w:t xml:space="preserve"> of this public health challenge (Sykes and Copsey, 2023).</w:t>
      </w:r>
    </w:p>
    <w:p xmlns:wp14="http://schemas.microsoft.com/office/word/2010/wordml" w:rsidP="7C4D80F3" wp14:paraId="2F344A71" wp14:textId="4EA70BD8">
      <w:pPr>
        <w:pStyle w:val="Heading2"/>
        <w:spacing w:before="281" w:beforeAutospacing="off" w:after="281" w:afterAutospacing="off" w:line="360" w:lineRule="auto"/>
        <w:rPr>
          <w:rFonts w:ascii="Arial Nova" w:hAnsi="Arial Nova" w:eastAsia="Arial Nova" w:cs="Arial Nova"/>
          <w:b w:val="0"/>
          <w:bCs w:val="0"/>
          <w:noProof w:val="0"/>
          <w:color w:val="auto"/>
          <w:sz w:val="36"/>
          <w:szCs w:val="36"/>
          <w:u w:val="single"/>
          <w:lang w:val="en-GB"/>
        </w:rPr>
      </w:pPr>
      <w:r w:rsidRPr="7C4D80F3" w:rsidR="0F2246E9">
        <w:rPr>
          <w:rFonts w:ascii="Arial Nova" w:hAnsi="Arial Nova" w:eastAsia="Arial Nova" w:cs="Arial Nova"/>
          <w:noProof w:val="0"/>
          <w:color w:val="auto"/>
          <w:sz w:val="36"/>
          <w:szCs w:val="36"/>
          <w:u w:val="single"/>
          <w:lang w:val="en-GB"/>
        </w:rPr>
        <w:t>Consequences of Type 2 Diabetes in the Community</w:t>
      </w:r>
    </w:p>
    <w:p xmlns:wp14="http://schemas.microsoft.com/office/word/2010/wordml" w:rsidP="7C4D80F3" wp14:paraId="78773498" wp14:textId="4D14125E">
      <w:p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54A62C03">
        <w:rPr>
          <w:rFonts w:ascii="Arial" w:hAnsi="Arial" w:eastAsia="Arial" w:cs="Arial"/>
          <w:b w:val="0"/>
          <w:bCs w:val="0"/>
          <w:noProof w:val="0"/>
          <w:color w:val="auto"/>
          <w:sz w:val="22"/>
          <w:szCs w:val="22"/>
          <w:lang w:val="en-GB"/>
        </w:rPr>
        <w:t xml:space="preserve">Type 2 diabetes poses significant challenges not only for individuals but also for their families and communities. Those living with the condition face an increased risk of complications, including cardiovascular disorders, kidney damage, nerve impairment, vision problems, and, in severe cases, limb amputation (NHS, 2024). These complications </w:t>
      </w:r>
      <w:r w:rsidRPr="7C4D80F3" w:rsidR="54A62C03">
        <w:rPr>
          <w:rFonts w:ascii="Arial" w:hAnsi="Arial" w:eastAsia="Arial" w:cs="Arial"/>
          <w:b w:val="0"/>
          <w:bCs w:val="0"/>
          <w:noProof w:val="0"/>
          <w:color w:val="auto"/>
          <w:sz w:val="22"/>
          <w:szCs w:val="22"/>
          <w:lang w:val="en-GB"/>
        </w:rPr>
        <w:t>frequently</w:t>
      </w:r>
      <w:r w:rsidRPr="7C4D80F3" w:rsidR="54A62C03">
        <w:rPr>
          <w:rFonts w:ascii="Arial" w:hAnsi="Arial" w:eastAsia="Arial" w:cs="Arial"/>
          <w:b w:val="0"/>
          <w:bCs w:val="0"/>
          <w:noProof w:val="0"/>
          <w:color w:val="auto"/>
          <w:sz w:val="22"/>
          <w:szCs w:val="22"/>
          <w:lang w:val="en-GB"/>
        </w:rPr>
        <w:t xml:space="preserve"> lead to reduced independence, poorer quality of life, and heightened disability. For example, diabetic retinopathy </w:t>
      </w:r>
      <w:r w:rsidRPr="7C4D80F3" w:rsidR="54A62C03">
        <w:rPr>
          <w:rFonts w:ascii="Arial" w:hAnsi="Arial" w:eastAsia="Arial" w:cs="Arial"/>
          <w:b w:val="0"/>
          <w:bCs w:val="0"/>
          <w:noProof w:val="0"/>
          <w:color w:val="auto"/>
          <w:sz w:val="22"/>
          <w:szCs w:val="22"/>
          <w:lang w:val="en-GB"/>
        </w:rPr>
        <w:t>remains</w:t>
      </w:r>
      <w:r w:rsidRPr="7C4D80F3" w:rsidR="54A62C03">
        <w:rPr>
          <w:rFonts w:ascii="Arial" w:hAnsi="Arial" w:eastAsia="Arial" w:cs="Arial"/>
          <w:b w:val="0"/>
          <w:bCs w:val="0"/>
          <w:noProof w:val="0"/>
          <w:color w:val="auto"/>
          <w:sz w:val="22"/>
          <w:szCs w:val="22"/>
          <w:lang w:val="en-GB"/>
        </w:rPr>
        <w:t xml:space="preserve"> a primary cause of blindness among working-age adults in the UK, while nerve damage often results in foot ulcers and, in advanced stages, amputations (Diabetes UK, 2024</w:t>
      </w:r>
      <w:r w:rsidRPr="7C4D80F3" w:rsidR="54A62C03">
        <w:rPr>
          <w:rFonts w:ascii="Arial" w:hAnsi="Arial" w:eastAsia="Arial" w:cs="Arial"/>
          <w:b w:val="0"/>
          <w:bCs w:val="0"/>
          <w:noProof w:val="0"/>
          <w:color w:val="auto"/>
          <w:sz w:val="22"/>
          <w:szCs w:val="22"/>
          <w:lang w:val="en-GB"/>
        </w:rPr>
        <w:t>).</w:t>
      </w:r>
      <w:r w:rsidRPr="7C4D80F3" w:rsidR="55B13A1F">
        <w:rPr>
          <w:rFonts w:ascii="Arial" w:hAnsi="Arial" w:eastAsia="Arial" w:cs="Arial"/>
          <w:b w:val="0"/>
          <w:bCs w:val="0"/>
          <w:noProof w:val="0"/>
          <w:color w:val="auto"/>
          <w:sz w:val="22"/>
          <w:szCs w:val="22"/>
          <w:lang w:val="en-GB"/>
        </w:rPr>
        <w:t xml:space="preserve"> </w:t>
      </w:r>
      <w:r w:rsidRPr="7C4D80F3" w:rsidR="197D798D">
        <w:rPr>
          <w:rFonts w:ascii="Arial" w:hAnsi="Arial" w:eastAsia="Arial" w:cs="Arial"/>
          <w:b w:val="0"/>
          <w:bCs w:val="0"/>
          <w:noProof w:val="0"/>
          <w:color w:val="auto"/>
          <w:sz w:val="22"/>
          <w:szCs w:val="22"/>
          <w:lang w:val="en-GB"/>
        </w:rPr>
        <w:t xml:space="preserve">The psychological burden of living with these complications is significant, often leading to depression, anxiety, and reduced self-esteem, which further </w:t>
      </w:r>
      <w:r w:rsidRPr="7C4D80F3" w:rsidR="197D798D">
        <w:rPr>
          <w:rFonts w:ascii="Arial" w:hAnsi="Arial" w:eastAsia="Arial" w:cs="Arial"/>
          <w:b w:val="0"/>
          <w:bCs w:val="0"/>
          <w:noProof w:val="0"/>
          <w:color w:val="auto"/>
          <w:sz w:val="22"/>
          <w:szCs w:val="22"/>
          <w:lang w:val="en-GB"/>
        </w:rPr>
        <w:t>impacts</w:t>
      </w:r>
      <w:r w:rsidRPr="7C4D80F3" w:rsidR="197D798D">
        <w:rPr>
          <w:rFonts w:ascii="Arial" w:hAnsi="Arial" w:eastAsia="Arial" w:cs="Arial"/>
          <w:b w:val="0"/>
          <w:bCs w:val="0"/>
          <w:noProof w:val="0"/>
          <w:color w:val="auto"/>
          <w:sz w:val="22"/>
          <w:szCs w:val="22"/>
          <w:lang w:val="en-GB"/>
        </w:rPr>
        <w:t xml:space="preserve"> adherence to treatment and lifestyle changes (</w:t>
      </w:r>
      <w:r w:rsidRPr="7C4D80F3" w:rsidR="7BE53620">
        <w:rPr>
          <w:rFonts w:ascii="Arial" w:hAnsi="Arial" w:eastAsia="Arial" w:cs="Arial"/>
          <w:b w:val="0"/>
          <w:bCs w:val="0"/>
          <w:noProof w:val="0"/>
          <w:color w:val="auto"/>
          <w:sz w:val="22"/>
          <w:szCs w:val="22"/>
          <w:lang w:val="en-GB"/>
        </w:rPr>
        <w:t>Ataya and Soqia, 2024</w:t>
      </w:r>
      <w:r w:rsidRPr="7C4D80F3" w:rsidR="197D798D">
        <w:rPr>
          <w:rFonts w:ascii="Arial" w:hAnsi="Arial" w:eastAsia="Arial" w:cs="Arial"/>
          <w:b w:val="0"/>
          <w:bCs w:val="0"/>
          <w:noProof w:val="0"/>
          <w:color w:val="auto"/>
          <w:sz w:val="22"/>
          <w:szCs w:val="22"/>
          <w:lang w:val="en-GB"/>
        </w:rPr>
        <w:t>).</w:t>
      </w:r>
    </w:p>
    <w:p xmlns:wp14="http://schemas.microsoft.com/office/word/2010/wordml" w:rsidP="7C4D80F3" wp14:paraId="68B67730" wp14:textId="17513600">
      <w:p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197D798D">
        <w:rPr>
          <w:rFonts w:ascii="Arial" w:hAnsi="Arial" w:eastAsia="Arial" w:cs="Arial"/>
          <w:b w:val="0"/>
          <w:bCs w:val="0"/>
          <w:noProof w:val="0"/>
          <w:color w:val="auto"/>
          <w:sz w:val="22"/>
          <w:szCs w:val="22"/>
          <w:lang w:val="en-GB"/>
        </w:rPr>
        <w:t>In communities, the burden of diabetes manifests in reduced workforce productivity, increased absenteeism, and higher rates of early retirement due to ill health. Employers face challenges in accommodating staff with fluctuating health needs, while the wider economy suffers from lost productivity and increased welfare dependency. Families often experience emotional stress, financial strain, and caregiving responsibilities, particularly when complications such as blindness or amputations occur (Verywell Health, 2025). Children of parents with diabetes may also face indirect consequences, such as reduced household income and altered family routines, which can affect educational attainment and social development.</w:t>
      </w:r>
    </w:p>
    <w:p xmlns:wp14="http://schemas.microsoft.com/office/word/2010/wordml" w:rsidP="7C4D80F3" wp14:paraId="2AE5EA7C" wp14:textId="44CAADD0">
      <w:p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197D798D">
        <w:rPr>
          <w:rFonts w:ascii="Arial" w:hAnsi="Arial" w:eastAsia="Arial" w:cs="Arial"/>
          <w:b w:val="0"/>
          <w:bCs w:val="0"/>
          <w:noProof w:val="0"/>
          <w:color w:val="auto"/>
          <w:sz w:val="22"/>
          <w:szCs w:val="22"/>
          <w:lang w:val="en-GB"/>
        </w:rPr>
        <w:t>Socially, diabetes contributes to health inequalities. People from lower socioeconomic backgrounds are disproportionately affected due to limited access to healthy food, safe environments for physical activity, and healthcare resources (NICE, 2012). Food deserts in urban areas, where affordable fresh produce is scarce, exacerbate poor dietary habits. Ethnic minority groups in the UK, including South Asian and African-Caribbean populations, also show higher prevalence rates, reflecting genetic predisposition and cultural dietary practices (Public Health England, 2018). This highlights the intersection of biological, social, and cultural factors in shaping disease outcomes. Moreover, stigma associated with obesity and chronic illness can lead to social isolation, further worsening health outcomes.</w:t>
      </w:r>
    </w:p>
    <w:p xmlns:wp14="http://schemas.microsoft.com/office/word/2010/wordml" w:rsidP="7C4D80F3" wp14:paraId="54C56744" wp14:textId="54F08A85">
      <w:pPr>
        <w:pStyle w:val="Heading2"/>
        <w:rPr>
          <w:rFonts w:ascii="Arial Nova" w:hAnsi="Arial Nova" w:eastAsia="Arial Nova" w:cs="Arial Nova"/>
          <w:b w:val="0"/>
          <w:bCs w:val="0"/>
          <w:noProof w:val="0"/>
          <w:color w:val="auto"/>
          <w:sz w:val="36"/>
          <w:szCs w:val="36"/>
          <w:u w:val="single"/>
          <w:lang w:val="en-GB"/>
        </w:rPr>
      </w:pPr>
      <w:r w:rsidRPr="7C4D80F3" w:rsidR="197D798D">
        <w:rPr>
          <w:rFonts w:ascii="Arial Nova" w:hAnsi="Arial Nova" w:eastAsia="Arial Nova" w:cs="Arial Nova"/>
          <w:noProof w:val="0"/>
          <w:color w:val="auto"/>
          <w:sz w:val="36"/>
          <w:szCs w:val="36"/>
          <w:u w:val="single"/>
          <w:lang w:val="en-GB"/>
        </w:rPr>
        <w:t>Consequences for the NHS</w:t>
      </w:r>
    </w:p>
    <w:p xmlns:wp14="http://schemas.microsoft.com/office/word/2010/wordml" w:rsidP="7C4D80F3" wp14:paraId="23494669" wp14:textId="792A291C">
      <w:p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197D798D">
        <w:rPr>
          <w:rFonts w:ascii="Arial" w:hAnsi="Arial" w:eastAsia="Arial" w:cs="Arial"/>
          <w:b w:val="0"/>
          <w:bCs w:val="0"/>
          <w:noProof w:val="0"/>
          <w:color w:val="auto"/>
          <w:sz w:val="22"/>
          <w:szCs w:val="22"/>
          <w:lang w:val="en-GB"/>
        </w:rPr>
        <w:t xml:space="preserve">The impact of type 2 diabetes on the NHS is immense. Diabetes care consumes approximately </w:t>
      </w:r>
      <w:r w:rsidRPr="7C4D80F3" w:rsidR="197D798D">
        <w:rPr>
          <w:rFonts w:ascii="Arial" w:hAnsi="Arial" w:eastAsia="Arial" w:cs="Arial"/>
          <w:b w:val="0"/>
          <w:bCs w:val="0"/>
          <w:noProof w:val="0"/>
          <w:color w:val="auto"/>
          <w:sz w:val="22"/>
          <w:szCs w:val="22"/>
          <w:lang w:val="en-GB"/>
        </w:rPr>
        <w:t>£10.7 billion annually</w:t>
      </w:r>
      <w:r w:rsidRPr="7C4D80F3" w:rsidR="197D798D">
        <w:rPr>
          <w:rFonts w:ascii="Arial" w:hAnsi="Arial" w:eastAsia="Arial" w:cs="Arial"/>
          <w:b w:val="0"/>
          <w:bCs w:val="0"/>
          <w:noProof w:val="0"/>
          <w:color w:val="auto"/>
          <w:sz w:val="22"/>
          <w:szCs w:val="22"/>
          <w:lang w:val="en-GB"/>
        </w:rPr>
        <w:t xml:space="preserve">, representing around </w:t>
      </w:r>
      <w:r w:rsidRPr="7C4D80F3" w:rsidR="197D798D">
        <w:rPr>
          <w:rFonts w:ascii="Arial" w:hAnsi="Arial" w:eastAsia="Arial" w:cs="Arial"/>
          <w:b w:val="0"/>
          <w:bCs w:val="0"/>
          <w:noProof w:val="0"/>
          <w:color w:val="auto"/>
          <w:sz w:val="22"/>
          <w:szCs w:val="22"/>
          <w:lang w:val="en-GB"/>
        </w:rPr>
        <w:t>6% of the NHS budget</w:t>
      </w:r>
      <w:r w:rsidRPr="7C4D80F3" w:rsidR="197D798D">
        <w:rPr>
          <w:rFonts w:ascii="Arial" w:hAnsi="Arial" w:eastAsia="Arial" w:cs="Arial"/>
          <w:b w:val="0"/>
          <w:bCs w:val="0"/>
          <w:noProof w:val="0"/>
          <w:color w:val="auto"/>
          <w:sz w:val="22"/>
          <w:szCs w:val="22"/>
          <w:lang w:val="en-GB"/>
        </w:rPr>
        <w:t xml:space="preserve"> (Diabetes UK, 2024). Of this, £6.2 billion is spent managing complications, which include </w:t>
      </w:r>
      <w:r w:rsidRPr="7C4D80F3" w:rsidR="197D798D">
        <w:rPr>
          <w:rFonts w:ascii="Arial" w:hAnsi="Arial" w:eastAsia="Arial" w:cs="Arial"/>
          <w:b w:val="0"/>
          <w:bCs w:val="0"/>
          <w:noProof w:val="0"/>
          <w:color w:val="auto"/>
          <w:sz w:val="22"/>
          <w:szCs w:val="22"/>
          <w:lang w:val="en-GB"/>
        </w:rPr>
        <w:t>2,990 cases of heart failure, 930 strokes, 660 heart attacks, and 184 amputations every week</w:t>
      </w:r>
      <w:r w:rsidRPr="7C4D80F3" w:rsidR="197D798D">
        <w:rPr>
          <w:rFonts w:ascii="Arial" w:hAnsi="Arial" w:eastAsia="Arial" w:cs="Arial"/>
          <w:b w:val="0"/>
          <w:bCs w:val="0"/>
          <w:noProof w:val="0"/>
          <w:color w:val="auto"/>
          <w:sz w:val="22"/>
          <w:szCs w:val="22"/>
          <w:lang w:val="en-GB"/>
        </w:rPr>
        <w:t xml:space="preserve"> in the UK (Diabetes UK, 2024). Hospital admissions for diabetes-related complications place significant strain on acute services, while primary care teams face increasing demand for monitoring, education, and long-term management. The sheer scale of diabetes-related admissions highlights the systemic challenge of managing chronic disease within a health service already under pressure.</w:t>
      </w:r>
    </w:p>
    <w:p xmlns:wp14="http://schemas.microsoft.com/office/word/2010/wordml" w:rsidP="7C4D80F3" wp14:paraId="44AEBD1D" wp14:textId="604140E3">
      <w:p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197D798D">
        <w:rPr>
          <w:rFonts w:ascii="Arial" w:hAnsi="Arial" w:eastAsia="Arial" w:cs="Arial"/>
          <w:b w:val="0"/>
          <w:bCs w:val="0"/>
          <w:noProof w:val="0"/>
          <w:color w:val="auto"/>
          <w:sz w:val="22"/>
          <w:szCs w:val="22"/>
          <w:lang w:val="en-GB"/>
        </w:rPr>
        <w:t xml:space="preserve">The NHS has responded with initiatives such as the </w:t>
      </w:r>
      <w:r w:rsidRPr="7C4D80F3" w:rsidR="197D798D">
        <w:rPr>
          <w:rFonts w:ascii="Arial" w:hAnsi="Arial" w:eastAsia="Arial" w:cs="Arial"/>
          <w:b w:val="0"/>
          <w:bCs w:val="0"/>
          <w:noProof w:val="0"/>
          <w:color w:val="auto"/>
          <w:sz w:val="22"/>
          <w:szCs w:val="22"/>
          <w:lang w:val="en-GB"/>
        </w:rPr>
        <w:t>Diabetes Prevention Programme (DPP)</w:t>
      </w:r>
      <w:r w:rsidRPr="7C4D80F3" w:rsidR="197D798D">
        <w:rPr>
          <w:rFonts w:ascii="Arial" w:hAnsi="Arial" w:eastAsia="Arial" w:cs="Arial"/>
          <w:b w:val="0"/>
          <w:bCs w:val="0"/>
          <w:noProof w:val="0"/>
          <w:color w:val="auto"/>
          <w:sz w:val="22"/>
          <w:szCs w:val="22"/>
          <w:lang w:val="en-GB"/>
        </w:rPr>
        <w:t xml:space="preserve">, which has reduced population-level incidence by promoting lifestyle changes (Lancet, 2022). Additionally, the </w:t>
      </w:r>
      <w:r w:rsidRPr="7C4D80F3" w:rsidR="197D798D">
        <w:rPr>
          <w:rFonts w:ascii="Arial" w:hAnsi="Arial" w:eastAsia="Arial" w:cs="Arial"/>
          <w:b w:val="0"/>
          <w:bCs w:val="0"/>
          <w:noProof w:val="0"/>
          <w:color w:val="auto"/>
          <w:sz w:val="22"/>
          <w:szCs w:val="22"/>
          <w:lang w:val="en-GB"/>
        </w:rPr>
        <w:t>Type 2 Diabetes Path to Remission Programme</w:t>
      </w:r>
      <w:r w:rsidRPr="7C4D80F3" w:rsidR="197D798D">
        <w:rPr>
          <w:rFonts w:ascii="Arial" w:hAnsi="Arial" w:eastAsia="Arial" w:cs="Arial"/>
          <w:b w:val="0"/>
          <w:bCs w:val="0"/>
          <w:noProof w:val="0"/>
          <w:color w:val="auto"/>
          <w:sz w:val="22"/>
          <w:szCs w:val="22"/>
          <w:lang w:val="en-GB"/>
        </w:rPr>
        <w:t xml:space="preserve">, involving low-calorie diets, has shown promising results, with </w:t>
      </w:r>
      <w:r w:rsidRPr="7C4D80F3" w:rsidR="197D798D">
        <w:rPr>
          <w:rFonts w:ascii="Arial" w:hAnsi="Arial" w:eastAsia="Arial" w:cs="Arial"/>
          <w:b w:val="0"/>
          <w:bCs w:val="0"/>
          <w:noProof w:val="0"/>
          <w:color w:val="auto"/>
          <w:sz w:val="22"/>
          <w:szCs w:val="22"/>
          <w:lang w:val="en-GB"/>
        </w:rPr>
        <w:t>32% of participants achieving remission</w:t>
      </w:r>
      <w:r w:rsidRPr="7C4D80F3" w:rsidR="197D798D">
        <w:rPr>
          <w:rFonts w:ascii="Arial" w:hAnsi="Arial" w:eastAsia="Arial" w:cs="Arial"/>
          <w:b w:val="0"/>
          <w:bCs w:val="0"/>
          <w:noProof w:val="0"/>
          <w:color w:val="auto"/>
          <w:sz w:val="22"/>
          <w:szCs w:val="22"/>
          <w:lang w:val="en-GB"/>
        </w:rPr>
        <w:t xml:space="preserve"> (National Health Executive, 2025). Despite these successes, the growing prevalence continues to challenge NHS capacity, highlighting the need for sustained investment in prevention and management.</w:t>
      </w:r>
    </w:p>
    <w:p xmlns:wp14="http://schemas.microsoft.com/office/word/2010/wordml" w:rsidP="7C4D80F3" wp14:paraId="329376CE" wp14:textId="07C6413A">
      <w:p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197D798D">
        <w:rPr>
          <w:rFonts w:ascii="Arial" w:hAnsi="Arial" w:eastAsia="Arial" w:cs="Arial"/>
          <w:b w:val="0"/>
          <w:bCs w:val="0"/>
          <w:noProof w:val="0"/>
          <w:color w:val="auto"/>
          <w:sz w:val="22"/>
          <w:szCs w:val="22"/>
          <w:lang w:val="en-GB"/>
        </w:rPr>
        <w:t>Beyond direct costs, diabetes also contributes to indirect healthcare pressures. For example, patients with diabetes often require more frequent GP appointments, blood tests, and medication reviews. The condition also complicates the management of other diseases, such as hypertension and obesity, creating a cycle of multimorbidity that strains NHS resources (NICE, 2022). Workforce pressures are exacerbated by the need for specialist diabetes nurses, dietitians, and podiatrists, whose availability is uneven across regions. This uneven distribution contributes to regional disparities in outcomes, with some communities experiencing higher rates of complications due to limited access to specialist care.</w:t>
      </w:r>
    </w:p>
    <w:p xmlns:wp14="http://schemas.microsoft.com/office/word/2010/wordml" w:rsidP="7C4D80F3" wp14:paraId="07753350" wp14:textId="17CB5997">
      <w:p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197D798D">
        <w:rPr>
          <w:rFonts w:ascii="Arial" w:hAnsi="Arial" w:eastAsia="Arial" w:cs="Arial"/>
          <w:b w:val="0"/>
          <w:bCs w:val="0"/>
          <w:noProof w:val="0"/>
          <w:color w:val="auto"/>
          <w:sz w:val="22"/>
          <w:szCs w:val="22"/>
          <w:lang w:val="en-GB"/>
        </w:rPr>
        <w:t>The NHS also faces challenges in integrating digital health technologies. While continuous glucose monitoring and telehealth consultations offer opportunities to improve self-management and reduce hospital visits, implementation is hindered by funding constraints and digital literacy gaps among patients (Diabetes UK, 2025). Thus, while innovation is promising, equitable access remains a critical issue.</w:t>
      </w:r>
    </w:p>
    <w:p xmlns:wp14="http://schemas.microsoft.com/office/word/2010/wordml" w:rsidP="7C4D80F3" wp14:paraId="68A11EDB" wp14:textId="12DE7743">
      <w:pPr>
        <w:pStyle w:val="Heading2"/>
        <w:rPr>
          <w:rFonts w:ascii="Arial Nova" w:hAnsi="Arial Nova" w:eastAsia="Arial Nova" w:cs="Arial Nova"/>
          <w:b w:val="0"/>
          <w:bCs w:val="0"/>
          <w:noProof w:val="0"/>
          <w:color w:val="auto"/>
          <w:sz w:val="36"/>
          <w:szCs w:val="36"/>
          <w:u w:val="single"/>
          <w:lang w:val="en-GB"/>
        </w:rPr>
      </w:pPr>
      <w:r w:rsidRPr="7C4D80F3" w:rsidR="197D798D">
        <w:rPr>
          <w:rFonts w:ascii="Arial Nova" w:hAnsi="Arial Nova" w:eastAsia="Arial Nova" w:cs="Arial Nova"/>
          <w:noProof w:val="0"/>
          <w:color w:val="auto"/>
          <w:sz w:val="36"/>
          <w:szCs w:val="36"/>
          <w:u w:val="single"/>
          <w:lang w:val="en-GB"/>
        </w:rPr>
        <w:t>Control and Management of Type 2 Diabetes</w:t>
      </w:r>
    </w:p>
    <w:p xmlns:wp14="http://schemas.microsoft.com/office/word/2010/wordml" w:rsidP="7C4D80F3" wp14:paraId="331281D5" wp14:textId="52732246">
      <w:p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329FF232">
        <w:rPr>
          <w:rFonts w:ascii="Arial" w:hAnsi="Arial" w:eastAsia="Arial" w:cs="Arial"/>
          <w:b w:val="0"/>
          <w:bCs w:val="0"/>
          <w:noProof w:val="0"/>
          <w:color w:val="auto"/>
          <w:sz w:val="22"/>
          <w:szCs w:val="22"/>
          <w:lang w:val="en-GB"/>
        </w:rPr>
        <w:t>Managing type 2 diabetes involves making healthy lifestyle changes alongside medication and routine check-ups. Key lifestyle measures include eating a balanced diet with plenty of whole grains, fruits, and vegetables, staying physically active, and working towards a healthy weight (NHS, 2024). Education programmes such as DESMOND help people understand their condition and take control of their self-care. According to NICE (2022)</w:t>
      </w:r>
      <w:r w:rsidRPr="7C4D80F3" w:rsidR="4269A3F7">
        <w:rPr>
          <w:rFonts w:ascii="Arial" w:hAnsi="Arial" w:eastAsia="Arial" w:cs="Arial"/>
          <w:b w:val="0"/>
          <w:bCs w:val="0"/>
          <w:noProof w:val="0"/>
          <w:color w:val="auto"/>
          <w:sz w:val="22"/>
          <w:szCs w:val="22"/>
          <w:lang w:val="en-GB"/>
        </w:rPr>
        <w:t xml:space="preserve"> evidence, </w:t>
      </w:r>
      <w:r w:rsidRPr="7C4D80F3" w:rsidR="197D798D">
        <w:rPr>
          <w:rFonts w:ascii="Arial" w:hAnsi="Arial" w:eastAsia="Arial" w:cs="Arial"/>
          <w:b w:val="0"/>
          <w:bCs w:val="0"/>
          <w:noProof w:val="0"/>
          <w:color w:val="auto"/>
          <w:sz w:val="22"/>
          <w:szCs w:val="22"/>
          <w:lang w:val="en-GB"/>
        </w:rPr>
        <w:t xml:space="preserve">patients who attend structured education programmes </w:t>
      </w:r>
      <w:r w:rsidRPr="7C4D80F3" w:rsidR="197D798D">
        <w:rPr>
          <w:rFonts w:ascii="Arial" w:hAnsi="Arial" w:eastAsia="Arial" w:cs="Arial"/>
          <w:b w:val="0"/>
          <w:bCs w:val="0"/>
          <w:noProof w:val="0"/>
          <w:color w:val="auto"/>
          <w:sz w:val="22"/>
          <w:szCs w:val="22"/>
          <w:lang w:val="en-GB"/>
        </w:rPr>
        <w:t>demonstrate</w:t>
      </w:r>
      <w:r w:rsidRPr="7C4D80F3" w:rsidR="197D798D">
        <w:rPr>
          <w:rFonts w:ascii="Arial" w:hAnsi="Arial" w:eastAsia="Arial" w:cs="Arial"/>
          <w:b w:val="0"/>
          <w:bCs w:val="0"/>
          <w:noProof w:val="0"/>
          <w:color w:val="auto"/>
          <w:sz w:val="22"/>
          <w:szCs w:val="22"/>
          <w:lang w:val="en-GB"/>
        </w:rPr>
        <w:t xml:space="preserve"> improved glycaemic control and reduced risk of complications.</w:t>
      </w:r>
    </w:p>
    <w:p xmlns:wp14="http://schemas.microsoft.com/office/word/2010/wordml" w:rsidP="7C4D80F3" wp14:paraId="2B157779" wp14:textId="137CF31C">
      <w:p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197D798D">
        <w:rPr>
          <w:rFonts w:ascii="Arial" w:hAnsi="Arial" w:eastAsia="Arial" w:cs="Arial"/>
          <w:b w:val="0"/>
          <w:bCs w:val="0"/>
          <w:noProof w:val="0"/>
          <w:color w:val="auto"/>
          <w:sz w:val="22"/>
          <w:szCs w:val="22"/>
          <w:lang w:val="en-GB"/>
        </w:rPr>
        <w:t xml:space="preserve">Pharmacological treatments include </w:t>
      </w:r>
      <w:r w:rsidRPr="7C4D80F3" w:rsidR="197D798D">
        <w:rPr>
          <w:rFonts w:ascii="Arial" w:hAnsi="Arial" w:eastAsia="Arial" w:cs="Arial"/>
          <w:b w:val="0"/>
          <w:bCs w:val="0"/>
          <w:noProof w:val="0"/>
          <w:color w:val="auto"/>
          <w:sz w:val="22"/>
          <w:szCs w:val="22"/>
          <w:lang w:val="en-GB"/>
        </w:rPr>
        <w:t>metformin</w:t>
      </w:r>
      <w:r w:rsidRPr="7C4D80F3" w:rsidR="197D798D">
        <w:rPr>
          <w:rFonts w:ascii="Arial" w:hAnsi="Arial" w:eastAsia="Arial" w:cs="Arial"/>
          <w:b w:val="0"/>
          <w:bCs w:val="0"/>
          <w:noProof w:val="0"/>
          <w:color w:val="auto"/>
          <w:sz w:val="22"/>
          <w:szCs w:val="22"/>
          <w:lang w:val="en-GB"/>
        </w:rPr>
        <w:t xml:space="preserve"> as first-line therapy, followed by additional oral agents such as sulfonylureas, DPP-4 inhibitors, or SGLT2 inhibitors, depending on patient needs (Diabetes UK, 2025). In advanced cases, insulin therapy may be required. Continuous glucose monitoring technologies are increasingly used to support self-management, although access remains limited (Diabetes UK, 2025). The integration of personalised medicine, where treatment is tailored to genetic and lifestyle factors, is an emerging area of diabetes care that could improve outcomes in the future.</w:t>
      </w:r>
    </w:p>
    <w:p xmlns:wp14="http://schemas.microsoft.com/office/word/2010/wordml" w:rsidP="7C4D80F3" wp14:paraId="28A561DA" wp14:textId="773E2BC6">
      <w:p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100A1BDA">
        <w:rPr>
          <w:rFonts w:ascii="Arial" w:hAnsi="Arial" w:eastAsia="Arial" w:cs="Arial"/>
          <w:b w:val="0"/>
          <w:bCs w:val="0"/>
          <w:noProof w:val="0"/>
          <w:color w:val="auto"/>
          <w:sz w:val="22"/>
          <w:szCs w:val="22"/>
          <w:lang w:val="en-GB"/>
        </w:rPr>
        <w:t xml:space="preserve">Preventive strategies are equally important. Public health campaigns emphasise reducing obesity, promoting physical activity, and discouraging smoking. The NHS DPP targets individuals at </w:t>
      </w:r>
      <w:r w:rsidRPr="7C4D80F3" w:rsidR="06DF47E0">
        <w:rPr>
          <w:rFonts w:ascii="Arial" w:hAnsi="Arial" w:eastAsia="Arial" w:cs="Arial"/>
          <w:b w:val="0"/>
          <w:bCs w:val="0"/>
          <w:noProof w:val="0"/>
          <w:color w:val="auto"/>
          <w:sz w:val="22"/>
          <w:szCs w:val="22"/>
          <w:lang w:val="en-GB"/>
        </w:rPr>
        <w:t>substantial risk</w:t>
      </w:r>
      <w:r w:rsidRPr="7C4D80F3" w:rsidR="100A1BDA">
        <w:rPr>
          <w:rFonts w:ascii="Arial" w:hAnsi="Arial" w:eastAsia="Arial" w:cs="Arial"/>
          <w:b w:val="0"/>
          <w:bCs w:val="0"/>
          <w:noProof w:val="0"/>
          <w:color w:val="auto"/>
          <w:sz w:val="22"/>
          <w:szCs w:val="22"/>
          <w:lang w:val="en-GB"/>
        </w:rPr>
        <w:t>, offering behavioural support to delay or prevent onset (</w:t>
      </w:r>
      <w:r w:rsidRPr="7C4D80F3" w:rsidR="1F4ACC16">
        <w:rPr>
          <w:rFonts w:ascii="Arial" w:hAnsi="Arial" w:eastAsia="Arial" w:cs="Arial"/>
          <w:b w:val="0"/>
          <w:bCs w:val="0"/>
          <w:noProof w:val="0"/>
          <w:color w:val="auto"/>
          <w:sz w:val="22"/>
          <w:szCs w:val="22"/>
          <w:lang w:val="en-GB"/>
        </w:rPr>
        <w:t>Sykes and Copsey, 2023</w:t>
      </w:r>
      <w:r w:rsidRPr="7C4D80F3" w:rsidR="100A1BDA">
        <w:rPr>
          <w:rFonts w:ascii="Arial" w:hAnsi="Arial" w:eastAsia="Arial" w:cs="Arial"/>
          <w:b w:val="0"/>
          <w:bCs w:val="0"/>
          <w:noProof w:val="0"/>
          <w:color w:val="auto"/>
          <w:sz w:val="22"/>
          <w:szCs w:val="22"/>
          <w:lang w:val="en-GB"/>
        </w:rPr>
        <w:t>). These measures highlight the importance of early intervention in reducing long-term complications and healthcare costs. However, prevention requires sustained political commitment and cross-sector collaboration, including schools, workplaces, and local authorities, to create environments conducive to healthy living.</w:t>
      </w:r>
    </w:p>
    <w:p xmlns:wp14="http://schemas.microsoft.com/office/word/2010/wordml" w:rsidP="7C4D80F3" wp14:paraId="088CFDFA" wp14:textId="00C2CACF">
      <w:pPr>
        <w:pStyle w:val="Heading2"/>
        <w:rPr>
          <w:rFonts w:ascii="Arial Nova" w:hAnsi="Arial Nova" w:eastAsia="Arial Nova" w:cs="Arial Nova"/>
          <w:b w:val="0"/>
          <w:bCs w:val="0"/>
          <w:noProof w:val="0"/>
          <w:color w:val="auto"/>
          <w:sz w:val="36"/>
          <w:szCs w:val="36"/>
          <w:u w:val="single"/>
          <w:lang w:val="en-GB"/>
        </w:rPr>
      </w:pPr>
      <w:r w:rsidRPr="7C4D80F3" w:rsidR="197D798D">
        <w:rPr>
          <w:rFonts w:ascii="Arial Nova" w:hAnsi="Arial Nova" w:eastAsia="Arial Nova" w:cs="Arial Nova"/>
          <w:b w:val="0"/>
          <w:bCs w:val="0"/>
          <w:noProof w:val="0"/>
          <w:color w:val="auto"/>
          <w:sz w:val="36"/>
          <w:szCs w:val="36"/>
          <w:u w:val="single"/>
          <w:lang w:val="en-GB"/>
        </w:rPr>
        <w:t>Factors Influencing Health and Wellbeing</w:t>
      </w:r>
      <w:r w:rsidRPr="7C4D80F3" w:rsidR="51B5B492">
        <w:rPr>
          <w:rFonts w:ascii="Arial Nova" w:hAnsi="Arial Nova" w:eastAsia="Arial Nova" w:cs="Arial Nova"/>
          <w:b w:val="0"/>
          <w:bCs w:val="0"/>
          <w:noProof w:val="0"/>
          <w:color w:val="auto"/>
          <w:sz w:val="36"/>
          <w:szCs w:val="36"/>
          <w:u w:val="single"/>
          <w:lang w:val="en-GB"/>
        </w:rPr>
        <w:t xml:space="preserve"> of individual and people around</w:t>
      </w:r>
    </w:p>
    <w:p xmlns:wp14="http://schemas.microsoft.com/office/word/2010/wordml" w:rsidP="7C4D80F3" wp14:paraId="499E5951" wp14:textId="13E649F3">
      <w:p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197D798D">
        <w:rPr>
          <w:rFonts w:ascii="Arial" w:hAnsi="Arial" w:eastAsia="Arial" w:cs="Arial"/>
          <w:b w:val="0"/>
          <w:bCs w:val="0"/>
          <w:noProof w:val="0"/>
          <w:color w:val="auto"/>
          <w:sz w:val="22"/>
          <w:szCs w:val="22"/>
          <w:lang w:val="en-GB"/>
        </w:rPr>
        <w:t>Several factors i</w:t>
      </w:r>
      <w:r w:rsidRPr="7C4D80F3" w:rsidR="7F0E2597">
        <w:rPr>
          <w:rFonts w:ascii="Arial" w:hAnsi="Arial" w:eastAsia="Arial" w:cs="Arial"/>
          <w:b w:val="0"/>
          <w:bCs w:val="0"/>
          <w:noProof w:val="0"/>
          <w:color w:val="auto"/>
          <w:sz w:val="22"/>
          <w:szCs w:val="22"/>
          <w:lang w:val="en-GB"/>
        </w:rPr>
        <w:t>mpact on</w:t>
      </w:r>
      <w:r w:rsidRPr="7C4D80F3" w:rsidR="197D798D">
        <w:rPr>
          <w:rFonts w:ascii="Arial" w:hAnsi="Arial" w:eastAsia="Arial" w:cs="Arial"/>
          <w:b w:val="0"/>
          <w:bCs w:val="0"/>
          <w:noProof w:val="0"/>
          <w:color w:val="auto"/>
          <w:sz w:val="22"/>
          <w:szCs w:val="22"/>
          <w:lang w:val="en-GB"/>
        </w:rPr>
        <w:t xml:space="preserve"> the health and wellbeing of people with type 2 diabetes and those around them:</w:t>
      </w:r>
    </w:p>
    <w:p xmlns:wp14="http://schemas.microsoft.com/office/word/2010/wordml" w:rsidP="7C4D80F3" wp14:paraId="3B6A14B7" wp14:textId="28407D0D">
      <w:pPr>
        <w:pStyle w:val="ListParagraph"/>
        <w:numPr>
          <w:ilvl w:val="0"/>
          <w:numId w:val="5"/>
        </w:num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197D798D">
        <w:rPr>
          <w:rFonts w:ascii="Arial" w:hAnsi="Arial" w:eastAsia="Arial" w:cs="Arial"/>
          <w:b w:val="0"/>
          <w:bCs w:val="0"/>
          <w:noProof w:val="0"/>
          <w:color w:val="auto"/>
          <w:sz w:val="22"/>
          <w:szCs w:val="22"/>
          <w:lang w:val="en-GB"/>
        </w:rPr>
        <w:t>Soc</w:t>
      </w:r>
      <w:r w:rsidRPr="7C4D80F3" w:rsidR="73868BAA">
        <w:rPr>
          <w:rFonts w:ascii="Arial" w:hAnsi="Arial" w:eastAsia="Arial" w:cs="Arial"/>
          <w:b w:val="0"/>
          <w:bCs w:val="0"/>
          <w:noProof w:val="0"/>
          <w:color w:val="auto"/>
          <w:sz w:val="22"/>
          <w:szCs w:val="22"/>
          <w:lang w:val="en-GB"/>
        </w:rPr>
        <w:t xml:space="preserve">ial and economic </w:t>
      </w:r>
      <w:r w:rsidRPr="7C4D80F3" w:rsidR="197D798D">
        <w:rPr>
          <w:rFonts w:ascii="Arial" w:hAnsi="Arial" w:eastAsia="Arial" w:cs="Arial"/>
          <w:b w:val="0"/>
          <w:bCs w:val="0"/>
          <w:noProof w:val="0"/>
          <w:color w:val="auto"/>
          <w:sz w:val="22"/>
          <w:szCs w:val="22"/>
          <w:lang w:val="en-GB"/>
        </w:rPr>
        <w:t>status</w:t>
      </w:r>
      <w:r w:rsidRPr="7C4D80F3" w:rsidR="197D798D">
        <w:rPr>
          <w:rFonts w:ascii="Arial" w:hAnsi="Arial" w:eastAsia="Arial" w:cs="Arial"/>
          <w:b w:val="0"/>
          <w:bCs w:val="0"/>
          <w:noProof w:val="0"/>
          <w:color w:val="auto"/>
          <w:sz w:val="22"/>
          <w:szCs w:val="22"/>
          <w:lang w:val="en-GB"/>
        </w:rPr>
        <w:t>: Lower income and education levels are linked to higher prevalence and poorer outcomes due to limited access to resources (NICE, 20</w:t>
      </w:r>
      <w:r w:rsidRPr="7C4D80F3" w:rsidR="7C2C01A5">
        <w:rPr>
          <w:rFonts w:ascii="Arial" w:hAnsi="Arial" w:eastAsia="Arial" w:cs="Arial"/>
          <w:b w:val="0"/>
          <w:bCs w:val="0"/>
          <w:noProof w:val="0"/>
          <w:color w:val="auto"/>
          <w:sz w:val="22"/>
          <w:szCs w:val="22"/>
          <w:lang w:val="en-GB"/>
        </w:rPr>
        <w:t>21</w:t>
      </w:r>
      <w:r w:rsidRPr="7C4D80F3" w:rsidR="197D798D">
        <w:rPr>
          <w:rFonts w:ascii="Arial" w:hAnsi="Arial" w:eastAsia="Arial" w:cs="Arial"/>
          <w:b w:val="0"/>
          <w:bCs w:val="0"/>
          <w:noProof w:val="0"/>
          <w:color w:val="auto"/>
          <w:sz w:val="22"/>
          <w:szCs w:val="22"/>
          <w:lang w:val="en-GB"/>
        </w:rPr>
        <w:t>). Poverty restricts dietary choices and reduces opportunities for physical activity.</w:t>
      </w:r>
    </w:p>
    <w:p xmlns:wp14="http://schemas.microsoft.com/office/word/2010/wordml" w:rsidP="7C4D80F3" wp14:paraId="02BD0740" wp14:textId="1ECC8642">
      <w:pPr>
        <w:pStyle w:val="ListParagraph"/>
        <w:numPr>
          <w:ilvl w:val="0"/>
          <w:numId w:val="5"/>
        </w:num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197D798D">
        <w:rPr>
          <w:rFonts w:ascii="Arial" w:hAnsi="Arial" w:eastAsia="Arial" w:cs="Arial"/>
          <w:b w:val="0"/>
          <w:bCs w:val="0"/>
          <w:noProof w:val="0"/>
          <w:color w:val="auto"/>
          <w:sz w:val="22"/>
          <w:szCs w:val="22"/>
          <w:lang w:val="en-GB"/>
        </w:rPr>
        <w:t>Lifestyle behaviours</w:t>
      </w:r>
      <w:r w:rsidRPr="7C4D80F3" w:rsidR="197D798D">
        <w:rPr>
          <w:rFonts w:ascii="Arial" w:hAnsi="Arial" w:eastAsia="Arial" w:cs="Arial"/>
          <w:b w:val="0"/>
          <w:bCs w:val="0"/>
          <w:noProof w:val="0"/>
          <w:color w:val="auto"/>
          <w:sz w:val="22"/>
          <w:szCs w:val="22"/>
          <w:lang w:val="en-GB"/>
        </w:rPr>
        <w:t>: Obesity, poor diet, and sedentary lifestyles are major modifiable risk factors (</w:t>
      </w:r>
      <w:r w:rsidRPr="7C4D80F3" w:rsidR="03B51E9B">
        <w:rPr>
          <w:rFonts w:ascii="Arial" w:hAnsi="Arial" w:eastAsia="Arial" w:cs="Arial"/>
          <w:b w:val="0"/>
          <w:bCs w:val="0"/>
          <w:noProof w:val="0"/>
          <w:color w:val="auto"/>
          <w:sz w:val="22"/>
          <w:szCs w:val="22"/>
          <w:lang w:val="en-GB"/>
        </w:rPr>
        <w:t>Sykes and Copsey, 2023</w:t>
      </w:r>
      <w:r w:rsidRPr="7C4D80F3" w:rsidR="197D798D">
        <w:rPr>
          <w:rFonts w:ascii="Arial" w:hAnsi="Arial" w:eastAsia="Arial" w:cs="Arial"/>
          <w:b w:val="0"/>
          <w:bCs w:val="0"/>
          <w:noProof w:val="0"/>
          <w:color w:val="000000" w:themeColor="text1" w:themeTint="FF" w:themeShade="FF"/>
          <w:sz w:val="22"/>
          <w:szCs w:val="22"/>
          <w:lang w:val="en-GB"/>
        </w:rPr>
        <w:t>)</w:t>
      </w:r>
      <w:r w:rsidRPr="7C4D80F3" w:rsidR="197D798D">
        <w:rPr>
          <w:rFonts w:ascii="Arial" w:hAnsi="Arial" w:eastAsia="Arial" w:cs="Arial"/>
          <w:b w:val="0"/>
          <w:bCs w:val="0"/>
          <w:noProof w:val="0"/>
          <w:color w:val="auto"/>
          <w:sz w:val="22"/>
          <w:szCs w:val="22"/>
          <w:lang w:val="en-GB"/>
        </w:rPr>
        <w:t xml:space="preserve">. The rise of </w:t>
      </w:r>
      <w:r w:rsidRPr="7C4D80F3" w:rsidR="61DF5854">
        <w:rPr>
          <w:rFonts w:ascii="Arial" w:hAnsi="Arial" w:eastAsia="Arial" w:cs="Arial"/>
          <w:b w:val="0"/>
          <w:bCs w:val="0"/>
          <w:noProof w:val="0"/>
          <w:color w:val="auto"/>
          <w:sz w:val="22"/>
          <w:szCs w:val="22"/>
          <w:lang w:val="en-GB"/>
        </w:rPr>
        <w:t>fast-food</w:t>
      </w:r>
      <w:r w:rsidRPr="7C4D80F3" w:rsidR="197D798D">
        <w:rPr>
          <w:rFonts w:ascii="Arial" w:hAnsi="Arial" w:eastAsia="Arial" w:cs="Arial"/>
          <w:b w:val="0"/>
          <w:bCs w:val="0"/>
          <w:noProof w:val="0"/>
          <w:color w:val="auto"/>
          <w:sz w:val="22"/>
          <w:szCs w:val="22"/>
          <w:lang w:val="en-GB"/>
        </w:rPr>
        <w:t xml:space="preserve"> culture and sedentary work environments </w:t>
      </w:r>
      <w:r w:rsidRPr="7C4D80F3" w:rsidR="197D798D">
        <w:rPr>
          <w:rFonts w:ascii="Arial" w:hAnsi="Arial" w:eastAsia="Arial" w:cs="Arial"/>
          <w:b w:val="0"/>
          <w:bCs w:val="0"/>
          <w:noProof w:val="0"/>
          <w:color w:val="auto"/>
          <w:sz w:val="22"/>
          <w:szCs w:val="22"/>
          <w:lang w:val="en-GB"/>
        </w:rPr>
        <w:t>exacerbate</w:t>
      </w:r>
      <w:r w:rsidRPr="7C4D80F3" w:rsidR="197D798D">
        <w:rPr>
          <w:rFonts w:ascii="Arial" w:hAnsi="Arial" w:eastAsia="Arial" w:cs="Arial"/>
          <w:b w:val="0"/>
          <w:bCs w:val="0"/>
          <w:noProof w:val="0"/>
          <w:color w:val="auto"/>
          <w:sz w:val="22"/>
          <w:szCs w:val="22"/>
          <w:lang w:val="en-GB"/>
        </w:rPr>
        <w:t xml:space="preserve"> these risks.</w:t>
      </w:r>
    </w:p>
    <w:p xmlns:wp14="http://schemas.microsoft.com/office/word/2010/wordml" w:rsidP="7C4D80F3" wp14:paraId="3DD53588" wp14:textId="0FF405D6">
      <w:pPr>
        <w:pStyle w:val="ListParagraph"/>
        <w:numPr>
          <w:ilvl w:val="0"/>
          <w:numId w:val="5"/>
        </w:num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197D798D">
        <w:rPr>
          <w:rFonts w:ascii="Arial" w:hAnsi="Arial" w:eastAsia="Arial" w:cs="Arial"/>
          <w:b w:val="0"/>
          <w:bCs w:val="0"/>
          <w:noProof w:val="0"/>
          <w:color w:val="auto"/>
          <w:sz w:val="22"/>
          <w:szCs w:val="22"/>
          <w:lang w:val="en-GB"/>
        </w:rPr>
        <w:t>Psychological wellbeing</w:t>
      </w:r>
      <w:r w:rsidRPr="7C4D80F3" w:rsidR="197D798D">
        <w:rPr>
          <w:rFonts w:ascii="Arial" w:hAnsi="Arial" w:eastAsia="Arial" w:cs="Arial"/>
          <w:b w:val="0"/>
          <w:bCs w:val="0"/>
          <w:noProof w:val="0"/>
          <w:color w:val="auto"/>
          <w:sz w:val="22"/>
          <w:szCs w:val="22"/>
          <w:lang w:val="en-GB"/>
        </w:rPr>
        <w:t>: Living with diabetes can lead to anxiety, depression, and reduced self-confidence, affecting relationships and employment (</w:t>
      </w:r>
      <w:bookmarkStart w:name="_Int_ldc3NKMb" w:id="1900133792"/>
      <w:r w:rsidRPr="7C4D80F3" w:rsidR="197D798D">
        <w:rPr>
          <w:rFonts w:ascii="Arial" w:hAnsi="Arial" w:eastAsia="Arial" w:cs="Arial"/>
          <w:b w:val="0"/>
          <w:bCs w:val="0"/>
          <w:noProof w:val="0"/>
          <w:color w:val="auto"/>
          <w:sz w:val="22"/>
          <w:szCs w:val="22"/>
          <w:lang w:val="en-GB"/>
        </w:rPr>
        <w:t>Verywell</w:t>
      </w:r>
      <w:bookmarkEnd w:id="1900133792"/>
      <w:r w:rsidRPr="7C4D80F3" w:rsidR="197D798D">
        <w:rPr>
          <w:rFonts w:ascii="Arial" w:hAnsi="Arial" w:eastAsia="Arial" w:cs="Arial"/>
          <w:b w:val="0"/>
          <w:bCs w:val="0"/>
          <w:noProof w:val="0"/>
          <w:color w:val="auto"/>
          <w:sz w:val="22"/>
          <w:szCs w:val="22"/>
          <w:lang w:val="en-GB"/>
        </w:rPr>
        <w:t xml:space="preserve"> Health, 2025). Psychological distress can also reduce adherence to treatment.</w:t>
      </w:r>
    </w:p>
    <w:p xmlns:wp14="http://schemas.microsoft.com/office/word/2010/wordml" w:rsidP="7C4D80F3" wp14:paraId="724AE2A9" wp14:textId="4FEE6B3B">
      <w:pPr>
        <w:pStyle w:val="ListParagraph"/>
        <w:numPr>
          <w:ilvl w:val="0"/>
          <w:numId w:val="5"/>
        </w:num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197D798D">
        <w:rPr>
          <w:rFonts w:ascii="Arial" w:hAnsi="Arial" w:eastAsia="Arial" w:cs="Arial"/>
          <w:b w:val="0"/>
          <w:bCs w:val="0"/>
          <w:noProof w:val="0"/>
          <w:color w:val="auto"/>
          <w:sz w:val="22"/>
          <w:szCs w:val="22"/>
          <w:lang w:val="en-GB"/>
        </w:rPr>
        <w:t>Self-efficacy</w:t>
      </w:r>
      <w:r w:rsidRPr="7C4D80F3" w:rsidR="197D798D">
        <w:rPr>
          <w:rFonts w:ascii="Arial" w:hAnsi="Arial" w:eastAsia="Arial" w:cs="Arial"/>
          <w:b w:val="0"/>
          <w:bCs w:val="0"/>
          <w:noProof w:val="0"/>
          <w:color w:val="auto"/>
          <w:sz w:val="22"/>
          <w:szCs w:val="22"/>
          <w:lang w:val="en-GB"/>
        </w:rPr>
        <w:t>: Patients with higher confidence in managing their condition show better health outcomes and reduced emotional distress (</w:t>
      </w:r>
      <w:r w:rsidRPr="7C4D80F3" w:rsidR="19CE0EE3">
        <w:rPr>
          <w:rFonts w:ascii="Arial" w:hAnsi="Arial" w:eastAsia="Arial" w:cs="Arial"/>
          <w:b w:val="0"/>
          <w:bCs w:val="0"/>
          <w:noProof w:val="0"/>
          <w:color w:val="auto"/>
          <w:sz w:val="22"/>
          <w:szCs w:val="22"/>
          <w:lang w:val="en-GB"/>
        </w:rPr>
        <w:t>Ataya and Soqia, 2024</w:t>
      </w:r>
      <w:r w:rsidRPr="7C4D80F3" w:rsidR="197D798D">
        <w:rPr>
          <w:rFonts w:ascii="Arial" w:hAnsi="Arial" w:eastAsia="Arial" w:cs="Arial"/>
          <w:b w:val="0"/>
          <w:bCs w:val="0"/>
          <w:noProof w:val="0"/>
          <w:color w:val="auto"/>
          <w:sz w:val="22"/>
          <w:szCs w:val="22"/>
          <w:lang w:val="en-GB"/>
        </w:rPr>
        <w:t>).</w:t>
      </w:r>
    </w:p>
    <w:p xmlns:wp14="http://schemas.microsoft.com/office/word/2010/wordml" w:rsidP="7C4D80F3" wp14:paraId="44E1F46C" wp14:textId="44E86C10">
      <w:pPr>
        <w:pStyle w:val="ListParagraph"/>
        <w:numPr>
          <w:ilvl w:val="0"/>
          <w:numId w:val="5"/>
        </w:num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100A1BDA">
        <w:rPr>
          <w:rFonts w:ascii="Arial" w:hAnsi="Arial" w:eastAsia="Arial" w:cs="Arial"/>
          <w:b w:val="0"/>
          <w:bCs w:val="0"/>
          <w:noProof w:val="0"/>
          <w:color w:val="auto"/>
          <w:sz w:val="22"/>
          <w:szCs w:val="22"/>
          <w:lang w:val="en-GB"/>
        </w:rPr>
        <w:t>Family and social support</w:t>
      </w:r>
      <w:r w:rsidRPr="7C4D80F3" w:rsidR="100A1BDA">
        <w:rPr>
          <w:rFonts w:ascii="Arial" w:hAnsi="Arial" w:eastAsia="Arial" w:cs="Arial"/>
          <w:b w:val="0"/>
          <w:bCs w:val="0"/>
          <w:noProof w:val="0"/>
          <w:color w:val="auto"/>
          <w:sz w:val="22"/>
          <w:szCs w:val="22"/>
          <w:lang w:val="en-GB"/>
        </w:rPr>
        <w:t xml:space="preserve">: </w:t>
      </w:r>
      <w:r w:rsidRPr="7C4D80F3" w:rsidR="0FD80DBC">
        <w:rPr>
          <w:rFonts w:ascii="Arial" w:hAnsi="Arial" w:eastAsia="Arial" w:cs="Arial"/>
          <w:b w:val="0"/>
          <w:bCs w:val="0"/>
          <w:noProof w:val="0"/>
          <w:color w:val="auto"/>
          <w:sz w:val="22"/>
          <w:szCs w:val="22"/>
          <w:lang w:val="en-GB"/>
        </w:rPr>
        <w:t>Dedicated support</w:t>
      </w:r>
      <w:r w:rsidRPr="7C4D80F3" w:rsidR="100A1BDA">
        <w:rPr>
          <w:rFonts w:ascii="Arial" w:hAnsi="Arial" w:eastAsia="Arial" w:cs="Arial"/>
          <w:b w:val="0"/>
          <w:bCs w:val="0"/>
          <w:noProof w:val="0"/>
          <w:color w:val="auto"/>
          <w:sz w:val="22"/>
          <w:szCs w:val="22"/>
          <w:lang w:val="en-GB"/>
        </w:rPr>
        <w:t xml:space="preserve"> networks improve adherence to lifestyle changes and medication, while lack of support </w:t>
      </w:r>
      <w:r w:rsidRPr="7C4D80F3" w:rsidR="100A1BDA">
        <w:rPr>
          <w:rFonts w:ascii="Arial" w:hAnsi="Arial" w:eastAsia="Arial" w:cs="Arial"/>
          <w:b w:val="0"/>
          <w:bCs w:val="0"/>
          <w:noProof w:val="0"/>
          <w:color w:val="auto"/>
          <w:sz w:val="22"/>
          <w:szCs w:val="22"/>
          <w:lang w:val="en-GB"/>
        </w:rPr>
        <w:t>exacerbates</w:t>
      </w:r>
      <w:r w:rsidRPr="7C4D80F3" w:rsidR="100A1BDA">
        <w:rPr>
          <w:rFonts w:ascii="Arial" w:hAnsi="Arial" w:eastAsia="Arial" w:cs="Arial"/>
          <w:b w:val="0"/>
          <w:bCs w:val="0"/>
          <w:noProof w:val="0"/>
          <w:color w:val="auto"/>
          <w:sz w:val="22"/>
          <w:szCs w:val="22"/>
          <w:lang w:val="en-GB"/>
        </w:rPr>
        <w:t xml:space="preserve"> stress and isolation (Lancet, 2024).</w:t>
      </w:r>
    </w:p>
    <w:p xmlns:wp14="http://schemas.microsoft.com/office/word/2010/wordml" w:rsidP="7C4D80F3" wp14:paraId="73AF0FA3" wp14:textId="69ED91DB">
      <w:pPr>
        <w:pStyle w:val="ListParagraph"/>
        <w:numPr>
          <w:ilvl w:val="0"/>
          <w:numId w:val="5"/>
        </w:num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197D798D">
        <w:rPr>
          <w:rFonts w:ascii="Arial" w:hAnsi="Arial" w:eastAsia="Arial" w:cs="Arial"/>
          <w:b w:val="0"/>
          <w:bCs w:val="0"/>
          <w:noProof w:val="0"/>
          <w:color w:val="auto"/>
          <w:sz w:val="22"/>
          <w:szCs w:val="22"/>
          <w:lang w:val="en-GB"/>
        </w:rPr>
        <w:t>Cultural factors</w:t>
      </w:r>
      <w:r w:rsidRPr="7C4D80F3" w:rsidR="197D798D">
        <w:rPr>
          <w:rFonts w:ascii="Arial" w:hAnsi="Arial" w:eastAsia="Arial" w:cs="Arial"/>
          <w:b w:val="0"/>
          <w:bCs w:val="0"/>
          <w:noProof w:val="0"/>
          <w:color w:val="auto"/>
          <w:sz w:val="22"/>
          <w:szCs w:val="22"/>
          <w:lang w:val="en-GB"/>
        </w:rPr>
        <w:t xml:space="preserve">: Dietary traditions and beliefs about illness influence management behaviours, requiring culturally sensitive interventions (Public Health England, </w:t>
      </w:r>
      <w:r w:rsidRPr="7C4D80F3" w:rsidR="0FCB7169">
        <w:rPr>
          <w:rFonts w:ascii="Arial" w:hAnsi="Arial" w:eastAsia="Arial" w:cs="Arial"/>
          <w:b w:val="0"/>
          <w:bCs w:val="0"/>
          <w:noProof w:val="0"/>
          <w:color w:val="auto"/>
          <w:sz w:val="22"/>
          <w:szCs w:val="22"/>
          <w:lang w:val="en-GB"/>
        </w:rPr>
        <w:t>2022</w:t>
      </w:r>
      <w:r w:rsidRPr="7C4D80F3" w:rsidR="197D798D">
        <w:rPr>
          <w:rFonts w:ascii="Arial" w:hAnsi="Arial" w:eastAsia="Arial" w:cs="Arial"/>
          <w:b w:val="0"/>
          <w:bCs w:val="0"/>
          <w:noProof w:val="0"/>
          <w:color w:val="auto"/>
          <w:sz w:val="22"/>
          <w:szCs w:val="22"/>
          <w:lang w:val="en-GB"/>
        </w:rPr>
        <w:t>).</w:t>
      </w:r>
    </w:p>
    <w:p xmlns:wp14="http://schemas.microsoft.com/office/word/2010/wordml" w:rsidP="7C4D80F3" wp14:paraId="674A2370" wp14:textId="7A18F91E">
      <w:pPr>
        <w:pStyle w:val="ListParagraph"/>
        <w:numPr>
          <w:ilvl w:val="0"/>
          <w:numId w:val="5"/>
        </w:num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197D798D">
        <w:rPr>
          <w:rFonts w:ascii="Arial" w:hAnsi="Arial" w:eastAsia="Arial" w:cs="Arial"/>
          <w:b w:val="0"/>
          <w:bCs w:val="0"/>
          <w:noProof w:val="0"/>
          <w:color w:val="auto"/>
          <w:sz w:val="22"/>
          <w:szCs w:val="22"/>
          <w:lang w:val="en-GB"/>
        </w:rPr>
        <w:t>Environmental influences</w:t>
      </w:r>
      <w:r w:rsidRPr="7C4D80F3" w:rsidR="197D798D">
        <w:rPr>
          <w:rFonts w:ascii="Arial" w:hAnsi="Arial" w:eastAsia="Arial" w:cs="Arial"/>
          <w:b w:val="0"/>
          <w:bCs w:val="0"/>
          <w:noProof w:val="0"/>
          <w:color w:val="auto"/>
          <w:sz w:val="22"/>
          <w:szCs w:val="22"/>
          <w:lang w:val="en-GB"/>
        </w:rPr>
        <w:t>: Access to green spaces, safe walking routes, and affordable healthy food options significantly affect lifestyle choices (WHO, 2024).</w:t>
      </w:r>
    </w:p>
    <w:p xmlns:wp14="http://schemas.microsoft.com/office/word/2010/wordml" w:rsidP="7C4D80F3" wp14:paraId="781BEE7D" wp14:textId="3B611A29">
      <w:pPr>
        <w:pStyle w:val="ListParagraph"/>
        <w:numPr>
          <w:ilvl w:val="0"/>
          <w:numId w:val="5"/>
        </w:num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197D798D">
        <w:rPr>
          <w:rFonts w:ascii="Arial" w:hAnsi="Arial" w:eastAsia="Arial" w:cs="Arial"/>
          <w:b w:val="0"/>
          <w:bCs w:val="0"/>
          <w:noProof w:val="0"/>
          <w:color w:val="auto"/>
          <w:sz w:val="22"/>
          <w:szCs w:val="22"/>
          <w:lang w:val="en-GB"/>
        </w:rPr>
        <w:t>Digital health literacy</w:t>
      </w:r>
      <w:r w:rsidRPr="7C4D80F3" w:rsidR="197D798D">
        <w:rPr>
          <w:rFonts w:ascii="Arial" w:hAnsi="Arial" w:eastAsia="Arial" w:cs="Arial"/>
          <w:b w:val="0"/>
          <w:bCs w:val="0"/>
          <w:noProof w:val="0"/>
          <w:color w:val="auto"/>
          <w:sz w:val="22"/>
          <w:szCs w:val="22"/>
          <w:lang w:val="en-GB"/>
        </w:rPr>
        <w:t>: The ability to use apps, glucose monitors, and online resources impacts self-management success (Diabetes UK, 2025).</w:t>
      </w:r>
    </w:p>
    <w:p xmlns:wp14="http://schemas.microsoft.com/office/word/2010/wordml" w:rsidP="7C4D80F3" wp14:paraId="5EBB1CA7" wp14:textId="5A9BB6FD">
      <w:pPr>
        <w:spacing w:before="240" w:beforeAutospacing="off" w:after="240" w:afterAutospacing="off" w:line="360" w:lineRule="auto"/>
        <w:rPr>
          <w:rFonts w:ascii="Arial" w:hAnsi="Arial" w:eastAsia="Arial" w:cs="Arial"/>
          <w:b w:val="0"/>
          <w:bCs w:val="0"/>
          <w:noProof w:val="0"/>
          <w:color w:val="auto"/>
          <w:sz w:val="22"/>
          <w:szCs w:val="22"/>
          <w:lang w:val="en-GB"/>
        </w:rPr>
      </w:pPr>
      <w:r w:rsidRPr="7C4D80F3" w:rsidR="197D798D">
        <w:rPr>
          <w:rFonts w:ascii="Arial" w:hAnsi="Arial" w:eastAsia="Arial" w:cs="Arial"/>
          <w:b w:val="0"/>
          <w:bCs w:val="0"/>
          <w:noProof w:val="0"/>
          <w:color w:val="auto"/>
          <w:sz w:val="22"/>
          <w:szCs w:val="22"/>
          <w:lang w:val="en-GB"/>
        </w:rPr>
        <w:t>For families, the presence of diabetes often necessitates lifestyle adjustments, such as changes in diet and physical activity. Emotional wellbeing is also affected, as relatives may experience worry about complications or frustration with the demands of care. Thus, diabetes is not only a medical condition but a social issue that permeates daily life. The ripple effect of diabetes demonstrates that interventions must extend beyond the individual to encompass family and community support systems.</w:t>
      </w:r>
    </w:p>
    <w:p xmlns:wp14="http://schemas.microsoft.com/office/word/2010/wordml" w:rsidP="7C4D80F3" wp14:paraId="281DC7A9" wp14:textId="3997D474">
      <w:pPr>
        <w:pStyle w:val="Heading2"/>
        <w:spacing w:before="240" w:beforeAutospacing="off" w:after="240" w:afterAutospacing="off" w:line="360" w:lineRule="auto"/>
        <w:rPr>
          <w:rFonts w:ascii="Arial Nova" w:hAnsi="Arial Nova" w:eastAsia="Arial Nova" w:cs="Arial Nova"/>
          <w:b w:val="0"/>
          <w:bCs w:val="0"/>
          <w:noProof w:val="0"/>
          <w:color w:val="auto"/>
          <w:sz w:val="36"/>
          <w:szCs w:val="36"/>
          <w:u w:val="single"/>
          <w:lang w:val="en-GB"/>
        </w:rPr>
      </w:pPr>
      <w:r w:rsidRPr="7C4D80F3" w:rsidR="0F2246E9">
        <w:rPr>
          <w:rFonts w:ascii="Arial Nova" w:hAnsi="Arial Nova" w:eastAsia="Arial Nova" w:cs="Arial Nova"/>
          <w:b w:val="0"/>
          <w:bCs w:val="0"/>
          <w:noProof w:val="0"/>
          <w:color w:val="auto"/>
          <w:sz w:val="36"/>
          <w:szCs w:val="36"/>
          <w:u w:val="single"/>
          <w:lang w:val="en-GB"/>
        </w:rPr>
        <w:t>Conclusion</w:t>
      </w:r>
    </w:p>
    <w:p xmlns:wp14="http://schemas.microsoft.com/office/word/2010/wordml" w:rsidP="7C4D80F3" wp14:paraId="5938EE5A" wp14:textId="3B4AEEF5">
      <w:pPr>
        <w:spacing w:before="240" w:beforeAutospacing="off" w:after="240" w:afterAutospacing="off" w:line="360" w:lineRule="auto"/>
        <w:rPr>
          <w:rFonts w:ascii="Arial Nova" w:hAnsi="Arial Nova" w:eastAsia="Arial Nova" w:cs="Arial Nova"/>
          <w:b w:val="0"/>
          <w:bCs w:val="0"/>
          <w:noProof w:val="0"/>
          <w:color w:val="auto"/>
          <w:sz w:val="36"/>
          <w:szCs w:val="36"/>
          <w:u w:val="single"/>
          <w:lang w:val="en-GB"/>
        </w:rPr>
      </w:pPr>
      <w:r w:rsidRPr="7C4D80F3" w:rsidR="0F2246E9">
        <w:rPr>
          <w:rFonts w:ascii="Arial" w:hAnsi="Arial" w:eastAsia="Arial" w:cs="Arial"/>
          <w:b w:val="0"/>
          <w:bCs w:val="0"/>
          <w:noProof w:val="0"/>
          <w:color w:val="auto"/>
          <w:sz w:val="22"/>
          <w:szCs w:val="22"/>
          <w:lang w:val="en-GB"/>
        </w:rPr>
        <w:t xml:space="preserve">Type 2 diabetes is a </w:t>
      </w:r>
      <w:r w:rsidRPr="7C4D80F3" w:rsidR="7C32A3AE">
        <w:rPr>
          <w:rFonts w:ascii="Arial" w:hAnsi="Arial" w:eastAsia="Arial" w:cs="Arial"/>
          <w:b w:val="0"/>
          <w:bCs w:val="0"/>
          <w:noProof w:val="0"/>
          <w:color w:val="auto"/>
          <w:sz w:val="22"/>
          <w:szCs w:val="22"/>
          <w:lang w:val="en-GB"/>
        </w:rPr>
        <w:t>significant</w:t>
      </w:r>
      <w:r w:rsidRPr="7C4D80F3" w:rsidR="0F2246E9">
        <w:rPr>
          <w:rFonts w:ascii="Arial" w:hAnsi="Arial" w:eastAsia="Arial" w:cs="Arial"/>
          <w:b w:val="0"/>
          <w:bCs w:val="0"/>
          <w:noProof w:val="0"/>
          <w:color w:val="auto"/>
          <w:sz w:val="22"/>
          <w:szCs w:val="22"/>
          <w:lang w:val="en-GB"/>
        </w:rPr>
        <w:t xml:space="preserve"> global and national health challenge, with rising prevalence and severe consequences for individuals, communities, and healthcare systems. In the UK, the burden is particularly </w:t>
      </w:r>
      <w:r w:rsidRPr="7C4D80F3" w:rsidR="0F2246E9">
        <w:rPr>
          <w:rFonts w:ascii="Arial" w:hAnsi="Arial" w:eastAsia="Arial" w:cs="Arial"/>
          <w:b w:val="0"/>
          <w:bCs w:val="0"/>
          <w:noProof w:val="0"/>
          <w:color w:val="auto"/>
          <w:sz w:val="22"/>
          <w:szCs w:val="22"/>
          <w:lang w:val="en-GB"/>
        </w:rPr>
        <w:t>evident</w:t>
      </w:r>
      <w:r w:rsidRPr="7C4D80F3" w:rsidR="0F2246E9">
        <w:rPr>
          <w:rFonts w:ascii="Arial" w:hAnsi="Arial" w:eastAsia="Arial" w:cs="Arial"/>
          <w:b w:val="0"/>
          <w:bCs w:val="0"/>
          <w:noProof w:val="0"/>
          <w:color w:val="auto"/>
          <w:sz w:val="22"/>
          <w:szCs w:val="22"/>
          <w:lang w:val="en-GB"/>
        </w:rPr>
        <w:t xml:space="preserve"> in the NHS, which spends billions annually on diabetes care and complications. Effective management </w:t>
      </w:r>
      <w:r w:rsidRPr="7C4D80F3" w:rsidR="0F2246E9">
        <w:rPr>
          <w:rFonts w:ascii="Arial" w:hAnsi="Arial" w:eastAsia="Arial" w:cs="Arial"/>
          <w:b w:val="0"/>
          <w:bCs w:val="0"/>
          <w:noProof w:val="0"/>
          <w:color w:val="auto"/>
          <w:sz w:val="22"/>
          <w:szCs w:val="22"/>
          <w:lang w:val="en-GB"/>
        </w:rPr>
        <w:t>requires</w:t>
      </w:r>
      <w:r w:rsidRPr="7C4D80F3" w:rsidR="0F2246E9">
        <w:rPr>
          <w:rFonts w:ascii="Arial" w:hAnsi="Arial" w:eastAsia="Arial" w:cs="Arial"/>
          <w:b w:val="0"/>
          <w:bCs w:val="0"/>
          <w:noProof w:val="0"/>
          <w:color w:val="auto"/>
          <w:sz w:val="22"/>
          <w:szCs w:val="22"/>
          <w:lang w:val="en-GB"/>
        </w:rPr>
        <w:t xml:space="preserve"> a multifaceted approach, combining lifestyle interventions, pharmacological treatments, and structured education. Prevention programmes such as the NHS DPP and remission initiatives </w:t>
      </w:r>
      <w:r w:rsidRPr="7C4D80F3" w:rsidR="0F2246E9">
        <w:rPr>
          <w:rFonts w:ascii="Arial" w:hAnsi="Arial" w:eastAsia="Arial" w:cs="Arial"/>
          <w:b w:val="0"/>
          <w:bCs w:val="0"/>
          <w:noProof w:val="0"/>
          <w:color w:val="auto"/>
          <w:sz w:val="22"/>
          <w:szCs w:val="22"/>
          <w:lang w:val="en-GB"/>
        </w:rPr>
        <w:t>demonstrate</w:t>
      </w:r>
      <w:r w:rsidRPr="7C4D80F3" w:rsidR="0F2246E9">
        <w:rPr>
          <w:rFonts w:ascii="Arial" w:hAnsi="Arial" w:eastAsia="Arial" w:cs="Arial"/>
          <w:b w:val="0"/>
          <w:bCs w:val="0"/>
          <w:noProof w:val="0"/>
          <w:color w:val="auto"/>
          <w:sz w:val="22"/>
          <w:szCs w:val="22"/>
          <w:lang w:val="en-GB"/>
        </w:rPr>
        <w:t xml:space="preserve"> that progress is possible, but sustained efforts are essential. Beyond medical management, psychological, and cultural factors significantly influence health outcomes, underscoring the need for holistic, patient-centred care. For communities and families, diabetes imposes emotional, financial, and social burdens, reinforcing the importance of collective action. </w:t>
      </w:r>
      <w:r w:rsidRPr="7C4D80F3" w:rsidR="264A4FEC">
        <w:rPr>
          <w:rFonts w:ascii="Arial" w:hAnsi="Arial" w:eastAsia="Arial" w:cs="Arial"/>
          <w:b w:val="0"/>
          <w:bCs w:val="0"/>
          <w:noProof w:val="0"/>
          <w:color w:val="auto"/>
          <w:sz w:val="22"/>
          <w:szCs w:val="22"/>
          <w:lang w:val="en-GB"/>
        </w:rPr>
        <w:t>Addressing type 2 diabetes requires both high-quality clinical care and public health strategies that reduce inequalities and empower people to adopt healthier lifestyles.</w:t>
      </w:r>
    </w:p>
    <w:p xmlns:wp14="http://schemas.microsoft.com/office/word/2010/wordml" w:rsidP="7C4D80F3" wp14:paraId="46DF5936" wp14:textId="179CD2C5">
      <w:pPr>
        <w:spacing w:before="240" w:beforeAutospacing="off" w:after="240" w:afterAutospacing="off" w:line="360" w:lineRule="auto"/>
        <w:rPr>
          <w:rFonts w:ascii="Arial Nova" w:hAnsi="Arial Nova" w:eastAsia="Arial Nova" w:cs="Arial Nova"/>
          <w:noProof w:val="0"/>
          <w:color w:val="auto"/>
          <w:sz w:val="36"/>
          <w:szCs w:val="36"/>
          <w:u w:val="single"/>
          <w:lang w:val="en-GB"/>
        </w:rPr>
      </w:pPr>
    </w:p>
    <w:p xmlns:wp14="http://schemas.microsoft.com/office/word/2010/wordml" w:rsidP="7C4D80F3" wp14:paraId="63CEA799" wp14:textId="08A0BE46">
      <w:pPr>
        <w:pStyle w:val="Normal"/>
        <w:spacing w:before="240" w:beforeAutospacing="off" w:after="240" w:afterAutospacing="off" w:line="360" w:lineRule="auto"/>
        <w:rPr>
          <w:rFonts w:ascii="Arial Nova" w:hAnsi="Arial Nova" w:eastAsia="Arial Nova" w:cs="Arial Nova"/>
          <w:noProof w:val="0"/>
          <w:color w:val="auto"/>
          <w:sz w:val="36"/>
          <w:szCs w:val="36"/>
          <w:u w:val="single"/>
          <w:lang w:val="en-GB"/>
        </w:rPr>
      </w:pPr>
    </w:p>
    <w:p xmlns:wp14="http://schemas.microsoft.com/office/word/2010/wordml" w:rsidP="7C4D80F3" wp14:paraId="6E33F964" wp14:textId="6A8DB355">
      <w:pPr>
        <w:pStyle w:val="Normal"/>
        <w:spacing w:before="240" w:beforeAutospacing="off" w:after="240" w:afterAutospacing="off" w:line="360" w:lineRule="auto"/>
        <w:rPr>
          <w:rFonts w:ascii="Arial Nova" w:hAnsi="Arial Nova" w:eastAsia="Arial Nova" w:cs="Arial Nova"/>
          <w:b w:val="0"/>
          <w:bCs w:val="0"/>
          <w:noProof w:val="0"/>
          <w:color w:val="auto"/>
          <w:sz w:val="36"/>
          <w:szCs w:val="36"/>
          <w:u w:val="single"/>
          <w:lang w:val="en-GB"/>
        </w:rPr>
      </w:pPr>
      <w:r w:rsidRPr="7C4D80F3" w:rsidR="54413901">
        <w:rPr>
          <w:rFonts w:ascii="Arial Nova" w:hAnsi="Arial Nova" w:eastAsia="Arial Nova" w:cs="Arial Nova"/>
          <w:noProof w:val="0"/>
          <w:color w:val="auto"/>
          <w:sz w:val="36"/>
          <w:szCs w:val="36"/>
          <w:u w:val="single"/>
          <w:lang w:val="en-GB"/>
        </w:rPr>
        <w:t xml:space="preserve">Harvard </w:t>
      </w:r>
      <w:r w:rsidRPr="7C4D80F3" w:rsidR="0F2246E9">
        <w:rPr>
          <w:rFonts w:ascii="Arial Nova" w:hAnsi="Arial Nova" w:eastAsia="Arial Nova" w:cs="Arial Nova"/>
          <w:noProof w:val="0"/>
          <w:color w:val="auto"/>
          <w:sz w:val="36"/>
          <w:szCs w:val="36"/>
          <w:u w:val="single"/>
          <w:lang w:val="en-GB"/>
        </w:rPr>
        <w:t>References</w:t>
      </w:r>
    </w:p>
    <w:p w:rsidR="61E474C2" w:rsidP="7C4D80F3" w:rsidRDefault="61E474C2" w14:paraId="1BE3BBB1" w14:textId="2B453845">
      <w:pPr>
        <w:pStyle w:val="ListParagraph"/>
        <w:numPr>
          <w:ilvl w:val="0"/>
          <w:numId w:val="7"/>
        </w:num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GB"/>
        </w:rPr>
      </w:pPr>
      <w:r w:rsidRPr="7C4D80F3" w:rsidR="61E474C2">
        <w:rPr>
          <w:rFonts w:ascii="Arial" w:hAnsi="Arial" w:eastAsia="Arial" w:cs="Arial"/>
          <w:noProof w:val="0"/>
          <w:color w:val="000000" w:themeColor="text1" w:themeTint="FF" w:themeShade="FF"/>
          <w:sz w:val="22"/>
          <w:szCs w:val="22"/>
          <w:u w:val="none"/>
          <w:lang w:val="en-GB"/>
        </w:rPr>
        <w:t xml:space="preserve">Ataya, J. and </w:t>
      </w:r>
      <w:bookmarkStart w:name="_Int_nOEeI3Fi" w:id="1241692433"/>
      <w:r w:rsidRPr="7C4D80F3" w:rsidR="61E474C2">
        <w:rPr>
          <w:rFonts w:ascii="Arial" w:hAnsi="Arial" w:eastAsia="Arial" w:cs="Arial"/>
          <w:noProof w:val="0"/>
          <w:color w:val="000000" w:themeColor="text1" w:themeTint="FF" w:themeShade="FF"/>
          <w:sz w:val="22"/>
          <w:szCs w:val="22"/>
          <w:u w:val="none"/>
          <w:lang w:val="en-GB"/>
        </w:rPr>
        <w:t>Soqia</w:t>
      </w:r>
      <w:bookmarkEnd w:id="1241692433"/>
      <w:r w:rsidRPr="7C4D80F3" w:rsidR="61E474C2">
        <w:rPr>
          <w:rFonts w:ascii="Arial" w:hAnsi="Arial" w:eastAsia="Arial" w:cs="Arial"/>
          <w:noProof w:val="0"/>
          <w:color w:val="000000" w:themeColor="text1" w:themeTint="FF" w:themeShade="FF"/>
          <w:sz w:val="22"/>
          <w:szCs w:val="22"/>
          <w:u w:val="none"/>
          <w:lang w:val="en-GB"/>
        </w:rPr>
        <w:t xml:space="preserve">, J. (2024) The role of self-efficacy in managing type 2 diabetes and emotional well-being: a </w:t>
      </w:r>
      <w:r w:rsidRPr="7C4D80F3" w:rsidR="61E474C2">
        <w:rPr>
          <w:rFonts w:ascii="Arial" w:hAnsi="Arial" w:eastAsia="Arial" w:cs="Arial"/>
          <w:noProof w:val="0"/>
          <w:color w:val="000000" w:themeColor="text1" w:themeTint="FF" w:themeShade="FF"/>
          <w:sz w:val="22"/>
          <w:szCs w:val="22"/>
          <w:u w:val="none"/>
          <w:lang w:val="en-GB"/>
        </w:rPr>
        <w:t>cross-sectional</w:t>
      </w:r>
      <w:r w:rsidRPr="7C4D80F3" w:rsidR="61E474C2">
        <w:rPr>
          <w:rFonts w:ascii="Arial" w:hAnsi="Arial" w:eastAsia="Arial" w:cs="Arial"/>
          <w:noProof w:val="0"/>
          <w:color w:val="000000" w:themeColor="text1" w:themeTint="FF" w:themeShade="FF"/>
          <w:sz w:val="22"/>
          <w:szCs w:val="22"/>
          <w:u w:val="none"/>
          <w:lang w:val="en-GB"/>
        </w:rPr>
        <w:t xml:space="preserve"> study. </w:t>
      </w:r>
      <w:r w:rsidRPr="7C4D80F3" w:rsidR="61E474C2">
        <w:rPr>
          <w:rFonts w:ascii="Arial" w:hAnsi="Arial" w:eastAsia="Arial" w:cs="Arial"/>
          <w:i w:val="1"/>
          <w:iCs w:val="1"/>
          <w:noProof w:val="0"/>
          <w:color w:val="000000" w:themeColor="text1" w:themeTint="FF" w:themeShade="FF"/>
          <w:sz w:val="22"/>
          <w:szCs w:val="22"/>
          <w:u w:val="none"/>
          <w:lang w:val="en-GB"/>
        </w:rPr>
        <w:t>BMC Public Health</w:t>
      </w:r>
      <w:r w:rsidRPr="7C4D80F3" w:rsidR="61E474C2">
        <w:rPr>
          <w:rFonts w:ascii="Arial" w:hAnsi="Arial" w:eastAsia="Arial" w:cs="Arial"/>
          <w:noProof w:val="0"/>
          <w:color w:val="000000" w:themeColor="text1" w:themeTint="FF" w:themeShade="FF"/>
          <w:sz w:val="22"/>
          <w:szCs w:val="22"/>
          <w:u w:val="none"/>
          <w:lang w:val="en-GB"/>
        </w:rPr>
        <w:t>, 24, Article 3471. doi:10.1186/s12889-024-21050-2 (Accessed: 13 November 2025).</w:t>
      </w:r>
    </w:p>
    <w:p w:rsidR="38FDD255" w:rsidP="7C4D80F3" w:rsidRDefault="38FDD255" w14:paraId="1634E35F" w14:textId="39B1A6A4">
      <w:pPr>
        <w:pStyle w:val="ListParagraph"/>
        <w:numPr>
          <w:ilvl w:val="0"/>
          <w:numId w:val="7"/>
        </w:num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GB"/>
        </w:rPr>
      </w:pPr>
      <w:r w:rsidRPr="7C4D80F3" w:rsidR="38FDD255">
        <w:rPr>
          <w:rFonts w:ascii="Arial" w:hAnsi="Arial" w:eastAsia="Arial" w:cs="Arial"/>
          <w:noProof w:val="0"/>
          <w:color w:val="000000" w:themeColor="text1" w:themeTint="FF" w:themeShade="FF"/>
          <w:sz w:val="22"/>
          <w:szCs w:val="22"/>
          <w:u w:val="none"/>
          <w:lang w:val="en-GB"/>
        </w:rPr>
        <w:t xml:space="preserve">Diabetes UK (2024) </w:t>
      </w:r>
      <w:r w:rsidRPr="7C4D80F3" w:rsidR="38FDD255">
        <w:rPr>
          <w:rFonts w:ascii="Arial" w:hAnsi="Arial" w:eastAsia="Arial" w:cs="Arial"/>
          <w:i w:val="1"/>
          <w:iCs w:val="1"/>
          <w:noProof w:val="0"/>
          <w:color w:val="000000" w:themeColor="text1" w:themeTint="FF" w:themeShade="FF"/>
          <w:sz w:val="22"/>
          <w:szCs w:val="22"/>
          <w:u w:val="none"/>
          <w:lang w:val="en-GB"/>
        </w:rPr>
        <w:t>Cost of devastating complications highlights urgent need to transform diabetes care</w:t>
      </w:r>
      <w:r w:rsidRPr="7C4D80F3" w:rsidR="38FDD255">
        <w:rPr>
          <w:rFonts w:ascii="Arial" w:hAnsi="Arial" w:eastAsia="Arial" w:cs="Arial"/>
          <w:noProof w:val="0"/>
          <w:color w:val="000000" w:themeColor="text1" w:themeTint="FF" w:themeShade="FF"/>
          <w:sz w:val="22"/>
          <w:szCs w:val="22"/>
          <w:u w:val="none"/>
          <w:lang w:val="en-GB"/>
        </w:rPr>
        <w:t>. Available at: https://www.diabetes.org.uk/about-us/news-and-views/cost-complications-highlights-urgent-need-transform-diabetes (Accessed: 1</w:t>
      </w:r>
      <w:r w:rsidRPr="7C4D80F3" w:rsidR="56B7A61B">
        <w:rPr>
          <w:rFonts w:ascii="Arial" w:hAnsi="Arial" w:eastAsia="Arial" w:cs="Arial"/>
          <w:noProof w:val="0"/>
          <w:color w:val="000000" w:themeColor="text1" w:themeTint="FF" w:themeShade="FF"/>
          <w:sz w:val="22"/>
          <w:szCs w:val="22"/>
          <w:u w:val="none"/>
          <w:lang w:val="en-GB"/>
        </w:rPr>
        <w:t>0</w:t>
      </w:r>
      <w:r w:rsidRPr="7C4D80F3" w:rsidR="38FDD255">
        <w:rPr>
          <w:rFonts w:ascii="Arial" w:hAnsi="Arial" w:eastAsia="Arial" w:cs="Arial"/>
          <w:noProof w:val="0"/>
          <w:color w:val="000000" w:themeColor="text1" w:themeTint="FF" w:themeShade="FF"/>
          <w:sz w:val="22"/>
          <w:szCs w:val="22"/>
          <w:u w:val="none"/>
          <w:lang w:val="en-GB"/>
        </w:rPr>
        <w:t xml:space="preserve"> November 2025).</w:t>
      </w:r>
    </w:p>
    <w:p w:rsidR="38FDD255" w:rsidP="7C4D80F3" w:rsidRDefault="38FDD255" w14:paraId="5B4C7294" w14:textId="72DFEF51">
      <w:pPr>
        <w:pStyle w:val="ListParagraph"/>
        <w:numPr>
          <w:ilvl w:val="0"/>
          <w:numId w:val="7"/>
        </w:num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GB"/>
        </w:rPr>
      </w:pPr>
      <w:r w:rsidRPr="7C4D80F3" w:rsidR="38FDD255">
        <w:rPr>
          <w:rFonts w:ascii="Arial" w:hAnsi="Arial" w:eastAsia="Arial" w:cs="Arial"/>
          <w:noProof w:val="0"/>
          <w:color w:val="000000" w:themeColor="text1" w:themeTint="FF" w:themeShade="FF"/>
          <w:sz w:val="22"/>
          <w:szCs w:val="22"/>
          <w:u w:val="none"/>
          <w:lang w:val="en-GB"/>
        </w:rPr>
        <w:t xml:space="preserve">Diabetes UK (2025) </w:t>
      </w:r>
      <w:r w:rsidRPr="7C4D80F3" w:rsidR="38FDD255">
        <w:rPr>
          <w:rFonts w:ascii="Arial" w:hAnsi="Arial" w:eastAsia="Arial" w:cs="Arial"/>
          <w:i w:val="1"/>
          <w:iCs w:val="1"/>
          <w:noProof w:val="0"/>
          <w:color w:val="000000" w:themeColor="text1" w:themeTint="FF" w:themeShade="FF"/>
          <w:sz w:val="22"/>
          <w:szCs w:val="22"/>
          <w:u w:val="none"/>
          <w:lang w:val="en-GB"/>
        </w:rPr>
        <w:t>How many people in the UK have diabetes?</w:t>
      </w:r>
      <w:r w:rsidRPr="7C4D80F3" w:rsidR="38FDD255">
        <w:rPr>
          <w:rFonts w:ascii="Arial" w:hAnsi="Arial" w:eastAsia="Arial" w:cs="Arial"/>
          <w:noProof w:val="0"/>
          <w:color w:val="000000" w:themeColor="text1" w:themeTint="FF" w:themeShade="FF"/>
          <w:sz w:val="22"/>
          <w:szCs w:val="22"/>
          <w:u w:val="none"/>
          <w:lang w:val="en-GB"/>
        </w:rPr>
        <w:t xml:space="preserve"> Available at: https://www.diabetes.org.uk/about-us/about-us/our-strategy/statistics (Accessed: 16 November 2025).</w:t>
      </w:r>
    </w:p>
    <w:p w:rsidR="38FDD255" w:rsidP="7C4D80F3" w:rsidRDefault="38FDD255" w14:paraId="6687DA01" w14:textId="723FDC4D">
      <w:pPr>
        <w:pStyle w:val="ListParagraph"/>
        <w:numPr>
          <w:ilvl w:val="0"/>
          <w:numId w:val="7"/>
        </w:num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GB"/>
        </w:rPr>
      </w:pPr>
      <w:r w:rsidRPr="7C4D80F3" w:rsidR="38FDD255">
        <w:rPr>
          <w:rFonts w:ascii="Arial" w:hAnsi="Arial" w:eastAsia="Arial" w:cs="Arial"/>
          <w:noProof w:val="0"/>
          <w:color w:val="000000" w:themeColor="text1" w:themeTint="FF" w:themeShade="FF"/>
          <w:sz w:val="22"/>
          <w:szCs w:val="22"/>
          <w:u w:val="none"/>
          <w:lang w:val="en-GB"/>
        </w:rPr>
        <w:t>Lancet (2022) Evaluation of the NHS Diabetes Prevention Programme: outcomes and effectiveness.</w:t>
      </w:r>
      <w:r w:rsidRPr="7C4D80F3" w:rsidR="38FDD255">
        <w:rPr>
          <w:rFonts w:ascii="Arial" w:hAnsi="Arial" w:eastAsia="Arial" w:cs="Arial"/>
          <w:i w:val="1"/>
          <w:iCs w:val="1"/>
          <w:noProof w:val="0"/>
          <w:color w:val="000000" w:themeColor="text1" w:themeTint="FF" w:themeShade="FF"/>
          <w:sz w:val="22"/>
          <w:szCs w:val="22"/>
          <w:u w:val="none"/>
          <w:lang w:val="en-GB"/>
        </w:rPr>
        <w:t xml:space="preserve"> The Lancet Public Health</w:t>
      </w:r>
      <w:r w:rsidRPr="7C4D80F3" w:rsidR="38FDD255">
        <w:rPr>
          <w:rFonts w:ascii="Arial" w:hAnsi="Arial" w:eastAsia="Arial" w:cs="Arial"/>
          <w:noProof w:val="0"/>
          <w:color w:val="000000" w:themeColor="text1" w:themeTint="FF" w:themeShade="FF"/>
          <w:sz w:val="22"/>
          <w:szCs w:val="22"/>
          <w:u w:val="none"/>
          <w:lang w:val="en-GB"/>
        </w:rPr>
        <w:t>, 7(3), pp. e221–e230.</w:t>
      </w:r>
    </w:p>
    <w:p w:rsidR="38FDD255" w:rsidP="7C4D80F3" w:rsidRDefault="38FDD255" w14:paraId="495528DD" w14:textId="4ED73EC9">
      <w:pPr>
        <w:pStyle w:val="ListParagraph"/>
        <w:numPr>
          <w:ilvl w:val="0"/>
          <w:numId w:val="7"/>
        </w:num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GB"/>
        </w:rPr>
      </w:pPr>
      <w:r w:rsidRPr="7C4D80F3" w:rsidR="38FDD255">
        <w:rPr>
          <w:rFonts w:ascii="Arial" w:hAnsi="Arial" w:eastAsia="Arial" w:cs="Arial"/>
          <w:noProof w:val="0"/>
          <w:color w:val="000000" w:themeColor="text1" w:themeTint="FF" w:themeShade="FF"/>
          <w:sz w:val="22"/>
          <w:szCs w:val="22"/>
          <w:u w:val="none"/>
          <w:lang w:val="en-GB"/>
        </w:rPr>
        <w:t xml:space="preserve">National Health Executive (2025) </w:t>
      </w:r>
      <w:r w:rsidRPr="7C4D80F3" w:rsidR="38FDD255">
        <w:rPr>
          <w:rFonts w:ascii="Arial" w:hAnsi="Arial" w:eastAsia="Arial" w:cs="Arial"/>
          <w:i w:val="1"/>
          <w:iCs w:val="1"/>
          <w:noProof w:val="0"/>
          <w:color w:val="000000" w:themeColor="text1" w:themeTint="FF" w:themeShade="FF"/>
          <w:sz w:val="22"/>
          <w:szCs w:val="22"/>
          <w:u w:val="none"/>
          <w:lang w:val="en-GB"/>
        </w:rPr>
        <w:t>New NHS diet helps record number put type 2 diabetes into remission</w:t>
      </w:r>
      <w:r w:rsidRPr="7C4D80F3" w:rsidR="38FDD255">
        <w:rPr>
          <w:rFonts w:ascii="Arial" w:hAnsi="Arial" w:eastAsia="Arial" w:cs="Arial"/>
          <w:noProof w:val="0"/>
          <w:color w:val="000000" w:themeColor="text1" w:themeTint="FF" w:themeShade="FF"/>
          <w:sz w:val="22"/>
          <w:szCs w:val="22"/>
          <w:u w:val="none"/>
          <w:lang w:val="en-GB"/>
        </w:rPr>
        <w:t>. Available at: https://www.nationalhealthexecutive.com/articles/new-nhs-diet-helps-record-number-put-type-2-diabetes-remission (Accessed: 16 November 2025).</w:t>
      </w:r>
    </w:p>
    <w:p w:rsidR="38FDD255" w:rsidP="7C4D80F3" w:rsidRDefault="38FDD255" w14:paraId="582A81D6" w14:textId="435F9443">
      <w:pPr>
        <w:pStyle w:val="ListParagraph"/>
        <w:numPr>
          <w:ilvl w:val="0"/>
          <w:numId w:val="7"/>
        </w:num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GB"/>
        </w:rPr>
      </w:pPr>
      <w:r w:rsidRPr="7C4D80F3" w:rsidR="38FDD255">
        <w:rPr>
          <w:rFonts w:ascii="Arial" w:hAnsi="Arial" w:eastAsia="Arial" w:cs="Arial"/>
          <w:noProof w:val="0"/>
          <w:color w:val="000000" w:themeColor="text1" w:themeTint="FF" w:themeShade="FF"/>
          <w:sz w:val="22"/>
          <w:szCs w:val="22"/>
          <w:u w:val="none"/>
          <w:lang w:val="en-GB"/>
        </w:rPr>
        <w:t xml:space="preserve">NHS (2024) </w:t>
      </w:r>
      <w:r w:rsidRPr="7C4D80F3" w:rsidR="38FDD255">
        <w:rPr>
          <w:rFonts w:ascii="Arial" w:hAnsi="Arial" w:eastAsia="Arial" w:cs="Arial"/>
          <w:i w:val="1"/>
          <w:iCs w:val="1"/>
          <w:noProof w:val="0"/>
          <w:color w:val="000000" w:themeColor="text1" w:themeTint="FF" w:themeShade="FF"/>
          <w:sz w:val="22"/>
          <w:szCs w:val="22"/>
          <w:u w:val="none"/>
          <w:lang w:val="en-GB"/>
        </w:rPr>
        <w:t>Complications of type 2 diabetes</w:t>
      </w:r>
      <w:r w:rsidRPr="7C4D80F3" w:rsidR="38FDD255">
        <w:rPr>
          <w:rFonts w:ascii="Arial" w:hAnsi="Arial" w:eastAsia="Arial" w:cs="Arial"/>
          <w:noProof w:val="0"/>
          <w:color w:val="000000" w:themeColor="text1" w:themeTint="FF" w:themeShade="FF"/>
          <w:sz w:val="22"/>
          <w:szCs w:val="22"/>
          <w:u w:val="none"/>
          <w:lang w:val="en-GB"/>
        </w:rPr>
        <w:t>. Available at: https://www.nhs.uk/conditions/type-2-diabetes/complications (Accessed: 1</w:t>
      </w:r>
      <w:r w:rsidRPr="7C4D80F3" w:rsidR="3B0362D6">
        <w:rPr>
          <w:rFonts w:ascii="Arial" w:hAnsi="Arial" w:eastAsia="Arial" w:cs="Arial"/>
          <w:noProof w:val="0"/>
          <w:color w:val="000000" w:themeColor="text1" w:themeTint="FF" w:themeShade="FF"/>
          <w:sz w:val="22"/>
          <w:szCs w:val="22"/>
          <w:u w:val="none"/>
          <w:lang w:val="en-GB"/>
        </w:rPr>
        <w:t>2</w:t>
      </w:r>
      <w:r w:rsidRPr="7C4D80F3" w:rsidR="38FDD255">
        <w:rPr>
          <w:rFonts w:ascii="Arial" w:hAnsi="Arial" w:eastAsia="Arial" w:cs="Arial"/>
          <w:noProof w:val="0"/>
          <w:color w:val="000000" w:themeColor="text1" w:themeTint="FF" w:themeShade="FF"/>
          <w:sz w:val="22"/>
          <w:szCs w:val="22"/>
          <w:u w:val="none"/>
          <w:lang w:val="en-GB"/>
        </w:rPr>
        <w:t xml:space="preserve"> November 2025).</w:t>
      </w:r>
    </w:p>
    <w:p w:rsidR="38FDD255" w:rsidP="7C4D80F3" w:rsidRDefault="38FDD255" w14:paraId="572EFE4F" w14:textId="53C80AA0">
      <w:pPr>
        <w:pStyle w:val="ListParagraph"/>
        <w:numPr>
          <w:ilvl w:val="0"/>
          <w:numId w:val="7"/>
        </w:num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GB"/>
        </w:rPr>
      </w:pPr>
      <w:r w:rsidRPr="7C4D80F3" w:rsidR="38FDD255">
        <w:rPr>
          <w:rFonts w:ascii="Arial" w:hAnsi="Arial" w:eastAsia="Arial" w:cs="Arial"/>
          <w:noProof w:val="0"/>
          <w:color w:val="000000" w:themeColor="text1" w:themeTint="FF" w:themeShade="FF"/>
          <w:sz w:val="22"/>
          <w:szCs w:val="22"/>
          <w:u w:val="none"/>
          <w:lang w:val="en-GB"/>
        </w:rPr>
        <w:t xml:space="preserve">NICE (2021) </w:t>
      </w:r>
      <w:r w:rsidRPr="7C4D80F3" w:rsidR="38FDD255">
        <w:rPr>
          <w:rFonts w:ascii="Arial" w:hAnsi="Arial" w:eastAsia="Arial" w:cs="Arial"/>
          <w:i w:val="1"/>
          <w:iCs w:val="1"/>
          <w:noProof w:val="0"/>
          <w:color w:val="000000" w:themeColor="text1" w:themeTint="FF" w:themeShade="FF"/>
          <w:sz w:val="22"/>
          <w:szCs w:val="22"/>
          <w:u w:val="none"/>
          <w:lang w:val="en-GB"/>
        </w:rPr>
        <w:t>Type 2 diabetes prevention: population and community-level interventions. NICE Public Health Guidance PH38.</w:t>
      </w:r>
      <w:r w:rsidRPr="7C4D80F3" w:rsidR="38FDD255">
        <w:rPr>
          <w:rFonts w:ascii="Arial" w:hAnsi="Arial" w:eastAsia="Arial" w:cs="Arial"/>
          <w:noProof w:val="0"/>
          <w:color w:val="000000" w:themeColor="text1" w:themeTint="FF" w:themeShade="FF"/>
          <w:sz w:val="22"/>
          <w:szCs w:val="22"/>
          <w:u w:val="none"/>
          <w:lang w:val="en-GB"/>
        </w:rPr>
        <w:t xml:space="preserve"> Available at: https://www.nice.org.uk/guidance/ph38 (Accessed: 1</w:t>
      </w:r>
      <w:r w:rsidRPr="7C4D80F3" w:rsidR="4FB93C68">
        <w:rPr>
          <w:rFonts w:ascii="Arial" w:hAnsi="Arial" w:eastAsia="Arial" w:cs="Arial"/>
          <w:noProof w:val="0"/>
          <w:color w:val="000000" w:themeColor="text1" w:themeTint="FF" w:themeShade="FF"/>
          <w:sz w:val="22"/>
          <w:szCs w:val="22"/>
          <w:u w:val="none"/>
          <w:lang w:val="en-GB"/>
        </w:rPr>
        <w:t>4</w:t>
      </w:r>
      <w:r w:rsidRPr="7C4D80F3" w:rsidR="38FDD255">
        <w:rPr>
          <w:rFonts w:ascii="Arial" w:hAnsi="Arial" w:eastAsia="Arial" w:cs="Arial"/>
          <w:noProof w:val="0"/>
          <w:color w:val="000000" w:themeColor="text1" w:themeTint="FF" w:themeShade="FF"/>
          <w:sz w:val="22"/>
          <w:szCs w:val="22"/>
          <w:u w:val="none"/>
          <w:lang w:val="en-GB"/>
        </w:rPr>
        <w:t xml:space="preserve"> November 2025).</w:t>
      </w:r>
    </w:p>
    <w:p w:rsidR="38FDD255" w:rsidP="7C4D80F3" w:rsidRDefault="38FDD255" w14:paraId="4E1CE2DE" w14:textId="05063718">
      <w:pPr>
        <w:pStyle w:val="ListParagraph"/>
        <w:numPr>
          <w:ilvl w:val="0"/>
          <w:numId w:val="7"/>
        </w:num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GB"/>
        </w:rPr>
      </w:pPr>
      <w:r w:rsidRPr="7C4D80F3" w:rsidR="38FDD255">
        <w:rPr>
          <w:rFonts w:ascii="Arial" w:hAnsi="Arial" w:eastAsia="Arial" w:cs="Arial"/>
          <w:noProof w:val="0"/>
          <w:color w:val="000000" w:themeColor="text1" w:themeTint="FF" w:themeShade="FF"/>
          <w:sz w:val="22"/>
          <w:szCs w:val="22"/>
          <w:u w:val="none"/>
          <w:lang w:val="en-GB"/>
        </w:rPr>
        <w:t xml:space="preserve">NICE (2022) </w:t>
      </w:r>
      <w:r w:rsidRPr="7C4D80F3" w:rsidR="38FDD255">
        <w:rPr>
          <w:rFonts w:ascii="Arial" w:hAnsi="Arial" w:eastAsia="Arial" w:cs="Arial"/>
          <w:i w:val="1"/>
          <w:iCs w:val="1"/>
          <w:noProof w:val="0"/>
          <w:color w:val="000000" w:themeColor="text1" w:themeTint="FF" w:themeShade="FF"/>
          <w:sz w:val="22"/>
          <w:szCs w:val="22"/>
          <w:u w:val="none"/>
          <w:lang w:val="en-GB"/>
        </w:rPr>
        <w:t>Type 2 diabetes in adults: management. NICE Guideline NG28.</w:t>
      </w:r>
      <w:r w:rsidRPr="7C4D80F3" w:rsidR="38FDD255">
        <w:rPr>
          <w:rFonts w:ascii="Arial" w:hAnsi="Arial" w:eastAsia="Arial" w:cs="Arial"/>
          <w:noProof w:val="0"/>
          <w:color w:val="000000" w:themeColor="text1" w:themeTint="FF" w:themeShade="FF"/>
          <w:sz w:val="22"/>
          <w:szCs w:val="22"/>
          <w:u w:val="none"/>
          <w:lang w:val="en-GB"/>
        </w:rPr>
        <w:t xml:space="preserve"> Available at: https://www.nice.org.uk/guidance/ng28 (Accessed: 16 November 2025).</w:t>
      </w:r>
    </w:p>
    <w:p w:rsidR="38FDD255" w:rsidP="7C4D80F3" w:rsidRDefault="38FDD255" w14:paraId="5FCFB634" w14:textId="78E121DD">
      <w:pPr>
        <w:pStyle w:val="ListParagraph"/>
        <w:numPr>
          <w:ilvl w:val="0"/>
          <w:numId w:val="7"/>
        </w:num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GB"/>
        </w:rPr>
      </w:pPr>
      <w:r w:rsidRPr="7C4D80F3" w:rsidR="38FDD255">
        <w:rPr>
          <w:rFonts w:ascii="Arial" w:hAnsi="Arial" w:eastAsia="Arial" w:cs="Arial"/>
          <w:noProof w:val="0"/>
          <w:color w:val="000000" w:themeColor="text1" w:themeTint="FF" w:themeShade="FF"/>
          <w:sz w:val="22"/>
          <w:szCs w:val="22"/>
          <w:u w:val="none"/>
          <w:lang w:val="en-GB"/>
        </w:rPr>
        <w:t>Public Health England (2022)</w:t>
      </w:r>
      <w:r w:rsidRPr="7C4D80F3" w:rsidR="38FDD255">
        <w:rPr>
          <w:rFonts w:ascii="Arial" w:hAnsi="Arial" w:eastAsia="Arial" w:cs="Arial"/>
          <w:i w:val="1"/>
          <w:iCs w:val="1"/>
          <w:noProof w:val="0"/>
          <w:color w:val="000000" w:themeColor="text1" w:themeTint="FF" w:themeShade="FF"/>
          <w:sz w:val="22"/>
          <w:szCs w:val="22"/>
          <w:u w:val="none"/>
          <w:lang w:val="en-GB"/>
        </w:rPr>
        <w:t xml:space="preserve"> Health matters: preventing Type 2 Diabetes.</w:t>
      </w:r>
      <w:r w:rsidRPr="7C4D80F3" w:rsidR="38FDD255">
        <w:rPr>
          <w:rFonts w:ascii="Arial" w:hAnsi="Arial" w:eastAsia="Arial" w:cs="Arial"/>
          <w:noProof w:val="0"/>
          <w:color w:val="000000" w:themeColor="text1" w:themeTint="FF" w:themeShade="FF"/>
          <w:sz w:val="22"/>
          <w:szCs w:val="22"/>
          <w:u w:val="none"/>
          <w:lang w:val="en-GB"/>
        </w:rPr>
        <w:t xml:space="preserve"> Available at: https://www.gov.uk/government/publications/health-matters-preventing-type-2-diabetes (Accessed: 16 November 2025).</w:t>
      </w:r>
    </w:p>
    <w:p w:rsidR="5A7E7FDA" w:rsidP="7C4D80F3" w:rsidRDefault="5A7E7FDA" w14:paraId="62C54451" w14:textId="22DDB532">
      <w:pPr>
        <w:pStyle w:val="ListParagraph"/>
        <w:numPr>
          <w:ilvl w:val="0"/>
          <w:numId w:val="7"/>
        </w:num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GB"/>
        </w:rPr>
      </w:pPr>
      <w:r w:rsidRPr="7C4D80F3" w:rsidR="5A7E7FDA">
        <w:rPr>
          <w:rFonts w:ascii="Arial" w:hAnsi="Arial" w:eastAsia="Arial" w:cs="Arial"/>
          <w:noProof w:val="0"/>
          <w:color w:val="000000" w:themeColor="text1" w:themeTint="FF" w:themeShade="FF"/>
          <w:sz w:val="22"/>
          <w:szCs w:val="22"/>
          <w:u w:val="none"/>
          <w:lang w:val="en-GB"/>
        </w:rPr>
        <w:t xml:space="preserve">Sykes, M. and Copsey, B. (2023) A cluster randomized controlled trial, process and economic evaluation of quality improvement collaboratives aligned to a national audit to improve the care for people with diabetes (EQUIPD): study protocol. </w:t>
      </w:r>
      <w:r w:rsidRPr="7C4D80F3" w:rsidR="5A7E7FDA">
        <w:rPr>
          <w:rFonts w:ascii="Arial" w:hAnsi="Arial" w:eastAsia="Arial" w:cs="Arial"/>
          <w:i w:val="1"/>
          <w:iCs w:val="1"/>
          <w:noProof w:val="0"/>
          <w:color w:val="000000" w:themeColor="text1" w:themeTint="FF" w:themeShade="FF"/>
          <w:sz w:val="22"/>
          <w:szCs w:val="22"/>
          <w:u w:val="none"/>
          <w:lang w:val="en-GB"/>
        </w:rPr>
        <w:t>Implementation Science</w:t>
      </w:r>
      <w:r w:rsidRPr="7C4D80F3" w:rsidR="5A7E7FDA">
        <w:rPr>
          <w:rFonts w:ascii="Arial" w:hAnsi="Arial" w:eastAsia="Arial" w:cs="Arial"/>
          <w:noProof w:val="0"/>
          <w:color w:val="000000" w:themeColor="text1" w:themeTint="FF" w:themeShade="FF"/>
          <w:sz w:val="22"/>
          <w:szCs w:val="22"/>
          <w:u w:val="none"/>
          <w:lang w:val="en-GB"/>
        </w:rPr>
        <w:t>, 18, Article 37. doi:10.1186/s13012-023-01293-0</w:t>
      </w:r>
    </w:p>
    <w:p w:rsidR="38FDD255" w:rsidP="7C4D80F3" w:rsidRDefault="38FDD255" w14:paraId="3DAA1F0A" w14:textId="1148C229">
      <w:pPr>
        <w:pStyle w:val="ListParagraph"/>
        <w:numPr>
          <w:ilvl w:val="0"/>
          <w:numId w:val="7"/>
        </w:num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GB"/>
        </w:rPr>
      </w:pPr>
      <w:r w:rsidRPr="7C4D80F3" w:rsidR="38FDD255">
        <w:rPr>
          <w:rFonts w:ascii="Arial" w:hAnsi="Arial" w:eastAsia="Arial" w:cs="Arial"/>
          <w:noProof w:val="0"/>
          <w:color w:val="000000" w:themeColor="text1" w:themeTint="FF" w:themeShade="FF"/>
          <w:sz w:val="22"/>
          <w:szCs w:val="22"/>
          <w:u w:val="none"/>
          <w:lang w:val="en-GB"/>
        </w:rPr>
        <w:t>Verywell</w:t>
      </w:r>
      <w:r w:rsidRPr="7C4D80F3" w:rsidR="38FDD255">
        <w:rPr>
          <w:rFonts w:ascii="Arial" w:hAnsi="Arial" w:eastAsia="Arial" w:cs="Arial"/>
          <w:noProof w:val="0"/>
          <w:color w:val="000000" w:themeColor="text1" w:themeTint="FF" w:themeShade="FF"/>
          <w:sz w:val="22"/>
          <w:szCs w:val="22"/>
          <w:u w:val="none"/>
          <w:lang w:val="en-GB"/>
        </w:rPr>
        <w:t xml:space="preserve"> Health (2025) </w:t>
      </w:r>
      <w:r w:rsidRPr="7C4D80F3" w:rsidR="38FDD255">
        <w:rPr>
          <w:rFonts w:ascii="Arial" w:hAnsi="Arial" w:eastAsia="Arial" w:cs="Arial"/>
          <w:i w:val="1"/>
          <w:iCs w:val="1"/>
          <w:noProof w:val="0"/>
          <w:color w:val="000000" w:themeColor="text1" w:themeTint="FF" w:themeShade="FF"/>
          <w:sz w:val="22"/>
          <w:szCs w:val="22"/>
          <w:u w:val="none"/>
          <w:lang w:val="en-GB"/>
        </w:rPr>
        <w:t xml:space="preserve">How Does Type 2 Diabetes Affect a Person's Daily Life? </w:t>
      </w:r>
      <w:r w:rsidRPr="7C4D80F3" w:rsidR="38FDD255">
        <w:rPr>
          <w:rFonts w:ascii="Arial" w:hAnsi="Arial" w:eastAsia="Arial" w:cs="Arial"/>
          <w:noProof w:val="0"/>
          <w:color w:val="000000" w:themeColor="text1" w:themeTint="FF" w:themeShade="FF"/>
          <w:sz w:val="22"/>
          <w:szCs w:val="22"/>
          <w:u w:val="none"/>
          <w:lang w:val="en-GB"/>
        </w:rPr>
        <w:t>Available at: https://www.verywellhealth.com/type-2-diabetes-daily-life-6751664 (Accessed: 1</w:t>
      </w:r>
      <w:r w:rsidRPr="7C4D80F3" w:rsidR="675C5F98">
        <w:rPr>
          <w:rFonts w:ascii="Arial" w:hAnsi="Arial" w:eastAsia="Arial" w:cs="Arial"/>
          <w:noProof w:val="0"/>
          <w:color w:val="000000" w:themeColor="text1" w:themeTint="FF" w:themeShade="FF"/>
          <w:sz w:val="22"/>
          <w:szCs w:val="22"/>
          <w:u w:val="none"/>
          <w:lang w:val="en-GB"/>
        </w:rPr>
        <w:t>4</w:t>
      </w:r>
      <w:r w:rsidRPr="7C4D80F3" w:rsidR="38FDD255">
        <w:rPr>
          <w:rFonts w:ascii="Arial" w:hAnsi="Arial" w:eastAsia="Arial" w:cs="Arial"/>
          <w:noProof w:val="0"/>
          <w:color w:val="000000" w:themeColor="text1" w:themeTint="FF" w:themeShade="FF"/>
          <w:sz w:val="22"/>
          <w:szCs w:val="22"/>
          <w:u w:val="none"/>
          <w:lang w:val="en-GB"/>
        </w:rPr>
        <w:t xml:space="preserve"> November 2025).</w:t>
      </w:r>
    </w:p>
    <w:p w:rsidR="38FDD255" w:rsidP="7C4D80F3" w:rsidRDefault="38FDD255" w14:paraId="40C276FB" w14:textId="73546EFA">
      <w:pPr>
        <w:pStyle w:val="ListParagraph"/>
        <w:numPr>
          <w:ilvl w:val="0"/>
          <w:numId w:val="7"/>
        </w:num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GB"/>
        </w:rPr>
      </w:pPr>
      <w:r w:rsidRPr="7C4D80F3" w:rsidR="38FDD255">
        <w:rPr>
          <w:rFonts w:ascii="Arial" w:hAnsi="Arial" w:eastAsia="Arial" w:cs="Arial"/>
          <w:noProof w:val="0"/>
          <w:color w:val="000000" w:themeColor="text1" w:themeTint="FF" w:themeShade="FF"/>
          <w:sz w:val="22"/>
          <w:szCs w:val="22"/>
          <w:u w:val="none"/>
          <w:lang w:val="en-GB"/>
        </w:rPr>
        <w:t xml:space="preserve">WHO (2024) </w:t>
      </w:r>
      <w:r w:rsidRPr="7C4D80F3" w:rsidR="38FDD255">
        <w:rPr>
          <w:rFonts w:ascii="Arial" w:hAnsi="Arial" w:eastAsia="Arial" w:cs="Arial"/>
          <w:i w:val="1"/>
          <w:iCs w:val="1"/>
          <w:noProof w:val="0"/>
          <w:color w:val="000000" w:themeColor="text1" w:themeTint="FF" w:themeShade="FF"/>
          <w:sz w:val="22"/>
          <w:szCs w:val="22"/>
          <w:u w:val="none"/>
          <w:lang w:val="en-GB"/>
        </w:rPr>
        <w:t>Diabetes Fact Sheet</w:t>
      </w:r>
      <w:r w:rsidRPr="7C4D80F3" w:rsidR="38FDD255">
        <w:rPr>
          <w:rFonts w:ascii="Arial" w:hAnsi="Arial" w:eastAsia="Arial" w:cs="Arial"/>
          <w:noProof w:val="0"/>
          <w:color w:val="000000" w:themeColor="text1" w:themeTint="FF" w:themeShade="FF"/>
          <w:sz w:val="22"/>
          <w:szCs w:val="22"/>
          <w:u w:val="none"/>
          <w:lang w:val="en-GB"/>
        </w:rPr>
        <w:t>. Available at: https://www.who.int/news-room/fact-sheets/detail/diabetes (Accessed: 1</w:t>
      </w:r>
      <w:r w:rsidRPr="7C4D80F3" w:rsidR="1077641A">
        <w:rPr>
          <w:rFonts w:ascii="Arial" w:hAnsi="Arial" w:eastAsia="Arial" w:cs="Arial"/>
          <w:noProof w:val="0"/>
          <w:color w:val="000000" w:themeColor="text1" w:themeTint="FF" w:themeShade="FF"/>
          <w:sz w:val="22"/>
          <w:szCs w:val="22"/>
          <w:u w:val="none"/>
          <w:lang w:val="en-GB"/>
        </w:rPr>
        <w:t>3</w:t>
      </w:r>
      <w:r w:rsidRPr="7C4D80F3" w:rsidR="38FDD255">
        <w:rPr>
          <w:rFonts w:ascii="Arial" w:hAnsi="Arial" w:eastAsia="Arial" w:cs="Arial"/>
          <w:noProof w:val="0"/>
          <w:color w:val="000000" w:themeColor="text1" w:themeTint="FF" w:themeShade="FF"/>
          <w:sz w:val="22"/>
          <w:szCs w:val="22"/>
          <w:u w:val="none"/>
          <w:lang w:val="en-GB"/>
        </w:rPr>
        <w:t xml:space="preserve"> November 2025).</w:t>
      </w:r>
    </w:p>
    <w:p w:rsidR="7C4D80F3" w:rsidP="7C4D80F3" w:rsidRDefault="7C4D80F3" w14:paraId="4723A52E" w14:textId="59AD3BB7">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headerReference w:type="default" r:id="Rc70e049bdbde4410"/>
      <w:footerReference w:type="default" r:id="Reda55c3ed38e4b9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C4D80F3" w:rsidTr="7C4D80F3" w14:paraId="5E375149">
      <w:trPr>
        <w:trHeight w:val="300"/>
      </w:trPr>
      <w:tc>
        <w:tcPr>
          <w:tcW w:w="3005" w:type="dxa"/>
          <w:tcMar/>
        </w:tcPr>
        <w:p w:rsidR="7C4D80F3" w:rsidP="7C4D80F3" w:rsidRDefault="7C4D80F3" w14:paraId="15B31760" w14:textId="281B12C7">
          <w:pPr>
            <w:pStyle w:val="Header"/>
            <w:bidi w:val="0"/>
            <w:ind w:left="-115"/>
            <w:jc w:val="left"/>
          </w:pPr>
        </w:p>
      </w:tc>
      <w:tc>
        <w:tcPr>
          <w:tcW w:w="3005" w:type="dxa"/>
          <w:tcMar/>
        </w:tcPr>
        <w:p w:rsidR="7C4D80F3" w:rsidP="7C4D80F3" w:rsidRDefault="7C4D80F3" w14:paraId="33BE77AF" w14:textId="1254C6FD">
          <w:pPr>
            <w:pStyle w:val="Header"/>
            <w:bidi w:val="0"/>
            <w:jc w:val="center"/>
          </w:pPr>
          <w:r>
            <w:fldChar w:fldCharType="begin"/>
          </w:r>
          <w:r>
            <w:instrText xml:space="preserve">PAGE</w:instrText>
          </w:r>
          <w:r>
            <w:fldChar w:fldCharType="separate"/>
          </w:r>
          <w:r>
            <w:fldChar w:fldCharType="end"/>
          </w:r>
        </w:p>
      </w:tc>
      <w:tc>
        <w:tcPr>
          <w:tcW w:w="3005" w:type="dxa"/>
          <w:tcMar/>
        </w:tcPr>
        <w:p w:rsidR="7C4D80F3" w:rsidP="7C4D80F3" w:rsidRDefault="7C4D80F3" w14:paraId="02B29B23" w14:textId="4A4C50CF">
          <w:pPr>
            <w:pStyle w:val="Header"/>
            <w:bidi w:val="0"/>
            <w:ind w:right="-115"/>
            <w:jc w:val="right"/>
          </w:pPr>
        </w:p>
      </w:tc>
    </w:tr>
  </w:tbl>
  <w:p w:rsidR="7C4D80F3" w:rsidP="7C4D80F3" w:rsidRDefault="7C4D80F3" w14:paraId="4EB9C946" w14:textId="7E49822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C4D80F3" w:rsidTr="7C4D80F3" w14:paraId="04C55843">
      <w:trPr>
        <w:trHeight w:val="300"/>
      </w:trPr>
      <w:tc>
        <w:tcPr>
          <w:tcW w:w="3005" w:type="dxa"/>
          <w:tcMar/>
        </w:tcPr>
        <w:p w:rsidR="7C4D80F3" w:rsidP="7C4D80F3" w:rsidRDefault="7C4D80F3" w14:paraId="25B42593" w14:textId="5CD240FB">
          <w:pPr>
            <w:pStyle w:val="Header"/>
            <w:bidi w:val="0"/>
            <w:ind w:left="-115"/>
            <w:jc w:val="left"/>
          </w:pPr>
        </w:p>
      </w:tc>
      <w:tc>
        <w:tcPr>
          <w:tcW w:w="3005" w:type="dxa"/>
          <w:tcMar/>
        </w:tcPr>
        <w:p w:rsidR="7C4D80F3" w:rsidP="7C4D80F3" w:rsidRDefault="7C4D80F3" w14:paraId="1E0CFABD" w14:textId="42D1F680">
          <w:pPr>
            <w:pStyle w:val="Header"/>
            <w:bidi w:val="0"/>
            <w:jc w:val="center"/>
          </w:pPr>
        </w:p>
      </w:tc>
      <w:tc>
        <w:tcPr>
          <w:tcW w:w="3005" w:type="dxa"/>
          <w:tcMar/>
        </w:tcPr>
        <w:p w:rsidR="7C4D80F3" w:rsidP="7C4D80F3" w:rsidRDefault="7C4D80F3" w14:paraId="377B125D" w14:textId="67A37016">
          <w:pPr>
            <w:pStyle w:val="Header"/>
            <w:bidi w:val="0"/>
            <w:ind w:right="-115"/>
            <w:jc w:val="right"/>
          </w:pPr>
        </w:p>
      </w:tc>
    </w:tr>
  </w:tbl>
  <w:p w:rsidR="7C4D80F3" w:rsidP="7C4D80F3" w:rsidRDefault="7C4D80F3" w14:paraId="4523B64B" w14:textId="1EB5D0B9">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avlclcfpqIMGcL" int2:id="CSgFC3Wb">
      <int2:state int2:type="spell" int2:value="Rejected"/>
    </int2:textHash>
    <int2:bookmark int2:bookmarkName="_Int_cElUaVn8" int2:invalidationBookmarkName="" int2:hashCode="tH82PitDDAZH8U" int2:id="FrJwPJOy">
      <int2:state int2:type="gram" int2:value="Rejected"/>
    </int2:bookmark>
    <int2:bookmark int2:bookmarkName="_Int_nOEeI3Fi" int2:invalidationBookmarkName="" int2:hashCode="gJiHSQrbgDYBto" int2:id="31oCPDBL">
      <int2:state int2:type="spell" int2:value="Rejected"/>
    </int2:bookmark>
    <int2:bookmark int2:bookmarkName="_Int_ldc3NKMb" int2:invalidationBookmarkName="" int2:hashCode="X24BLamRzFW6Mo" int2:id="RJMMB8iW">
      <int2:state int2:type="spell" int2:value="Rejected"/>
    </int2:bookmark>
    <int2:entireDocument int2:id="v8R6NuuK">
      <int2:extLst>
        <oel:ext uri="E302BA01-7950-474C-9AD3-286E660C40A8">
          <int2:similaritySummary int2:version="1" int2:runId="1763299354415" int2:tilesCheckedInThisRun="37" int2:totalNumOfTiles="37" int2:similarityAnnotationCount="2" int2:numWords="1567" int2:numFlaggedWords="24"/>
        </oel:ext>
      </int2:extLst>
    </int2:entireDocument>
  </int2:observations>
  <int2:intelligenceSettings/>
  <int2:onDemandWorkflows>
    <int2:onDemandWorkflow int2:type="SimilarityCheck" int2:paragraphVersions="7959E259-4FBB0EB9 52150E22-2D74743E 54F8A234-70B32839 6ADC0BAE-066EB826 0E0F910D-73D3F7F7 35F1D81E-4033BB4A 2F344A71-0C6C5F75 78773498-5CD885BF 68B67730-17513600 2AE5EA7C-44CAADD0 54C56744-54F08A85 23494669-792A291C 44AEBD1D-604140E3 329376CE-07C6413A 07753350-17CB5997 68A11EDB-12DE7743 331281D5-17AA191A 2B157779-137CF31C 28A561DA-22F563F5 088CFDFA-314AEBE6 499E5951-1A21ED01 3B6A14B7-31C16CF0 02BD0740-0ECCD239 3DD53588-0FF405D6 724AE2A9-0858E521 44E1F46C-44E86C10 73AF0FA3-755353A6 674A2370-7A18F91E 781BEE7D-3B611A29 5EBB1CA7-5A9BB6FD 37DB3651-6648FA90 2CF19D38-1401AC32 281DC7A9-06CDF888 561C46E4-4BFC1AF9 48EC5792-619E49C5 6E33F964-219C5809 3F9F335E-5871D12E 7022977F-0C32787D 26B59EA9-1CCD1B46 2E50C24B-0D10486E 216B46A1-40246B1A 2DD2FB8A-3FDFD405 5E5787A5-1BF911AA"/>
  </int2:onDemandWorkflows>
</int2:intelligence>
</file>

<file path=word/numbering.xml><?xml version="1.0" encoding="utf-8"?>
<w:numbering xmlns:w="http://schemas.openxmlformats.org/wordprocessingml/2006/main">
  <w:abstractNum xmlns:w="http://schemas.openxmlformats.org/wordprocessingml/2006/main" w:abstractNumId="7">
    <w:nsid w:val="353eeb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bd50a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a8b05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bbc0b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09639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d2b7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c228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C7ED86"/>
    <w:rsid w:val="013EB760"/>
    <w:rsid w:val="01587D67"/>
    <w:rsid w:val="01C7ED86"/>
    <w:rsid w:val="02A0B1E4"/>
    <w:rsid w:val="02BC96FC"/>
    <w:rsid w:val="039490CF"/>
    <w:rsid w:val="03B51E9B"/>
    <w:rsid w:val="04B3002E"/>
    <w:rsid w:val="062CB050"/>
    <w:rsid w:val="063175C8"/>
    <w:rsid w:val="06DF47E0"/>
    <w:rsid w:val="082C253E"/>
    <w:rsid w:val="0A2644B9"/>
    <w:rsid w:val="0BF089E2"/>
    <w:rsid w:val="0CB9082A"/>
    <w:rsid w:val="0D897965"/>
    <w:rsid w:val="0DF0847B"/>
    <w:rsid w:val="0EA0959D"/>
    <w:rsid w:val="0F2246E9"/>
    <w:rsid w:val="0F9810E2"/>
    <w:rsid w:val="0FCB7169"/>
    <w:rsid w:val="0FD80DBC"/>
    <w:rsid w:val="100A1BDA"/>
    <w:rsid w:val="1077641A"/>
    <w:rsid w:val="10EB688E"/>
    <w:rsid w:val="116E5736"/>
    <w:rsid w:val="14252920"/>
    <w:rsid w:val="14DD056A"/>
    <w:rsid w:val="176D38AE"/>
    <w:rsid w:val="186973AD"/>
    <w:rsid w:val="197D798D"/>
    <w:rsid w:val="19CE0EE3"/>
    <w:rsid w:val="1A74D56F"/>
    <w:rsid w:val="1A8D970C"/>
    <w:rsid w:val="1CA16BEE"/>
    <w:rsid w:val="1D2FE198"/>
    <w:rsid w:val="1DA2BB89"/>
    <w:rsid w:val="1E4EF485"/>
    <w:rsid w:val="1F4ACC16"/>
    <w:rsid w:val="201E4C4C"/>
    <w:rsid w:val="210B2D4C"/>
    <w:rsid w:val="228805A6"/>
    <w:rsid w:val="22E2C229"/>
    <w:rsid w:val="2479E787"/>
    <w:rsid w:val="24B4041E"/>
    <w:rsid w:val="255A4510"/>
    <w:rsid w:val="2634954E"/>
    <w:rsid w:val="264A4FEC"/>
    <w:rsid w:val="274DE43C"/>
    <w:rsid w:val="278B4A1D"/>
    <w:rsid w:val="28C1DBEE"/>
    <w:rsid w:val="2A25CA3E"/>
    <w:rsid w:val="2A45871C"/>
    <w:rsid w:val="2C296365"/>
    <w:rsid w:val="2FB08D14"/>
    <w:rsid w:val="2FE6F24D"/>
    <w:rsid w:val="30B4707E"/>
    <w:rsid w:val="329FF232"/>
    <w:rsid w:val="32E99C37"/>
    <w:rsid w:val="33C908F1"/>
    <w:rsid w:val="346E892F"/>
    <w:rsid w:val="366D8224"/>
    <w:rsid w:val="36DF0A53"/>
    <w:rsid w:val="38FDD255"/>
    <w:rsid w:val="39217955"/>
    <w:rsid w:val="393F902C"/>
    <w:rsid w:val="39AAC890"/>
    <w:rsid w:val="3B0362D6"/>
    <w:rsid w:val="3CDFE210"/>
    <w:rsid w:val="3D4933AD"/>
    <w:rsid w:val="3DC13670"/>
    <w:rsid w:val="3E280D08"/>
    <w:rsid w:val="40BD37DD"/>
    <w:rsid w:val="4243F149"/>
    <w:rsid w:val="4269A3F7"/>
    <w:rsid w:val="427A35B3"/>
    <w:rsid w:val="472285DF"/>
    <w:rsid w:val="494D1614"/>
    <w:rsid w:val="4A343147"/>
    <w:rsid w:val="4B131AA7"/>
    <w:rsid w:val="4BC61EA4"/>
    <w:rsid w:val="4C8523D6"/>
    <w:rsid w:val="4D9445D2"/>
    <w:rsid w:val="4E47354D"/>
    <w:rsid w:val="4E60ABA6"/>
    <w:rsid w:val="4FB93C68"/>
    <w:rsid w:val="51B5B492"/>
    <w:rsid w:val="51F909E2"/>
    <w:rsid w:val="532F2E13"/>
    <w:rsid w:val="539CD790"/>
    <w:rsid w:val="54413901"/>
    <w:rsid w:val="54A62C03"/>
    <w:rsid w:val="5503D2EE"/>
    <w:rsid w:val="55B13A1F"/>
    <w:rsid w:val="5618F507"/>
    <w:rsid w:val="5620516A"/>
    <w:rsid w:val="563301CB"/>
    <w:rsid w:val="56B7A61B"/>
    <w:rsid w:val="57454F0B"/>
    <w:rsid w:val="578A4311"/>
    <w:rsid w:val="586999CD"/>
    <w:rsid w:val="58D51195"/>
    <w:rsid w:val="5933228D"/>
    <w:rsid w:val="5A5A4331"/>
    <w:rsid w:val="5A7E7FDA"/>
    <w:rsid w:val="5B2073E3"/>
    <w:rsid w:val="5DC401A2"/>
    <w:rsid w:val="5E5D3E90"/>
    <w:rsid w:val="5E8003B7"/>
    <w:rsid w:val="5EEB691F"/>
    <w:rsid w:val="603410C2"/>
    <w:rsid w:val="6057EB8A"/>
    <w:rsid w:val="615EAF38"/>
    <w:rsid w:val="618C6323"/>
    <w:rsid w:val="61D51E2B"/>
    <w:rsid w:val="61DF5854"/>
    <w:rsid w:val="61E474C2"/>
    <w:rsid w:val="620FCD56"/>
    <w:rsid w:val="626827C9"/>
    <w:rsid w:val="64FF46BC"/>
    <w:rsid w:val="66C23157"/>
    <w:rsid w:val="675C5F98"/>
    <w:rsid w:val="6886BD54"/>
    <w:rsid w:val="69A13695"/>
    <w:rsid w:val="6A3EE8FE"/>
    <w:rsid w:val="6B50D5C6"/>
    <w:rsid w:val="6D661534"/>
    <w:rsid w:val="6D81825C"/>
    <w:rsid w:val="6E988043"/>
    <w:rsid w:val="70014D02"/>
    <w:rsid w:val="73868BAA"/>
    <w:rsid w:val="7399992C"/>
    <w:rsid w:val="74F46B10"/>
    <w:rsid w:val="765FC61B"/>
    <w:rsid w:val="76F6E025"/>
    <w:rsid w:val="77B85FF5"/>
    <w:rsid w:val="782E8D87"/>
    <w:rsid w:val="7958C145"/>
    <w:rsid w:val="7A83763B"/>
    <w:rsid w:val="7BE53620"/>
    <w:rsid w:val="7C2C01A5"/>
    <w:rsid w:val="7C32A3AE"/>
    <w:rsid w:val="7C4D80F3"/>
    <w:rsid w:val="7D4F905B"/>
    <w:rsid w:val="7D639BF8"/>
    <w:rsid w:val="7DB11467"/>
    <w:rsid w:val="7F08C75E"/>
    <w:rsid w:val="7F0E2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7ED86"/>
  <w15:chartTrackingRefBased/>
  <w15:docId w15:val="{3D064285-F244-4347-9689-C7ED1028FB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6C23157"/>
    <w:pPr>
      <w:spacing/>
      <w:ind w:left="720"/>
      <w:contextualSpacing/>
    </w:pPr>
  </w:style>
  <w:style w:type="character" w:styleId="Hyperlink">
    <w:uiPriority w:val="99"/>
    <w:name w:val="Hyperlink"/>
    <w:basedOn w:val="DefaultParagraphFont"/>
    <w:unhideWhenUsed/>
    <w:rsid w:val="66C23157"/>
    <w:rPr>
      <w:color w:val="467886"/>
      <w:u w:val="single"/>
    </w:rPr>
  </w:style>
  <w:style w:type="paragraph" w:styleId="Header">
    <w:uiPriority w:val="99"/>
    <w:name w:val="header"/>
    <w:basedOn w:val="Normal"/>
    <w:unhideWhenUsed/>
    <w:rsid w:val="7C4D80F3"/>
    <w:pPr>
      <w:tabs>
        <w:tab w:val="center" w:leader="none" w:pos="4680"/>
        <w:tab w:val="right" w:leader="none" w:pos="9360"/>
      </w:tabs>
      <w:spacing w:after="0" w:line="240" w:lineRule="auto"/>
    </w:pPr>
  </w:style>
  <w:style w:type="paragraph" w:styleId="Footer">
    <w:uiPriority w:val="99"/>
    <w:name w:val="footer"/>
    <w:basedOn w:val="Normal"/>
    <w:unhideWhenUsed/>
    <w:rsid w:val="7C4D80F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71ed1bf5ecd4787" /><Relationship Type="http://schemas.openxmlformats.org/officeDocument/2006/relationships/numbering" Target="/word/numbering.xml" Id="R4315bbdb53eb4027" /><Relationship Type="http://schemas.openxmlformats.org/officeDocument/2006/relationships/header" Target="/word/header.xml" Id="Rc70e049bdbde4410" /><Relationship Type="http://schemas.openxmlformats.org/officeDocument/2006/relationships/footer" Target="/word/footer.xml" Id="Reda55c3ed38e4b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Bilal Zakaria - 22zakarm</dc:creator>
  <keywords/>
  <dc:description/>
  <lastModifiedBy>Sonia Rafiq (2434783)</lastModifiedBy>
  <revision>5</revision>
  <dcterms:created xsi:type="dcterms:W3CDTF">2025-11-16T11:28:33.2312400Z</dcterms:created>
  <dcterms:modified xsi:type="dcterms:W3CDTF">2025-11-16T23:43:41.5875220Z</dcterms:modified>
</coreProperties>
</file>