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1AB41" w14:textId="77777777" w:rsidR="0004377A" w:rsidRDefault="0004377A" w:rsidP="0004377A">
      <w:pPr>
        <w:jc w:val="center"/>
        <w:rPr>
          <w:rFonts w:ascii="Arial" w:hAnsi="Arial" w:cs="Arial"/>
          <w:sz w:val="36"/>
          <w:szCs w:val="36"/>
        </w:rPr>
      </w:pPr>
    </w:p>
    <w:p w14:paraId="04EFD87C" w14:textId="77777777" w:rsidR="0004377A" w:rsidRDefault="0004377A" w:rsidP="0004377A">
      <w:pPr>
        <w:jc w:val="center"/>
        <w:rPr>
          <w:rFonts w:ascii="Arial" w:hAnsi="Arial" w:cs="Arial"/>
          <w:sz w:val="36"/>
          <w:szCs w:val="36"/>
        </w:rPr>
      </w:pPr>
    </w:p>
    <w:p w14:paraId="3594BF3D" w14:textId="77777777" w:rsidR="0004377A" w:rsidRDefault="0004377A" w:rsidP="0004377A">
      <w:pPr>
        <w:jc w:val="center"/>
        <w:rPr>
          <w:rFonts w:ascii="Arial" w:hAnsi="Arial" w:cs="Arial"/>
          <w:sz w:val="36"/>
          <w:szCs w:val="36"/>
        </w:rPr>
      </w:pPr>
    </w:p>
    <w:p w14:paraId="1A00F7C2" w14:textId="77777777" w:rsidR="0004377A" w:rsidRDefault="0004377A" w:rsidP="0004377A">
      <w:pPr>
        <w:jc w:val="center"/>
        <w:rPr>
          <w:rFonts w:ascii="Arial" w:hAnsi="Arial" w:cs="Arial"/>
          <w:sz w:val="36"/>
          <w:szCs w:val="36"/>
        </w:rPr>
      </w:pPr>
    </w:p>
    <w:p w14:paraId="195C63EC" w14:textId="77777777" w:rsidR="0004377A" w:rsidRDefault="0004377A" w:rsidP="0004377A">
      <w:pPr>
        <w:jc w:val="center"/>
        <w:rPr>
          <w:rFonts w:ascii="Arial" w:hAnsi="Arial" w:cs="Arial"/>
          <w:sz w:val="36"/>
          <w:szCs w:val="36"/>
        </w:rPr>
      </w:pPr>
    </w:p>
    <w:p w14:paraId="1DF90005" w14:textId="77777777" w:rsidR="0004377A" w:rsidRDefault="0004377A" w:rsidP="0004377A">
      <w:pPr>
        <w:jc w:val="center"/>
        <w:rPr>
          <w:rFonts w:ascii="Arial" w:hAnsi="Arial" w:cs="Arial"/>
          <w:sz w:val="36"/>
          <w:szCs w:val="36"/>
        </w:rPr>
      </w:pPr>
    </w:p>
    <w:p w14:paraId="4BE6F1E9" w14:textId="77777777" w:rsidR="0004377A" w:rsidRDefault="0004377A" w:rsidP="0004377A">
      <w:pPr>
        <w:jc w:val="center"/>
        <w:rPr>
          <w:rFonts w:ascii="Arial" w:hAnsi="Arial" w:cs="Arial"/>
          <w:sz w:val="36"/>
          <w:szCs w:val="36"/>
        </w:rPr>
      </w:pPr>
    </w:p>
    <w:p w14:paraId="4B05DD74" w14:textId="4D13A00C" w:rsidR="0004377A" w:rsidRDefault="0004377A" w:rsidP="0004377A">
      <w:pPr>
        <w:jc w:val="center"/>
        <w:rPr>
          <w:rFonts w:ascii="Arial" w:hAnsi="Arial" w:cs="Arial"/>
          <w:sz w:val="36"/>
          <w:szCs w:val="36"/>
        </w:rPr>
      </w:pPr>
      <w:r w:rsidRPr="0004377A">
        <w:rPr>
          <w:rFonts w:ascii="Arial" w:hAnsi="Arial" w:cs="Arial"/>
          <w:sz w:val="36"/>
          <w:szCs w:val="36"/>
        </w:rPr>
        <w:t>Shabnam Kausar</w:t>
      </w:r>
    </w:p>
    <w:p w14:paraId="77DDAA38" w14:textId="0DB9988E" w:rsidR="0004377A" w:rsidRPr="0004377A" w:rsidRDefault="0004377A" w:rsidP="0004377A">
      <w:pPr>
        <w:jc w:val="center"/>
        <w:rPr>
          <w:rFonts w:ascii="Arial" w:hAnsi="Arial" w:cs="Arial"/>
          <w:sz w:val="36"/>
          <w:szCs w:val="36"/>
        </w:rPr>
      </w:pPr>
      <w:r>
        <w:rPr>
          <w:rFonts w:ascii="Arial" w:hAnsi="Arial" w:cs="Arial"/>
          <w:sz w:val="36"/>
          <w:szCs w:val="36"/>
        </w:rPr>
        <w:t>2319036</w:t>
      </w:r>
    </w:p>
    <w:p w14:paraId="3B0D97A3" w14:textId="77777777" w:rsidR="0004377A" w:rsidRPr="0004377A" w:rsidRDefault="0004377A" w:rsidP="0004377A">
      <w:pPr>
        <w:spacing w:before="120" w:after="120"/>
        <w:jc w:val="center"/>
        <w:rPr>
          <w:rFonts w:ascii="Arial" w:hAnsi="Arial" w:cs="Arial"/>
          <w:sz w:val="36"/>
          <w:szCs w:val="36"/>
        </w:rPr>
      </w:pPr>
      <w:r w:rsidRPr="0004377A">
        <w:rPr>
          <w:rFonts w:ascii="Arial" w:hAnsi="Arial" w:cs="Arial"/>
          <w:sz w:val="36"/>
          <w:szCs w:val="36"/>
        </w:rPr>
        <w:t>Digital Transformation in the Health and Care Professions</w:t>
      </w:r>
    </w:p>
    <w:p w14:paraId="137F22A8" w14:textId="77777777" w:rsidR="0004377A" w:rsidRPr="0004377A" w:rsidRDefault="0004377A" w:rsidP="0004377A">
      <w:pPr>
        <w:spacing w:before="120" w:after="120"/>
        <w:jc w:val="center"/>
        <w:rPr>
          <w:rFonts w:ascii="Arial" w:hAnsi="Arial" w:cs="Arial"/>
          <w:sz w:val="36"/>
          <w:szCs w:val="36"/>
        </w:rPr>
      </w:pPr>
      <w:r w:rsidRPr="0004377A">
        <w:rPr>
          <w:rFonts w:ascii="Arial" w:hAnsi="Arial" w:cs="Arial"/>
          <w:sz w:val="36"/>
          <w:szCs w:val="36"/>
        </w:rPr>
        <w:t>Component 1: Written Report</w:t>
      </w:r>
    </w:p>
    <w:p w14:paraId="0F6143BA" w14:textId="77777777" w:rsidR="0004377A" w:rsidRPr="0004377A" w:rsidRDefault="0004377A" w:rsidP="0004377A">
      <w:pPr>
        <w:spacing w:before="120" w:after="120"/>
        <w:jc w:val="center"/>
        <w:rPr>
          <w:rFonts w:ascii="Arial" w:hAnsi="Arial" w:cs="Arial"/>
          <w:sz w:val="36"/>
          <w:szCs w:val="36"/>
        </w:rPr>
      </w:pPr>
      <w:r w:rsidRPr="0004377A">
        <w:rPr>
          <w:rFonts w:ascii="Arial" w:hAnsi="Arial" w:cs="Arial"/>
          <w:sz w:val="36"/>
          <w:szCs w:val="36"/>
        </w:rPr>
        <w:t>BMHP6026</w:t>
      </w:r>
    </w:p>
    <w:p w14:paraId="216FEEFE" w14:textId="77777777" w:rsidR="0004377A" w:rsidRPr="0004377A" w:rsidRDefault="0004377A" w:rsidP="0004377A">
      <w:pPr>
        <w:spacing w:before="120" w:after="120"/>
        <w:jc w:val="center"/>
        <w:rPr>
          <w:rFonts w:ascii="Arial" w:hAnsi="Arial" w:cs="Arial"/>
          <w:b/>
          <w:sz w:val="22"/>
          <w:szCs w:val="22"/>
        </w:rPr>
      </w:pPr>
      <w:r w:rsidRPr="0004377A">
        <w:rPr>
          <w:rFonts w:ascii="Arial" w:hAnsi="Arial" w:cs="Arial"/>
          <w:sz w:val="36"/>
          <w:szCs w:val="36"/>
        </w:rPr>
        <w:t>Lecturer Joanne Davies</w:t>
      </w:r>
    </w:p>
    <w:p w14:paraId="2EA135F6" w14:textId="52F0A395" w:rsidR="0004377A" w:rsidRPr="0004377A" w:rsidRDefault="0004377A" w:rsidP="0004377A">
      <w:pPr>
        <w:jc w:val="center"/>
        <w:rPr>
          <w:rFonts w:ascii="Arial" w:hAnsi="Arial" w:cs="Arial"/>
          <w:b/>
          <w:sz w:val="22"/>
          <w:szCs w:val="22"/>
        </w:rPr>
      </w:pPr>
    </w:p>
    <w:p w14:paraId="20BE6B7C" w14:textId="77777777" w:rsidR="0004377A" w:rsidRDefault="0004377A" w:rsidP="0004377A">
      <w:pPr>
        <w:spacing w:before="120" w:after="120"/>
        <w:rPr>
          <w:rFonts w:ascii="Arial" w:hAnsi="Arial" w:cs="Arial"/>
          <w:b/>
          <w:sz w:val="22"/>
          <w:szCs w:val="22"/>
        </w:rPr>
      </w:pPr>
    </w:p>
    <w:p w14:paraId="34F8C5BA" w14:textId="77777777" w:rsidR="0004377A" w:rsidRDefault="0004377A" w:rsidP="0004377A">
      <w:pPr>
        <w:spacing w:before="120" w:after="120"/>
        <w:rPr>
          <w:rFonts w:ascii="Arial" w:hAnsi="Arial" w:cs="Arial"/>
          <w:b/>
          <w:sz w:val="22"/>
          <w:szCs w:val="22"/>
        </w:rPr>
      </w:pPr>
    </w:p>
    <w:p w14:paraId="40272F8F" w14:textId="77777777" w:rsidR="0004377A" w:rsidRDefault="0004377A" w:rsidP="0004377A">
      <w:pPr>
        <w:spacing w:before="120" w:after="120"/>
        <w:rPr>
          <w:rFonts w:ascii="Arial" w:hAnsi="Arial" w:cs="Arial"/>
          <w:b/>
          <w:sz w:val="22"/>
          <w:szCs w:val="22"/>
        </w:rPr>
      </w:pPr>
    </w:p>
    <w:p w14:paraId="6952580E" w14:textId="77777777" w:rsidR="0004377A" w:rsidRDefault="0004377A" w:rsidP="0004377A">
      <w:pPr>
        <w:spacing w:before="120" w:after="120"/>
        <w:rPr>
          <w:rFonts w:ascii="Arial" w:hAnsi="Arial" w:cs="Arial"/>
          <w:b/>
          <w:sz w:val="22"/>
          <w:szCs w:val="22"/>
        </w:rPr>
      </w:pPr>
    </w:p>
    <w:p w14:paraId="4EBE7A06" w14:textId="77777777" w:rsidR="0004377A" w:rsidRDefault="0004377A" w:rsidP="0004377A">
      <w:pPr>
        <w:spacing w:before="120" w:after="120"/>
        <w:rPr>
          <w:rFonts w:ascii="Arial" w:hAnsi="Arial" w:cs="Arial"/>
          <w:b/>
          <w:sz w:val="22"/>
          <w:szCs w:val="22"/>
        </w:rPr>
      </w:pPr>
    </w:p>
    <w:p w14:paraId="74CA08DD" w14:textId="77777777" w:rsidR="0004377A" w:rsidRDefault="0004377A" w:rsidP="0004377A">
      <w:pPr>
        <w:spacing w:before="120" w:after="120"/>
        <w:rPr>
          <w:rFonts w:ascii="Arial" w:hAnsi="Arial" w:cs="Arial"/>
          <w:b/>
          <w:sz w:val="22"/>
          <w:szCs w:val="22"/>
        </w:rPr>
      </w:pPr>
    </w:p>
    <w:p w14:paraId="231F5AB7" w14:textId="77777777" w:rsidR="0004377A" w:rsidRDefault="0004377A" w:rsidP="0004377A">
      <w:pPr>
        <w:spacing w:before="120" w:after="120"/>
        <w:rPr>
          <w:rFonts w:ascii="Arial" w:hAnsi="Arial" w:cs="Arial"/>
          <w:b/>
          <w:sz w:val="22"/>
          <w:szCs w:val="22"/>
        </w:rPr>
      </w:pPr>
    </w:p>
    <w:p w14:paraId="4E9EFC75" w14:textId="77777777" w:rsidR="0004377A" w:rsidRDefault="0004377A" w:rsidP="0004377A">
      <w:pPr>
        <w:spacing w:before="120" w:after="120"/>
        <w:rPr>
          <w:rFonts w:ascii="Arial" w:hAnsi="Arial" w:cs="Arial"/>
          <w:b/>
          <w:sz w:val="22"/>
          <w:szCs w:val="22"/>
        </w:rPr>
      </w:pPr>
    </w:p>
    <w:p w14:paraId="16CBD4ED" w14:textId="77777777" w:rsidR="0004377A" w:rsidRDefault="0004377A" w:rsidP="0004377A">
      <w:pPr>
        <w:spacing w:before="120" w:after="120"/>
        <w:rPr>
          <w:rFonts w:ascii="Arial" w:hAnsi="Arial" w:cs="Arial"/>
          <w:b/>
          <w:sz w:val="22"/>
          <w:szCs w:val="22"/>
        </w:rPr>
      </w:pPr>
    </w:p>
    <w:p w14:paraId="35943794" w14:textId="77777777" w:rsidR="0004377A" w:rsidRDefault="0004377A" w:rsidP="0004377A">
      <w:pPr>
        <w:spacing w:before="120" w:after="120"/>
        <w:rPr>
          <w:rFonts w:ascii="Arial" w:hAnsi="Arial" w:cs="Arial"/>
          <w:b/>
          <w:sz w:val="22"/>
          <w:szCs w:val="22"/>
        </w:rPr>
      </w:pPr>
    </w:p>
    <w:p w14:paraId="2F2FB983" w14:textId="77777777" w:rsidR="0004377A" w:rsidRDefault="0004377A" w:rsidP="0004377A">
      <w:pPr>
        <w:spacing w:before="120" w:after="120"/>
        <w:rPr>
          <w:rFonts w:ascii="Arial" w:hAnsi="Arial" w:cs="Arial"/>
          <w:b/>
          <w:sz w:val="22"/>
          <w:szCs w:val="22"/>
        </w:rPr>
      </w:pPr>
    </w:p>
    <w:p w14:paraId="12AD1203" w14:textId="77777777" w:rsidR="0004377A" w:rsidRDefault="0004377A" w:rsidP="0004377A">
      <w:pPr>
        <w:spacing w:before="120" w:after="120"/>
        <w:rPr>
          <w:rFonts w:ascii="Arial" w:hAnsi="Arial" w:cs="Arial"/>
          <w:b/>
          <w:sz w:val="22"/>
          <w:szCs w:val="22"/>
        </w:rPr>
      </w:pPr>
    </w:p>
    <w:p w14:paraId="309C3D22" w14:textId="77777777" w:rsidR="00497E42" w:rsidRPr="00497E42" w:rsidRDefault="00497E42" w:rsidP="00497E42">
      <w:pPr>
        <w:spacing w:before="120" w:after="120" w:line="360" w:lineRule="auto"/>
        <w:jc w:val="center"/>
        <w:rPr>
          <w:rFonts w:ascii="Arial" w:hAnsi="Arial" w:cs="Arial"/>
          <w:b/>
          <w:bCs/>
          <w:sz w:val="22"/>
          <w:szCs w:val="22"/>
          <w:u w:val="single"/>
        </w:rPr>
      </w:pPr>
      <w:r w:rsidRPr="00497E42">
        <w:rPr>
          <w:rFonts w:ascii="Arial" w:hAnsi="Arial" w:cs="Arial"/>
          <w:b/>
          <w:bCs/>
          <w:sz w:val="22"/>
          <w:szCs w:val="22"/>
          <w:u w:val="single"/>
        </w:rPr>
        <w:lastRenderedPageBreak/>
        <w:t>Critical Evaluation of the NHS App as a Digital Innovation within UK Health and Social Care</w:t>
      </w:r>
    </w:p>
    <w:p w14:paraId="5F078856" w14:textId="77777777" w:rsidR="002E0194" w:rsidRDefault="002E0194" w:rsidP="00497E42">
      <w:pPr>
        <w:spacing w:before="120" w:after="120" w:line="360" w:lineRule="auto"/>
        <w:rPr>
          <w:rFonts w:ascii="Arial" w:hAnsi="Arial" w:cs="Arial"/>
          <w:b/>
          <w:bCs/>
          <w:sz w:val="22"/>
          <w:szCs w:val="22"/>
        </w:rPr>
      </w:pPr>
    </w:p>
    <w:p w14:paraId="74E21232" w14:textId="7C6237E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Introduction</w:t>
      </w:r>
    </w:p>
    <w:p w14:paraId="54E9D80D" w14:textId="77777777" w:rsidR="002E0194" w:rsidRPr="00DA0B0B" w:rsidRDefault="002E0194" w:rsidP="002E0194">
      <w:pPr>
        <w:spacing w:before="120" w:after="120" w:line="360" w:lineRule="auto"/>
        <w:rPr>
          <w:rFonts w:ascii="Arial" w:hAnsi="Arial" w:cs="Arial"/>
          <w:sz w:val="22"/>
          <w:szCs w:val="22"/>
        </w:rPr>
      </w:pPr>
      <w:r w:rsidRPr="00DA0B0B">
        <w:rPr>
          <w:rFonts w:ascii="Arial" w:hAnsi="Arial" w:cs="Arial"/>
          <w:sz w:val="22"/>
          <w:szCs w:val="22"/>
        </w:rPr>
        <w:t>Digital transformation has become an increasingly important focus within UK health and social care systems as organisations respond to rising service demand, workforce challenges and the need to deliver care in more efficient and accessible ways. Developments in digital technology have allowed healthcare providers to introduce innovative solutions that aim to improve patient access to services, strengthen communication processes and support more integrated models of care delivery. One key example of digital innovation introduced in the past decade is the NHS App, which was launched across England in 2019 as a digital platform enabling patients to engage with healthcare services through mobile applications and online access.</w:t>
      </w:r>
    </w:p>
    <w:p w14:paraId="2A1250DA" w14:textId="77777777" w:rsidR="002E0194" w:rsidRPr="00DA0B0B" w:rsidRDefault="002E0194" w:rsidP="002E0194">
      <w:pPr>
        <w:spacing w:before="120" w:after="120" w:line="360" w:lineRule="auto"/>
        <w:rPr>
          <w:rFonts w:ascii="Arial" w:hAnsi="Arial" w:cs="Arial"/>
          <w:sz w:val="22"/>
          <w:szCs w:val="22"/>
        </w:rPr>
      </w:pPr>
      <w:r w:rsidRPr="00DA0B0B">
        <w:rPr>
          <w:rFonts w:ascii="Arial" w:hAnsi="Arial" w:cs="Arial"/>
          <w:sz w:val="22"/>
          <w:szCs w:val="22"/>
        </w:rPr>
        <w:t>The NHS App allows individuals to manage appointments, request repeat prescriptions, view parts of their health records and communicate directly with healthcare professionals (NHS England, 2023). Its development supports broader national policy objectives outlined in the NHS Long Term Plan, which encourages digital-first approaches designed to enhance efficiency, promote patient independence and improve coordination across healthcare services (NHS England, 2019). This report provides a critical examination of the NHS App as an example of digital transformation within health and social care, analysing its effects on workforce roles, service delivery methods, patient experiences and wider community impacts. Both advantages and limitations are considered to present a balanced and comprehensive evaluation.</w:t>
      </w:r>
    </w:p>
    <w:p w14:paraId="6D7932F7" w14:textId="0C62C9E6" w:rsidR="00497E42" w:rsidRPr="00DA0B0B" w:rsidRDefault="00497E42" w:rsidP="00497E42">
      <w:pPr>
        <w:spacing w:before="120" w:after="120" w:line="360" w:lineRule="auto"/>
        <w:rPr>
          <w:rFonts w:ascii="Arial" w:hAnsi="Arial" w:cs="Arial"/>
          <w:sz w:val="22"/>
          <w:szCs w:val="22"/>
        </w:rPr>
      </w:pPr>
    </w:p>
    <w:p w14:paraId="5DA51834"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Digital Transformation and the NHS App</w:t>
      </w:r>
    </w:p>
    <w:p w14:paraId="0EFC3581" w14:textId="77777777" w:rsidR="004139B6" w:rsidRPr="00DA0B0B" w:rsidRDefault="004139B6" w:rsidP="004139B6">
      <w:pPr>
        <w:spacing w:before="120" w:after="120" w:line="360" w:lineRule="auto"/>
        <w:rPr>
          <w:rFonts w:ascii="Arial" w:hAnsi="Arial" w:cs="Arial"/>
          <w:sz w:val="22"/>
          <w:szCs w:val="22"/>
        </w:rPr>
      </w:pPr>
      <w:r w:rsidRPr="00DA0B0B">
        <w:rPr>
          <w:rFonts w:ascii="Arial" w:hAnsi="Arial" w:cs="Arial"/>
          <w:sz w:val="22"/>
          <w:szCs w:val="22"/>
        </w:rPr>
        <w:t>Digital technologies are playing an increasingly important role in contemporary healthcare by allowing patients to access services remotely and take greater responsibility for managing their own health. The NHS App represents a wider transition towards digitally supported care, where technology facilitates patient self-management and reduces dependence on traditional methods of accessing services, such as telephone-based appointment systems.</w:t>
      </w:r>
    </w:p>
    <w:p w14:paraId="7C9D4464" w14:textId="77777777" w:rsidR="004139B6" w:rsidRPr="00DA0B0B" w:rsidRDefault="004139B6" w:rsidP="004139B6">
      <w:pPr>
        <w:spacing w:before="120" w:after="120" w:line="360" w:lineRule="auto"/>
        <w:rPr>
          <w:rFonts w:ascii="Arial" w:hAnsi="Arial" w:cs="Arial"/>
          <w:sz w:val="22"/>
          <w:szCs w:val="22"/>
        </w:rPr>
      </w:pPr>
      <w:r w:rsidRPr="00DA0B0B">
        <w:rPr>
          <w:rFonts w:ascii="Arial" w:hAnsi="Arial" w:cs="Arial"/>
          <w:sz w:val="22"/>
          <w:szCs w:val="22"/>
        </w:rPr>
        <w:t xml:space="preserve">The COVID-19 pandemic significantly accelerated the use of digital solutions within healthcare, demonstrating the value of flexible and remote service delivery models (Majeed et al., 2021). However, digital transformation extends beyond the introduction of new technologies and requires changes in organisational practices and workplace culture. </w:t>
      </w:r>
      <w:r w:rsidRPr="00DA0B0B">
        <w:rPr>
          <w:rFonts w:ascii="Arial" w:hAnsi="Arial" w:cs="Arial"/>
          <w:sz w:val="22"/>
          <w:szCs w:val="22"/>
        </w:rPr>
        <w:lastRenderedPageBreak/>
        <w:t>Evidence indicates that successful implementation relies on factors such as workforce engagement, appropriate digital infrastructure and patient preparedness, rather than technology alone (Greenhalgh et al., 2020).</w:t>
      </w:r>
    </w:p>
    <w:p w14:paraId="781A685A" w14:textId="477F2A87" w:rsidR="00497E42" w:rsidRPr="00DA0B0B" w:rsidRDefault="00497E42" w:rsidP="00497E42">
      <w:pPr>
        <w:spacing w:before="120" w:after="120" w:line="360" w:lineRule="auto"/>
        <w:rPr>
          <w:rFonts w:ascii="Arial" w:hAnsi="Arial" w:cs="Arial"/>
          <w:sz w:val="22"/>
          <w:szCs w:val="22"/>
        </w:rPr>
      </w:pPr>
    </w:p>
    <w:p w14:paraId="28224F04"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Workforce Impact</w:t>
      </w:r>
    </w:p>
    <w:p w14:paraId="473E0BEB"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Positive changes to workforce roles</w:t>
      </w:r>
    </w:p>
    <w:p w14:paraId="325C0A71"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The introduction of the NHS App has influenced workforce practices by allowing patients to complete administrative tasks independently, including appointment booking and prescription ordering. This shift has the potential to reduce administrative workload and enable healthcare professionals to focus more on clinical activities (NHS Digital, 2022).</w:t>
      </w:r>
    </w:p>
    <w:p w14:paraId="10096340"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Digital communication tools also support more efficient interactions between staff and patients. For example, digital messaging systems can reduce telephone congestion and improve workflow management. Additionally, digital transformation encourages development of new professional competencies, such as digital literacy and remote communication skills. The Topol Review highlights the importance of workforce adaptation to digital technologies to ensure sustainable healthcare delivery (Topol, 2019).</w:t>
      </w:r>
    </w:p>
    <w:p w14:paraId="53314BB1"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Workforce challenges and limitations</w:t>
      </w:r>
    </w:p>
    <w:p w14:paraId="25319D0B"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Despite potential efficiencies, digital innovation may introduce new challenges. Easier access to services can increase patient demand, potentially creating additional workload rather than reducing pressure (Baird and Beech, 2020). Staff may need to manage higher volumes of digital communication, which can contribute to workload intensity and stress.</w:t>
      </w:r>
    </w:p>
    <w:p w14:paraId="7B627D5E"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Furthermore, implementation requires training and organisational support to ensure staff feel confident using digital systems. Without sufficient investment in workforce development, digital technologies may not achieve intended efficiency improvements.</w:t>
      </w:r>
    </w:p>
    <w:p w14:paraId="77AECDDD" w14:textId="77777777" w:rsidR="00271277" w:rsidRPr="00DA0B0B" w:rsidRDefault="00271277" w:rsidP="00497E42">
      <w:pPr>
        <w:spacing w:before="120" w:after="120" w:line="360" w:lineRule="auto"/>
        <w:rPr>
          <w:rFonts w:ascii="Arial" w:hAnsi="Arial" w:cs="Arial"/>
          <w:sz w:val="22"/>
          <w:szCs w:val="22"/>
        </w:rPr>
      </w:pPr>
    </w:p>
    <w:p w14:paraId="4BC14A06" w14:textId="77777777" w:rsidR="00271277" w:rsidRPr="00DA0B0B" w:rsidRDefault="00271277" w:rsidP="00497E42">
      <w:pPr>
        <w:spacing w:before="120" w:after="120" w:line="360" w:lineRule="auto"/>
        <w:rPr>
          <w:rFonts w:ascii="Arial" w:hAnsi="Arial" w:cs="Arial"/>
          <w:sz w:val="22"/>
          <w:szCs w:val="22"/>
        </w:rPr>
      </w:pPr>
    </w:p>
    <w:p w14:paraId="52CCB1B3" w14:textId="081C965E"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Impact on Service Delivery</w:t>
      </w:r>
    </w:p>
    <w:p w14:paraId="11CA08A1"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Improvements in day-to-day service provision</w:t>
      </w:r>
    </w:p>
    <w:p w14:paraId="0EB9D1D9"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The NHS App has contributed to changes in service delivery by enabling remote access to healthcare services. Patients can manage appointments and prescriptions at their convenience, which may improve accessibility and reduce administrative delays.</w:t>
      </w:r>
    </w:p>
    <w:p w14:paraId="09B41EA5"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lastRenderedPageBreak/>
        <w:t>Digital tools support more flexible models of care and align with policy objectives promoting community-based healthcare and preventative approaches (Department of Health and Social Care, 2022). By reducing reliance on face-to-face interactions for routine tasks, digital systems may help optimise clinical resources.</w:t>
      </w:r>
    </w:p>
    <w:p w14:paraId="5E0844E1"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Risks and unintended consequences</w:t>
      </w:r>
    </w:p>
    <w:p w14:paraId="7E475AA1"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However, digital-first approaches may lead to unintended outcomes. Increased accessibility can generate higher demand for services, potentially offsetting efficiency gains (Greenhalgh et al., 2020). Additionally, variation in digital infrastructure and interoperability challenges between systems can create barriers to effective implementation.</w:t>
      </w:r>
    </w:p>
    <w:p w14:paraId="126CCC1A"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These issues highlight the importance of integrating technology with organisational change and ensuring consistent service standards across regions.</w:t>
      </w:r>
    </w:p>
    <w:p w14:paraId="72DEAD6D" w14:textId="1960B3BD" w:rsidR="00497E42" w:rsidRPr="00DA0B0B" w:rsidRDefault="00497E42" w:rsidP="00497E42">
      <w:pPr>
        <w:spacing w:before="120" w:after="120" w:line="360" w:lineRule="auto"/>
        <w:rPr>
          <w:rFonts w:ascii="Arial" w:hAnsi="Arial" w:cs="Arial"/>
          <w:sz w:val="22"/>
          <w:szCs w:val="22"/>
        </w:rPr>
      </w:pPr>
    </w:p>
    <w:p w14:paraId="63B02056"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Patient and Service User Experience</w:t>
      </w:r>
    </w:p>
    <w:p w14:paraId="76D57940"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Positive impacts on patient experience</w:t>
      </w:r>
    </w:p>
    <w:p w14:paraId="76998FAC"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The NHS App aims to enhance patient-centred care by enabling individuals to take a more active role in managing their healthcare. Access to medical information promotes transparency and may encourage shared decision-making between patients and professionals (Topol, 2019).</w:t>
      </w:r>
    </w:p>
    <w:p w14:paraId="7C29AA66"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Benefits for patients include increased convenience, improved access to services and reduced waiting times for administrative tasks. Digital healthcare may particularly benefit individuals who have limited time, mobility challenges or difficulty attending in-person appointments.</w:t>
      </w:r>
    </w:p>
    <w:p w14:paraId="657B0111"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Digital exclusion and potential risks</w:t>
      </w:r>
    </w:p>
    <w:p w14:paraId="3AE4C650"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Despite these advantages, digital innovation can contribute to health inequalities if certain groups experience barriers to access. Digital exclusion affects individuals without smartphones, reliable internet or sufficient digital literacy skills (Nuffield Trust, 2022).</w:t>
      </w:r>
    </w:p>
    <w:p w14:paraId="7598BC6F"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Furthermore, direct access to health information without professional interpretation may cause anxiety or misunderstanding for some users. Privacy concerns may also influence trust in digital systems.</w:t>
      </w:r>
    </w:p>
    <w:p w14:paraId="7F81D233" w14:textId="74382D47" w:rsidR="00497E42" w:rsidRPr="00DA0B0B" w:rsidRDefault="002704C5" w:rsidP="00497E42">
      <w:pPr>
        <w:spacing w:before="120" w:after="120" w:line="360" w:lineRule="auto"/>
        <w:rPr>
          <w:rFonts w:ascii="Arial" w:hAnsi="Arial" w:cs="Arial"/>
          <w:sz w:val="22"/>
          <w:szCs w:val="22"/>
        </w:rPr>
      </w:pPr>
      <w:r w:rsidRPr="00DA0B0B">
        <w:rPr>
          <w:rFonts w:ascii="Arial" w:hAnsi="Arial" w:cs="Arial"/>
          <w:noProof/>
          <w:sz w:val="22"/>
          <w:szCs w:val="22"/>
        </w:rPr>
        <w:pict w14:anchorId="2C916D88">
          <v:rect id="_x0000_s1026" style="position:absolute;margin-left:0;margin-top:0;width:3276.75pt;height:.1pt;z-index:251659264;mso-position-horizontal:left;mso-position-horizontal-relative:text;mso-position-vertical-relative:text" o:hralign="center" o:hrstd="t" o:hr="t" fillcolor="#a0a0a0" stroked="f">
            <w10:wrap type="square" side="right"/>
          </v:rect>
        </w:pict>
      </w:r>
      <w:r w:rsidR="00497E42" w:rsidRPr="00DA0B0B">
        <w:rPr>
          <w:rFonts w:ascii="Arial" w:hAnsi="Arial" w:cs="Arial"/>
          <w:sz w:val="22"/>
          <w:szCs w:val="22"/>
        </w:rPr>
        <w:br w:type="textWrapping" w:clear="all"/>
      </w:r>
    </w:p>
    <w:p w14:paraId="050BDF28" w14:textId="77777777" w:rsidR="00EB7060" w:rsidRPr="00DA0B0B" w:rsidRDefault="00EB7060" w:rsidP="00497E42">
      <w:pPr>
        <w:spacing w:before="120" w:after="120" w:line="360" w:lineRule="auto"/>
        <w:rPr>
          <w:rFonts w:ascii="Arial" w:hAnsi="Arial" w:cs="Arial"/>
          <w:sz w:val="22"/>
          <w:szCs w:val="22"/>
        </w:rPr>
      </w:pPr>
    </w:p>
    <w:p w14:paraId="3CE84F71"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lastRenderedPageBreak/>
        <w:t>Community and Public Health Impact</w:t>
      </w:r>
    </w:p>
    <w:p w14:paraId="373C7C44"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Community-level benefits</w:t>
      </w:r>
    </w:p>
    <w:p w14:paraId="26780ADB"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The NHS App contributes to a broader shift towards decentralised and community-based healthcare delivery by enabling patients to access services remotely rather than relying solely on traditional healthcare settings. By allowing individuals to manage appointments, request prescriptions and access health information from home, the app reduces the need for unnecessary travel and face-to-face interactions. This can be particularly beneficial for individuals living in rural or geographically isolated areas, as well as those with mobility limitations, caring responsibilities or work commitments that make attending appointments challenging. Increased remote access may therefore support improved accessibility and convenience, potentially enhancing patient engagement with healthcare services.</w:t>
      </w:r>
    </w:p>
    <w:p w14:paraId="66453857"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In addition, digital tools such as the NHS App facilitate communication between patients and healthcare providers and may improve coordination across services within integrated care systems (ICS). By enabling information sharing and streamlined communication pathways, digital platforms can support continuity of care and reduce fragmentation between primary, secondary and community-based services. Improved coordination may also enhance efficiency by reducing duplication of tasks and improving access to up-to-date patient information across multidisciplinary teams.</w:t>
      </w:r>
    </w:p>
    <w:p w14:paraId="088F5812"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However, while decentralised digital healthcare offers potential advantages, it also requires sufficient digital infrastructure, training and organisational readiness to ensure equitable service delivery. Without consistent implementation and adequate digital support, variations in access and service quality may occur across different regions and populations.</w:t>
      </w:r>
    </w:p>
    <w:p w14:paraId="3F31D97B" w14:textId="77777777" w:rsidR="00497E42" w:rsidRPr="00DA0B0B" w:rsidRDefault="00497E42" w:rsidP="00497E42">
      <w:pPr>
        <w:spacing w:before="120" w:after="120" w:line="360" w:lineRule="auto"/>
        <w:rPr>
          <w:rFonts w:ascii="Arial" w:hAnsi="Arial" w:cs="Arial"/>
          <w:sz w:val="22"/>
          <w:szCs w:val="22"/>
        </w:rPr>
      </w:pPr>
    </w:p>
    <w:p w14:paraId="7E3264AE" w14:textId="7424B49D"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Public health implications</w:t>
      </w:r>
    </w:p>
    <w:p w14:paraId="6E4D659D"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From a public health perspective, digital platforms such as the NHS App have demonstrated significant value in supporting population-level health initiatives. For example, during the COVID-19 pandemic, digital tools were used to provide vaccination certification, deliver public health messaging and communicate rapidly with large populations. The ability to distribute health information quickly and efficiently enables healthcare organisations to promote preventative behaviours, improve health literacy and support early intervention strategies. Digital reminders and targeted messaging can also encourage engagement with screening programmes, vaccinations and chronic disease management, contributing to improved population health outcomes.</w:t>
      </w:r>
    </w:p>
    <w:p w14:paraId="2A40225C"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lastRenderedPageBreak/>
        <w:t>Despite these advantages, concerns remain regarding digital exclusion and health inequalities. Unequal access to smartphones, internet connectivity or digital skills may limit participation for certain groups, including older adults, individuals from lower socioeconomic backgrounds and those with limited digital literacy. This highlights the risk that digital innovation could unintentionally widen existing health disparities if inclusive design and support mechanisms are not prioritised. Ensuring alternative access routes and providing digital education or support services is therefore essential to promote equitable healthcare access.</w:t>
      </w:r>
    </w:p>
    <w:p w14:paraId="7972F3AB"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Overall, while the NHS App has the potential to strengthen community-based care and support public health strategies, its effectiveness depends on addressing social, technological and organisational barriers. Future digital developments should focus on inclusive implementation, co-production with communities and strategies that ensure digital transformation enhances rather than limits accessibility for diverse populations.</w:t>
      </w:r>
    </w:p>
    <w:p w14:paraId="52EBCCD3" w14:textId="327F8693" w:rsidR="00497E42" w:rsidRPr="00DA0B0B" w:rsidRDefault="00497E42" w:rsidP="00497E42">
      <w:pPr>
        <w:spacing w:before="120" w:after="120" w:line="360" w:lineRule="auto"/>
        <w:rPr>
          <w:rFonts w:ascii="Arial" w:hAnsi="Arial" w:cs="Arial"/>
          <w:sz w:val="22"/>
          <w:szCs w:val="22"/>
        </w:rPr>
      </w:pPr>
    </w:p>
    <w:p w14:paraId="24A9588E"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Critical Evaluation</w:t>
      </w:r>
    </w:p>
    <w:p w14:paraId="0FB713E2"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The NHS App demonstrates significant potential as a digital innovation capable of improving healthcare accessibility, operational efficiency and patient engagement within UK health and social care. By enabling patients to independently manage appointments, prescriptions and aspects of their health information, the platform supports a shift towards more patient-centred models of care that emphasise autonomy, convenience and shared decision-making. From an organisational perspective, digital tools can streamline administrative processes, reduce reliance on traditional communication methods such as telephone systems, and support more flexible service delivery models aligned with national digital transformation strategies.</w:t>
      </w:r>
    </w:p>
    <w:p w14:paraId="7D8285D6" w14:textId="210EA53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 xml:space="preserve">However, critical evaluation highlights that digital transformation is not solely a technological change but a complex socio-technical process requiring careful planning, workforce adaptation and inclusive implementation. While digital platforms may improve efficiency, evidence suggests that </w:t>
      </w:r>
      <w:r w:rsidR="00A85283" w:rsidRPr="00DA0B0B">
        <w:rPr>
          <w:rFonts w:ascii="Arial" w:hAnsi="Arial" w:cs="Arial"/>
          <w:sz w:val="22"/>
          <w:szCs w:val="22"/>
        </w:rPr>
        <w:t>greater ease of access can also increase</w:t>
      </w:r>
      <w:r w:rsidRPr="00DA0B0B">
        <w:rPr>
          <w:rFonts w:ascii="Arial" w:hAnsi="Arial" w:cs="Arial"/>
          <w:sz w:val="22"/>
          <w:szCs w:val="22"/>
        </w:rPr>
        <w:t xml:space="preserve"> demand for services, potentially increasing workload pressures for healthcare professionals rather than reducing them. This illustrates that digital innovation can create unintended consequences if changes to workflows and staffing structures are not adequately addressed.</w:t>
      </w:r>
    </w:p>
    <w:p w14:paraId="1355608D" w14:textId="3BBCDA92"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 xml:space="preserve">Furthermore, although the NHS App promotes patient empowerment, digital exclusion remains a significant limitation. Individuals who lack access to appropriate technology, reliable internet connectivity or sufficient digital literacy skills may be disadvantaged, raising concerns about widening health inequalities. The digital divide highlights the importance of </w:t>
      </w:r>
      <w:r w:rsidRPr="00DA0B0B">
        <w:rPr>
          <w:rFonts w:ascii="Arial" w:hAnsi="Arial" w:cs="Arial"/>
          <w:sz w:val="22"/>
          <w:szCs w:val="22"/>
        </w:rPr>
        <w:lastRenderedPageBreak/>
        <w:t xml:space="preserve">maintaining alternative access routes, such as face-to-face and telephone-based services, to ensure equitable access for all patient groups. Inclusive design and targeted support for digitally excluded populations are, </w:t>
      </w:r>
      <w:proofErr w:type="gramStart"/>
      <w:r w:rsidRPr="00DA0B0B">
        <w:rPr>
          <w:rFonts w:ascii="Arial" w:hAnsi="Arial" w:cs="Arial"/>
          <w:sz w:val="22"/>
          <w:szCs w:val="22"/>
        </w:rPr>
        <w:t>therefore</w:t>
      </w:r>
      <w:proofErr w:type="gramEnd"/>
      <w:r w:rsidRPr="00DA0B0B">
        <w:rPr>
          <w:rFonts w:ascii="Arial" w:hAnsi="Arial" w:cs="Arial"/>
          <w:sz w:val="22"/>
          <w:szCs w:val="22"/>
        </w:rPr>
        <w:t xml:space="preserve"> essential components of sustainable digital healthcare implementation.</w:t>
      </w:r>
    </w:p>
    <w:p w14:paraId="4D65B3CC"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System integration and interoperability also present ongoing challenges. Differences in digital infrastructure across healthcare organisations may affect consistency of service delivery and create barriers to seamless information sharing between providers. Without robust integration strategies and investment in technological infrastructure, the potential benefits of digital innovation may not be fully realised.</w:t>
      </w:r>
    </w:p>
    <w:p w14:paraId="51AF8A40"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Overall, the NHS App illustrates both the opportunities and limitations associated with digital healthcare transformation. While it enhances accessibility, communication and patient engagement, its long-term effectiveness depends on balancing technological advancement with workforce support, inclusive policies and organisational change. Digital healthcare should therefore be viewed as a complementary enhancement to existing services rather than a complete replacement, ensuring that healthcare remains accessible, equitable and responsive to the diverse needs of the population.</w:t>
      </w:r>
    </w:p>
    <w:p w14:paraId="5EA9279E" w14:textId="72C256E5" w:rsidR="00497E42" w:rsidRPr="00DA0B0B" w:rsidRDefault="00497E42" w:rsidP="00497E42">
      <w:pPr>
        <w:spacing w:before="120" w:after="120" w:line="360" w:lineRule="auto"/>
        <w:rPr>
          <w:rFonts w:ascii="Arial" w:hAnsi="Arial" w:cs="Arial"/>
          <w:sz w:val="22"/>
          <w:szCs w:val="22"/>
        </w:rPr>
      </w:pPr>
    </w:p>
    <w:p w14:paraId="1A61C9C4" w14:textId="77777777" w:rsidR="00497E42" w:rsidRPr="00DA0B0B" w:rsidRDefault="00497E42" w:rsidP="00497E42">
      <w:pPr>
        <w:spacing w:before="120" w:after="120" w:line="360" w:lineRule="auto"/>
        <w:rPr>
          <w:rFonts w:ascii="Arial" w:hAnsi="Arial" w:cs="Arial"/>
          <w:sz w:val="22"/>
          <w:szCs w:val="22"/>
        </w:rPr>
      </w:pPr>
      <w:r w:rsidRPr="00DA0B0B">
        <w:rPr>
          <w:rFonts w:ascii="Arial" w:hAnsi="Arial" w:cs="Arial"/>
          <w:sz w:val="22"/>
          <w:szCs w:val="22"/>
        </w:rPr>
        <w:t>Conclusion</w:t>
      </w:r>
    </w:p>
    <w:p w14:paraId="6E3E4695" w14:textId="77777777" w:rsidR="004C23BD" w:rsidRPr="00DA0B0B" w:rsidRDefault="004C23BD" w:rsidP="004C23BD">
      <w:pPr>
        <w:spacing w:before="120" w:after="120" w:line="360" w:lineRule="auto"/>
        <w:rPr>
          <w:rFonts w:ascii="Arial" w:hAnsi="Arial" w:cs="Arial"/>
          <w:sz w:val="22"/>
          <w:szCs w:val="22"/>
        </w:rPr>
      </w:pPr>
      <w:r w:rsidRPr="00DA0B0B">
        <w:rPr>
          <w:rFonts w:ascii="Arial" w:hAnsi="Arial" w:cs="Arial"/>
          <w:sz w:val="22"/>
          <w:szCs w:val="22"/>
        </w:rPr>
        <w:t>The NHS App represents an important digital development within UK health and social care, illustrating how technology can transform conventional healthcare delivery by improving accessibility, strengthening patient involvement and supporting more efficient service provision. Its introduction aligns with broader national policy objectives focused on modernising healthcare systems through digital transformation, encouraging patient independence and enhancing integrated models of care. By enabling patients to independently manage appointments, prescriptions and access personal health information, the NHS App supports a move towards more patient-centred and digitally driven healthcare environments.</w:t>
      </w:r>
    </w:p>
    <w:p w14:paraId="6626AA21" w14:textId="77777777" w:rsidR="004C23BD" w:rsidRPr="00DA0B0B" w:rsidRDefault="004C23BD" w:rsidP="004C23BD">
      <w:pPr>
        <w:spacing w:before="120" w:after="120" w:line="360" w:lineRule="auto"/>
        <w:rPr>
          <w:rFonts w:ascii="Arial" w:hAnsi="Arial" w:cs="Arial"/>
          <w:sz w:val="22"/>
          <w:szCs w:val="22"/>
        </w:rPr>
      </w:pPr>
      <w:r w:rsidRPr="00DA0B0B">
        <w:rPr>
          <w:rFonts w:ascii="Arial" w:hAnsi="Arial" w:cs="Arial"/>
          <w:sz w:val="22"/>
          <w:szCs w:val="22"/>
        </w:rPr>
        <w:t>From a workforce perspective, the implementation of the app has reshaped professional roles and workflows by transferring certain administrative tasks to patients and promoting the development of digital skills among healthcare staff. Although this shift has the potential to increase efficiency and reduce administrative burdens, it also emphasises the need for continuous training, organisational support and adaptation to evolving digital practices. Without appropriate preparation and sufficient resources, digital transformation may unintentionally create additional workload pressures rather than resolving existing challenges.</w:t>
      </w:r>
    </w:p>
    <w:p w14:paraId="74599252" w14:textId="77777777" w:rsidR="004C23BD" w:rsidRPr="00DA0B0B" w:rsidRDefault="004C23BD" w:rsidP="004C23BD">
      <w:pPr>
        <w:spacing w:before="120" w:after="120" w:line="360" w:lineRule="auto"/>
        <w:rPr>
          <w:rFonts w:ascii="Arial" w:hAnsi="Arial" w:cs="Arial"/>
          <w:sz w:val="22"/>
          <w:szCs w:val="22"/>
        </w:rPr>
      </w:pPr>
      <w:r w:rsidRPr="00DA0B0B">
        <w:rPr>
          <w:rFonts w:ascii="Arial" w:hAnsi="Arial" w:cs="Arial"/>
          <w:sz w:val="22"/>
          <w:szCs w:val="22"/>
        </w:rPr>
        <w:lastRenderedPageBreak/>
        <w:t>Regarding service delivery, the NHS App has enhanced flexibility and accessibility by enabling remote communication between patients and healthcare providers. This supports wider strategic aims of delivering care closer to home and minimising unnecessary face-to-face appointments. However, digital solutions alone are unlikely to address broader systemic issues such as increasing demand and workforce shortages. Effective implementation therefore requires integration with organisational change, strong infrastructure and consistent support across healthcare systems.</w:t>
      </w:r>
    </w:p>
    <w:p w14:paraId="2B4F47EE" w14:textId="77777777" w:rsidR="004C23BD" w:rsidRPr="00DA0B0B" w:rsidRDefault="004C23BD" w:rsidP="004C23BD">
      <w:pPr>
        <w:spacing w:before="120" w:after="120" w:line="360" w:lineRule="auto"/>
        <w:rPr>
          <w:rFonts w:ascii="Arial" w:hAnsi="Arial" w:cs="Arial"/>
          <w:sz w:val="22"/>
          <w:szCs w:val="22"/>
        </w:rPr>
      </w:pPr>
      <w:r w:rsidRPr="00DA0B0B">
        <w:rPr>
          <w:rFonts w:ascii="Arial" w:hAnsi="Arial" w:cs="Arial"/>
          <w:sz w:val="22"/>
          <w:szCs w:val="22"/>
        </w:rPr>
        <w:t>The impact on patient and service user experience is multifaceted. While many individuals benefit from improved convenience, greater transparency and increased control over their healthcare, digital exclusion remains a key concern. Patients without access to appropriate technology, reliable internet connections or adequate digital literacy may encounter barriers, potentially exacerbating existing health inequalities. As a result, inclusive design and the availability of alternative access methods are essential to ensure digital healthcare does not disadvantage vulnerable populations.</w:t>
      </w:r>
    </w:p>
    <w:p w14:paraId="1B873DEB" w14:textId="77777777" w:rsidR="004C23BD" w:rsidRPr="00DA0B0B" w:rsidRDefault="004C23BD" w:rsidP="004C23BD">
      <w:pPr>
        <w:spacing w:before="120" w:after="120" w:line="360" w:lineRule="auto"/>
        <w:rPr>
          <w:rFonts w:ascii="Arial" w:hAnsi="Arial" w:cs="Arial"/>
          <w:sz w:val="22"/>
          <w:szCs w:val="22"/>
        </w:rPr>
      </w:pPr>
      <w:r w:rsidRPr="00DA0B0B">
        <w:rPr>
          <w:rFonts w:ascii="Arial" w:hAnsi="Arial" w:cs="Arial"/>
          <w:sz w:val="22"/>
          <w:szCs w:val="22"/>
        </w:rPr>
        <w:t>At a community level, the NHS App contributes to public health initiatives and integrated care by facilitating large-scale communication and improving coordination between healthcare services. Nevertheless, ensuring fair and equal access must remain a priority so that the advantages of digital innovation are shared across diverse communities.</w:t>
      </w:r>
    </w:p>
    <w:p w14:paraId="2E5F2CA6" w14:textId="77777777" w:rsidR="004C23BD" w:rsidRPr="004E7303" w:rsidRDefault="004C23BD" w:rsidP="004C23BD">
      <w:pPr>
        <w:spacing w:before="120" w:after="120" w:line="360" w:lineRule="auto"/>
        <w:rPr>
          <w:rFonts w:ascii="Arial" w:hAnsi="Arial" w:cs="Arial"/>
          <w:bCs/>
          <w:sz w:val="22"/>
          <w:szCs w:val="22"/>
        </w:rPr>
      </w:pPr>
      <w:r w:rsidRPr="004E7303">
        <w:rPr>
          <w:rFonts w:ascii="Arial" w:hAnsi="Arial" w:cs="Arial"/>
          <w:bCs/>
          <w:sz w:val="22"/>
          <w:szCs w:val="22"/>
        </w:rPr>
        <w:t>Overall, the NHS App demonstrates both the potential benefits and the complexities associated with digital transformation in health and social care. While it provides clear improvements in accessibility, efficiency and patient engagement, its long-term effectiveness depends on addressing challenges related to workforce preparedness, digital inequality and technological infrastructure. Future digital strategies should therefore focus on inclusive implementation, continuous workforce development and hybrid approaches that combine digital and traditional care pathways. By maintaining a balanced and patient-focused approach, digital innovation can contribute to sustainable healthcare systems while safeguarding equity, quality and accessibility for all service users.</w:t>
      </w:r>
    </w:p>
    <w:p w14:paraId="1C016970" w14:textId="486330D7" w:rsidR="00497E42" w:rsidRPr="00497E42" w:rsidRDefault="00497E42" w:rsidP="00497E42">
      <w:pPr>
        <w:spacing w:before="120" w:after="120" w:line="360" w:lineRule="auto"/>
        <w:rPr>
          <w:rFonts w:ascii="Arial" w:hAnsi="Arial" w:cs="Arial"/>
          <w:b/>
          <w:sz w:val="22"/>
          <w:szCs w:val="22"/>
        </w:rPr>
      </w:pPr>
    </w:p>
    <w:p w14:paraId="558F7C4C" w14:textId="77777777" w:rsidR="00497E42" w:rsidRDefault="00497E42" w:rsidP="00497E42">
      <w:pPr>
        <w:spacing w:before="120" w:after="120" w:line="360" w:lineRule="auto"/>
        <w:rPr>
          <w:rFonts w:ascii="Arial" w:hAnsi="Arial" w:cs="Arial"/>
          <w:b/>
          <w:sz w:val="22"/>
          <w:szCs w:val="22"/>
        </w:rPr>
      </w:pPr>
    </w:p>
    <w:p w14:paraId="4352A837" w14:textId="77777777" w:rsidR="00271277" w:rsidRDefault="00271277" w:rsidP="00497E42">
      <w:pPr>
        <w:spacing w:before="120" w:after="120" w:line="360" w:lineRule="auto"/>
        <w:rPr>
          <w:rFonts w:ascii="Arial" w:hAnsi="Arial" w:cs="Arial"/>
          <w:b/>
          <w:sz w:val="22"/>
          <w:szCs w:val="22"/>
        </w:rPr>
      </w:pPr>
    </w:p>
    <w:p w14:paraId="4B6D2123" w14:textId="77777777" w:rsidR="00271277" w:rsidRDefault="00271277" w:rsidP="00497E42">
      <w:pPr>
        <w:spacing w:before="120" w:after="120" w:line="360" w:lineRule="auto"/>
        <w:rPr>
          <w:rFonts w:ascii="Arial" w:hAnsi="Arial" w:cs="Arial"/>
          <w:b/>
          <w:sz w:val="22"/>
          <w:szCs w:val="22"/>
        </w:rPr>
      </w:pPr>
    </w:p>
    <w:p w14:paraId="07DB0B13" w14:textId="77777777" w:rsidR="00271277" w:rsidRDefault="00271277" w:rsidP="00497E42">
      <w:pPr>
        <w:spacing w:before="120" w:after="120" w:line="360" w:lineRule="auto"/>
        <w:rPr>
          <w:rFonts w:ascii="Arial" w:hAnsi="Arial" w:cs="Arial"/>
          <w:b/>
          <w:sz w:val="22"/>
          <w:szCs w:val="22"/>
        </w:rPr>
      </w:pPr>
    </w:p>
    <w:p w14:paraId="63329A29" w14:textId="77777777" w:rsidR="00A64630" w:rsidRDefault="00A64630" w:rsidP="00C67F7E">
      <w:pPr>
        <w:spacing w:before="100" w:beforeAutospacing="1" w:after="100" w:afterAutospacing="1" w:line="240" w:lineRule="auto"/>
        <w:outlineLvl w:val="0"/>
        <w:rPr>
          <w:rFonts w:ascii="Arial" w:hAnsi="Arial" w:cs="Arial"/>
          <w:b/>
          <w:sz w:val="22"/>
          <w:szCs w:val="22"/>
        </w:rPr>
      </w:pPr>
    </w:p>
    <w:p w14:paraId="050310BA" w14:textId="54A89A41" w:rsidR="00C67F7E" w:rsidRPr="00C67F7E" w:rsidRDefault="00C67F7E" w:rsidP="00C67F7E">
      <w:pPr>
        <w:spacing w:before="100" w:beforeAutospacing="1" w:after="100" w:afterAutospacing="1" w:line="240" w:lineRule="auto"/>
        <w:outlineLvl w:val="0"/>
        <w:rPr>
          <w:rFonts w:ascii="Arial" w:eastAsia="Times New Roman" w:hAnsi="Arial" w:cs="Arial"/>
          <w:kern w:val="36"/>
          <w:sz w:val="22"/>
          <w:szCs w:val="22"/>
          <w:lang w:eastAsia="en-GB"/>
          <w14:ligatures w14:val="none"/>
        </w:rPr>
      </w:pPr>
      <w:r w:rsidRPr="00C67F7E">
        <w:rPr>
          <w:rFonts w:ascii="Arial" w:eastAsia="Times New Roman" w:hAnsi="Arial" w:cs="Arial"/>
          <w:kern w:val="36"/>
          <w:sz w:val="22"/>
          <w:szCs w:val="22"/>
          <w:lang w:eastAsia="en-GB"/>
          <w14:ligatures w14:val="none"/>
        </w:rPr>
        <w:lastRenderedPageBreak/>
        <w:t xml:space="preserve">Reference List </w:t>
      </w:r>
    </w:p>
    <w:p w14:paraId="61A56212" w14:textId="77777777" w:rsidR="00C67F7E" w:rsidRPr="00C67F7E" w:rsidRDefault="00C67F7E" w:rsidP="00C67F7E">
      <w:pPr>
        <w:spacing w:before="100" w:beforeAutospacing="1" w:after="100" w:afterAutospacing="1" w:line="360" w:lineRule="auto"/>
        <w:rPr>
          <w:rFonts w:ascii="Arial" w:eastAsia="Times New Roman" w:hAnsi="Arial" w:cs="Arial"/>
          <w:kern w:val="0"/>
          <w:sz w:val="22"/>
          <w:szCs w:val="22"/>
          <w:lang w:eastAsia="en-GB"/>
          <w14:ligatures w14:val="none"/>
        </w:rPr>
      </w:pPr>
      <w:r w:rsidRPr="00C67F7E">
        <w:rPr>
          <w:rFonts w:ascii="Arial" w:eastAsia="Times New Roman" w:hAnsi="Arial" w:cs="Arial"/>
          <w:kern w:val="0"/>
          <w:sz w:val="22"/>
          <w:szCs w:val="22"/>
          <w:lang w:eastAsia="en-GB"/>
          <w14:ligatures w14:val="none"/>
        </w:rPr>
        <w:t xml:space="preserve">Baird, B. and Beech, J. (2020) </w:t>
      </w:r>
      <w:r w:rsidRPr="00C67F7E">
        <w:rPr>
          <w:rFonts w:ascii="Arial" w:eastAsia="Times New Roman" w:hAnsi="Arial" w:cs="Arial"/>
          <w:i/>
          <w:iCs/>
          <w:kern w:val="0"/>
          <w:sz w:val="22"/>
          <w:szCs w:val="22"/>
          <w:lang w:eastAsia="en-GB"/>
          <w14:ligatures w14:val="none"/>
        </w:rPr>
        <w:t>Digital general practice: challenges and opportunities</w:t>
      </w:r>
      <w:r w:rsidRPr="00C67F7E">
        <w:rPr>
          <w:rFonts w:ascii="Arial" w:eastAsia="Times New Roman" w:hAnsi="Arial" w:cs="Arial"/>
          <w:kern w:val="0"/>
          <w:sz w:val="22"/>
          <w:szCs w:val="22"/>
          <w:lang w:eastAsia="en-GB"/>
          <w14:ligatures w14:val="none"/>
        </w:rPr>
        <w:t>. London: The King’s Fund.</w:t>
      </w:r>
    </w:p>
    <w:p w14:paraId="20B036B7" w14:textId="77777777" w:rsidR="00C67F7E" w:rsidRPr="00C67F7E" w:rsidRDefault="00C67F7E" w:rsidP="00C67F7E">
      <w:pPr>
        <w:spacing w:before="100" w:beforeAutospacing="1" w:after="100" w:afterAutospacing="1" w:line="360" w:lineRule="auto"/>
        <w:rPr>
          <w:rFonts w:ascii="Arial" w:eastAsia="Times New Roman" w:hAnsi="Arial" w:cs="Arial"/>
          <w:kern w:val="0"/>
          <w:sz w:val="22"/>
          <w:szCs w:val="22"/>
          <w:lang w:eastAsia="en-GB"/>
          <w14:ligatures w14:val="none"/>
        </w:rPr>
      </w:pPr>
      <w:r w:rsidRPr="00C67F7E">
        <w:rPr>
          <w:rFonts w:ascii="Arial" w:eastAsia="Times New Roman" w:hAnsi="Arial" w:cs="Arial"/>
          <w:kern w:val="0"/>
          <w:sz w:val="22"/>
          <w:szCs w:val="22"/>
          <w:lang w:eastAsia="en-GB"/>
          <w14:ligatures w14:val="none"/>
        </w:rPr>
        <w:t xml:space="preserve">Department of Health and Social Care (2022) </w:t>
      </w:r>
      <w:r w:rsidRPr="00C67F7E">
        <w:rPr>
          <w:rFonts w:ascii="Arial" w:eastAsia="Times New Roman" w:hAnsi="Arial" w:cs="Arial"/>
          <w:i/>
          <w:iCs/>
          <w:kern w:val="0"/>
          <w:sz w:val="22"/>
          <w:szCs w:val="22"/>
          <w:lang w:eastAsia="en-GB"/>
          <w14:ligatures w14:val="none"/>
        </w:rPr>
        <w:t>A plan for digital health and social care</w:t>
      </w:r>
      <w:r w:rsidRPr="00C67F7E">
        <w:rPr>
          <w:rFonts w:ascii="Arial" w:eastAsia="Times New Roman" w:hAnsi="Arial" w:cs="Arial"/>
          <w:kern w:val="0"/>
          <w:sz w:val="22"/>
          <w:szCs w:val="22"/>
          <w:lang w:eastAsia="en-GB"/>
          <w14:ligatures w14:val="none"/>
        </w:rPr>
        <w:t>. London: Department of Health and Social Care.</w:t>
      </w:r>
    </w:p>
    <w:p w14:paraId="232FCCB8" w14:textId="77777777" w:rsidR="00C67F7E" w:rsidRPr="00C67F7E" w:rsidRDefault="00C67F7E" w:rsidP="00C67F7E">
      <w:pPr>
        <w:spacing w:before="100" w:beforeAutospacing="1" w:after="100" w:afterAutospacing="1" w:line="360" w:lineRule="auto"/>
        <w:rPr>
          <w:rFonts w:ascii="Arial" w:eastAsia="Times New Roman" w:hAnsi="Arial" w:cs="Arial"/>
          <w:kern w:val="0"/>
          <w:sz w:val="22"/>
          <w:szCs w:val="22"/>
          <w:lang w:eastAsia="en-GB"/>
          <w14:ligatures w14:val="none"/>
        </w:rPr>
      </w:pPr>
      <w:r w:rsidRPr="00C67F7E">
        <w:rPr>
          <w:rFonts w:ascii="Arial" w:eastAsia="Times New Roman" w:hAnsi="Arial" w:cs="Arial"/>
          <w:kern w:val="0"/>
          <w:sz w:val="22"/>
          <w:szCs w:val="22"/>
          <w:lang w:eastAsia="en-GB"/>
          <w14:ligatures w14:val="none"/>
        </w:rPr>
        <w:t xml:space="preserve">Greenhalgh, T., </w:t>
      </w:r>
      <w:proofErr w:type="spellStart"/>
      <w:r w:rsidRPr="00C67F7E">
        <w:rPr>
          <w:rFonts w:ascii="Arial" w:eastAsia="Times New Roman" w:hAnsi="Arial" w:cs="Arial"/>
          <w:kern w:val="0"/>
          <w:sz w:val="22"/>
          <w:szCs w:val="22"/>
          <w:lang w:eastAsia="en-GB"/>
          <w14:ligatures w14:val="none"/>
        </w:rPr>
        <w:t>Wherton</w:t>
      </w:r>
      <w:proofErr w:type="spellEnd"/>
      <w:r w:rsidRPr="00C67F7E">
        <w:rPr>
          <w:rFonts w:ascii="Arial" w:eastAsia="Times New Roman" w:hAnsi="Arial" w:cs="Arial"/>
          <w:kern w:val="0"/>
          <w:sz w:val="22"/>
          <w:szCs w:val="22"/>
          <w:lang w:eastAsia="en-GB"/>
          <w14:ligatures w14:val="none"/>
        </w:rPr>
        <w:t xml:space="preserve">, J., Shaw, S. and Morrison, C. (2020) ‘Digital technology and healthcare workload’, </w:t>
      </w:r>
      <w:r w:rsidRPr="00C67F7E">
        <w:rPr>
          <w:rFonts w:ascii="Arial" w:eastAsia="Times New Roman" w:hAnsi="Arial" w:cs="Arial"/>
          <w:i/>
          <w:iCs/>
          <w:kern w:val="0"/>
          <w:sz w:val="22"/>
          <w:szCs w:val="22"/>
          <w:lang w:eastAsia="en-GB"/>
          <w14:ligatures w14:val="none"/>
        </w:rPr>
        <w:t>BMJ</w:t>
      </w:r>
      <w:r w:rsidRPr="00C67F7E">
        <w:rPr>
          <w:rFonts w:ascii="Arial" w:eastAsia="Times New Roman" w:hAnsi="Arial" w:cs="Arial"/>
          <w:kern w:val="0"/>
          <w:sz w:val="22"/>
          <w:szCs w:val="22"/>
          <w:lang w:eastAsia="en-GB"/>
          <w14:ligatures w14:val="none"/>
        </w:rPr>
        <w:t>, 368.</w:t>
      </w:r>
    </w:p>
    <w:p w14:paraId="7BCD7832" w14:textId="77777777" w:rsidR="00C67F7E" w:rsidRPr="00C67F7E" w:rsidRDefault="00C67F7E" w:rsidP="00C67F7E">
      <w:pPr>
        <w:spacing w:before="100" w:beforeAutospacing="1" w:after="100" w:afterAutospacing="1" w:line="360" w:lineRule="auto"/>
        <w:rPr>
          <w:rFonts w:ascii="Arial" w:eastAsia="Times New Roman" w:hAnsi="Arial" w:cs="Arial"/>
          <w:kern w:val="0"/>
          <w:sz w:val="22"/>
          <w:szCs w:val="22"/>
          <w:lang w:eastAsia="en-GB"/>
          <w14:ligatures w14:val="none"/>
        </w:rPr>
      </w:pPr>
      <w:r w:rsidRPr="00C67F7E">
        <w:rPr>
          <w:rFonts w:ascii="Arial" w:eastAsia="Times New Roman" w:hAnsi="Arial" w:cs="Arial"/>
          <w:kern w:val="0"/>
          <w:sz w:val="22"/>
          <w:szCs w:val="22"/>
          <w:lang w:eastAsia="en-GB"/>
          <w14:ligatures w14:val="none"/>
        </w:rPr>
        <w:t xml:space="preserve">Health Foundation (2021) </w:t>
      </w:r>
      <w:r w:rsidRPr="00C67F7E">
        <w:rPr>
          <w:rFonts w:ascii="Arial" w:eastAsia="Times New Roman" w:hAnsi="Arial" w:cs="Arial"/>
          <w:i/>
          <w:iCs/>
          <w:kern w:val="0"/>
          <w:sz w:val="22"/>
          <w:szCs w:val="22"/>
          <w:lang w:eastAsia="en-GB"/>
          <w14:ligatures w14:val="none"/>
        </w:rPr>
        <w:t>Digital technology and healthcare transformation</w:t>
      </w:r>
      <w:r w:rsidRPr="00C67F7E">
        <w:rPr>
          <w:rFonts w:ascii="Arial" w:eastAsia="Times New Roman" w:hAnsi="Arial" w:cs="Arial"/>
          <w:kern w:val="0"/>
          <w:sz w:val="22"/>
          <w:szCs w:val="22"/>
          <w:lang w:eastAsia="en-GB"/>
          <w14:ligatures w14:val="none"/>
        </w:rPr>
        <w:t>. London: The Health Foundation.</w:t>
      </w:r>
    </w:p>
    <w:p w14:paraId="14890FB3" w14:textId="77777777" w:rsidR="00C67F7E" w:rsidRPr="00C67F7E" w:rsidRDefault="00C67F7E" w:rsidP="00C67F7E">
      <w:pPr>
        <w:spacing w:before="100" w:beforeAutospacing="1" w:after="100" w:afterAutospacing="1" w:line="360" w:lineRule="auto"/>
        <w:rPr>
          <w:rFonts w:ascii="Arial" w:eastAsia="Times New Roman" w:hAnsi="Arial" w:cs="Arial"/>
          <w:kern w:val="0"/>
          <w:sz w:val="22"/>
          <w:szCs w:val="22"/>
          <w:lang w:eastAsia="en-GB"/>
          <w14:ligatures w14:val="none"/>
        </w:rPr>
      </w:pPr>
      <w:r w:rsidRPr="00C67F7E">
        <w:rPr>
          <w:rFonts w:ascii="Arial" w:eastAsia="Times New Roman" w:hAnsi="Arial" w:cs="Arial"/>
          <w:kern w:val="0"/>
          <w:sz w:val="22"/>
          <w:szCs w:val="22"/>
          <w:lang w:eastAsia="en-GB"/>
          <w14:ligatures w14:val="none"/>
        </w:rPr>
        <w:t xml:space="preserve">Majeed, A., Maile, E. and Bindman, A. (2021) ‘The primary care response to COVID-19 in England’s NHS’, </w:t>
      </w:r>
      <w:r w:rsidRPr="00C67F7E">
        <w:rPr>
          <w:rFonts w:ascii="Arial" w:eastAsia="Times New Roman" w:hAnsi="Arial" w:cs="Arial"/>
          <w:i/>
          <w:iCs/>
          <w:kern w:val="0"/>
          <w:sz w:val="22"/>
          <w:szCs w:val="22"/>
          <w:lang w:eastAsia="en-GB"/>
          <w14:ligatures w14:val="none"/>
        </w:rPr>
        <w:t>Journal of the Royal Society of Medicine</w:t>
      </w:r>
      <w:r w:rsidRPr="00C67F7E">
        <w:rPr>
          <w:rFonts w:ascii="Arial" w:eastAsia="Times New Roman" w:hAnsi="Arial" w:cs="Arial"/>
          <w:kern w:val="0"/>
          <w:sz w:val="22"/>
          <w:szCs w:val="22"/>
          <w:lang w:eastAsia="en-GB"/>
          <w14:ligatures w14:val="none"/>
        </w:rPr>
        <w:t>, 114(9), pp. 406–408.</w:t>
      </w:r>
    </w:p>
    <w:p w14:paraId="692C117A" w14:textId="77777777" w:rsidR="00C67F7E" w:rsidRPr="00C67F7E" w:rsidRDefault="00C67F7E" w:rsidP="00C67F7E">
      <w:pPr>
        <w:spacing w:before="100" w:beforeAutospacing="1" w:after="100" w:afterAutospacing="1" w:line="360" w:lineRule="auto"/>
        <w:rPr>
          <w:rFonts w:ascii="Arial" w:eastAsia="Times New Roman" w:hAnsi="Arial" w:cs="Arial"/>
          <w:kern w:val="0"/>
          <w:sz w:val="22"/>
          <w:szCs w:val="22"/>
          <w:lang w:eastAsia="en-GB"/>
          <w14:ligatures w14:val="none"/>
        </w:rPr>
      </w:pPr>
      <w:r w:rsidRPr="00C67F7E">
        <w:rPr>
          <w:rFonts w:ascii="Arial" w:eastAsia="Times New Roman" w:hAnsi="Arial" w:cs="Arial"/>
          <w:kern w:val="0"/>
          <w:sz w:val="22"/>
          <w:szCs w:val="22"/>
          <w:lang w:eastAsia="en-GB"/>
          <w14:ligatures w14:val="none"/>
        </w:rPr>
        <w:t xml:space="preserve">National Institute for Health Research (2019) </w:t>
      </w:r>
      <w:r w:rsidRPr="00C67F7E">
        <w:rPr>
          <w:rFonts w:ascii="Arial" w:eastAsia="Times New Roman" w:hAnsi="Arial" w:cs="Arial"/>
          <w:i/>
          <w:iCs/>
          <w:kern w:val="0"/>
          <w:sz w:val="22"/>
          <w:szCs w:val="22"/>
          <w:lang w:eastAsia="en-GB"/>
          <w14:ligatures w14:val="none"/>
        </w:rPr>
        <w:t>Digital health technologies and service delivery</w:t>
      </w:r>
      <w:r w:rsidRPr="00C67F7E">
        <w:rPr>
          <w:rFonts w:ascii="Arial" w:eastAsia="Times New Roman" w:hAnsi="Arial" w:cs="Arial"/>
          <w:kern w:val="0"/>
          <w:sz w:val="22"/>
          <w:szCs w:val="22"/>
          <w:lang w:eastAsia="en-GB"/>
          <w14:ligatures w14:val="none"/>
        </w:rPr>
        <w:t>. London: NIHR.</w:t>
      </w:r>
    </w:p>
    <w:p w14:paraId="5AA77226" w14:textId="77777777" w:rsidR="00C67F7E" w:rsidRPr="00C67F7E" w:rsidRDefault="00C67F7E" w:rsidP="00C67F7E">
      <w:pPr>
        <w:spacing w:before="100" w:beforeAutospacing="1" w:after="100" w:afterAutospacing="1" w:line="360" w:lineRule="auto"/>
        <w:rPr>
          <w:rFonts w:ascii="Arial" w:eastAsia="Times New Roman" w:hAnsi="Arial" w:cs="Arial"/>
          <w:kern w:val="0"/>
          <w:sz w:val="22"/>
          <w:szCs w:val="22"/>
          <w:lang w:eastAsia="en-GB"/>
          <w14:ligatures w14:val="none"/>
        </w:rPr>
      </w:pPr>
      <w:r w:rsidRPr="00C67F7E">
        <w:rPr>
          <w:rFonts w:ascii="Arial" w:eastAsia="Times New Roman" w:hAnsi="Arial" w:cs="Arial"/>
          <w:kern w:val="0"/>
          <w:sz w:val="22"/>
          <w:szCs w:val="22"/>
          <w:lang w:eastAsia="en-GB"/>
          <w14:ligatures w14:val="none"/>
        </w:rPr>
        <w:t xml:space="preserve">NHS Digital (2022) </w:t>
      </w:r>
      <w:r w:rsidRPr="00C67F7E">
        <w:rPr>
          <w:rFonts w:ascii="Arial" w:eastAsia="Times New Roman" w:hAnsi="Arial" w:cs="Arial"/>
          <w:i/>
          <w:iCs/>
          <w:kern w:val="0"/>
          <w:sz w:val="22"/>
          <w:szCs w:val="22"/>
          <w:lang w:eastAsia="en-GB"/>
          <w14:ligatures w14:val="none"/>
        </w:rPr>
        <w:t>NHS App usage statistics</w:t>
      </w:r>
      <w:r w:rsidRPr="00C67F7E">
        <w:rPr>
          <w:rFonts w:ascii="Arial" w:eastAsia="Times New Roman" w:hAnsi="Arial" w:cs="Arial"/>
          <w:kern w:val="0"/>
          <w:sz w:val="22"/>
          <w:szCs w:val="22"/>
          <w:lang w:eastAsia="en-GB"/>
          <w14:ligatures w14:val="none"/>
        </w:rPr>
        <w:t>. Leeds: NHS Digital.</w:t>
      </w:r>
    </w:p>
    <w:p w14:paraId="64D30D2B" w14:textId="77777777" w:rsidR="00C67F7E" w:rsidRPr="00C67F7E" w:rsidRDefault="00C67F7E" w:rsidP="00C67F7E">
      <w:pPr>
        <w:spacing w:before="100" w:beforeAutospacing="1" w:after="100" w:afterAutospacing="1" w:line="360" w:lineRule="auto"/>
        <w:rPr>
          <w:rFonts w:ascii="Arial" w:eastAsia="Times New Roman" w:hAnsi="Arial" w:cs="Arial"/>
          <w:kern w:val="0"/>
          <w:sz w:val="22"/>
          <w:szCs w:val="22"/>
          <w:lang w:eastAsia="en-GB"/>
          <w14:ligatures w14:val="none"/>
        </w:rPr>
      </w:pPr>
      <w:r w:rsidRPr="00C67F7E">
        <w:rPr>
          <w:rFonts w:ascii="Arial" w:eastAsia="Times New Roman" w:hAnsi="Arial" w:cs="Arial"/>
          <w:kern w:val="0"/>
          <w:sz w:val="22"/>
          <w:szCs w:val="22"/>
          <w:lang w:eastAsia="en-GB"/>
          <w14:ligatures w14:val="none"/>
        </w:rPr>
        <w:t xml:space="preserve">NHS England (2019) </w:t>
      </w:r>
      <w:r w:rsidRPr="00C67F7E">
        <w:rPr>
          <w:rFonts w:ascii="Arial" w:eastAsia="Times New Roman" w:hAnsi="Arial" w:cs="Arial"/>
          <w:i/>
          <w:iCs/>
          <w:kern w:val="0"/>
          <w:sz w:val="22"/>
          <w:szCs w:val="22"/>
          <w:lang w:eastAsia="en-GB"/>
          <w14:ligatures w14:val="none"/>
        </w:rPr>
        <w:t>The NHS Long Term Plan</w:t>
      </w:r>
      <w:r w:rsidRPr="00C67F7E">
        <w:rPr>
          <w:rFonts w:ascii="Arial" w:eastAsia="Times New Roman" w:hAnsi="Arial" w:cs="Arial"/>
          <w:kern w:val="0"/>
          <w:sz w:val="22"/>
          <w:szCs w:val="22"/>
          <w:lang w:eastAsia="en-GB"/>
          <w14:ligatures w14:val="none"/>
        </w:rPr>
        <w:t>. London: NHS England.</w:t>
      </w:r>
    </w:p>
    <w:p w14:paraId="0FAD2402" w14:textId="77777777" w:rsidR="00C67F7E" w:rsidRPr="00C67F7E" w:rsidRDefault="00C67F7E" w:rsidP="00C67F7E">
      <w:pPr>
        <w:spacing w:before="100" w:beforeAutospacing="1" w:after="100" w:afterAutospacing="1" w:line="360" w:lineRule="auto"/>
        <w:rPr>
          <w:rFonts w:ascii="Arial" w:eastAsia="Times New Roman" w:hAnsi="Arial" w:cs="Arial"/>
          <w:kern w:val="0"/>
          <w:sz w:val="22"/>
          <w:szCs w:val="22"/>
          <w:lang w:eastAsia="en-GB"/>
          <w14:ligatures w14:val="none"/>
        </w:rPr>
      </w:pPr>
      <w:r w:rsidRPr="00C67F7E">
        <w:rPr>
          <w:rFonts w:ascii="Arial" w:eastAsia="Times New Roman" w:hAnsi="Arial" w:cs="Arial"/>
          <w:kern w:val="0"/>
          <w:sz w:val="22"/>
          <w:szCs w:val="22"/>
          <w:lang w:eastAsia="en-GB"/>
          <w14:ligatures w14:val="none"/>
        </w:rPr>
        <w:t xml:space="preserve">NHS England (2023) </w:t>
      </w:r>
      <w:r w:rsidRPr="00C67F7E">
        <w:rPr>
          <w:rFonts w:ascii="Arial" w:eastAsia="Times New Roman" w:hAnsi="Arial" w:cs="Arial"/>
          <w:i/>
          <w:iCs/>
          <w:kern w:val="0"/>
          <w:sz w:val="22"/>
          <w:szCs w:val="22"/>
          <w:lang w:eastAsia="en-GB"/>
          <w14:ligatures w14:val="none"/>
        </w:rPr>
        <w:t>About the NHS App</w:t>
      </w:r>
      <w:r w:rsidRPr="00C67F7E">
        <w:rPr>
          <w:rFonts w:ascii="Arial" w:eastAsia="Times New Roman" w:hAnsi="Arial" w:cs="Arial"/>
          <w:kern w:val="0"/>
          <w:sz w:val="22"/>
          <w:szCs w:val="22"/>
          <w:lang w:eastAsia="en-GB"/>
          <w14:ligatures w14:val="none"/>
        </w:rPr>
        <w:t xml:space="preserve">. Available at: </w:t>
      </w:r>
      <w:hyperlink r:id="rId6" w:tgtFrame="_new" w:history="1">
        <w:r w:rsidRPr="00C67F7E">
          <w:rPr>
            <w:rFonts w:ascii="Arial" w:eastAsia="Times New Roman" w:hAnsi="Arial" w:cs="Arial"/>
            <w:color w:val="0000FF"/>
            <w:kern w:val="0"/>
            <w:sz w:val="22"/>
            <w:szCs w:val="22"/>
            <w:u w:val="single"/>
            <w:lang w:eastAsia="en-GB"/>
            <w14:ligatures w14:val="none"/>
          </w:rPr>
          <w:t>https://www.nhs.uk/nhs-app</w:t>
        </w:r>
      </w:hyperlink>
      <w:r w:rsidRPr="00C67F7E">
        <w:rPr>
          <w:rFonts w:ascii="Arial" w:eastAsia="Times New Roman" w:hAnsi="Arial" w:cs="Arial"/>
          <w:kern w:val="0"/>
          <w:sz w:val="22"/>
          <w:szCs w:val="22"/>
          <w:lang w:eastAsia="en-GB"/>
          <w14:ligatures w14:val="none"/>
        </w:rPr>
        <w:t xml:space="preserve"> (Accessed: 10 February 2026).</w:t>
      </w:r>
    </w:p>
    <w:p w14:paraId="004B1E19" w14:textId="77777777" w:rsidR="00C67F7E" w:rsidRPr="00C67F7E" w:rsidRDefault="00C67F7E" w:rsidP="00C67F7E">
      <w:pPr>
        <w:spacing w:before="100" w:beforeAutospacing="1" w:after="100" w:afterAutospacing="1" w:line="360" w:lineRule="auto"/>
        <w:rPr>
          <w:rFonts w:ascii="Arial" w:eastAsia="Times New Roman" w:hAnsi="Arial" w:cs="Arial"/>
          <w:kern w:val="0"/>
          <w:sz w:val="22"/>
          <w:szCs w:val="22"/>
          <w:lang w:eastAsia="en-GB"/>
          <w14:ligatures w14:val="none"/>
        </w:rPr>
      </w:pPr>
      <w:r w:rsidRPr="00C67F7E">
        <w:rPr>
          <w:rFonts w:ascii="Arial" w:eastAsia="Times New Roman" w:hAnsi="Arial" w:cs="Arial"/>
          <w:kern w:val="0"/>
          <w:sz w:val="22"/>
          <w:szCs w:val="22"/>
          <w:lang w:eastAsia="en-GB"/>
          <w14:ligatures w14:val="none"/>
        </w:rPr>
        <w:t xml:space="preserve">Nuffield Trust (2022) </w:t>
      </w:r>
      <w:r w:rsidRPr="00C67F7E">
        <w:rPr>
          <w:rFonts w:ascii="Arial" w:eastAsia="Times New Roman" w:hAnsi="Arial" w:cs="Arial"/>
          <w:i/>
          <w:iCs/>
          <w:kern w:val="0"/>
          <w:sz w:val="22"/>
          <w:szCs w:val="22"/>
          <w:lang w:eastAsia="en-GB"/>
          <w14:ligatures w14:val="none"/>
        </w:rPr>
        <w:t>Digital exclusion and health inequalities</w:t>
      </w:r>
      <w:r w:rsidRPr="00C67F7E">
        <w:rPr>
          <w:rFonts w:ascii="Arial" w:eastAsia="Times New Roman" w:hAnsi="Arial" w:cs="Arial"/>
          <w:kern w:val="0"/>
          <w:sz w:val="22"/>
          <w:szCs w:val="22"/>
          <w:lang w:eastAsia="en-GB"/>
          <w14:ligatures w14:val="none"/>
        </w:rPr>
        <w:t>. London: Nuffield Trust.</w:t>
      </w:r>
    </w:p>
    <w:p w14:paraId="5CCE4F7D" w14:textId="77777777" w:rsidR="00C67F7E" w:rsidRPr="00C67F7E" w:rsidRDefault="00C67F7E" w:rsidP="00C67F7E">
      <w:pPr>
        <w:spacing w:before="100" w:beforeAutospacing="1" w:after="100" w:afterAutospacing="1" w:line="360" w:lineRule="auto"/>
        <w:rPr>
          <w:rFonts w:ascii="Arial" w:eastAsia="Times New Roman" w:hAnsi="Arial" w:cs="Arial"/>
          <w:kern w:val="0"/>
          <w:sz w:val="22"/>
          <w:szCs w:val="22"/>
          <w:lang w:eastAsia="en-GB"/>
          <w14:ligatures w14:val="none"/>
        </w:rPr>
      </w:pPr>
      <w:r w:rsidRPr="00C67F7E">
        <w:rPr>
          <w:rFonts w:ascii="Arial" w:eastAsia="Times New Roman" w:hAnsi="Arial" w:cs="Arial"/>
          <w:kern w:val="0"/>
          <w:sz w:val="22"/>
          <w:szCs w:val="22"/>
          <w:lang w:eastAsia="en-GB"/>
          <w14:ligatures w14:val="none"/>
        </w:rPr>
        <w:t xml:space="preserve">Patients Association (2023) </w:t>
      </w:r>
      <w:r w:rsidRPr="00C67F7E">
        <w:rPr>
          <w:rFonts w:ascii="Arial" w:eastAsia="Times New Roman" w:hAnsi="Arial" w:cs="Arial"/>
          <w:i/>
          <w:iCs/>
          <w:kern w:val="0"/>
          <w:sz w:val="22"/>
          <w:szCs w:val="22"/>
          <w:lang w:eastAsia="en-GB"/>
          <w14:ligatures w14:val="none"/>
        </w:rPr>
        <w:t>Patient perspectives on digital healthcare</w:t>
      </w:r>
      <w:r w:rsidRPr="00C67F7E">
        <w:rPr>
          <w:rFonts w:ascii="Arial" w:eastAsia="Times New Roman" w:hAnsi="Arial" w:cs="Arial"/>
          <w:kern w:val="0"/>
          <w:sz w:val="22"/>
          <w:szCs w:val="22"/>
          <w:lang w:eastAsia="en-GB"/>
          <w14:ligatures w14:val="none"/>
        </w:rPr>
        <w:t>. London: Patients Association.</w:t>
      </w:r>
    </w:p>
    <w:p w14:paraId="71CC6745" w14:textId="77777777" w:rsidR="00C67F7E" w:rsidRPr="00C67F7E" w:rsidRDefault="00C67F7E" w:rsidP="00C67F7E">
      <w:pPr>
        <w:spacing w:before="100" w:beforeAutospacing="1" w:after="100" w:afterAutospacing="1" w:line="360" w:lineRule="auto"/>
        <w:rPr>
          <w:rFonts w:ascii="Arial" w:eastAsia="Times New Roman" w:hAnsi="Arial" w:cs="Arial"/>
          <w:kern w:val="0"/>
          <w:sz w:val="22"/>
          <w:szCs w:val="22"/>
          <w:lang w:eastAsia="en-GB"/>
          <w14:ligatures w14:val="none"/>
        </w:rPr>
      </w:pPr>
      <w:r w:rsidRPr="00C67F7E">
        <w:rPr>
          <w:rFonts w:ascii="Arial" w:eastAsia="Times New Roman" w:hAnsi="Arial" w:cs="Arial"/>
          <w:kern w:val="0"/>
          <w:sz w:val="22"/>
          <w:szCs w:val="22"/>
          <w:lang w:eastAsia="en-GB"/>
          <w14:ligatures w14:val="none"/>
        </w:rPr>
        <w:t xml:space="preserve">Topol, E. (2019) </w:t>
      </w:r>
      <w:r w:rsidRPr="00C67F7E">
        <w:rPr>
          <w:rFonts w:ascii="Arial" w:eastAsia="Times New Roman" w:hAnsi="Arial" w:cs="Arial"/>
          <w:i/>
          <w:iCs/>
          <w:kern w:val="0"/>
          <w:sz w:val="22"/>
          <w:szCs w:val="22"/>
          <w:lang w:eastAsia="en-GB"/>
          <w14:ligatures w14:val="none"/>
        </w:rPr>
        <w:t>The Topol Review: Preparing the healthcare workforce to deliver the digital future</w:t>
      </w:r>
      <w:r w:rsidRPr="00C67F7E">
        <w:rPr>
          <w:rFonts w:ascii="Arial" w:eastAsia="Times New Roman" w:hAnsi="Arial" w:cs="Arial"/>
          <w:kern w:val="0"/>
          <w:sz w:val="22"/>
          <w:szCs w:val="22"/>
          <w:lang w:eastAsia="en-GB"/>
          <w14:ligatures w14:val="none"/>
        </w:rPr>
        <w:t>. London: NHS England.</w:t>
      </w:r>
    </w:p>
    <w:p w14:paraId="49A2A9C4" w14:textId="77777777" w:rsidR="00C67F7E" w:rsidRPr="00C67F7E" w:rsidRDefault="00C67F7E" w:rsidP="00C67F7E">
      <w:pPr>
        <w:spacing w:before="100" w:beforeAutospacing="1" w:after="100" w:afterAutospacing="1" w:line="360" w:lineRule="auto"/>
        <w:rPr>
          <w:rFonts w:ascii="Arial" w:eastAsia="Times New Roman" w:hAnsi="Arial" w:cs="Arial"/>
          <w:kern w:val="0"/>
          <w:sz w:val="22"/>
          <w:szCs w:val="22"/>
          <w:lang w:eastAsia="en-GB"/>
          <w14:ligatures w14:val="none"/>
        </w:rPr>
      </w:pPr>
      <w:r w:rsidRPr="00C67F7E">
        <w:rPr>
          <w:rFonts w:ascii="Arial" w:eastAsia="Times New Roman" w:hAnsi="Arial" w:cs="Arial"/>
          <w:kern w:val="0"/>
          <w:sz w:val="22"/>
          <w:szCs w:val="22"/>
          <w:lang w:eastAsia="en-GB"/>
          <w14:ligatures w14:val="none"/>
        </w:rPr>
        <w:t xml:space="preserve">Wachter, R. (2016) </w:t>
      </w:r>
      <w:r w:rsidRPr="00C67F7E">
        <w:rPr>
          <w:rFonts w:ascii="Arial" w:eastAsia="Times New Roman" w:hAnsi="Arial" w:cs="Arial"/>
          <w:i/>
          <w:iCs/>
          <w:kern w:val="0"/>
          <w:sz w:val="22"/>
          <w:szCs w:val="22"/>
          <w:lang w:eastAsia="en-GB"/>
          <w14:ligatures w14:val="none"/>
        </w:rPr>
        <w:t>Making IT work: Harnessing health information technology</w:t>
      </w:r>
      <w:r w:rsidRPr="00C67F7E">
        <w:rPr>
          <w:rFonts w:ascii="Arial" w:eastAsia="Times New Roman" w:hAnsi="Arial" w:cs="Arial"/>
          <w:kern w:val="0"/>
          <w:sz w:val="22"/>
          <w:szCs w:val="22"/>
          <w:lang w:eastAsia="en-GB"/>
          <w14:ligatures w14:val="none"/>
        </w:rPr>
        <w:t>. London: Department of Health.</w:t>
      </w:r>
    </w:p>
    <w:p w14:paraId="121C9476" w14:textId="14CC5A88" w:rsidR="00271277" w:rsidRDefault="00271277" w:rsidP="00497E42">
      <w:pPr>
        <w:spacing w:before="120" w:after="120" w:line="360" w:lineRule="auto"/>
        <w:rPr>
          <w:rFonts w:ascii="Arial" w:hAnsi="Arial" w:cs="Arial"/>
          <w:b/>
          <w:sz w:val="22"/>
          <w:szCs w:val="22"/>
        </w:rPr>
      </w:pPr>
    </w:p>
    <w:p w14:paraId="3466DB06" w14:textId="77777777" w:rsidR="00271277" w:rsidRDefault="00271277" w:rsidP="00497E42">
      <w:pPr>
        <w:spacing w:before="120" w:after="120" w:line="360" w:lineRule="auto"/>
        <w:rPr>
          <w:rFonts w:ascii="Arial" w:hAnsi="Arial" w:cs="Arial"/>
          <w:b/>
          <w:sz w:val="22"/>
          <w:szCs w:val="22"/>
        </w:rPr>
      </w:pPr>
    </w:p>
    <w:p w14:paraId="6FCCE937" w14:textId="77777777" w:rsidR="00271277" w:rsidRDefault="00271277" w:rsidP="00497E42">
      <w:pPr>
        <w:spacing w:before="120" w:after="120" w:line="360" w:lineRule="auto"/>
        <w:rPr>
          <w:rFonts w:ascii="Arial" w:hAnsi="Arial" w:cs="Arial"/>
          <w:b/>
          <w:sz w:val="22"/>
          <w:szCs w:val="22"/>
        </w:rPr>
      </w:pPr>
    </w:p>
    <w:p w14:paraId="7D01B52F" w14:textId="77777777" w:rsidR="00271277" w:rsidRDefault="00271277" w:rsidP="00497E42">
      <w:pPr>
        <w:spacing w:before="120" w:after="120" w:line="360" w:lineRule="auto"/>
        <w:rPr>
          <w:rFonts w:ascii="Arial" w:hAnsi="Arial" w:cs="Arial"/>
          <w:b/>
          <w:sz w:val="22"/>
          <w:szCs w:val="22"/>
        </w:rPr>
      </w:pPr>
    </w:p>
    <w:p w14:paraId="5E4FF918" w14:textId="77777777" w:rsidR="00271277" w:rsidRDefault="00271277" w:rsidP="00497E42">
      <w:pPr>
        <w:spacing w:before="120" w:after="120" w:line="360" w:lineRule="auto"/>
        <w:rPr>
          <w:rFonts w:ascii="Arial" w:hAnsi="Arial" w:cs="Arial"/>
          <w:b/>
          <w:sz w:val="22"/>
          <w:szCs w:val="22"/>
        </w:rPr>
      </w:pPr>
    </w:p>
    <w:p w14:paraId="41873506" w14:textId="77777777" w:rsidR="00271277" w:rsidRDefault="00271277" w:rsidP="00497E42">
      <w:pPr>
        <w:spacing w:before="120" w:after="120" w:line="360" w:lineRule="auto"/>
        <w:rPr>
          <w:rFonts w:ascii="Arial" w:hAnsi="Arial" w:cs="Arial"/>
          <w:b/>
          <w:sz w:val="22"/>
          <w:szCs w:val="22"/>
        </w:rPr>
      </w:pPr>
    </w:p>
    <w:p w14:paraId="4A1DCB41" w14:textId="77777777" w:rsidR="00271277" w:rsidRDefault="00271277" w:rsidP="00497E42">
      <w:pPr>
        <w:spacing w:before="120" w:after="120" w:line="360" w:lineRule="auto"/>
        <w:rPr>
          <w:rFonts w:ascii="Arial" w:hAnsi="Arial" w:cs="Arial"/>
          <w:b/>
          <w:sz w:val="22"/>
          <w:szCs w:val="22"/>
        </w:rPr>
      </w:pPr>
    </w:p>
    <w:p w14:paraId="73C0DDA3" w14:textId="77777777" w:rsidR="00271277" w:rsidRDefault="00271277" w:rsidP="00497E42">
      <w:pPr>
        <w:spacing w:before="120" w:after="120" w:line="360" w:lineRule="auto"/>
        <w:rPr>
          <w:rFonts w:ascii="Arial" w:hAnsi="Arial" w:cs="Arial"/>
          <w:b/>
          <w:sz w:val="22"/>
          <w:szCs w:val="22"/>
        </w:rPr>
      </w:pPr>
    </w:p>
    <w:p w14:paraId="2A132B51" w14:textId="77777777" w:rsidR="00271277" w:rsidRDefault="00271277" w:rsidP="00497E42">
      <w:pPr>
        <w:spacing w:before="120" w:after="120" w:line="360" w:lineRule="auto"/>
        <w:rPr>
          <w:rFonts w:ascii="Arial" w:hAnsi="Arial" w:cs="Arial"/>
          <w:b/>
          <w:sz w:val="22"/>
          <w:szCs w:val="22"/>
        </w:rPr>
      </w:pPr>
    </w:p>
    <w:p w14:paraId="695FFE18" w14:textId="77777777" w:rsidR="00271277" w:rsidRDefault="00271277" w:rsidP="00497E42">
      <w:pPr>
        <w:spacing w:before="120" w:after="120" w:line="360" w:lineRule="auto"/>
        <w:rPr>
          <w:rFonts w:ascii="Arial" w:hAnsi="Arial" w:cs="Arial"/>
          <w:b/>
          <w:sz w:val="22"/>
          <w:szCs w:val="22"/>
        </w:rPr>
      </w:pPr>
    </w:p>
    <w:p w14:paraId="0186CE1D" w14:textId="77777777" w:rsidR="00271277" w:rsidRDefault="00271277" w:rsidP="00497E42">
      <w:pPr>
        <w:spacing w:before="120" w:after="120" w:line="360" w:lineRule="auto"/>
        <w:rPr>
          <w:rFonts w:ascii="Arial" w:hAnsi="Arial" w:cs="Arial"/>
          <w:b/>
          <w:sz w:val="22"/>
          <w:szCs w:val="22"/>
        </w:rPr>
      </w:pPr>
    </w:p>
    <w:p w14:paraId="601D1F7B" w14:textId="77777777" w:rsidR="00271277" w:rsidRDefault="00271277" w:rsidP="00497E42">
      <w:pPr>
        <w:spacing w:before="120" w:after="120" w:line="360" w:lineRule="auto"/>
        <w:rPr>
          <w:rFonts w:ascii="Arial" w:hAnsi="Arial" w:cs="Arial"/>
          <w:b/>
          <w:sz w:val="22"/>
          <w:szCs w:val="22"/>
        </w:rPr>
      </w:pPr>
    </w:p>
    <w:p w14:paraId="349BF679" w14:textId="77777777" w:rsidR="00271277" w:rsidRDefault="00271277" w:rsidP="00497E42">
      <w:pPr>
        <w:spacing w:before="120" w:after="120" w:line="360" w:lineRule="auto"/>
        <w:rPr>
          <w:rFonts w:ascii="Arial" w:hAnsi="Arial" w:cs="Arial"/>
          <w:b/>
          <w:sz w:val="22"/>
          <w:szCs w:val="22"/>
        </w:rPr>
      </w:pPr>
    </w:p>
    <w:p w14:paraId="079928A3" w14:textId="77777777" w:rsidR="00271277" w:rsidRPr="00497E42" w:rsidRDefault="00271277" w:rsidP="00497E42">
      <w:pPr>
        <w:spacing w:before="120" w:after="120" w:line="360" w:lineRule="auto"/>
        <w:rPr>
          <w:rFonts w:ascii="Arial" w:hAnsi="Arial" w:cs="Arial"/>
          <w:b/>
          <w:sz w:val="22"/>
          <w:szCs w:val="22"/>
        </w:rPr>
      </w:pPr>
    </w:p>
    <w:p w14:paraId="4391BBA1" w14:textId="77777777" w:rsidR="0004377A" w:rsidRPr="00497E42" w:rsidRDefault="0004377A" w:rsidP="00497E42">
      <w:pPr>
        <w:spacing w:before="120" w:after="120" w:line="360" w:lineRule="auto"/>
        <w:rPr>
          <w:rFonts w:ascii="Arial" w:hAnsi="Arial" w:cs="Arial"/>
          <w:b/>
          <w:sz w:val="22"/>
          <w:szCs w:val="22"/>
        </w:rPr>
      </w:pPr>
    </w:p>
    <w:sectPr w:rsidR="0004377A" w:rsidRPr="00497E4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41D5C" w14:textId="77777777" w:rsidR="002704C5" w:rsidRDefault="002704C5" w:rsidP="00A56E4E">
      <w:pPr>
        <w:spacing w:after="0" w:line="240" w:lineRule="auto"/>
      </w:pPr>
      <w:r>
        <w:separator/>
      </w:r>
    </w:p>
  </w:endnote>
  <w:endnote w:type="continuationSeparator" w:id="0">
    <w:p w14:paraId="3E148419" w14:textId="77777777" w:rsidR="002704C5" w:rsidRDefault="002704C5" w:rsidP="00A56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6051979"/>
      <w:docPartObj>
        <w:docPartGallery w:val="Page Numbers (Bottom of Page)"/>
        <w:docPartUnique/>
      </w:docPartObj>
    </w:sdtPr>
    <w:sdtEndPr/>
    <w:sdtContent>
      <w:p w14:paraId="00C28A79" w14:textId="39A5D6F1" w:rsidR="00A56E4E" w:rsidRDefault="00A56E4E">
        <w:pPr>
          <w:pStyle w:val="Footer"/>
          <w:jc w:val="center"/>
        </w:pPr>
        <w:r>
          <w:fldChar w:fldCharType="begin"/>
        </w:r>
        <w:r>
          <w:instrText>PAGE   \* MERGEFORMAT</w:instrText>
        </w:r>
        <w:r>
          <w:fldChar w:fldCharType="separate"/>
        </w:r>
        <w:r>
          <w:t>2</w:t>
        </w:r>
        <w:r>
          <w:fldChar w:fldCharType="end"/>
        </w:r>
      </w:p>
    </w:sdtContent>
  </w:sdt>
  <w:p w14:paraId="6D11B7D7" w14:textId="77777777" w:rsidR="00A56E4E" w:rsidRDefault="00A56E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0B99B" w14:textId="77777777" w:rsidR="002704C5" w:rsidRDefault="002704C5" w:rsidP="00A56E4E">
      <w:pPr>
        <w:spacing w:after="0" w:line="240" w:lineRule="auto"/>
      </w:pPr>
      <w:r>
        <w:separator/>
      </w:r>
    </w:p>
  </w:footnote>
  <w:footnote w:type="continuationSeparator" w:id="0">
    <w:p w14:paraId="132F5A54" w14:textId="77777777" w:rsidR="002704C5" w:rsidRDefault="002704C5" w:rsidP="00A56E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77A"/>
    <w:rsid w:val="0004377A"/>
    <w:rsid w:val="00112480"/>
    <w:rsid w:val="001A07FF"/>
    <w:rsid w:val="002704C5"/>
    <w:rsid w:val="00271277"/>
    <w:rsid w:val="002B763C"/>
    <w:rsid w:val="002E0194"/>
    <w:rsid w:val="00311581"/>
    <w:rsid w:val="004139B6"/>
    <w:rsid w:val="00497E42"/>
    <w:rsid w:val="004C23BD"/>
    <w:rsid w:val="004E7303"/>
    <w:rsid w:val="00731029"/>
    <w:rsid w:val="00806153"/>
    <w:rsid w:val="008D758E"/>
    <w:rsid w:val="008F2088"/>
    <w:rsid w:val="00902E56"/>
    <w:rsid w:val="0096013C"/>
    <w:rsid w:val="00A56E4E"/>
    <w:rsid w:val="00A64630"/>
    <w:rsid w:val="00A85283"/>
    <w:rsid w:val="00C67F7E"/>
    <w:rsid w:val="00DA0B0B"/>
    <w:rsid w:val="00DA4355"/>
    <w:rsid w:val="00DE2E97"/>
    <w:rsid w:val="00E13721"/>
    <w:rsid w:val="00EB7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1C1712"/>
  <w15:chartTrackingRefBased/>
  <w15:docId w15:val="{D5DF9E8A-2015-4A0D-864A-3865B6477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37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37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37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37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37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37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37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37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37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37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37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37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37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37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37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37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37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377A"/>
    <w:rPr>
      <w:rFonts w:eastAsiaTheme="majorEastAsia" w:cstheme="majorBidi"/>
      <w:color w:val="272727" w:themeColor="text1" w:themeTint="D8"/>
    </w:rPr>
  </w:style>
  <w:style w:type="paragraph" w:styleId="Title">
    <w:name w:val="Title"/>
    <w:basedOn w:val="Normal"/>
    <w:next w:val="Normal"/>
    <w:link w:val="TitleChar"/>
    <w:uiPriority w:val="10"/>
    <w:qFormat/>
    <w:rsid w:val="000437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37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37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37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377A"/>
    <w:pPr>
      <w:spacing w:before="160"/>
      <w:jc w:val="center"/>
    </w:pPr>
    <w:rPr>
      <w:i/>
      <w:iCs/>
      <w:color w:val="404040" w:themeColor="text1" w:themeTint="BF"/>
    </w:rPr>
  </w:style>
  <w:style w:type="character" w:customStyle="1" w:styleId="QuoteChar">
    <w:name w:val="Quote Char"/>
    <w:basedOn w:val="DefaultParagraphFont"/>
    <w:link w:val="Quote"/>
    <w:uiPriority w:val="29"/>
    <w:rsid w:val="0004377A"/>
    <w:rPr>
      <w:i/>
      <w:iCs/>
      <w:color w:val="404040" w:themeColor="text1" w:themeTint="BF"/>
    </w:rPr>
  </w:style>
  <w:style w:type="paragraph" w:styleId="ListParagraph">
    <w:name w:val="List Paragraph"/>
    <w:basedOn w:val="Normal"/>
    <w:uiPriority w:val="34"/>
    <w:qFormat/>
    <w:rsid w:val="0004377A"/>
    <w:pPr>
      <w:ind w:left="720"/>
      <w:contextualSpacing/>
    </w:pPr>
  </w:style>
  <w:style w:type="character" w:styleId="IntenseEmphasis">
    <w:name w:val="Intense Emphasis"/>
    <w:basedOn w:val="DefaultParagraphFont"/>
    <w:uiPriority w:val="21"/>
    <w:qFormat/>
    <w:rsid w:val="0004377A"/>
    <w:rPr>
      <w:i/>
      <w:iCs/>
      <w:color w:val="0F4761" w:themeColor="accent1" w:themeShade="BF"/>
    </w:rPr>
  </w:style>
  <w:style w:type="paragraph" w:styleId="IntenseQuote">
    <w:name w:val="Intense Quote"/>
    <w:basedOn w:val="Normal"/>
    <w:next w:val="Normal"/>
    <w:link w:val="IntenseQuoteChar"/>
    <w:uiPriority w:val="30"/>
    <w:qFormat/>
    <w:rsid w:val="000437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377A"/>
    <w:rPr>
      <w:i/>
      <w:iCs/>
      <w:color w:val="0F4761" w:themeColor="accent1" w:themeShade="BF"/>
    </w:rPr>
  </w:style>
  <w:style w:type="character" w:styleId="IntenseReference">
    <w:name w:val="Intense Reference"/>
    <w:basedOn w:val="DefaultParagraphFont"/>
    <w:uiPriority w:val="32"/>
    <w:qFormat/>
    <w:rsid w:val="0004377A"/>
    <w:rPr>
      <w:b/>
      <w:bCs/>
      <w:smallCaps/>
      <w:color w:val="0F4761" w:themeColor="accent1" w:themeShade="BF"/>
      <w:spacing w:val="5"/>
    </w:rPr>
  </w:style>
  <w:style w:type="character" w:styleId="Hyperlink">
    <w:name w:val="Hyperlink"/>
    <w:basedOn w:val="DefaultParagraphFont"/>
    <w:uiPriority w:val="99"/>
    <w:unhideWhenUsed/>
    <w:rsid w:val="00497E42"/>
    <w:rPr>
      <w:color w:val="467886" w:themeColor="hyperlink"/>
      <w:u w:val="single"/>
    </w:rPr>
  </w:style>
  <w:style w:type="character" w:styleId="UnresolvedMention">
    <w:name w:val="Unresolved Mention"/>
    <w:basedOn w:val="DefaultParagraphFont"/>
    <w:uiPriority w:val="99"/>
    <w:semiHidden/>
    <w:unhideWhenUsed/>
    <w:rsid w:val="00497E42"/>
    <w:rPr>
      <w:color w:val="605E5C"/>
      <w:shd w:val="clear" w:color="auto" w:fill="E1DFDD"/>
    </w:rPr>
  </w:style>
  <w:style w:type="paragraph" w:styleId="Header">
    <w:name w:val="header"/>
    <w:basedOn w:val="Normal"/>
    <w:link w:val="HeaderChar"/>
    <w:uiPriority w:val="99"/>
    <w:unhideWhenUsed/>
    <w:rsid w:val="00A56E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E4E"/>
  </w:style>
  <w:style w:type="paragraph" w:styleId="Footer">
    <w:name w:val="footer"/>
    <w:basedOn w:val="Normal"/>
    <w:link w:val="FooterChar"/>
    <w:uiPriority w:val="99"/>
    <w:unhideWhenUsed/>
    <w:rsid w:val="00A56E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nhs-app"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10</Pages>
  <Words>2760</Words>
  <Characters>15733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Shabnam Kausar (2319036)</dc:creator>
  <cp:keywords/>
  <dc:description/>
  <cp:lastModifiedBy>Shabnam Kausar (2319036)</cp:lastModifiedBy>
  <cp:revision>22</cp:revision>
  <dcterms:created xsi:type="dcterms:W3CDTF">2026-02-10T09:52:00Z</dcterms:created>
  <dcterms:modified xsi:type="dcterms:W3CDTF">2026-02-10T11:03:00Z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56dd823b-f632-4c57-94c2-98ab27c0f96b</vt:lpwstr>
  </property>
</Properties>
</file>