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B51B705" w14:textId="77777777" w:rsidR="004857E4" w:rsidRPr="002C5C34" w:rsidRDefault="00000000" w:rsidP="002C5C34">
      <w:pPr>
        <w:spacing w:after="480"/>
        <w:jc w:val="center"/>
        <w:rPr>
          <w:rFonts w:cs="Arial"/>
          <w:bCs/>
          <w:color w:val="000000" w:themeColor="text1"/>
        </w:rPr>
      </w:pPr>
      <w:r w:rsidRPr="002C5C34">
        <w:rPr>
          <w:rFonts w:cs="Arial"/>
          <w:bCs/>
          <w:color w:val="000000" w:themeColor="text1"/>
        </w:rPr>
        <w:t>University of Wales Trinity Saint David</w:t>
      </w:r>
    </w:p>
    <w:p w14:paraId="38E719FA" w14:textId="77777777" w:rsidR="004857E4" w:rsidRPr="002C5C34" w:rsidRDefault="00000000" w:rsidP="002C5C34">
      <w:pPr>
        <w:jc w:val="center"/>
        <w:rPr>
          <w:rFonts w:cs="Arial"/>
          <w:bCs/>
          <w:color w:val="000000" w:themeColor="text1"/>
        </w:rPr>
      </w:pPr>
      <w:r w:rsidRPr="002C5C34">
        <w:rPr>
          <w:rFonts w:cs="Arial"/>
          <w:bCs/>
          <w:color w:val="000000" w:themeColor="text1"/>
        </w:rPr>
        <w:t>BA (Hons) Leadership and Management Skills for the Workplace</w:t>
      </w:r>
    </w:p>
    <w:p w14:paraId="14DC5986" w14:textId="77777777" w:rsidR="004857E4" w:rsidRPr="002C5C34" w:rsidRDefault="004857E4" w:rsidP="002C5C34">
      <w:pPr>
        <w:rPr>
          <w:rFonts w:cs="Arial"/>
          <w:bCs/>
          <w:color w:val="000000" w:themeColor="text1"/>
        </w:rPr>
      </w:pPr>
    </w:p>
    <w:p w14:paraId="64632B04" w14:textId="77777777" w:rsidR="004857E4" w:rsidRPr="002C5C34" w:rsidRDefault="00000000" w:rsidP="002C5C34">
      <w:pPr>
        <w:jc w:val="center"/>
        <w:rPr>
          <w:rFonts w:cs="Arial"/>
          <w:bCs/>
          <w:color w:val="000000" w:themeColor="text1"/>
        </w:rPr>
      </w:pPr>
      <w:r w:rsidRPr="002C5C34">
        <w:rPr>
          <w:rFonts w:cs="Arial"/>
          <w:bCs/>
          <w:color w:val="000000" w:themeColor="text1"/>
        </w:rPr>
        <w:t>LCLM 5004 – Managing Business Information</w:t>
      </w:r>
    </w:p>
    <w:p w14:paraId="4B762147" w14:textId="77777777" w:rsidR="004857E4" w:rsidRPr="002C5C34" w:rsidRDefault="004857E4" w:rsidP="002C5C34">
      <w:pPr>
        <w:rPr>
          <w:rFonts w:cs="Arial"/>
          <w:bCs/>
          <w:color w:val="000000" w:themeColor="text1"/>
        </w:rPr>
      </w:pPr>
    </w:p>
    <w:p w14:paraId="0DE77F0E" w14:textId="77777777" w:rsidR="004857E4" w:rsidRPr="002C5C34" w:rsidRDefault="00000000" w:rsidP="002C5C34">
      <w:pPr>
        <w:jc w:val="center"/>
        <w:rPr>
          <w:rFonts w:cs="Arial"/>
          <w:bCs/>
          <w:color w:val="000000" w:themeColor="text1"/>
        </w:rPr>
      </w:pPr>
      <w:r w:rsidRPr="002C5C34">
        <w:rPr>
          <w:rFonts w:cs="Arial"/>
          <w:bCs/>
          <w:color w:val="000000" w:themeColor="text1"/>
        </w:rPr>
        <w:t>Component 2: Individual Report – Information Systems Improvements</w:t>
      </w:r>
    </w:p>
    <w:p w14:paraId="050202E6" w14:textId="77777777" w:rsidR="004857E4" w:rsidRPr="002C5C34" w:rsidRDefault="004857E4" w:rsidP="002C5C34">
      <w:pPr>
        <w:rPr>
          <w:rFonts w:cs="Arial"/>
          <w:bCs/>
          <w:color w:val="000000" w:themeColor="text1"/>
        </w:rPr>
      </w:pPr>
    </w:p>
    <w:p w14:paraId="3935D79E" w14:textId="77777777" w:rsidR="004857E4" w:rsidRPr="002C5C34" w:rsidRDefault="00000000" w:rsidP="002C5C34">
      <w:pPr>
        <w:jc w:val="center"/>
        <w:rPr>
          <w:rFonts w:cs="Arial"/>
          <w:bCs/>
          <w:color w:val="000000" w:themeColor="text1"/>
        </w:rPr>
      </w:pPr>
      <w:r w:rsidRPr="002C5C34">
        <w:rPr>
          <w:rFonts w:cs="Arial"/>
          <w:bCs/>
          <w:color w:val="000000" w:themeColor="text1"/>
        </w:rPr>
        <w:t>A Proposal for an Integrated Information System at Maldiva Ltd.</w:t>
      </w:r>
    </w:p>
    <w:p w14:paraId="619DACBA" w14:textId="77777777" w:rsidR="004857E4" w:rsidRPr="002C5C34" w:rsidRDefault="004857E4" w:rsidP="002C5C34">
      <w:pPr>
        <w:rPr>
          <w:rFonts w:cs="Arial"/>
          <w:bCs/>
          <w:color w:val="000000" w:themeColor="text1"/>
        </w:rPr>
      </w:pPr>
    </w:p>
    <w:p w14:paraId="78F83DB9" w14:textId="77777777" w:rsidR="004857E4" w:rsidRPr="002C5C34" w:rsidRDefault="004857E4" w:rsidP="002C5C34">
      <w:pPr>
        <w:rPr>
          <w:rFonts w:cs="Arial"/>
          <w:bCs/>
          <w:color w:val="000000" w:themeColor="text1"/>
        </w:rPr>
      </w:pPr>
    </w:p>
    <w:p w14:paraId="19E7C85F" w14:textId="77777777" w:rsidR="004857E4" w:rsidRPr="002C5C34" w:rsidRDefault="00000000" w:rsidP="002C5C34">
      <w:pPr>
        <w:rPr>
          <w:rFonts w:cs="Arial"/>
          <w:bCs/>
          <w:color w:val="000000" w:themeColor="text1"/>
        </w:rPr>
      </w:pPr>
      <w:r w:rsidRPr="002C5C34">
        <w:rPr>
          <w:rFonts w:cs="Arial"/>
          <w:bCs/>
          <w:color w:val="000000" w:themeColor="text1"/>
        </w:rPr>
        <w:br w:type="page"/>
      </w:r>
    </w:p>
    <w:p w14:paraId="6BFE93CA" w14:textId="77777777" w:rsidR="004857E4" w:rsidRPr="002C5C34" w:rsidRDefault="00000000" w:rsidP="002C5C34">
      <w:pPr>
        <w:pStyle w:val="Heading1"/>
        <w:spacing w:before="160" w:after="80"/>
        <w:rPr>
          <w:rFonts w:ascii="Arial" w:hAnsi="Arial" w:cs="Arial"/>
          <w:b w:val="0"/>
          <w:color w:val="000000" w:themeColor="text1"/>
          <w:sz w:val="22"/>
          <w:szCs w:val="22"/>
        </w:rPr>
      </w:pPr>
      <w:r w:rsidRPr="002C5C34">
        <w:rPr>
          <w:rFonts w:ascii="Arial" w:hAnsi="Arial" w:cs="Arial"/>
          <w:b w:val="0"/>
          <w:color w:val="000000" w:themeColor="text1"/>
          <w:sz w:val="22"/>
          <w:szCs w:val="22"/>
        </w:rPr>
        <w:lastRenderedPageBreak/>
        <w:t>Contents</w:t>
      </w:r>
    </w:p>
    <w:p w14:paraId="20789DD4" w14:textId="77777777" w:rsidR="004857E4" w:rsidRPr="002C5C34" w:rsidRDefault="00000000" w:rsidP="002C5C34">
      <w:pPr>
        <w:tabs>
          <w:tab w:val="right" w:leader="dot" w:pos="9000"/>
        </w:tabs>
        <w:spacing w:line="276" w:lineRule="auto"/>
        <w:rPr>
          <w:rFonts w:cs="Arial"/>
          <w:bCs/>
          <w:color w:val="000000" w:themeColor="text1"/>
        </w:rPr>
      </w:pPr>
      <w:r w:rsidRPr="002C5C34">
        <w:rPr>
          <w:rFonts w:cs="Arial"/>
          <w:bCs/>
          <w:color w:val="000000" w:themeColor="text1"/>
        </w:rPr>
        <w:t>1. Introduction</w:t>
      </w:r>
      <w:r w:rsidRPr="002C5C34">
        <w:rPr>
          <w:rFonts w:cs="Arial"/>
          <w:bCs/>
          <w:color w:val="000000" w:themeColor="text1"/>
        </w:rPr>
        <w:tab/>
        <w:t>3</w:t>
      </w:r>
    </w:p>
    <w:p w14:paraId="4E4B81A4" w14:textId="77777777" w:rsidR="004857E4" w:rsidRPr="002C5C34" w:rsidRDefault="00000000" w:rsidP="002C5C34">
      <w:pPr>
        <w:tabs>
          <w:tab w:val="right" w:leader="dot" w:pos="9000"/>
        </w:tabs>
        <w:spacing w:line="276" w:lineRule="auto"/>
        <w:rPr>
          <w:rFonts w:cs="Arial"/>
          <w:bCs/>
          <w:color w:val="000000" w:themeColor="text1"/>
        </w:rPr>
      </w:pPr>
      <w:r w:rsidRPr="002C5C34">
        <w:rPr>
          <w:rFonts w:cs="Arial"/>
          <w:bCs/>
          <w:color w:val="000000" w:themeColor="text1"/>
        </w:rPr>
        <w:t>2. Evaluation of Existing Systems</w:t>
      </w:r>
      <w:r w:rsidRPr="002C5C34">
        <w:rPr>
          <w:rFonts w:cs="Arial"/>
          <w:bCs/>
          <w:color w:val="000000" w:themeColor="text1"/>
        </w:rPr>
        <w:tab/>
        <w:t>3</w:t>
      </w:r>
    </w:p>
    <w:p w14:paraId="41B95030" w14:textId="77777777" w:rsidR="004857E4" w:rsidRPr="002C5C34" w:rsidRDefault="00000000" w:rsidP="002C5C34">
      <w:pPr>
        <w:tabs>
          <w:tab w:val="right" w:leader="dot" w:pos="9000"/>
        </w:tabs>
        <w:spacing w:line="276" w:lineRule="auto"/>
        <w:ind w:left="317"/>
        <w:rPr>
          <w:rFonts w:cs="Arial"/>
          <w:bCs/>
          <w:color w:val="000000" w:themeColor="text1"/>
        </w:rPr>
      </w:pPr>
      <w:r w:rsidRPr="002C5C34">
        <w:rPr>
          <w:rFonts w:cs="Arial"/>
          <w:bCs/>
          <w:color w:val="000000" w:themeColor="text1"/>
        </w:rPr>
        <w:t>2.1 Socio-technical and information-quality analysis</w:t>
      </w:r>
      <w:r w:rsidRPr="002C5C34">
        <w:rPr>
          <w:rFonts w:cs="Arial"/>
          <w:bCs/>
          <w:color w:val="000000" w:themeColor="text1"/>
        </w:rPr>
        <w:tab/>
        <w:t>3</w:t>
      </w:r>
    </w:p>
    <w:p w14:paraId="7D461295" w14:textId="77777777" w:rsidR="004857E4" w:rsidRPr="002C5C34" w:rsidRDefault="00000000" w:rsidP="002C5C34">
      <w:pPr>
        <w:tabs>
          <w:tab w:val="right" w:leader="dot" w:pos="9000"/>
        </w:tabs>
        <w:spacing w:line="276" w:lineRule="auto"/>
        <w:ind w:left="317"/>
        <w:rPr>
          <w:rFonts w:cs="Arial"/>
          <w:bCs/>
          <w:color w:val="000000" w:themeColor="text1"/>
        </w:rPr>
      </w:pPr>
      <w:r w:rsidRPr="002C5C34">
        <w:rPr>
          <w:rFonts w:cs="Arial"/>
          <w:bCs/>
          <w:color w:val="000000" w:themeColor="text1"/>
        </w:rPr>
        <w:t>2.2 Option appraisal and total cost of ownership</w:t>
      </w:r>
      <w:r w:rsidRPr="002C5C34">
        <w:rPr>
          <w:rFonts w:cs="Arial"/>
          <w:bCs/>
          <w:color w:val="000000" w:themeColor="text1"/>
        </w:rPr>
        <w:tab/>
        <w:t>4</w:t>
      </w:r>
    </w:p>
    <w:p w14:paraId="0443D378" w14:textId="77777777" w:rsidR="004857E4" w:rsidRPr="002C5C34" w:rsidRDefault="00000000" w:rsidP="002C5C34">
      <w:pPr>
        <w:tabs>
          <w:tab w:val="right" w:leader="dot" w:pos="9000"/>
        </w:tabs>
        <w:spacing w:line="276" w:lineRule="auto"/>
        <w:rPr>
          <w:rFonts w:cs="Arial"/>
          <w:bCs/>
          <w:color w:val="000000" w:themeColor="text1"/>
        </w:rPr>
      </w:pPr>
      <w:r w:rsidRPr="002C5C34">
        <w:rPr>
          <w:rFonts w:cs="Arial"/>
          <w:bCs/>
          <w:color w:val="000000" w:themeColor="text1"/>
        </w:rPr>
        <w:t>3. Recommended Solution</w:t>
      </w:r>
      <w:r w:rsidRPr="002C5C34">
        <w:rPr>
          <w:rFonts w:cs="Arial"/>
          <w:bCs/>
          <w:color w:val="000000" w:themeColor="text1"/>
        </w:rPr>
        <w:tab/>
        <w:t>5</w:t>
      </w:r>
    </w:p>
    <w:p w14:paraId="3914674E" w14:textId="77777777" w:rsidR="004857E4" w:rsidRPr="002C5C34" w:rsidRDefault="00000000" w:rsidP="002C5C34">
      <w:pPr>
        <w:tabs>
          <w:tab w:val="right" w:leader="dot" w:pos="9000"/>
        </w:tabs>
        <w:spacing w:line="276" w:lineRule="auto"/>
        <w:ind w:left="317"/>
        <w:rPr>
          <w:rFonts w:cs="Arial"/>
          <w:bCs/>
          <w:color w:val="000000" w:themeColor="text1"/>
        </w:rPr>
      </w:pPr>
      <w:r w:rsidRPr="002C5C34">
        <w:rPr>
          <w:rFonts w:cs="Arial"/>
          <w:bCs/>
          <w:color w:val="000000" w:themeColor="text1"/>
        </w:rPr>
        <w:t>3.1 Integrated cloud ERP architecture</w:t>
      </w:r>
      <w:r w:rsidRPr="002C5C34">
        <w:rPr>
          <w:rFonts w:cs="Arial"/>
          <w:bCs/>
          <w:color w:val="000000" w:themeColor="text1"/>
        </w:rPr>
        <w:tab/>
        <w:t>5</w:t>
      </w:r>
    </w:p>
    <w:p w14:paraId="5ECBE477" w14:textId="77777777" w:rsidR="004857E4" w:rsidRPr="002C5C34" w:rsidRDefault="00000000" w:rsidP="002C5C34">
      <w:pPr>
        <w:tabs>
          <w:tab w:val="right" w:leader="dot" w:pos="9000"/>
        </w:tabs>
        <w:spacing w:line="276" w:lineRule="auto"/>
        <w:ind w:left="317"/>
        <w:rPr>
          <w:rFonts w:cs="Arial"/>
          <w:bCs/>
          <w:color w:val="000000" w:themeColor="text1"/>
        </w:rPr>
      </w:pPr>
      <w:r w:rsidRPr="002C5C34">
        <w:rPr>
          <w:rFonts w:cs="Arial"/>
          <w:bCs/>
          <w:color w:val="000000" w:themeColor="text1"/>
        </w:rPr>
        <w:t>3.2 Security, privacy, ethics and sustainability</w:t>
      </w:r>
      <w:r w:rsidRPr="002C5C34">
        <w:rPr>
          <w:rFonts w:cs="Arial"/>
          <w:bCs/>
          <w:color w:val="000000" w:themeColor="text1"/>
        </w:rPr>
        <w:tab/>
        <w:t>6</w:t>
      </w:r>
    </w:p>
    <w:p w14:paraId="4F088DDC" w14:textId="77777777" w:rsidR="004857E4" w:rsidRPr="002C5C34" w:rsidRDefault="00000000" w:rsidP="002C5C34">
      <w:pPr>
        <w:tabs>
          <w:tab w:val="right" w:leader="dot" w:pos="9000"/>
        </w:tabs>
        <w:spacing w:line="276" w:lineRule="auto"/>
        <w:rPr>
          <w:rFonts w:cs="Arial"/>
          <w:bCs/>
          <w:color w:val="000000" w:themeColor="text1"/>
        </w:rPr>
      </w:pPr>
      <w:r w:rsidRPr="002C5C34">
        <w:rPr>
          <w:rFonts w:cs="Arial"/>
          <w:bCs/>
          <w:color w:val="000000" w:themeColor="text1"/>
        </w:rPr>
        <w:t>4. Implementation Plan</w:t>
      </w:r>
      <w:r w:rsidRPr="002C5C34">
        <w:rPr>
          <w:rFonts w:cs="Arial"/>
          <w:bCs/>
          <w:color w:val="000000" w:themeColor="text1"/>
        </w:rPr>
        <w:tab/>
        <w:t>7</w:t>
      </w:r>
    </w:p>
    <w:p w14:paraId="16370897" w14:textId="77777777" w:rsidR="004857E4" w:rsidRPr="002C5C34" w:rsidRDefault="00000000" w:rsidP="002C5C34">
      <w:pPr>
        <w:tabs>
          <w:tab w:val="right" w:leader="dot" w:pos="9000"/>
        </w:tabs>
        <w:spacing w:line="276" w:lineRule="auto"/>
        <w:ind w:left="317"/>
        <w:rPr>
          <w:rFonts w:cs="Arial"/>
          <w:bCs/>
          <w:color w:val="000000" w:themeColor="text1"/>
        </w:rPr>
      </w:pPr>
      <w:r w:rsidRPr="002C5C34">
        <w:rPr>
          <w:rFonts w:cs="Arial"/>
          <w:bCs/>
          <w:color w:val="000000" w:themeColor="text1"/>
        </w:rPr>
        <w:t>4.1 Phased delivery, governance and adoption</w:t>
      </w:r>
      <w:r w:rsidRPr="002C5C34">
        <w:rPr>
          <w:rFonts w:cs="Arial"/>
          <w:bCs/>
          <w:color w:val="000000" w:themeColor="text1"/>
        </w:rPr>
        <w:tab/>
        <w:t>7</w:t>
      </w:r>
    </w:p>
    <w:p w14:paraId="58515043" w14:textId="77777777" w:rsidR="004857E4" w:rsidRPr="002C5C34" w:rsidRDefault="00000000" w:rsidP="002C5C34">
      <w:pPr>
        <w:tabs>
          <w:tab w:val="right" w:leader="dot" w:pos="9000"/>
        </w:tabs>
        <w:spacing w:line="276" w:lineRule="auto"/>
        <w:ind w:left="317"/>
        <w:rPr>
          <w:rFonts w:cs="Arial"/>
          <w:bCs/>
          <w:color w:val="000000" w:themeColor="text1"/>
        </w:rPr>
      </w:pPr>
      <w:r w:rsidRPr="002C5C34">
        <w:rPr>
          <w:rFonts w:cs="Arial"/>
          <w:bCs/>
          <w:color w:val="000000" w:themeColor="text1"/>
        </w:rPr>
        <w:t>4.2 Risk control and benefits realisation</w:t>
      </w:r>
      <w:r w:rsidRPr="002C5C34">
        <w:rPr>
          <w:rFonts w:cs="Arial"/>
          <w:bCs/>
          <w:color w:val="000000" w:themeColor="text1"/>
        </w:rPr>
        <w:tab/>
        <w:t>8</w:t>
      </w:r>
    </w:p>
    <w:p w14:paraId="4280F826" w14:textId="77777777" w:rsidR="004857E4" w:rsidRPr="002C5C34" w:rsidRDefault="00000000" w:rsidP="002C5C34">
      <w:pPr>
        <w:tabs>
          <w:tab w:val="right" w:leader="dot" w:pos="9000"/>
        </w:tabs>
        <w:spacing w:line="276" w:lineRule="auto"/>
        <w:rPr>
          <w:rFonts w:cs="Arial"/>
          <w:bCs/>
          <w:color w:val="000000" w:themeColor="text1"/>
        </w:rPr>
      </w:pPr>
      <w:r w:rsidRPr="002C5C34">
        <w:rPr>
          <w:rFonts w:cs="Arial"/>
          <w:bCs/>
          <w:color w:val="000000" w:themeColor="text1"/>
        </w:rPr>
        <w:t>5. Conclusion</w:t>
      </w:r>
      <w:r w:rsidRPr="002C5C34">
        <w:rPr>
          <w:rFonts w:cs="Arial"/>
          <w:bCs/>
          <w:color w:val="000000" w:themeColor="text1"/>
        </w:rPr>
        <w:tab/>
        <w:t>8</w:t>
      </w:r>
    </w:p>
    <w:p w14:paraId="68BCB387" w14:textId="77777777" w:rsidR="004857E4" w:rsidRPr="002C5C34" w:rsidRDefault="00000000" w:rsidP="002C5C34">
      <w:pPr>
        <w:rPr>
          <w:rFonts w:cs="Arial"/>
          <w:bCs/>
          <w:color w:val="000000" w:themeColor="text1"/>
        </w:rPr>
      </w:pPr>
      <w:r w:rsidRPr="002C5C34">
        <w:rPr>
          <w:rFonts w:cs="Arial"/>
          <w:bCs/>
          <w:color w:val="000000" w:themeColor="text1"/>
        </w:rPr>
        <w:br w:type="page"/>
      </w:r>
    </w:p>
    <w:p w14:paraId="2A402733" w14:textId="77777777" w:rsidR="004857E4" w:rsidRPr="002C5C34" w:rsidRDefault="00000000" w:rsidP="002C5C34">
      <w:pPr>
        <w:pStyle w:val="Heading1"/>
        <w:spacing w:before="160" w:after="80"/>
        <w:rPr>
          <w:rFonts w:ascii="Arial" w:hAnsi="Arial" w:cs="Arial"/>
          <w:b w:val="0"/>
          <w:color w:val="000000" w:themeColor="text1"/>
          <w:sz w:val="22"/>
          <w:szCs w:val="22"/>
        </w:rPr>
      </w:pPr>
      <w:r w:rsidRPr="002C5C34">
        <w:rPr>
          <w:rFonts w:ascii="Arial" w:hAnsi="Arial" w:cs="Arial"/>
          <w:b w:val="0"/>
          <w:color w:val="000000" w:themeColor="text1"/>
          <w:sz w:val="22"/>
          <w:szCs w:val="22"/>
        </w:rPr>
        <w:lastRenderedPageBreak/>
        <w:t>1. Introduction</w:t>
      </w:r>
    </w:p>
    <w:p w14:paraId="7A2C8B3E" w14:textId="77777777" w:rsidR="004857E4" w:rsidRPr="002C5C34" w:rsidRDefault="00000000" w:rsidP="002C5C34">
      <w:pPr>
        <w:jc w:val="both"/>
        <w:rPr>
          <w:rFonts w:cs="Arial"/>
          <w:bCs/>
          <w:color w:val="000000" w:themeColor="text1"/>
        </w:rPr>
      </w:pPr>
      <w:r w:rsidRPr="002C5C34">
        <w:rPr>
          <w:rFonts w:cs="Arial"/>
          <w:bCs/>
          <w:color w:val="000000" w:themeColor="text1"/>
        </w:rPr>
        <w:t>Maldiva Ltd. is a fast-growing consumer-electronics retailer with 30 stores and an e-commerce platform. Its growth has exposed serious weaknesses in inventory control, customer information, reporting, data protection and communication between departments. Manual stock records allow online orders to be accepted for unavailable items; customer records are fragmented; spreadsheet reports are late and error-prone; and sales, finance and inventory applications do not exchange data. The resulting refunds, delayed fulfilment, excess stock and weak forecasting threaten customer trust and profitable expansion.</w:t>
      </w:r>
    </w:p>
    <w:p w14:paraId="19E6C0D0" w14:textId="77777777" w:rsidR="004857E4" w:rsidRPr="002C5C34" w:rsidRDefault="00000000" w:rsidP="002C5C34">
      <w:pPr>
        <w:jc w:val="both"/>
        <w:rPr>
          <w:rFonts w:cs="Arial"/>
          <w:bCs/>
          <w:color w:val="000000" w:themeColor="text1"/>
        </w:rPr>
      </w:pPr>
      <w:r w:rsidRPr="002C5C34">
        <w:rPr>
          <w:rFonts w:cs="Arial"/>
          <w:bCs/>
          <w:color w:val="000000" w:themeColor="text1"/>
        </w:rPr>
        <w:t>An information system is not simply software: it combines technology, data, people, procedures and organisational arrangements. This proposal therefore treats Maldiva’s problem as a socio-technical and governance failure rather than a narrow IT fault. It evaluates the existing systems, compares three alternatives and recommends an integrated cloud enterprise resource planning (ERP) platform with customer relationship management (CRM), real-time omnichannel inventory, finance and business-intelligence (BI) capabilities. The recommendation is supported by a phased implementation, security-by-design controls and measurable benefits. Because Maldiva is fictional and provides no budget or baseline performance data, all scores, targets and timings are provisional consultancy judgements to be validated during discovery and competitive procurement.</w:t>
      </w:r>
    </w:p>
    <w:p w14:paraId="447FA5A2" w14:textId="77777777" w:rsidR="004857E4" w:rsidRPr="002C5C34" w:rsidRDefault="00000000" w:rsidP="002C5C34">
      <w:pPr>
        <w:pStyle w:val="Heading1"/>
        <w:spacing w:before="160" w:after="80"/>
        <w:rPr>
          <w:rFonts w:ascii="Arial" w:hAnsi="Arial" w:cs="Arial"/>
          <w:b w:val="0"/>
          <w:color w:val="000000" w:themeColor="text1"/>
          <w:sz w:val="22"/>
          <w:szCs w:val="22"/>
        </w:rPr>
      </w:pPr>
      <w:r w:rsidRPr="002C5C34">
        <w:rPr>
          <w:rFonts w:ascii="Arial" w:hAnsi="Arial" w:cs="Arial"/>
          <w:b w:val="0"/>
          <w:color w:val="000000" w:themeColor="text1"/>
          <w:sz w:val="22"/>
          <w:szCs w:val="22"/>
        </w:rPr>
        <w:t>2. Evaluation of Existing Systems</w:t>
      </w:r>
    </w:p>
    <w:p w14:paraId="700208EC" w14:textId="77777777" w:rsidR="004857E4" w:rsidRPr="002C5C34" w:rsidRDefault="00000000" w:rsidP="002C5C34">
      <w:pPr>
        <w:pStyle w:val="Heading2"/>
        <w:spacing w:before="160" w:after="80"/>
        <w:rPr>
          <w:rFonts w:ascii="Arial" w:hAnsi="Arial" w:cs="Arial"/>
          <w:b w:val="0"/>
          <w:color w:val="000000" w:themeColor="text1"/>
          <w:sz w:val="22"/>
          <w:szCs w:val="22"/>
        </w:rPr>
      </w:pPr>
      <w:r w:rsidRPr="002C5C34">
        <w:rPr>
          <w:rFonts w:ascii="Arial" w:hAnsi="Arial" w:cs="Arial"/>
          <w:b w:val="0"/>
          <w:color w:val="000000" w:themeColor="text1"/>
          <w:sz w:val="22"/>
          <w:szCs w:val="22"/>
        </w:rPr>
        <w:t>2.1 Socio-technical and information-quality analysis</w:t>
      </w:r>
    </w:p>
    <w:p w14:paraId="191D341B" w14:textId="77777777" w:rsidR="004857E4" w:rsidRPr="002C5C34" w:rsidRDefault="00000000" w:rsidP="002C5C34">
      <w:pPr>
        <w:jc w:val="both"/>
        <w:rPr>
          <w:rFonts w:cs="Arial"/>
          <w:bCs/>
          <w:color w:val="000000" w:themeColor="text1"/>
        </w:rPr>
      </w:pPr>
      <w:r w:rsidRPr="002C5C34">
        <w:rPr>
          <w:rFonts w:cs="Arial"/>
          <w:bCs/>
          <w:color w:val="000000" w:themeColor="text1"/>
        </w:rPr>
        <w:t>From a people–organisation–technology perspective, the defects are mutually reinforcing. Technologically, manual inventory and disconnected databases create duplicate records and no reliable ‘single source of truth’. Organisationally, departments use different definitions and transfer data manually, so ownership and accountability are unclear. For employees, repetitive entry increases workload and encourages local workarounds. Replacing software without redesigning processes, responsibilities and training would therefore reproduce many of the same failures.</w:t>
      </w:r>
    </w:p>
    <w:p w14:paraId="1064B8B8" w14:textId="77777777" w:rsidR="004857E4" w:rsidRPr="002C5C34" w:rsidRDefault="00000000" w:rsidP="002C5C34">
      <w:pPr>
        <w:jc w:val="both"/>
        <w:rPr>
          <w:rFonts w:cs="Arial"/>
          <w:bCs/>
          <w:color w:val="000000" w:themeColor="text1"/>
        </w:rPr>
      </w:pPr>
      <w:r w:rsidRPr="002C5C34">
        <w:rPr>
          <w:rFonts w:cs="Arial"/>
          <w:bCs/>
          <w:color w:val="000000" w:themeColor="text1"/>
        </w:rPr>
        <w:t>The existing systems can be evaluated through system quality, information quality, use, user satisfaction and net business benefits. Maldiva performs poorly in each area: applications are inconvenient and unintegrated; stock and customer information is incomplete or late; employees cannot rely on reports; and customers experience cancellations and slow complaint handling. Database integration matters because information creates value only when accurate data can be converted into timely operational and managerial decisions.</w:t>
      </w:r>
    </w:p>
    <w:p w14:paraId="030F1435" w14:textId="77777777" w:rsidR="004857E4" w:rsidRPr="002C5C34" w:rsidRDefault="00000000" w:rsidP="002C5C34">
      <w:pPr>
        <w:jc w:val="both"/>
        <w:rPr>
          <w:rFonts w:cs="Arial"/>
          <w:bCs/>
          <w:color w:val="000000" w:themeColor="text1"/>
        </w:rPr>
      </w:pPr>
      <w:r w:rsidRPr="002C5C34">
        <w:rPr>
          <w:rFonts w:cs="Arial"/>
          <w:bCs/>
          <w:color w:val="000000" w:themeColor="text1"/>
        </w:rPr>
        <w:t xml:space="preserve">The CRM weakness is not solved merely by purchasing a marketing tool. Purchase history, returns, service interactions and consent preferences must be connected to the same customer record. Similarly, BI dashboards cannot correct poor source data. Data owners, common definitions, </w:t>
      </w:r>
      <w:r w:rsidRPr="002C5C34">
        <w:rPr>
          <w:rFonts w:cs="Arial"/>
          <w:bCs/>
          <w:color w:val="000000" w:themeColor="text1"/>
        </w:rPr>
        <w:lastRenderedPageBreak/>
        <w:t>validation rules and audit trails are prerequisites for trustworthy analytics. Effective omnichannel retail depends on channel and data integration, which directly reflects Maldiva’s conflict between store and online availability.</w:t>
      </w:r>
    </w:p>
    <w:p w14:paraId="7486F2EB" w14:textId="77777777" w:rsidR="004857E4" w:rsidRPr="002C5C34" w:rsidRDefault="00000000" w:rsidP="002C5C34">
      <w:pPr>
        <w:pStyle w:val="Heading2"/>
        <w:spacing w:before="160" w:after="80"/>
        <w:rPr>
          <w:rFonts w:ascii="Arial" w:hAnsi="Arial" w:cs="Arial"/>
          <w:b w:val="0"/>
          <w:color w:val="000000" w:themeColor="text1"/>
          <w:sz w:val="22"/>
          <w:szCs w:val="22"/>
        </w:rPr>
      </w:pPr>
      <w:r w:rsidRPr="002C5C34">
        <w:rPr>
          <w:rFonts w:ascii="Arial" w:hAnsi="Arial" w:cs="Arial"/>
          <w:b w:val="0"/>
          <w:color w:val="000000" w:themeColor="text1"/>
          <w:sz w:val="22"/>
          <w:szCs w:val="22"/>
        </w:rPr>
        <w:t>2.2 Option appraisal and total cost of ownership</w:t>
      </w:r>
    </w:p>
    <w:p w14:paraId="78220E04" w14:textId="77777777" w:rsidR="004857E4" w:rsidRPr="002C5C34" w:rsidRDefault="00000000" w:rsidP="002C5C34">
      <w:pPr>
        <w:jc w:val="both"/>
        <w:rPr>
          <w:rFonts w:cs="Arial"/>
          <w:bCs/>
          <w:color w:val="000000" w:themeColor="text1"/>
        </w:rPr>
      </w:pPr>
      <w:r w:rsidRPr="002C5C34">
        <w:rPr>
          <w:rFonts w:cs="Arial"/>
          <w:bCs/>
          <w:color w:val="000000" w:themeColor="text1"/>
        </w:rPr>
        <w:t>Three realistic options were evaluated using criteria derived from the business case and the Technology–Organisation–Environment (TOE) framework. This approach considers technical fit, organisational resources and external pressures such as competitors and regulation. Scores in Table 1 range from 1 (poor) to 5 (excellent); the weighted totals express comparative suitability, not precise financial returns.</w:t>
      </w:r>
    </w:p>
    <w:p w14:paraId="4D80AEC1" w14:textId="77777777" w:rsidR="004857E4" w:rsidRPr="002C5C34" w:rsidRDefault="00000000" w:rsidP="002C5C34">
      <w:pPr>
        <w:pStyle w:val="Caption"/>
        <w:keepNext/>
        <w:spacing w:after="60"/>
        <w:jc w:val="center"/>
        <w:rPr>
          <w:rFonts w:cs="Arial"/>
          <w:b w:val="0"/>
          <w:color w:val="000000" w:themeColor="text1"/>
          <w:sz w:val="22"/>
          <w:szCs w:val="22"/>
        </w:rPr>
      </w:pPr>
      <w:r w:rsidRPr="002C5C34">
        <w:rPr>
          <w:rFonts w:cs="Arial"/>
          <w:b w:val="0"/>
          <w:color w:val="000000" w:themeColor="text1"/>
          <w:sz w:val="22"/>
          <w:szCs w:val="22"/>
        </w:rPr>
        <w:t>Table 1. Weighted decision matrix for Maldiva Ltd.</w:t>
      </w:r>
    </w:p>
    <w:tbl>
      <w:tblPr>
        <w:tblStyle w:val="TableGrid"/>
        <w:tblW w:w="0" w:type="auto"/>
        <w:jc w:val="center"/>
        <w:tblLook w:val="04A0" w:firstRow="1" w:lastRow="0" w:firstColumn="1" w:lastColumn="0" w:noHBand="0" w:noVBand="1"/>
      </w:tblPr>
      <w:tblGrid>
        <w:gridCol w:w="1929"/>
        <w:gridCol w:w="1927"/>
        <w:gridCol w:w="1927"/>
        <w:gridCol w:w="1927"/>
        <w:gridCol w:w="1928"/>
      </w:tblGrid>
      <w:tr w:rsidR="004857E4" w:rsidRPr="002C5C34" w14:paraId="71D1F0B4" w14:textId="77777777" w:rsidTr="002C5C34">
        <w:trPr>
          <w:cantSplit/>
          <w:tblHeader/>
          <w:jc w:val="center"/>
        </w:trPr>
        <w:tc>
          <w:tcPr>
            <w:tcW w:w="1930" w:type="dxa"/>
            <w:vAlign w:val="center"/>
          </w:tcPr>
          <w:p w14:paraId="5CBD135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Criterion (weight)</w:t>
            </w:r>
          </w:p>
        </w:tc>
        <w:tc>
          <w:tcPr>
            <w:tcW w:w="1930" w:type="dxa"/>
            <w:vAlign w:val="center"/>
          </w:tcPr>
          <w:p w14:paraId="5C9B68F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Legacy + interfaces</w:t>
            </w:r>
          </w:p>
        </w:tc>
        <w:tc>
          <w:tcPr>
            <w:tcW w:w="1930" w:type="dxa"/>
            <w:vAlign w:val="center"/>
          </w:tcPr>
          <w:p w14:paraId="5116915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Separate specialist tools</w:t>
            </w:r>
          </w:p>
        </w:tc>
        <w:tc>
          <w:tcPr>
            <w:tcW w:w="1930" w:type="dxa"/>
            <w:vAlign w:val="center"/>
          </w:tcPr>
          <w:p w14:paraId="69D286A0"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Integrated cloud ERP</w:t>
            </w:r>
          </w:p>
        </w:tc>
        <w:tc>
          <w:tcPr>
            <w:tcW w:w="1930" w:type="dxa"/>
            <w:vAlign w:val="center"/>
          </w:tcPr>
          <w:p w14:paraId="4C83A80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Reason for weight</w:t>
            </w:r>
          </w:p>
        </w:tc>
      </w:tr>
      <w:tr w:rsidR="004857E4" w:rsidRPr="002C5C34" w14:paraId="3A110BF9" w14:textId="77777777">
        <w:trPr>
          <w:cantSplit/>
          <w:jc w:val="center"/>
        </w:trPr>
        <w:tc>
          <w:tcPr>
            <w:tcW w:w="1930" w:type="dxa"/>
            <w:vAlign w:val="center"/>
          </w:tcPr>
          <w:p w14:paraId="1E0C134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Integration and data consistency (25%)</w:t>
            </w:r>
          </w:p>
        </w:tc>
        <w:tc>
          <w:tcPr>
            <w:tcW w:w="1930" w:type="dxa"/>
            <w:vAlign w:val="center"/>
          </w:tcPr>
          <w:p w14:paraId="504BE481"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2</w:t>
            </w:r>
          </w:p>
        </w:tc>
        <w:tc>
          <w:tcPr>
            <w:tcW w:w="1930" w:type="dxa"/>
            <w:vAlign w:val="center"/>
          </w:tcPr>
          <w:p w14:paraId="0A8A09AD"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3</w:t>
            </w:r>
          </w:p>
        </w:tc>
        <w:tc>
          <w:tcPr>
            <w:tcW w:w="1930" w:type="dxa"/>
            <w:vAlign w:val="center"/>
          </w:tcPr>
          <w:p w14:paraId="6CA1D90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5</w:t>
            </w:r>
          </w:p>
        </w:tc>
        <w:tc>
          <w:tcPr>
            <w:tcW w:w="1930" w:type="dxa"/>
            <w:vAlign w:val="center"/>
          </w:tcPr>
          <w:p w14:paraId="18100809"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Root cause of present failures</w:t>
            </w:r>
          </w:p>
        </w:tc>
      </w:tr>
      <w:tr w:rsidR="004857E4" w:rsidRPr="002C5C34" w14:paraId="04B1CEC9" w14:textId="77777777">
        <w:trPr>
          <w:cantSplit/>
          <w:jc w:val="center"/>
        </w:trPr>
        <w:tc>
          <w:tcPr>
            <w:tcW w:w="1930" w:type="dxa"/>
            <w:vAlign w:val="center"/>
          </w:tcPr>
          <w:p w14:paraId="3B052CF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Process efficiency (15%)</w:t>
            </w:r>
          </w:p>
        </w:tc>
        <w:tc>
          <w:tcPr>
            <w:tcW w:w="1930" w:type="dxa"/>
            <w:vAlign w:val="center"/>
          </w:tcPr>
          <w:p w14:paraId="509AF3F2"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2</w:t>
            </w:r>
          </w:p>
        </w:tc>
        <w:tc>
          <w:tcPr>
            <w:tcW w:w="1930" w:type="dxa"/>
            <w:vAlign w:val="center"/>
          </w:tcPr>
          <w:p w14:paraId="638D5A30"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4</w:t>
            </w:r>
          </w:p>
        </w:tc>
        <w:tc>
          <w:tcPr>
            <w:tcW w:w="1930" w:type="dxa"/>
            <w:vAlign w:val="center"/>
          </w:tcPr>
          <w:p w14:paraId="40C9C405"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5</w:t>
            </w:r>
          </w:p>
        </w:tc>
        <w:tc>
          <w:tcPr>
            <w:tcW w:w="1930" w:type="dxa"/>
            <w:vAlign w:val="center"/>
          </w:tcPr>
          <w:p w14:paraId="1771D2D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Manual work must be removed</w:t>
            </w:r>
          </w:p>
        </w:tc>
      </w:tr>
      <w:tr w:rsidR="004857E4" w:rsidRPr="002C5C34" w14:paraId="5BF67FE1" w14:textId="77777777">
        <w:trPr>
          <w:cantSplit/>
          <w:jc w:val="center"/>
        </w:trPr>
        <w:tc>
          <w:tcPr>
            <w:tcW w:w="1930" w:type="dxa"/>
            <w:vAlign w:val="center"/>
          </w:tcPr>
          <w:p w14:paraId="3456983D"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Scalability (15%)</w:t>
            </w:r>
          </w:p>
        </w:tc>
        <w:tc>
          <w:tcPr>
            <w:tcW w:w="1930" w:type="dxa"/>
            <w:vAlign w:val="center"/>
          </w:tcPr>
          <w:p w14:paraId="791B1DDE"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2</w:t>
            </w:r>
          </w:p>
        </w:tc>
        <w:tc>
          <w:tcPr>
            <w:tcW w:w="1930" w:type="dxa"/>
            <w:vAlign w:val="center"/>
          </w:tcPr>
          <w:p w14:paraId="2055D951"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4</w:t>
            </w:r>
          </w:p>
        </w:tc>
        <w:tc>
          <w:tcPr>
            <w:tcW w:w="1930" w:type="dxa"/>
            <w:vAlign w:val="center"/>
          </w:tcPr>
          <w:p w14:paraId="187EC215"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5</w:t>
            </w:r>
          </w:p>
        </w:tc>
        <w:tc>
          <w:tcPr>
            <w:tcW w:w="1930" w:type="dxa"/>
            <w:vAlign w:val="center"/>
          </w:tcPr>
          <w:p w14:paraId="51E8684F"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Further stores and online growth</w:t>
            </w:r>
          </w:p>
        </w:tc>
      </w:tr>
      <w:tr w:rsidR="004857E4" w:rsidRPr="002C5C34" w14:paraId="1E787CDC" w14:textId="77777777">
        <w:trPr>
          <w:cantSplit/>
          <w:jc w:val="center"/>
        </w:trPr>
        <w:tc>
          <w:tcPr>
            <w:tcW w:w="1930" w:type="dxa"/>
            <w:vAlign w:val="center"/>
          </w:tcPr>
          <w:p w14:paraId="1A94CB22"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Security and compliance (15%)</w:t>
            </w:r>
          </w:p>
        </w:tc>
        <w:tc>
          <w:tcPr>
            <w:tcW w:w="1930" w:type="dxa"/>
            <w:vAlign w:val="center"/>
          </w:tcPr>
          <w:p w14:paraId="59419C82"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2</w:t>
            </w:r>
          </w:p>
        </w:tc>
        <w:tc>
          <w:tcPr>
            <w:tcW w:w="1930" w:type="dxa"/>
            <w:vAlign w:val="center"/>
          </w:tcPr>
          <w:p w14:paraId="451E1A2B"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3</w:t>
            </w:r>
          </w:p>
        </w:tc>
        <w:tc>
          <w:tcPr>
            <w:tcW w:w="1930" w:type="dxa"/>
            <w:vAlign w:val="center"/>
          </w:tcPr>
          <w:p w14:paraId="2EDEAF8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5</w:t>
            </w:r>
          </w:p>
        </w:tc>
        <w:tc>
          <w:tcPr>
            <w:tcW w:w="1930" w:type="dxa"/>
            <w:vAlign w:val="center"/>
          </w:tcPr>
          <w:p w14:paraId="3000819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High legal and reputational exposure</w:t>
            </w:r>
          </w:p>
        </w:tc>
      </w:tr>
      <w:tr w:rsidR="004857E4" w:rsidRPr="002C5C34" w14:paraId="4C85651C" w14:textId="77777777">
        <w:trPr>
          <w:cantSplit/>
          <w:jc w:val="center"/>
        </w:trPr>
        <w:tc>
          <w:tcPr>
            <w:tcW w:w="1930" w:type="dxa"/>
            <w:vAlign w:val="center"/>
          </w:tcPr>
          <w:p w14:paraId="0F5AD932"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Five-year TCO (15%)</w:t>
            </w:r>
          </w:p>
        </w:tc>
        <w:tc>
          <w:tcPr>
            <w:tcW w:w="1930" w:type="dxa"/>
            <w:vAlign w:val="center"/>
          </w:tcPr>
          <w:p w14:paraId="2B4AFB6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3</w:t>
            </w:r>
          </w:p>
        </w:tc>
        <w:tc>
          <w:tcPr>
            <w:tcW w:w="1930" w:type="dxa"/>
            <w:vAlign w:val="center"/>
          </w:tcPr>
          <w:p w14:paraId="769B66A5"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2</w:t>
            </w:r>
          </w:p>
        </w:tc>
        <w:tc>
          <w:tcPr>
            <w:tcW w:w="1930" w:type="dxa"/>
            <w:vAlign w:val="center"/>
          </w:tcPr>
          <w:p w14:paraId="42BDCC0A"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4</w:t>
            </w:r>
          </w:p>
        </w:tc>
        <w:tc>
          <w:tcPr>
            <w:tcW w:w="1930" w:type="dxa"/>
            <w:vAlign w:val="center"/>
          </w:tcPr>
          <w:p w14:paraId="06497E7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Includes indirect lifecycle costs</w:t>
            </w:r>
          </w:p>
        </w:tc>
      </w:tr>
      <w:tr w:rsidR="004857E4" w:rsidRPr="002C5C34" w14:paraId="5610361A" w14:textId="77777777">
        <w:trPr>
          <w:cantSplit/>
          <w:jc w:val="center"/>
        </w:trPr>
        <w:tc>
          <w:tcPr>
            <w:tcW w:w="1930" w:type="dxa"/>
            <w:vAlign w:val="center"/>
          </w:tcPr>
          <w:p w14:paraId="3484C0C2"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Usability and adoption (10%)</w:t>
            </w:r>
          </w:p>
        </w:tc>
        <w:tc>
          <w:tcPr>
            <w:tcW w:w="1930" w:type="dxa"/>
            <w:vAlign w:val="center"/>
          </w:tcPr>
          <w:p w14:paraId="63E3A74B"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2</w:t>
            </w:r>
          </w:p>
        </w:tc>
        <w:tc>
          <w:tcPr>
            <w:tcW w:w="1930" w:type="dxa"/>
            <w:vAlign w:val="center"/>
          </w:tcPr>
          <w:p w14:paraId="2F95D9C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4</w:t>
            </w:r>
          </w:p>
        </w:tc>
        <w:tc>
          <w:tcPr>
            <w:tcW w:w="1930" w:type="dxa"/>
            <w:vAlign w:val="center"/>
          </w:tcPr>
          <w:p w14:paraId="22CFEECD"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4</w:t>
            </w:r>
          </w:p>
        </w:tc>
        <w:tc>
          <w:tcPr>
            <w:tcW w:w="1930" w:type="dxa"/>
            <w:vAlign w:val="center"/>
          </w:tcPr>
          <w:p w14:paraId="1E08E399"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Benefits depend on actual use</w:t>
            </w:r>
          </w:p>
        </w:tc>
      </w:tr>
      <w:tr w:rsidR="004857E4" w:rsidRPr="002C5C34" w14:paraId="663D8FA5" w14:textId="77777777">
        <w:trPr>
          <w:cantSplit/>
          <w:jc w:val="center"/>
        </w:trPr>
        <w:tc>
          <w:tcPr>
            <w:tcW w:w="1930" w:type="dxa"/>
            <w:vAlign w:val="center"/>
          </w:tcPr>
          <w:p w14:paraId="46F87543"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Implementation risk (5%)</w:t>
            </w:r>
          </w:p>
        </w:tc>
        <w:tc>
          <w:tcPr>
            <w:tcW w:w="1930" w:type="dxa"/>
            <w:vAlign w:val="center"/>
          </w:tcPr>
          <w:p w14:paraId="44B761CF"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4</w:t>
            </w:r>
          </w:p>
        </w:tc>
        <w:tc>
          <w:tcPr>
            <w:tcW w:w="1930" w:type="dxa"/>
            <w:vAlign w:val="center"/>
          </w:tcPr>
          <w:p w14:paraId="4A300D3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3</w:t>
            </w:r>
          </w:p>
        </w:tc>
        <w:tc>
          <w:tcPr>
            <w:tcW w:w="1930" w:type="dxa"/>
            <w:vAlign w:val="center"/>
          </w:tcPr>
          <w:p w14:paraId="307756EA"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2</w:t>
            </w:r>
          </w:p>
        </w:tc>
        <w:tc>
          <w:tcPr>
            <w:tcW w:w="1930" w:type="dxa"/>
            <w:vAlign w:val="center"/>
          </w:tcPr>
          <w:p w14:paraId="6D4E0C5F"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ERP change is more disruptive</w:t>
            </w:r>
          </w:p>
        </w:tc>
      </w:tr>
      <w:tr w:rsidR="004857E4" w:rsidRPr="002C5C34" w14:paraId="20763952" w14:textId="77777777" w:rsidTr="002C5C34">
        <w:trPr>
          <w:cantSplit/>
          <w:jc w:val="center"/>
        </w:trPr>
        <w:tc>
          <w:tcPr>
            <w:tcW w:w="1930" w:type="dxa"/>
            <w:vAlign w:val="center"/>
          </w:tcPr>
          <w:p w14:paraId="62BCA5CD"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Weighted total / 5</w:t>
            </w:r>
          </w:p>
        </w:tc>
        <w:tc>
          <w:tcPr>
            <w:tcW w:w="1930" w:type="dxa"/>
            <w:vAlign w:val="center"/>
          </w:tcPr>
          <w:p w14:paraId="7A3182C9"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2.25</w:t>
            </w:r>
          </w:p>
        </w:tc>
        <w:tc>
          <w:tcPr>
            <w:tcW w:w="1930" w:type="dxa"/>
            <w:vAlign w:val="center"/>
          </w:tcPr>
          <w:p w14:paraId="587346A3"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3.35</w:t>
            </w:r>
          </w:p>
        </w:tc>
        <w:tc>
          <w:tcPr>
            <w:tcW w:w="1930" w:type="dxa"/>
            <w:vAlign w:val="center"/>
          </w:tcPr>
          <w:p w14:paraId="5969D18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4.55</w:t>
            </w:r>
          </w:p>
        </w:tc>
        <w:tc>
          <w:tcPr>
            <w:tcW w:w="1930" w:type="dxa"/>
            <w:vAlign w:val="center"/>
          </w:tcPr>
          <w:p w14:paraId="4B97FA9D"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Highest score is preferred</w:t>
            </w:r>
          </w:p>
        </w:tc>
      </w:tr>
    </w:tbl>
    <w:p w14:paraId="7281C1EC" w14:textId="77777777" w:rsidR="004857E4" w:rsidRPr="002C5C34" w:rsidRDefault="00000000" w:rsidP="002C5C34">
      <w:pPr>
        <w:jc w:val="both"/>
        <w:rPr>
          <w:rFonts w:cs="Arial"/>
          <w:bCs/>
          <w:color w:val="000000" w:themeColor="text1"/>
        </w:rPr>
      </w:pPr>
      <w:r w:rsidRPr="002C5C34">
        <w:rPr>
          <w:rFonts w:cs="Arial"/>
          <w:bCs/>
          <w:color w:val="000000" w:themeColor="text1"/>
        </w:rPr>
        <w:t>Retaining legacy systems and adding interfaces would minimise immediate disruption, but it preserves technical debt and makes future changes dependent on fragile point-to-point connections. Separate best-of-breed products could offer strong specialist functions, yet multiple suppliers, duplicated master data and integration maintenance would increase governance complexity. The integrated ERP has the greatest implementation risk, but it is the only option that directly standardises processes and data across inventory, sales, CRM and finance.</w:t>
      </w:r>
    </w:p>
    <w:p w14:paraId="76F97158" w14:textId="77777777" w:rsidR="004857E4" w:rsidRPr="002C5C34" w:rsidRDefault="00000000" w:rsidP="002C5C34">
      <w:pPr>
        <w:jc w:val="both"/>
        <w:rPr>
          <w:rFonts w:cs="Arial"/>
          <w:bCs/>
          <w:color w:val="000000" w:themeColor="text1"/>
        </w:rPr>
      </w:pPr>
      <w:r w:rsidRPr="002C5C34">
        <w:rPr>
          <w:rFonts w:cs="Arial"/>
          <w:bCs/>
          <w:color w:val="000000" w:themeColor="text1"/>
        </w:rPr>
        <w:t>Cost should be evaluated through five-year total cost of ownership (TCO), not licence price alone. The lecture material emphasises installation, training, support, maintenance, downtime, infrastructure and energy as indirect costs. Maldiva should therefore request comparable supplier quotations covering the categories in Table 2, alongside quantified benefits from fewer cancellations, lower stockholding, reduced administration and faster decisions.</w:t>
      </w:r>
    </w:p>
    <w:p w14:paraId="5A7E2B7D" w14:textId="77777777" w:rsidR="004857E4" w:rsidRPr="002C5C34" w:rsidRDefault="00000000" w:rsidP="002C5C34">
      <w:pPr>
        <w:pStyle w:val="Caption"/>
        <w:keepNext/>
        <w:spacing w:after="60"/>
        <w:jc w:val="center"/>
        <w:rPr>
          <w:rFonts w:cs="Arial"/>
          <w:b w:val="0"/>
          <w:color w:val="000000" w:themeColor="text1"/>
          <w:sz w:val="22"/>
          <w:szCs w:val="22"/>
        </w:rPr>
      </w:pPr>
      <w:r w:rsidRPr="002C5C34">
        <w:rPr>
          <w:rFonts w:cs="Arial"/>
          <w:b w:val="0"/>
          <w:color w:val="000000" w:themeColor="text1"/>
          <w:sz w:val="22"/>
          <w:szCs w:val="22"/>
        </w:rPr>
        <w:lastRenderedPageBreak/>
        <w:t>Table 2. Five-year cost and benefit framework</w:t>
      </w:r>
    </w:p>
    <w:tbl>
      <w:tblPr>
        <w:tblStyle w:val="TableGrid"/>
        <w:tblW w:w="0" w:type="auto"/>
        <w:jc w:val="center"/>
        <w:tblLook w:val="04A0" w:firstRow="1" w:lastRow="0" w:firstColumn="1" w:lastColumn="0" w:noHBand="0" w:noVBand="1"/>
      </w:tblPr>
      <w:tblGrid>
        <w:gridCol w:w="3212"/>
        <w:gridCol w:w="3213"/>
        <w:gridCol w:w="3213"/>
      </w:tblGrid>
      <w:tr w:rsidR="004857E4" w:rsidRPr="002C5C34" w14:paraId="0E86B8D1" w14:textId="77777777" w:rsidTr="002C5C34">
        <w:trPr>
          <w:cantSplit/>
          <w:tblHeader/>
          <w:jc w:val="center"/>
        </w:trPr>
        <w:tc>
          <w:tcPr>
            <w:tcW w:w="3216" w:type="dxa"/>
            <w:vAlign w:val="center"/>
          </w:tcPr>
          <w:p w14:paraId="35573141"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Area</w:t>
            </w:r>
          </w:p>
        </w:tc>
        <w:tc>
          <w:tcPr>
            <w:tcW w:w="3216" w:type="dxa"/>
            <w:vAlign w:val="center"/>
          </w:tcPr>
          <w:p w14:paraId="6D09521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Illustrative items</w:t>
            </w:r>
          </w:p>
        </w:tc>
        <w:tc>
          <w:tcPr>
            <w:tcW w:w="3216" w:type="dxa"/>
            <w:vAlign w:val="center"/>
          </w:tcPr>
          <w:p w14:paraId="199F4780"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Evaluation approach</w:t>
            </w:r>
          </w:p>
        </w:tc>
      </w:tr>
      <w:tr w:rsidR="004857E4" w:rsidRPr="002C5C34" w14:paraId="4F65091A" w14:textId="77777777">
        <w:trPr>
          <w:cantSplit/>
          <w:jc w:val="center"/>
        </w:trPr>
        <w:tc>
          <w:tcPr>
            <w:tcW w:w="3216" w:type="dxa"/>
            <w:vAlign w:val="center"/>
          </w:tcPr>
          <w:p w14:paraId="616CF00F"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One-off cost</w:t>
            </w:r>
          </w:p>
        </w:tc>
        <w:tc>
          <w:tcPr>
            <w:tcW w:w="3216" w:type="dxa"/>
            <w:vAlign w:val="center"/>
          </w:tcPr>
          <w:p w14:paraId="2B4249E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Discovery, configuration, migration, integration, testing and training</w:t>
            </w:r>
          </w:p>
        </w:tc>
        <w:tc>
          <w:tcPr>
            <w:tcW w:w="3216" w:type="dxa"/>
            <w:vAlign w:val="center"/>
          </w:tcPr>
          <w:p w14:paraId="29196C8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Supplier quotations plus 15–20% contingency</w:t>
            </w:r>
          </w:p>
        </w:tc>
      </w:tr>
      <w:tr w:rsidR="004857E4" w:rsidRPr="002C5C34" w14:paraId="24F33195" w14:textId="77777777">
        <w:trPr>
          <w:cantSplit/>
          <w:jc w:val="center"/>
        </w:trPr>
        <w:tc>
          <w:tcPr>
            <w:tcW w:w="3216" w:type="dxa"/>
            <w:vAlign w:val="center"/>
          </w:tcPr>
          <w:p w14:paraId="721AFBAA"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Recurring cost</w:t>
            </w:r>
          </w:p>
        </w:tc>
        <w:tc>
          <w:tcPr>
            <w:tcW w:w="3216" w:type="dxa"/>
            <w:vAlign w:val="center"/>
          </w:tcPr>
          <w:p w14:paraId="1035A511"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Subscriptions, support, security monitoring and interface maintenance</w:t>
            </w:r>
          </w:p>
        </w:tc>
        <w:tc>
          <w:tcPr>
            <w:tcW w:w="3216" w:type="dxa"/>
            <w:vAlign w:val="center"/>
          </w:tcPr>
          <w:p w14:paraId="750A3DD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Five-year discounted cash-flow comparison</w:t>
            </w:r>
          </w:p>
        </w:tc>
      </w:tr>
      <w:tr w:rsidR="004857E4" w:rsidRPr="002C5C34" w14:paraId="7255A324" w14:textId="77777777">
        <w:trPr>
          <w:cantSplit/>
          <w:jc w:val="center"/>
        </w:trPr>
        <w:tc>
          <w:tcPr>
            <w:tcW w:w="3216" w:type="dxa"/>
            <w:vAlign w:val="center"/>
          </w:tcPr>
          <w:p w14:paraId="20C1D7C1"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Operational benefit</w:t>
            </w:r>
          </w:p>
        </w:tc>
        <w:tc>
          <w:tcPr>
            <w:tcW w:w="3216" w:type="dxa"/>
            <w:vAlign w:val="center"/>
          </w:tcPr>
          <w:p w14:paraId="477ECA8C"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Lower cancellations, stockholding, re-entry and reporting time</w:t>
            </w:r>
          </w:p>
        </w:tc>
        <w:tc>
          <w:tcPr>
            <w:tcW w:w="3216" w:type="dxa"/>
            <w:vAlign w:val="center"/>
          </w:tcPr>
          <w:p w14:paraId="662D48FB"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Baseline and post-implementation KPIs</w:t>
            </w:r>
          </w:p>
        </w:tc>
      </w:tr>
      <w:tr w:rsidR="004857E4" w:rsidRPr="002C5C34" w14:paraId="39CB3BC8" w14:textId="77777777">
        <w:trPr>
          <w:cantSplit/>
          <w:jc w:val="center"/>
        </w:trPr>
        <w:tc>
          <w:tcPr>
            <w:tcW w:w="3216" w:type="dxa"/>
            <w:vAlign w:val="center"/>
          </w:tcPr>
          <w:p w14:paraId="5A6093BD"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Strategic benefit</w:t>
            </w:r>
          </w:p>
        </w:tc>
        <w:tc>
          <w:tcPr>
            <w:tcW w:w="3216" w:type="dxa"/>
            <w:vAlign w:val="center"/>
          </w:tcPr>
          <w:p w14:paraId="461096A5"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Scalability, improved customer experience and better decisions</w:t>
            </w:r>
          </w:p>
        </w:tc>
        <w:tc>
          <w:tcPr>
            <w:tcW w:w="3216" w:type="dxa"/>
            <w:vAlign w:val="center"/>
          </w:tcPr>
          <w:p w14:paraId="057021BE"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Scenario analysis; avoid treating uncertain benefits as guaranteed</w:t>
            </w:r>
          </w:p>
        </w:tc>
      </w:tr>
    </w:tbl>
    <w:p w14:paraId="44C1459E" w14:textId="77777777" w:rsidR="004857E4" w:rsidRPr="002C5C34" w:rsidRDefault="00000000" w:rsidP="002C5C34">
      <w:pPr>
        <w:pStyle w:val="Heading1"/>
        <w:spacing w:before="160" w:after="80"/>
        <w:rPr>
          <w:rFonts w:ascii="Arial" w:hAnsi="Arial" w:cs="Arial"/>
          <w:b w:val="0"/>
          <w:color w:val="000000" w:themeColor="text1"/>
          <w:sz w:val="22"/>
          <w:szCs w:val="22"/>
        </w:rPr>
      </w:pPr>
      <w:r w:rsidRPr="002C5C34">
        <w:rPr>
          <w:rFonts w:ascii="Arial" w:hAnsi="Arial" w:cs="Arial"/>
          <w:b w:val="0"/>
          <w:color w:val="000000" w:themeColor="text1"/>
          <w:sz w:val="22"/>
          <w:szCs w:val="22"/>
        </w:rPr>
        <w:t>3. Recommended Solution</w:t>
      </w:r>
    </w:p>
    <w:p w14:paraId="45988FB2" w14:textId="77777777" w:rsidR="004857E4" w:rsidRPr="002C5C34" w:rsidRDefault="00000000" w:rsidP="002C5C34">
      <w:pPr>
        <w:pStyle w:val="Heading2"/>
        <w:spacing w:before="160" w:after="80"/>
        <w:rPr>
          <w:rFonts w:ascii="Arial" w:hAnsi="Arial" w:cs="Arial"/>
          <w:b w:val="0"/>
          <w:color w:val="000000" w:themeColor="text1"/>
          <w:sz w:val="22"/>
          <w:szCs w:val="22"/>
        </w:rPr>
      </w:pPr>
      <w:r w:rsidRPr="002C5C34">
        <w:rPr>
          <w:rFonts w:ascii="Arial" w:hAnsi="Arial" w:cs="Arial"/>
          <w:b w:val="0"/>
          <w:color w:val="000000" w:themeColor="text1"/>
          <w:sz w:val="22"/>
          <w:szCs w:val="22"/>
        </w:rPr>
        <w:t>3.1 Integrated cloud ERP architecture</w:t>
      </w:r>
    </w:p>
    <w:p w14:paraId="08CD7C94" w14:textId="77777777" w:rsidR="004857E4" w:rsidRPr="002C5C34" w:rsidRDefault="00000000" w:rsidP="002C5C34">
      <w:pPr>
        <w:jc w:val="both"/>
        <w:rPr>
          <w:rFonts w:cs="Arial"/>
          <w:bCs/>
          <w:color w:val="000000" w:themeColor="text1"/>
        </w:rPr>
      </w:pPr>
      <w:r w:rsidRPr="002C5C34">
        <w:rPr>
          <w:rFonts w:cs="Arial"/>
          <w:bCs/>
          <w:color w:val="000000" w:themeColor="text1"/>
        </w:rPr>
        <w:t>Maldiva should procure a modular cloud ERP designed for multi-site and omnichannel retail. A competitive tender should compare platforms such as Microsoft Dynamics 365 Business Central, Oracle NetSuite and SAP Business One against the requirements matrix; naming examples does not predetermine the supplier. Important decision factors include relative advantage, security, accessibility, financial value, top-management support, regulation and vendor lock-in.</w:t>
      </w:r>
    </w:p>
    <w:p w14:paraId="4E30F63B" w14:textId="77777777" w:rsidR="004857E4" w:rsidRPr="002C5C34" w:rsidRDefault="00000000" w:rsidP="002C5C34">
      <w:pPr>
        <w:jc w:val="both"/>
        <w:rPr>
          <w:rFonts w:cs="Arial"/>
          <w:bCs/>
          <w:color w:val="000000" w:themeColor="text1"/>
        </w:rPr>
      </w:pPr>
      <w:r w:rsidRPr="002C5C34">
        <w:rPr>
          <w:rFonts w:cs="Arial"/>
          <w:bCs/>
          <w:color w:val="000000" w:themeColor="text1"/>
        </w:rPr>
        <w:t>The core design should include one product master, customer master and real-time inventory ledger. Every sale, return, delivery and transfer would update available stock across stores and online channels. Available-to-promise rules should reserve stock when an online order is confirmed and release it when payment fails or an order is cancelled. Barcode scanning, cycle counts, reorder points and exception reports would reduce discrepancies, but process discipline remains essential: an ERP cannot make inaccurate physical counts reliable.</w:t>
      </w:r>
    </w:p>
    <w:p w14:paraId="476325AD" w14:textId="77777777" w:rsidR="004857E4" w:rsidRPr="002C5C34" w:rsidRDefault="00000000" w:rsidP="002C5C34">
      <w:pPr>
        <w:jc w:val="both"/>
        <w:rPr>
          <w:rFonts w:cs="Arial"/>
          <w:bCs/>
          <w:color w:val="000000" w:themeColor="text1"/>
        </w:rPr>
      </w:pPr>
      <w:r w:rsidRPr="002C5C34">
        <w:rPr>
          <w:rFonts w:cs="Arial"/>
          <w:bCs/>
          <w:color w:val="000000" w:themeColor="text1"/>
        </w:rPr>
        <w:t>The CRM module should connect purchases, returns, support cases and marketing permissions to one customer profile. Support staff could verify transactions quickly, while marketing could create relevant segments without exporting uncontrolled spreadsheets. BI dashboards should show role-specific measures: revenue, margin and inventory turnover for executives; local stock, ageing items and replenishment alerts for store managers; and campaign conversion and consent status for marketing. Forecasts should support rather than replace judgement, especially for new products with little historical evidence.</w:t>
      </w:r>
    </w:p>
    <w:p w14:paraId="41A93B6F" w14:textId="77777777" w:rsidR="004857E4" w:rsidRPr="002C5C34" w:rsidRDefault="00000000" w:rsidP="002C5C34">
      <w:pPr>
        <w:jc w:val="center"/>
        <w:rPr>
          <w:rFonts w:cs="Arial"/>
          <w:bCs/>
          <w:color w:val="000000" w:themeColor="text1"/>
        </w:rPr>
      </w:pPr>
      <w:r w:rsidRPr="002C5C34">
        <w:rPr>
          <w:rFonts w:cs="Arial"/>
          <w:bCs/>
          <w:noProof/>
          <w:color w:val="000000" w:themeColor="text1"/>
        </w:rPr>
        <w:lastRenderedPageBreak/>
        <w:drawing>
          <wp:inline distT="0" distB="0" distL="0" distR="0" wp14:anchorId="3412EDE0" wp14:editId="553C6BB6">
            <wp:extent cx="6126480" cy="33453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ldiva_proposed_architecture.png"/>
                    <pic:cNvPicPr/>
                  </pic:nvPicPr>
                  <pic:blipFill>
                    <a:blip r:embed="rId8"/>
                    <a:stretch>
                      <a:fillRect/>
                    </a:stretch>
                  </pic:blipFill>
                  <pic:spPr>
                    <a:xfrm>
                      <a:off x="0" y="0"/>
                      <a:ext cx="6126480" cy="3345334"/>
                    </a:xfrm>
                    <a:prstGeom prst="rect">
                      <a:avLst/>
                    </a:prstGeom>
                  </pic:spPr>
                </pic:pic>
              </a:graphicData>
            </a:graphic>
          </wp:inline>
        </w:drawing>
      </w:r>
    </w:p>
    <w:p w14:paraId="1459E625" w14:textId="77777777" w:rsidR="004857E4" w:rsidRPr="002C5C34" w:rsidRDefault="00000000" w:rsidP="002C5C34">
      <w:pPr>
        <w:pStyle w:val="Caption"/>
        <w:keepNext/>
        <w:spacing w:after="60"/>
        <w:jc w:val="center"/>
        <w:rPr>
          <w:rFonts w:cs="Arial"/>
          <w:b w:val="0"/>
          <w:color w:val="000000" w:themeColor="text1"/>
          <w:sz w:val="22"/>
          <w:szCs w:val="22"/>
        </w:rPr>
      </w:pPr>
      <w:r w:rsidRPr="002C5C34">
        <w:rPr>
          <w:rFonts w:cs="Arial"/>
          <w:b w:val="0"/>
          <w:color w:val="000000" w:themeColor="text1"/>
          <w:sz w:val="22"/>
          <w:szCs w:val="22"/>
        </w:rPr>
        <w:t>Figure 1. Proposed integrated information-system architecture for Maldiva Ltd. (author’s own work).</w:t>
      </w:r>
    </w:p>
    <w:p w14:paraId="57DEE498" w14:textId="77777777" w:rsidR="004857E4" w:rsidRPr="002C5C34" w:rsidRDefault="00000000" w:rsidP="002C5C34">
      <w:pPr>
        <w:pStyle w:val="Heading2"/>
        <w:spacing w:before="160" w:after="80"/>
        <w:rPr>
          <w:rFonts w:ascii="Arial" w:hAnsi="Arial" w:cs="Arial"/>
          <w:b w:val="0"/>
          <w:color w:val="000000" w:themeColor="text1"/>
          <w:sz w:val="22"/>
          <w:szCs w:val="22"/>
        </w:rPr>
      </w:pPr>
      <w:r w:rsidRPr="002C5C34">
        <w:rPr>
          <w:rFonts w:ascii="Arial" w:hAnsi="Arial" w:cs="Arial"/>
          <w:b w:val="0"/>
          <w:color w:val="000000" w:themeColor="text1"/>
          <w:sz w:val="22"/>
          <w:szCs w:val="22"/>
        </w:rPr>
        <w:t>3.2 Security, privacy, ethics and sustainability</w:t>
      </w:r>
    </w:p>
    <w:p w14:paraId="1CF47C2E" w14:textId="77777777" w:rsidR="004857E4" w:rsidRPr="002C5C34" w:rsidRDefault="00000000" w:rsidP="002C5C34">
      <w:pPr>
        <w:jc w:val="both"/>
        <w:rPr>
          <w:rFonts w:cs="Arial"/>
          <w:bCs/>
          <w:color w:val="000000" w:themeColor="text1"/>
        </w:rPr>
      </w:pPr>
      <w:r w:rsidRPr="002C5C34">
        <w:rPr>
          <w:rFonts w:cs="Arial"/>
          <w:bCs/>
          <w:color w:val="000000" w:themeColor="text1"/>
        </w:rPr>
        <w:t>Security must be embedded across the architecture. Risk management should cover governance, identification, protection, detection, response and recovery. Maldiva should apply role-based access and least privilege, multi-factor authentication for privileged and remote users, encryption in transit and at rest, central logs, patching, tested backups, incident response and supplier assurance. Cloud providers should also be assessed against clear security, resilience, data-separation and governance requirements.</w:t>
      </w:r>
    </w:p>
    <w:p w14:paraId="6A4CA5D5" w14:textId="77777777" w:rsidR="004857E4" w:rsidRPr="002C5C34" w:rsidRDefault="00000000" w:rsidP="002C5C34">
      <w:pPr>
        <w:jc w:val="both"/>
        <w:rPr>
          <w:rFonts w:cs="Arial"/>
          <w:bCs/>
          <w:color w:val="000000" w:themeColor="text1"/>
        </w:rPr>
      </w:pPr>
      <w:r w:rsidRPr="002C5C34">
        <w:rPr>
          <w:rFonts w:cs="Arial"/>
          <w:bCs/>
          <w:color w:val="000000" w:themeColor="text1"/>
        </w:rPr>
        <w:t>Customer processing must follow the seven UK GDPR principles: lawfulness, fairness and transparency; purpose limitation; data minimisation; accuracy; storage limitation; integrity and confidentiality; and accountability. A Data Protection Impact Assessment (DPIA)—not merely a general privacy review—should examine migration, profiling, integrations and residual risks before go-live. Retention and deletion rules, subject-access workflows and consent records should be configured centrally. Personalisation should remain proportionate and explainable; customers must be able to object to direct marketing and associated profiling.</w:t>
      </w:r>
    </w:p>
    <w:p w14:paraId="1982D444" w14:textId="77777777" w:rsidR="004857E4" w:rsidRPr="002C5C34" w:rsidRDefault="00000000" w:rsidP="002C5C34">
      <w:pPr>
        <w:jc w:val="both"/>
        <w:rPr>
          <w:rFonts w:cs="Arial"/>
          <w:bCs/>
          <w:color w:val="000000" w:themeColor="text1"/>
        </w:rPr>
      </w:pPr>
      <w:r w:rsidRPr="002C5C34">
        <w:rPr>
          <w:rFonts w:cs="Arial"/>
          <w:bCs/>
          <w:color w:val="000000" w:themeColor="text1"/>
        </w:rPr>
        <w:t xml:space="preserve">Sustainability should form part of supplier selection rather than being used as an unsupported claim that ‘cloud is greener’. Cloud consolidation may reduce local servers and duplicated storage, but data centres, backups and analytics still consume energy. Environmental impact should therefore be considered alongside TCO and organisational value, while sustainable infrastructure requires provider accountability and energy-aware design. Maldiva should assess provider carbon reporting, </w:t>
      </w:r>
      <w:r w:rsidRPr="002C5C34">
        <w:rPr>
          <w:rFonts w:cs="Arial"/>
          <w:bCs/>
          <w:color w:val="000000" w:themeColor="text1"/>
        </w:rPr>
        <w:lastRenderedPageBreak/>
        <w:t>renewable-energy strategy, data retention, equipment lifecycle and the ability to scale resources down as well as up.</w:t>
      </w:r>
    </w:p>
    <w:p w14:paraId="4B160028" w14:textId="77777777" w:rsidR="004857E4" w:rsidRPr="002C5C34" w:rsidRDefault="00000000" w:rsidP="002C5C34">
      <w:pPr>
        <w:pStyle w:val="Heading1"/>
        <w:spacing w:before="160" w:after="80"/>
        <w:rPr>
          <w:rFonts w:ascii="Arial" w:hAnsi="Arial" w:cs="Arial"/>
          <w:b w:val="0"/>
          <w:color w:val="000000" w:themeColor="text1"/>
          <w:sz w:val="22"/>
          <w:szCs w:val="22"/>
        </w:rPr>
      </w:pPr>
      <w:r w:rsidRPr="002C5C34">
        <w:rPr>
          <w:rFonts w:ascii="Arial" w:hAnsi="Arial" w:cs="Arial"/>
          <w:b w:val="0"/>
          <w:color w:val="000000" w:themeColor="text1"/>
          <w:sz w:val="22"/>
          <w:szCs w:val="22"/>
        </w:rPr>
        <w:t>4. Implementation Plan</w:t>
      </w:r>
    </w:p>
    <w:p w14:paraId="2610D500" w14:textId="77777777" w:rsidR="004857E4" w:rsidRPr="002C5C34" w:rsidRDefault="00000000" w:rsidP="002C5C34">
      <w:pPr>
        <w:pStyle w:val="Heading2"/>
        <w:spacing w:before="160" w:after="80"/>
        <w:rPr>
          <w:rFonts w:ascii="Arial" w:hAnsi="Arial" w:cs="Arial"/>
          <w:b w:val="0"/>
          <w:color w:val="000000" w:themeColor="text1"/>
          <w:sz w:val="22"/>
          <w:szCs w:val="22"/>
        </w:rPr>
      </w:pPr>
      <w:r w:rsidRPr="002C5C34">
        <w:rPr>
          <w:rFonts w:ascii="Arial" w:hAnsi="Arial" w:cs="Arial"/>
          <w:b w:val="0"/>
          <w:color w:val="000000" w:themeColor="text1"/>
          <w:sz w:val="22"/>
          <w:szCs w:val="22"/>
        </w:rPr>
        <w:t>4.1 Phased delivery, governance and adoption</w:t>
      </w:r>
    </w:p>
    <w:p w14:paraId="6EC82C00" w14:textId="77777777" w:rsidR="004857E4" w:rsidRPr="002C5C34" w:rsidRDefault="00000000" w:rsidP="002C5C34">
      <w:pPr>
        <w:jc w:val="both"/>
        <w:rPr>
          <w:rFonts w:cs="Arial"/>
          <w:bCs/>
          <w:color w:val="000000" w:themeColor="text1"/>
        </w:rPr>
      </w:pPr>
      <w:r w:rsidRPr="002C5C34">
        <w:rPr>
          <w:rFonts w:cs="Arial"/>
          <w:bCs/>
          <w:color w:val="000000" w:themeColor="text1"/>
        </w:rPr>
        <w:t>A nine-month phased programme is safer than a ‘big bang’ rollout because Maldiva can test real order journeys before exposing all stores. A steering group should include an executive sponsor, project manager, IT, data protection, finance, e-commerce, inventory, store, marketing and customer-service representatives. Critical success factors include top-management support, user training, effective project management and clear objectives.</w:t>
      </w:r>
    </w:p>
    <w:p w14:paraId="104CF563" w14:textId="77777777" w:rsidR="004857E4" w:rsidRPr="002C5C34" w:rsidRDefault="00000000" w:rsidP="002C5C34">
      <w:pPr>
        <w:pStyle w:val="Caption"/>
        <w:keepNext/>
        <w:spacing w:after="60"/>
        <w:jc w:val="center"/>
        <w:rPr>
          <w:rFonts w:cs="Arial"/>
          <w:b w:val="0"/>
          <w:color w:val="000000" w:themeColor="text1"/>
          <w:sz w:val="22"/>
          <w:szCs w:val="22"/>
        </w:rPr>
      </w:pPr>
      <w:r w:rsidRPr="002C5C34">
        <w:rPr>
          <w:rFonts w:cs="Arial"/>
          <w:b w:val="0"/>
          <w:color w:val="000000" w:themeColor="text1"/>
          <w:sz w:val="22"/>
          <w:szCs w:val="22"/>
        </w:rPr>
        <w:t>Table 3. Proposed implementation roadmap</w:t>
      </w:r>
    </w:p>
    <w:tbl>
      <w:tblPr>
        <w:tblStyle w:val="TableGrid"/>
        <w:tblW w:w="0" w:type="auto"/>
        <w:jc w:val="center"/>
        <w:tblLook w:val="04A0" w:firstRow="1" w:lastRow="0" w:firstColumn="1" w:lastColumn="0" w:noHBand="0" w:noVBand="1"/>
      </w:tblPr>
      <w:tblGrid>
        <w:gridCol w:w="2409"/>
        <w:gridCol w:w="2409"/>
        <w:gridCol w:w="2410"/>
        <w:gridCol w:w="2410"/>
      </w:tblGrid>
      <w:tr w:rsidR="004857E4" w:rsidRPr="002C5C34" w14:paraId="60D8B89A" w14:textId="77777777" w:rsidTr="002C5C34">
        <w:trPr>
          <w:cantSplit/>
          <w:tblHeader/>
          <w:jc w:val="center"/>
        </w:trPr>
        <w:tc>
          <w:tcPr>
            <w:tcW w:w="2412" w:type="dxa"/>
            <w:vAlign w:val="center"/>
          </w:tcPr>
          <w:p w14:paraId="736E945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Phase</w:t>
            </w:r>
          </w:p>
        </w:tc>
        <w:tc>
          <w:tcPr>
            <w:tcW w:w="2412" w:type="dxa"/>
            <w:vAlign w:val="center"/>
          </w:tcPr>
          <w:p w14:paraId="743D51A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Indicative timing</w:t>
            </w:r>
          </w:p>
        </w:tc>
        <w:tc>
          <w:tcPr>
            <w:tcW w:w="2412" w:type="dxa"/>
            <w:vAlign w:val="center"/>
          </w:tcPr>
          <w:p w14:paraId="6F724629"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Principal activities</w:t>
            </w:r>
          </w:p>
        </w:tc>
        <w:tc>
          <w:tcPr>
            <w:tcW w:w="2412" w:type="dxa"/>
            <w:vAlign w:val="center"/>
          </w:tcPr>
          <w:p w14:paraId="0DFA92A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Gate / evidence</w:t>
            </w:r>
          </w:p>
        </w:tc>
      </w:tr>
      <w:tr w:rsidR="004857E4" w:rsidRPr="002C5C34" w14:paraId="4CFCE18F" w14:textId="77777777">
        <w:trPr>
          <w:cantSplit/>
          <w:jc w:val="center"/>
        </w:trPr>
        <w:tc>
          <w:tcPr>
            <w:tcW w:w="2412" w:type="dxa"/>
            <w:vAlign w:val="center"/>
          </w:tcPr>
          <w:p w14:paraId="752EE50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1. Discovery</w:t>
            </w:r>
          </w:p>
        </w:tc>
        <w:tc>
          <w:tcPr>
            <w:tcW w:w="2412" w:type="dxa"/>
            <w:vAlign w:val="center"/>
          </w:tcPr>
          <w:p w14:paraId="23152BC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Weeks 1–4</w:t>
            </w:r>
          </w:p>
        </w:tc>
        <w:tc>
          <w:tcPr>
            <w:tcW w:w="2412" w:type="dxa"/>
            <w:vAlign w:val="center"/>
          </w:tcPr>
          <w:p w14:paraId="7E3CB92B"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Map processes, data and controls; agree KPIs and requirements</w:t>
            </w:r>
          </w:p>
        </w:tc>
        <w:tc>
          <w:tcPr>
            <w:tcW w:w="2412" w:type="dxa"/>
            <w:vAlign w:val="center"/>
          </w:tcPr>
          <w:p w14:paraId="7A98A4F2"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Approved business case and requirements</w:t>
            </w:r>
          </w:p>
        </w:tc>
      </w:tr>
      <w:tr w:rsidR="004857E4" w:rsidRPr="002C5C34" w14:paraId="7D7FD65B" w14:textId="77777777">
        <w:trPr>
          <w:cantSplit/>
          <w:jc w:val="center"/>
        </w:trPr>
        <w:tc>
          <w:tcPr>
            <w:tcW w:w="2412" w:type="dxa"/>
            <w:vAlign w:val="center"/>
          </w:tcPr>
          <w:p w14:paraId="1C65F85A"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2. Procurement and design</w:t>
            </w:r>
          </w:p>
        </w:tc>
        <w:tc>
          <w:tcPr>
            <w:tcW w:w="2412" w:type="dxa"/>
            <w:vAlign w:val="center"/>
          </w:tcPr>
          <w:p w14:paraId="0EF5608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Weeks 5–10</w:t>
            </w:r>
          </w:p>
        </w:tc>
        <w:tc>
          <w:tcPr>
            <w:tcW w:w="2412" w:type="dxa"/>
            <w:vAlign w:val="center"/>
          </w:tcPr>
          <w:p w14:paraId="7684C79F"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Tender, demonstrations, TCO, security and contract review</w:t>
            </w:r>
          </w:p>
        </w:tc>
        <w:tc>
          <w:tcPr>
            <w:tcW w:w="2412" w:type="dxa"/>
            <w:vAlign w:val="center"/>
          </w:tcPr>
          <w:p w14:paraId="5EEB21E2"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Selected supplier and solution design</w:t>
            </w:r>
          </w:p>
        </w:tc>
      </w:tr>
      <w:tr w:rsidR="004857E4" w:rsidRPr="002C5C34" w14:paraId="246E0464" w14:textId="77777777">
        <w:trPr>
          <w:cantSplit/>
          <w:jc w:val="center"/>
        </w:trPr>
        <w:tc>
          <w:tcPr>
            <w:tcW w:w="2412" w:type="dxa"/>
            <w:vAlign w:val="center"/>
          </w:tcPr>
          <w:p w14:paraId="2C4F598B"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3. Data preparation</w:t>
            </w:r>
          </w:p>
        </w:tc>
        <w:tc>
          <w:tcPr>
            <w:tcW w:w="2412" w:type="dxa"/>
            <w:vAlign w:val="center"/>
          </w:tcPr>
          <w:p w14:paraId="7B2B065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Weeks 8–16</w:t>
            </w:r>
          </w:p>
        </w:tc>
        <w:tc>
          <w:tcPr>
            <w:tcW w:w="2412" w:type="dxa"/>
            <w:vAlign w:val="center"/>
          </w:tcPr>
          <w:p w14:paraId="3C9EC6BE"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Clean, deduplicate, assign owners and trial migrations</w:t>
            </w:r>
          </w:p>
        </w:tc>
        <w:tc>
          <w:tcPr>
            <w:tcW w:w="2412" w:type="dxa"/>
            <w:vAlign w:val="center"/>
          </w:tcPr>
          <w:p w14:paraId="323B350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Reconciled migration dataset</w:t>
            </w:r>
          </w:p>
        </w:tc>
      </w:tr>
      <w:tr w:rsidR="004857E4" w:rsidRPr="002C5C34" w14:paraId="1052556D" w14:textId="77777777">
        <w:trPr>
          <w:cantSplit/>
          <w:jc w:val="center"/>
        </w:trPr>
        <w:tc>
          <w:tcPr>
            <w:tcW w:w="2412" w:type="dxa"/>
            <w:vAlign w:val="center"/>
          </w:tcPr>
          <w:p w14:paraId="2BAB48AC"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4. Configure and test</w:t>
            </w:r>
          </w:p>
        </w:tc>
        <w:tc>
          <w:tcPr>
            <w:tcW w:w="2412" w:type="dxa"/>
            <w:vAlign w:val="center"/>
          </w:tcPr>
          <w:p w14:paraId="650FA7E1"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Weeks 11–24</w:t>
            </w:r>
          </w:p>
        </w:tc>
        <w:tc>
          <w:tcPr>
            <w:tcW w:w="2412" w:type="dxa"/>
            <w:vAlign w:val="center"/>
          </w:tcPr>
          <w:p w14:paraId="24A841D3"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ERP setup, APIs, end-to-end, performance, security and recovery tests</w:t>
            </w:r>
          </w:p>
        </w:tc>
        <w:tc>
          <w:tcPr>
            <w:tcW w:w="2412" w:type="dxa"/>
            <w:vAlign w:val="center"/>
          </w:tcPr>
          <w:p w14:paraId="65F20262"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User acceptance and recovery evidence</w:t>
            </w:r>
          </w:p>
        </w:tc>
      </w:tr>
      <w:tr w:rsidR="004857E4" w:rsidRPr="002C5C34" w14:paraId="4AB81A2A" w14:textId="77777777">
        <w:trPr>
          <w:cantSplit/>
          <w:jc w:val="center"/>
        </w:trPr>
        <w:tc>
          <w:tcPr>
            <w:tcW w:w="2412" w:type="dxa"/>
            <w:vAlign w:val="center"/>
          </w:tcPr>
          <w:p w14:paraId="41A3F8AF"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5. Pilot</w:t>
            </w:r>
          </w:p>
        </w:tc>
        <w:tc>
          <w:tcPr>
            <w:tcW w:w="2412" w:type="dxa"/>
            <w:vAlign w:val="center"/>
          </w:tcPr>
          <w:p w14:paraId="4A88335B"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Weeks 25–30</w:t>
            </w:r>
          </w:p>
        </w:tc>
        <w:tc>
          <w:tcPr>
            <w:tcW w:w="2412" w:type="dxa"/>
            <w:vAlign w:val="center"/>
          </w:tcPr>
          <w:p w14:paraId="6627057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Two contrasting stores plus online fulfilment</w:t>
            </w:r>
          </w:p>
        </w:tc>
        <w:tc>
          <w:tcPr>
            <w:tcW w:w="2412" w:type="dxa"/>
            <w:vAlign w:val="center"/>
          </w:tcPr>
          <w:p w14:paraId="0209BD8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Pilot KPIs met and defects resolved</w:t>
            </w:r>
          </w:p>
        </w:tc>
      </w:tr>
      <w:tr w:rsidR="004857E4" w:rsidRPr="002C5C34" w14:paraId="2B24D6E9" w14:textId="77777777">
        <w:trPr>
          <w:cantSplit/>
          <w:jc w:val="center"/>
        </w:trPr>
        <w:tc>
          <w:tcPr>
            <w:tcW w:w="2412" w:type="dxa"/>
            <w:vAlign w:val="center"/>
          </w:tcPr>
          <w:p w14:paraId="13D0935B"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6. Staged rollout</w:t>
            </w:r>
          </w:p>
        </w:tc>
        <w:tc>
          <w:tcPr>
            <w:tcW w:w="2412" w:type="dxa"/>
            <w:vAlign w:val="center"/>
          </w:tcPr>
          <w:p w14:paraId="43B1C939"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Weeks 31–38</w:t>
            </w:r>
          </w:p>
        </w:tc>
        <w:tc>
          <w:tcPr>
            <w:tcW w:w="2412" w:type="dxa"/>
            <w:vAlign w:val="center"/>
          </w:tcPr>
          <w:p w14:paraId="16816E45"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Deploy by store group; enhanced support and monitoring</w:t>
            </w:r>
          </w:p>
        </w:tc>
        <w:tc>
          <w:tcPr>
            <w:tcW w:w="2412" w:type="dxa"/>
            <w:vAlign w:val="center"/>
          </w:tcPr>
          <w:p w14:paraId="7E700961"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All locations stable</w:t>
            </w:r>
          </w:p>
        </w:tc>
      </w:tr>
      <w:tr w:rsidR="004857E4" w:rsidRPr="002C5C34" w14:paraId="4CFB980C" w14:textId="77777777">
        <w:trPr>
          <w:cantSplit/>
          <w:jc w:val="center"/>
        </w:trPr>
        <w:tc>
          <w:tcPr>
            <w:tcW w:w="2412" w:type="dxa"/>
            <w:vAlign w:val="center"/>
          </w:tcPr>
          <w:p w14:paraId="3F55681C"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7. Benefits review</w:t>
            </w:r>
          </w:p>
        </w:tc>
        <w:tc>
          <w:tcPr>
            <w:tcW w:w="2412" w:type="dxa"/>
            <w:vAlign w:val="center"/>
          </w:tcPr>
          <w:p w14:paraId="4A87CE3E"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30/90/180 days</w:t>
            </w:r>
          </w:p>
        </w:tc>
        <w:tc>
          <w:tcPr>
            <w:tcW w:w="2412" w:type="dxa"/>
            <w:vAlign w:val="center"/>
          </w:tcPr>
          <w:p w14:paraId="56FFF2B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Compare results to baseline; prioritise improvements</w:t>
            </w:r>
          </w:p>
        </w:tc>
        <w:tc>
          <w:tcPr>
            <w:tcW w:w="2412" w:type="dxa"/>
            <w:vAlign w:val="center"/>
          </w:tcPr>
          <w:p w14:paraId="340F60A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Signed post-implementation review</w:t>
            </w:r>
          </w:p>
        </w:tc>
      </w:tr>
    </w:tbl>
    <w:p w14:paraId="6B04D2BB" w14:textId="77777777" w:rsidR="004857E4" w:rsidRPr="002C5C34" w:rsidRDefault="00000000" w:rsidP="002C5C34">
      <w:pPr>
        <w:jc w:val="both"/>
        <w:rPr>
          <w:rFonts w:cs="Arial"/>
          <w:bCs/>
          <w:color w:val="000000" w:themeColor="text1"/>
        </w:rPr>
      </w:pPr>
      <w:r w:rsidRPr="002C5C34">
        <w:rPr>
          <w:rFonts w:cs="Arial"/>
          <w:bCs/>
          <w:color w:val="000000" w:themeColor="text1"/>
        </w:rPr>
        <w:t>Data cleansing is a formal project deliverable, not an administrative afterthought. Product, customer, supplier and location records should be deduplicated, validated and assigned accountable owners. Trial migrations must reconcile stock, customer balances and finance totals. Configuration should favour proven processes and limited customisation, because recreating every legacy practice increases cost and upgrade difficulty.</w:t>
      </w:r>
    </w:p>
    <w:p w14:paraId="33154FFD" w14:textId="77777777" w:rsidR="004857E4" w:rsidRPr="002C5C34" w:rsidRDefault="00000000" w:rsidP="002C5C34">
      <w:pPr>
        <w:jc w:val="both"/>
        <w:rPr>
          <w:rFonts w:cs="Arial"/>
          <w:bCs/>
          <w:color w:val="000000" w:themeColor="text1"/>
        </w:rPr>
      </w:pPr>
      <w:r w:rsidRPr="002C5C34">
        <w:rPr>
          <w:rFonts w:cs="Arial"/>
          <w:bCs/>
          <w:color w:val="000000" w:themeColor="text1"/>
        </w:rPr>
        <w:t xml:space="preserve">User adoption should be designed using the Technology Acceptance Model. Perceived usefulness can be increased by demonstrating quicker stock checks, fewer duplicate entries and easier </w:t>
      </w:r>
      <w:r w:rsidRPr="002C5C34">
        <w:rPr>
          <w:rFonts w:cs="Arial"/>
          <w:bCs/>
          <w:color w:val="000000" w:themeColor="text1"/>
        </w:rPr>
        <w:lastRenderedPageBreak/>
        <w:t xml:space="preserve">complaint resolution; perceived ease of use requires role-based training, sandbox practice, concise job aids and local ‘super </w:t>
      </w:r>
      <w:proofErr w:type="gramStart"/>
      <w:r w:rsidRPr="002C5C34">
        <w:rPr>
          <w:rFonts w:cs="Arial"/>
          <w:bCs/>
          <w:color w:val="000000" w:themeColor="text1"/>
        </w:rPr>
        <w:t>users’</w:t>
      </w:r>
      <w:proofErr w:type="gramEnd"/>
      <w:r w:rsidRPr="002C5C34">
        <w:rPr>
          <w:rFonts w:cs="Arial"/>
          <w:bCs/>
          <w:color w:val="000000" w:themeColor="text1"/>
        </w:rPr>
        <w:t>. Employees should participate in design and user-acceptance testing so the change is understood as operational improvement rather than surveillance. Usefulness, ease of use and training are central to successful ERP acceptance.</w:t>
      </w:r>
    </w:p>
    <w:p w14:paraId="53AA60B8" w14:textId="77777777" w:rsidR="004857E4" w:rsidRPr="002C5C34" w:rsidRDefault="00000000" w:rsidP="002C5C34">
      <w:pPr>
        <w:pStyle w:val="Heading2"/>
        <w:spacing w:before="160" w:after="80"/>
        <w:rPr>
          <w:rFonts w:ascii="Arial" w:hAnsi="Arial" w:cs="Arial"/>
          <w:b w:val="0"/>
          <w:color w:val="000000" w:themeColor="text1"/>
          <w:sz w:val="22"/>
          <w:szCs w:val="22"/>
        </w:rPr>
      </w:pPr>
      <w:r w:rsidRPr="002C5C34">
        <w:rPr>
          <w:rFonts w:ascii="Arial" w:hAnsi="Arial" w:cs="Arial"/>
          <w:b w:val="0"/>
          <w:color w:val="000000" w:themeColor="text1"/>
          <w:sz w:val="22"/>
          <w:szCs w:val="22"/>
        </w:rPr>
        <w:t>4.2 Risk control and benefits realisation</w:t>
      </w:r>
    </w:p>
    <w:p w14:paraId="4A4D5B71" w14:textId="77777777" w:rsidR="004857E4" w:rsidRPr="002C5C34" w:rsidRDefault="00000000" w:rsidP="002C5C34">
      <w:pPr>
        <w:pStyle w:val="Caption"/>
        <w:keepNext/>
        <w:spacing w:after="60"/>
        <w:jc w:val="center"/>
        <w:rPr>
          <w:rFonts w:cs="Arial"/>
          <w:b w:val="0"/>
          <w:color w:val="000000" w:themeColor="text1"/>
          <w:sz w:val="22"/>
          <w:szCs w:val="22"/>
        </w:rPr>
      </w:pPr>
      <w:r w:rsidRPr="002C5C34">
        <w:rPr>
          <w:rFonts w:cs="Arial"/>
          <w:b w:val="0"/>
          <w:color w:val="000000" w:themeColor="text1"/>
          <w:sz w:val="22"/>
          <w:szCs w:val="22"/>
        </w:rPr>
        <w:t>Table 4. Principal implementation risks and controls</w:t>
      </w:r>
    </w:p>
    <w:tbl>
      <w:tblPr>
        <w:tblStyle w:val="TableGrid"/>
        <w:tblW w:w="0" w:type="auto"/>
        <w:jc w:val="center"/>
        <w:tblLook w:val="04A0" w:firstRow="1" w:lastRow="0" w:firstColumn="1" w:lastColumn="0" w:noHBand="0" w:noVBand="1"/>
      </w:tblPr>
      <w:tblGrid>
        <w:gridCol w:w="2410"/>
        <w:gridCol w:w="2409"/>
        <w:gridCol w:w="2410"/>
        <w:gridCol w:w="2409"/>
      </w:tblGrid>
      <w:tr w:rsidR="004857E4" w:rsidRPr="002C5C34" w14:paraId="2FDFF396" w14:textId="77777777" w:rsidTr="002C5C34">
        <w:trPr>
          <w:cantSplit/>
          <w:tblHeader/>
          <w:jc w:val="center"/>
        </w:trPr>
        <w:tc>
          <w:tcPr>
            <w:tcW w:w="2412" w:type="dxa"/>
            <w:vAlign w:val="center"/>
          </w:tcPr>
          <w:p w14:paraId="14B9EDC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Risk</w:t>
            </w:r>
          </w:p>
        </w:tc>
        <w:tc>
          <w:tcPr>
            <w:tcW w:w="2412" w:type="dxa"/>
            <w:vAlign w:val="center"/>
          </w:tcPr>
          <w:p w14:paraId="3BE371BD"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Likelihood / impact</w:t>
            </w:r>
          </w:p>
        </w:tc>
        <w:tc>
          <w:tcPr>
            <w:tcW w:w="2412" w:type="dxa"/>
            <w:vAlign w:val="center"/>
          </w:tcPr>
          <w:p w14:paraId="1F8F2AF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Key control</w:t>
            </w:r>
          </w:p>
        </w:tc>
        <w:tc>
          <w:tcPr>
            <w:tcW w:w="2412" w:type="dxa"/>
            <w:vAlign w:val="center"/>
          </w:tcPr>
          <w:p w14:paraId="52700E43"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Owner</w:t>
            </w:r>
          </w:p>
        </w:tc>
      </w:tr>
      <w:tr w:rsidR="004857E4" w:rsidRPr="002C5C34" w14:paraId="018D59E7" w14:textId="77777777">
        <w:trPr>
          <w:cantSplit/>
          <w:jc w:val="center"/>
        </w:trPr>
        <w:tc>
          <w:tcPr>
            <w:tcW w:w="2412" w:type="dxa"/>
            <w:vAlign w:val="center"/>
          </w:tcPr>
          <w:p w14:paraId="3D9093C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Poor data quality</w:t>
            </w:r>
          </w:p>
        </w:tc>
        <w:tc>
          <w:tcPr>
            <w:tcW w:w="2412" w:type="dxa"/>
            <w:vAlign w:val="center"/>
          </w:tcPr>
          <w:p w14:paraId="6E818A9C"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High / High</w:t>
            </w:r>
          </w:p>
        </w:tc>
        <w:tc>
          <w:tcPr>
            <w:tcW w:w="2412" w:type="dxa"/>
            <w:vAlign w:val="center"/>
          </w:tcPr>
          <w:p w14:paraId="7AAF7CA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Data owners, cleansing rules, trial migration and reconciliation</w:t>
            </w:r>
          </w:p>
        </w:tc>
        <w:tc>
          <w:tcPr>
            <w:tcW w:w="2412" w:type="dxa"/>
            <w:vAlign w:val="center"/>
          </w:tcPr>
          <w:p w14:paraId="394E07C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Data lead</w:t>
            </w:r>
          </w:p>
        </w:tc>
      </w:tr>
      <w:tr w:rsidR="004857E4" w:rsidRPr="002C5C34" w14:paraId="75442A38" w14:textId="77777777">
        <w:trPr>
          <w:cantSplit/>
          <w:jc w:val="center"/>
        </w:trPr>
        <w:tc>
          <w:tcPr>
            <w:tcW w:w="2412" w:type="dxa"/>
            <w:vAlign w:val="center"/>
          </w:tcPr>
          <w:p w14:paraId="26BEA905"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User resistance</w:t>
            </w:r>
          </w:p>
        </w:tc>
        <w:tc>
          <w:tcPr>
            <w:tcW w:w="2412" w:type="dxa"/>
            <w:vAlign w:val="center"/>
          </w:tcPr>
          <w:p w14:paraId="7B66DDD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Medium / High</w:t>
            </w:r>
          </w:p>
        </w:tc>
        <w:tc>
          <w:tcPr>
            <w:tcW w:w="2412" w:type="dxa"/>
            <w:vAlign w:val="center"/>
          </w:tcPr>
          <w:p w14:paraId="345948DA"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Participation, TAM-based training, super users and adoption measures</w:t>
            </w:r>
          </w:p>
        </w:tc>
        <w:tc>
          <w:tcPr>
            <w:tcW w:w="2412" w:type="dxa"/>
            <w:vAlign w:val="center"/>
          </w:tcPr>
          <w:p w14:paraId="604C96DB"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Change lead</w:t>
            </w:r>
          </w:p>
        </w:tc>
      </w:tr>
      <w:tr w:rsidR="004857E4" w:rsidRPr="002C5C34" w14:paraId="24E260AF" w14:textId="77777777">
        <w:trPr>
          <w:cantSplit/>
          <w:jc w:val="center"/>
        </w:trPr>
        <w:tc>
          <w:tcPr>
            <w:tcW w:w="2412" w:type="dxa"/>
            <w:vAlign w:val="center"/>
          </w:tcPr>
          <w:p w14:paraId="53149E4E"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Cost or schedule overrun</w:t>
            </w:r>
          </w:p>
        </w:tc>
        <w:tc>
          <w:tcPr>
            <w:tcW w:w="2412" w:type="dxa"/>
            <w:vAlign w:val="center"/>
          </w:tcPr>
          <w:p w14:paraId="5909E8D5"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Medium / High</w:t>
            </w:r>
          </w:p>
        </w:tc>
        <w:tc>
          <w:tcPr>
            <w:tcW w:w="2412" w:type="dxa"/>
            <w:vAlign w:val="center"/>
          </w:tcPr>
          <w:p w14:paraId="6C360CB1"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Defined scope, stage gates, contingency and change control</w:t>
            </w:r>
          </w:p>
        </w:tc>
        <w:tc>
          <w:tcPr>
            <w:tcW w:w="2412" w:type="dxa"/>
            <w:vAlign w:val="center"/>
          </w:tcPr>
          <w:p w14:paraId="7091CFEB"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Project sponsor</w:t>
            </w:r>
          </w:p>
        </w:tc>
      </w:tr>
      <w:tr w:rsidR="004857E4" w:rsidRPr="002C5C34" w14:paraId="3E0FCAAF" w14:textId="77777777">
        <w:trPr>
          <w:cantSplit/>
          <w:jc w:val="center"/>
        </w:trPr>
        <w:tc>
          <w:tcPr>
            <w:tcW w:w="2412" w:type="dxa"/>
            <w:vAlign w:val="center"/>
          </w:tcPr>
          <w:p w14:paraId="1BA3EC39"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Integration or cutover failure</w:t>
            </w:r>
          </w:p>
        </w:tc>
        <w:tc>
          <w:tcPr>
            <w:tcW w:w="2412" w:type="dxa"/>
            <w:vAlign w:val="center"/>
          </w:tcPr>
          <w:p w14:paraId="7AAA079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Medium / High</w:t>
            </w:r>
          </w:p>
        </w:tc>
        <w:tc>
          <w:tcPr>
            <w:tcW w:w="2412" w:type="dxa"/>
            <w:vAlign w:val="center"/>
          </w:tcPr>
          <w:p w14:paraId="67F2379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End-to-end testing, pilot, rollback plan and parallel checks</w:t>
            </w:r>
          </w:p>
        </w:tc>
        <w:tc>
          <w:tcPr>
            <w:tcW w:w="2412" w:type="dxa"/>
            <w:vAlign w:val="center"/>
          </w:tcPr>
          <w:p w14:paraId="524BB94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Technical lead</w:t>
            </w:r>
          </w:p>
        </w:tc>
      </w:tr>
      <w:tr w:rsidR="004857E4" w:rsidRPr="002C5C34" w14:paraId="2D6931F3" w14:textId="77777777">
        <w:trPr>
          <w:cantSplit/>
          <w:jc w:val="center"/>
        </w:trPr>
        <w:tc>
          <w:tcPr>
            <w:tcW w:w="2412" w:type="dxa"/>
            <w:vAlign w:val="center"/>
          </w:tcPr>
          <w:p w14:paraId="7EDF7902"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Cybersecurity or privacy breach</w:t>
            </w:r>
          </w:p>
        </w:tc>
        <w:tc>
          <w:tcPr>
            <w:tcW w:w="2412" w:type="dxa"/>
            <w:vAlign w:val="center"/>
          </w:tcPr>
          <w:p w14:paraId="5E322EF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Medium / Very high</w:t>
            </w:r>
          </w:p>
        </w:tc>
        <w:tc>
          <w:tcPr>
            <w:tcW w:w="2412" w:type="dxa"/>
            <w:vAlign w:val="center"/>
          </w:tcPr>
          <w:p w14:paraId="4640D9DA"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DPIA, access controls, encryption, logging and incident exercises</w:t>
            </w:r>
          </w:p>
        </w:tc>
        <w:tc>
          <w:tcPr>
            <w:tcW w:w="2412" w:type="dxa"/>
            <w:vAlign w:val="center"/>
          </w:tcPr>
          <w:p w14:paraId="40F2606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Security / DPO</w:t>
            </w:r>
          </w:p>
        </w:tc>
      </w:tr>
      <w:tr w:rsidR="004857E4" w:rsidRPr="002C5C34" w14:paraId="3D35F054" w14:textId="77777777">
        <w:trPr>
          <w:cantSplit/>
          <w:jc w:val="center"/>
        </w:trPr>
        <w:tc>
          <w:tcPr>
            <w:tcW w:w="2412" w:type="dxa"/>
            <w:vAlign w:val="center"/>
          </w:tcPr>
          <w:p w14:paraId="37AE0BA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Vendor lock-in or outage</w:t>
            </w:r>
          </w:p>
        </w:tc>
        <w:tc>
          <w:tcPr>
            <w:tcW w:w="2412" w:type="dxa"/>
            <w:vAlign w:val="center"/>
          </w:tcPr>
          <w:p w14:paraId="2B01A703"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Medium / High</w:t>
            </w:r>
          </w:p>
        </w:tc>
        <w:tc>
          <w:tcPr>
            <w:tcW w:w="2412" w:type="dxa"/>
            <w:vAlign w:val="center"/>
          </w:tcPr>
          <w:p w14:paraId="7970F16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Export rights, open APIs, SLAs, resilience evidence and exit plan</w:t>
            </w:r>
          </w:p>
        </w:tc>
        <w:tc>
          <w:tcPr>
            <w:tcW w:w="2412" w:type="dxa"/>
            <w:vAlign w:val="center"/>
          </w:tcPr>
          <w:p w14:paraId="7CEA2261"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Commercial lead</w:t>
            </w:r>
          </w:p>
        </w:tc>
      </w:tr>
    </w:tbl>
    <w:p w14:paraId="5951A18D" w14:textId="77777777" w:rsidR="004857E4" w:rsidRPr="002C5C34" w:rsidRDefault="00000000" w:rsidP="002C5C34">
      <w:pPr>
        <w:jc w:val="both"/>
        <w:rPr>
          <w:rFonts w:cs="Arial"/>
          <w:bCs/>
          <w:color w:val="000000" w:themeColor="text1"/>
        </w:rPr>
      </w:pPr>
      <w:r w:rsidRPr="002C5C34">
        <w:rPr>
          <w:rFonts w:cs="Arial"/>
          <w:bCs/>
          <w:color w:val="000000" w:themeColor="text1"/>
        </w:rPr>
        <w:t xml:space="preserve">Benefits must be measured independently from technical </w:t>
      </w:r>
      <w:proofErr w:type="gramStart"/>
      <w:r w:rsidRPr="002C5C34">
        <w:rPr>
          <w:rFonts w:cs="Arial"/>
          <w:bCs/>
          <w:color w:val="000000" w:themeColor="text1"/>
        </w:rPr>
        <w:t>go-live</w:t>
      </w:r>
      <w:proofErr w:type="gramEnd"/>
      <w:r w:rsidRPr="002C5C34">
        <w:rPr>
          <w:rFonts w:cs="Arial"/>
          <w:bCs/>
          <w:color w:val="000000" w:themeColor="text1"/>
        </w:rPr>
        <w:t>. Project delivery on time and budget does not by itself prove organisational value. Maldiva should establish baseline figures during discovery and approve targets such as those in Table 5. The targets are intentionally provisional because the case provides no current measurements.</w:t>
      </w:r>
    </w:p>
    <w:p w14:paraId="2BAF92AA" w14:textId="77777777" w:rsidR="004857E4" w:rsidRPr="002C5C34" w:rsidRDefault="00000000" w:rsidP="002C5C34">
      <w:pPr>
        <w:pStyle w:val="Caption"/>
        <w:keepNext/>
        <w:spacing w:after="60"/>
        <w:jc w:val="center"/>
        <w:rPr>
          <w:rFonts w:cs="Arial"/>
          <w:b w:val="0"/>
          <w:color w:val="000000" w:themeColor="text1"/>
          <w:sz w:val="22"/>
          <w:szCs w:val="22"/>
        </w:rPr>
      </w:pPr>
      <w:r w:rsidRPr="002C5C34">
        <w:rPr>
          <w:rFonts w:cs="Arial"/>
          <w:b w:val="0"/>
          <w:color w:val="000000" w:themeColor="text1"/>
          <w:sz w:val="22"/>
          <w:szCs w:val="22"/>
        </w:rPr>
        <w:t>Table 5. Proposed benefits-realisation measures</w:t>
      </w:r>
    </w:p>
    <w:tbl>
      <w:tblPr>
        <w:tblStyle w:val="TableGrid"/>
        <w:tblW w:w="0" w:type="auto"/>
        <w:jc w:val="center"/>
        <w:tblLook w:val="04A0" w:firstRow="1" w:lastRow="0" w:firstColumn="1" w:lastColumn="0" w:noHBand="0" w:noVBand="1"/>
      </w:tblPr>
      <w:tblGrid>
        <w:gridCol w:w="3214"/>
        <w:gridCol w:w="3212"/>
        <w:gridCol w:w="3212"/>
      </w:tblGrid>
      <w:tr w:rsidR="004857E4" w:rsidRPr="002C5C34" w14:paraId="1EEE6BD5" w14:textId="77777777" w:rsidTr="002C5C34">
        <w:trPr>
          <w:cantSplit/>
          <w:tblHeader/>
          <w:jc w:val="center"/>
        </w:trPr>
        <w:tc>
          <w:tcPr>
            <w:tcW w:w="3216" w:type="dxa"/>
            <w:vAlign w:val="center"/>
          </w:tcPr>
          <w:p w14:paraId="099A419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Measure</w:t>
            </w:r>
          </w:p>
        </w:tc>
        <w:tc>
          <w:tcPr>
            <w:tcW w:w="3216" w:type="dxa"/>
            <w:vAlign w:val="center"/>
          </w:tcPr>
          <w:p w14:paraId="7DD2789E"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Provisional target</w:t>
            </w:r>
          </w:p>
        </w:tc>
        <w:tc>
          <w:tcPr>
            <w:tcW w:w="3216" w:type="dxa"/>
            <w:vAlign w:val="center"/>
          </w:tcPr>
          <w:p w14:paraId="0E6A4BE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Review point</w:t>
            </w:r>
          </w:p>
        </w:tc>
      </w:tr>
      <w:tr w:rsidR="004857E4" w:rsidRPr="002C5C34" w14:paraId="71B64815" w14:textId="77777777">
        <w:trPr>
          <w:cantSplit/>
          <w:jc w:val="center"/>
        </w:trPr>
        <w:tc>
          <w:tcPr>
            <w:tcW w:w="3216" w:type="dxa"/>
            <w:vAlign w:val="center"/>
          </w:tcPr>
          <w:p w14:paraId="3BAB837A"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Inventory-record accuracy</w:t>
            </w:r>
          </w:p>
        </w:tc>
        <w:tc>
          <w:tcPr>
            <w:tcW w:w="3216" w:type="dxa"/>
            <w:vAlign w:val="center"/>
          </w:tcPr>
          <w:p w14:paraId="3DDFA28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At least 98%</w:t>
            </w:r>
          </w:p>
        </w:tc>
        <w:tc>
          <w:tcPr>
            <w:tcW w:w="3216" w:type="dxa"/>
            <w:vAlign w:val="center"/>
          </w:tcPr>
          <w:p w14:paraId="476B129F"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Weekly pilot; monthly thereafter</w:t>
            </w:r>
          </w:p>
        </w:tc>
      </w:tr>
      <w:tr w:rsidR="004857E4" w:rsidRPr="002C5C34" w14:paraId="28F29E7A" w14:textId="77777777">
        <w:trPr>
          <w:cantSplit/>
          <w:jc w:val="center"/>
        </w:trPr>
        <w:tc>
          <w:tcPr>
            <w:tcW w:w="3216" w:type="dxa"/>
            <w:vAlign w:val="center"/>
          </w:tcPr>
          <w:p w14:paraId="78F8442A"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Online cancellations caused by unavailable stock</w:t>
            </w:r>
          </w:p>
        </w:tc>
        <w:tc>
          <w:tcPr>
            <w:tcW w:w="3216" w:type="dxa"/>
            <w:vAlign w:val="center"/>
          </w:tcPr>
          <w:p w14:paraId="675BE6BB"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60% reduction from baseline</w:t>
            </w:r>
          </w:p>
        </w:tc>
        <w:tc>
          <w:tcPr>
            <w:tcW w:w="3216" w:type="dxa"/>
            <w:vAlign w:val="center"/>
          </w:tcPr>
          <w:p w14:paraId="4BAF8E4B"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90 and 180 days</w:t>
            </w:r>
          </w:p>
        </w:tc>
      </w:tr>
      <w:tr w:rsidR="004857E4" w:rsidRPr="002C5C34" w14:paraId="63536AB4" w14:textId="77777777">
        <w:trPr>
          <w:cantSplit/>
          <w:jc w:val="center"/>
        </w:trPr>
        <w:tc>
          <w:tcPr>
            <w:tcW w:w="3216" w:type="dxa"/>
            <w:vAlign w:val="center"/>
          </w:tcPr>
          <w:p w14:paraId="7EB66FE1"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Manual interdepartmental re-entry</w:t>
            </w:r>
          </w:p>
        </w:tc>
        <w:tc>
          <w:tcPr>
            <w:tcW w:w="3216" w:type="dxa"/>
            <w:vAlign w:val="center"/>
          </w:tcPr>
          <w:p w14:paraId="37EF0878"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70% reduction</w:t>
            </w:r>
          </w:p>
        </w:tc>
        <w:tc>
          <w:tcPr>
            <w:tcW w:w="3216" w:type="dxa"/>
            <w:vAlign w:val="center"/>
          </w:tcPr>
          <w:p w14:paraId="6824B57D"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90 days</w:t>
            </w:r>
          </w:p>
        </w:tc>
      </w:tr>
      <w:tr w:rsidR="004857E4" w:rsidRPr="002C5C34" w14:paraId="389724AF" w14:textId="77777777">
        <w:trPr>
          <w:cantSplit/>
          <w:jc w:val="center"/>
        </w:trPr>
        <w:tc>
          <w:tcPr>
            <w:tcW w:w="3216" w:type="dxa"/>
            <w:vAlign w:val="center"/>
          </w:tcPr>
          <w:p w14:paraId="1231639E"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Standard management reporting</w:t>
            </w:r>
          </w:p>
        </w:tc>
        <w:tc>
          <w:tcPr>
            <w:tcW w:w="3216" w:type="dxa"/>
            <w:vAlign w:val="center"/>
          </w:tcPr>
          <w:p w14:paraId="0BC7714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Available same working day</w:t>
            </w:r>
          </w:p>
        </w:tc>
        <w:tc>
          <w:tcPr>
            <w:tcW w:w="3216" w:type="dxa"/>
            <w:vAlign w:val="center"/>
          </w:tcPr>
          <w:p w14:paraId="7D51723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30 days</w:t>
            </w:r>
          </w:p>
        </w:tc>
      </w:tr>
      <w:tr w:rsidR="004857E4" w:rsidRPr="002C5C34" w14:paraId="6D8B117B" w14:textId="77777777">
        <w:trPr>
          <w:cantSplit/>
          <w:jc w:val="center"/>
        </w:trPr>
        <w:tc>
          <w:tcPr>
            <w:tcW w:w="3216" w:type="dxa"/>
            <w:vAlign w:val="center"/>
          </w:tcPr>
          <w:p w14:paraId="196727B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Average complaint-resolution time</w:t>
            </w:r>
          </w:p>
        </w:tc>
        <w:tc>
          <w:tcPr>
            <w:tcW w:w="3216" w:type="dxa"/>
            <w:vAlign w:val="center"/>
          </w:tcPr>
          <w:p w14:paraId="256B5EAA"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30% reduction</w:t>
            </w:r>
          </w:p>
        </w:tc>
        <w:tc>
          <w:tcPr>
            <w:tcW w:w="3216" w:type="dxa"/>
            <w:vAlign w:val="center"/>
          </w:tcPr>
          <w:p w14:paraId="231B68AA"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90 and 180 days</w:t>
            </w:r>
          </w:p>
        </w:tc>
      </w:tr>
      <w:tr w:rsidR="004857E4" w:rsidRPr="002C5C34" w14:paraId="0E153CB0" w14:textId="77777777">
        <w:trPr>
          <w:cantSplit/>
          <w:jc w:val="center"/>
        </w:trPr>
        <w:tc>
          <w:tcPr>
            <w:tcW w:w="3216" w:type="dxa"/>
            <w:vAlign w:val="center"/>
          </w:tcPr>
          <w:p w14:paraId="0B2A7FB7"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Training completion before access</w:t>
            </w:r>
          </w:p>
        </w:tc>
        <w:tc>
          <w:tcPr>
            <w:tcW w:w="3216" w:type="dxa"/>
            <w:vAlign w:val="center"/>
          </w:tcPr>
          <w:p w14:paraId="787255D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100%</w:t>
            </w:r>
          </w:p>
        </w:tc>
        <w:tc>
          <w:tcPr>
            <w:tcW w:w="3216" w:type="dxa"/>
            <w:vAlign w:val="center"/>
          </w:tcPr>
          <w:p w14:paraId="5553E216"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Before each rollout wave</w:t>
            </w:r>
          </w:p>
        </w:tc>
      </w:tr>
      <w:tr w:rsidR="004857E4" w:rsidRPr="002C5C34" w14:paraId="7318C917" w14:textId="77777777">
        <w:trPr>
          <w:cantSplit/>
          <w:jc w:val="center"/>
        </w:trPr>
        <w:tc>
          <w:tcPr>
            <w:tcW w:w="3216" w:type="dxa"/>
            <w:vAlign w:val="center"/>
          </w:tcPr>
          <w:p w14:paraId="5FC5E57B"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Privileged-access review</w:t>
            </w:r>
          </w:p>
        </w:tc>
        <w:tc>
          <w:tcPr>
            <w:tcW w:w="3216" w:type="dxa"/>
            <w:vAlign w:val="center"/>
          </w:tcPr>
          <w:p w14:paraId="46018CB4"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100% quarterly completion</w:t>
            </w:r>
          </w:p>
        </w:tc>
        <w:tc>
          <w:tcPr>
            <w:tcW w:w="3216" w:type="dxa"/>
            <w:vAlign w:val="center"/>
          </w:tcPr>
          <w:p w14:paraId="447FBA3F" w14:textId="77777777" w:rsidR="004857E4" w:rsidRPr="002C5C34" w:rsidRDefault="00000000" w:rsidP="002C5C34">
            <w:pPr>
              <w:spacing w:after="0" w:line="240" w:lineRule="auto"/>
              <w:rPr>
                <w:rFonts w:cs="Arial"/>
                <w:bCs/>
                <w:color w:val="000000" w:themeColor="text1"/>
              </w:rPr>
            </w:pPr>
            <w:r w:rsidRPr="002C5C34">
              <w:rPr>
                <w:rFonts w:cs="Arial"/>
                <w:bCs/>
                <w:color w:val="000000" w:themeColor="text1"/>
              </w:rPr>
              <w:t>Quarterly</w:t>
            </w:r>
          </w:p>
        </w:tc>
      </w:tr>
    </w:tbl>
    <w:p w14:paraId="18E77F21" w14:textId="77777777" w:rsidR="004857E4" w:rsidRPr="002C5C34" w:rsidRDefault="00000000" w:rsidP="002C5C34">
      <w:pPr>
        <w:pStyle w:val="Heading1"/>
        <w:spacing w:before="160" w:after="80"/>
        <w:rPr>
          <w:rFonts w:ascii="Arial" w:hAnsi="Arial" w:cs="Arial"/>
          <w:b w:val="0"/>
          <w:color w:val="000000" w:themeColor="text1"/>
          <w:sz w:val="22"/>
          <w:szCs w:val="22"/>
        </w:rPr>
      </w:pPr>
      <w:r w:rsidRPr="002C5C34">
        <w:rPr>
          <w:rFonts w:ascii="Arial" w:hAnsi="Arial" w:cs="Arial"/>
          <w:b w:val="0"/>
          <w:color w:val="000000" w:themeColor="text1"/>
          <w:sz w:val="22"/>
          <w:szCs w:val="22"/>
        </w:rPr>
        <w:lastRenderedPageBreak/>
        <w:t>5. Conclusion</w:t>
      </w:r>
    </w:p>
    <w:p w14:paraId="0404CD90" w14:textId="77777777" w:rsidR="004857E4" w:rsidRPr="002C5C34" w:rsidRDefault="00000000" w:rsidP="002C5C34">
      <w:pPr>
        <w:jc w:val="both"/>
        <w:rPr>
          <w:rFonts w:cs="Arial"/>
          <w:bCs/>
          <w:color w:val="000000" w:themeColor="text1"/>
        </w:rPr>
      </w:pPr>
      <w:r w:rsidRPr="002C5C34">
        <w:rPr>
          <w:rFonts w:cs="Arial"/>
          <w:bCs/>
          <w:color w:val="000000" w:themeColor="text1"/>
        </w:rPr>
        <w:t>Maldiva’s operational difficulties arise from fragmented information, manual work and weak governance. Interfaces around the legacy estate would preserve technical debt, while separate specialist tools would create further integration and ownership problems. The weighted appraisal therefore supports a modular cloud ERP integrating inventory, sales, CRM, finance and BI on governed common data.</w:t>
      </w:r>
    </w:p>
    <w:p w14:paraId="474EC61C" w14:textId="77777777" w:rsidR="004857E4" w:rsidRPr="002C5C34" w:rsidRDefault="00000000" w:rsidP="002C5C34">
      <w:pPr>
        <w:jc w:val="both"/>
        <w:rPr>
          <w:rFonts w:cs="Arial"/>
          <w:bCs/>
          <w:color w:val="000000" w:themeColor="text1"/>
        </w:rPr>
      </w:pPr>
      <w:r w:rsidRPr="002C5C34">
        <w:rPr>
          <w:rFonts w:cs="Arial"/>
          <w:bCs/>
          <w:color w:val="000000" w:themeColor="text1"/>
        </w:rPr>
        <w:t>The recommendation is not risk-free: implementation can overrun, poor data can contaminate the new system, users may resist and a cloud supplier creates concentration and lock-in risks. However, these limitations are manageable through competitive TCO-based procurement, a DPIA, limited customisation, data cleansing, pilot deployment, contractual exit rights and TAM-informed training. If Maldiva treats the programme as organisational change, verifies benefits against baselines and maintains effective governance, the system should improve stock accuracy, fulfilment, customer service, decision-making and scalable growth.</w:t>
      </w:r>
    </w:p>
    <w:sectPr w:rsidR="004857E4" w:rsidRPr="002C5C34" w:rsidSect="00034616">
      <w:footerReference w:type="default" r:id="rId9"/>
      <w:pgSz w:w="12240" w:h="15840"/>
      <w:pgMar w:top="1123"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A2D5621" w14:textId="77777777" w:rsidR="00017EFF" w:rsidRDefault="00017EFF">
      <w:pPr>
        <w:spacing w:after="0" w:line="240" w:lineRule="auto"/>
      </w:pPr>
      <w:r>
        <w:separator/>
      </w:r>
    </w:p>
  </w:endnote>
  <w:endnote w:type="continuationSeparator" w:id="0">
    <w:p w14:paraId="08CFC52C" w14:textId="77777777" w:rsidR="00017EFF" w:rsidRDefault="00017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14D7346" w14:textId="77777777" w:rsidR="004857E4" w:rsidRDefault="00000000">
    <w:pPr>
      <w:pStyle w:val="Footer"/>
      <w:jc w:val="center"/>
    </w:pPr>
    <w:r>
      <w:fldChar w:fldCharType="begin"/>
    </w:r>
    <w:r>
      <w:instrText>PAGE</w:instrText>
    </w:r>
    <w:r w:rsidR="002C5C34">
      <w:fldChar w:fldCharType="separate"/>
    </w:r>
    <w:r w:rsidR="002C5C3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BBE34B5" w14:textId="77777777" w:rsidR="00017EFF" w:rsidRDefault="00017EFF">
      <w:pPr>
        <w:spacing w:after="0" w:line="240" w:lineRule="auto"/>
      </w:pPr>
      <w:r>
        <w:separator/>
      </w:r>
    </w:p>
  </w:footnote>
  <w:footnote w:type="continuationSeparator" w:id="0">
    <w:p w14:paraId="2C4234E3" w14:textId="77777777" w:rsidR="00017EFF" w:rsidRDefault="00017E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76114675">
    <w:abstractNumId w:val="8"/>
  </w:num>
  <w:num w:numId="2" w16cid:durableId="1335648113">
    <w:abstractNumId w:val="6"/>
  </w:num>
  <w:num w:numId="3" w16cid:durableId="570385551">
    <w:abstractNumId w:val="5"/>
  </w:num>
  <w:num w:numId="4" w16cid:durableId="1240824041">
    <w:abstractNumId w:val="4"/>
  </w:num>
  <w:num w:numId="5" w16cid:durableId="1389378869">
    <w:abstractNumId w:val="7"/>
  </w:num>
  <w:num w:numId="6" w16cid:durableId="830022594">
    <w:abstractNumId w:val="3"/>
  </w:num>
  <w:num w:numId="7" w16cid:durableId="1510486141">
    <w:abstractNumId w:val="2"/>
  </w:num>
  <w:num w:numId="8" w16cid:durableId="513809617">
    <w:abstractNumId w:val="1"/>
  </w:num>
  <w:num w:numId="9" w16cid:durableId="80677872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7EFF"/>
    <w:rsid w:val="00034616"/>
    <w:rsid w:val="00036A52"/>
    <w:rsid w:val="0006063C"/>
    <w:rsid w:val="0015074B"/>
    <w:rsid w:val="0029639D"/>
    <w:rsid w:val="002C5C34"/>
    <w:rsid w:val="00326F90"/>
    <w:rsid w:val="004857E4"/>
    <w:rsid w:val="006358B4"/>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47D5CF"/>
  <w14:defaultImageDpi w14:val="300"/>
  <w15:docId w15:val="{862B7EF7-391C-EE4C-B291-DEFB9F3AC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6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b/>
      <w:bCs/>
      <w:color w:val="1F374A"/>
      <w:sz w:val="28"/>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1F374A"/>
      <w:sz w:val="24"/>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1F374A"/>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200" w:after="100" w:line="240" w:lineRule="auto"/>
      <w:contextualSpacing/>
    </w:pPr>
    <w:rPr>
      <w:rFonts w:asciiTheme="majorHAnsi" w:eastAsiaTheme="majorEastAsia" w:hAnsiTheme="majorHAnsi" w:cstheme="majorBidi"/>
      <w:b/>
      <w:color w:val="1F374A"/>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before="60" w:after="120" w:line="240" w:lineRule="auto"/>
    </w:pPr>
    <w:rPr>
      <w:b/>
      <w:bCs/>
      <w:i/>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2303</Words>
  <Characters>13131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15404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LCLM5004 C2 – Maldiva Ltd. Information Systems Improvements</dc:title>
  <dc:subject>Managing Business Information</dc:subject>
  <dc:creator>Abdullah Navsarka (2419942)</dc:creator>
  <cp:keywords>ERP, CRM, business intelligence, information systems, Maldiva Ltd.</cp:keywords>
  <dc:description>generated by python-docx</dc:description>
  <cp:lastModifiedBy>Abdullah Navsarka (2419942)</cp:lastModifiedBy>
  <cp:revision>2</cp:revision>
  <dcterms:created xsi:type="dcterms:W3CDTF">2026-07-27T00:38:00Z</dcterms:created>
  <dcterms:modified xsi:type="dcterms:W3CDTF">2026-07-27T00:38:00Z</dcterms:modified>
  <cp:category/>
</cp:coreProperties>
</file>