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5A20A2" w14:textId="6CA0BB73" w:rsidR="00726BD9" w:rsidRDefault="005A36E1">
      <w:pPr>
        <w:rPr>
          <w:rFonts w:ascii="Times New Roman" w:hAnsi="Times New Roman" w:cs="Times New Roman"/>
          <w:sz w:val="24"/>
          <w:szCs w:val="24"/>
          <w:lang w:val="en-US"/>
        </w:rPr>
      </w:pPr>
      <w:r>
        <w:rPr>
          <w:rFonts w:ascii="Times New Roman" w:hAnsi="Times New Roman" w:cs="Times New Roman"/>
          <w:sz w:val="24"/>
          <w:szCs w:val="24"/>
          <w:lang w:val="en-US"/>
        </w:rPr>
        <w:t>Elizabeth A. Papadopoulos (2405304)</w:t>
      </w:r>
    </w:p>
    <w:p w14:paraId="6BCCE9F2" w14:textId="0CC2D7C7" w:rsidR="005A36E1" w:rsidRDefault="005A36E1">
      <w:pPr>
        <w:rPr>
          <w:rFonts w:ascii="Times New Roman" w:hAnsi="Times New Roman" w:cs="Times New Roman"/>
          <w:sz w:val="24"/>
          <w:szCs w:val="24"/>
          <w:lang w:val="en-US"/>
        </w:rPr>
      </w:pPr>
      <w:r>
        <w:rPr>
          <w:rFonts w:ascii="Times New Roman" w:hAnsi="Times New Roman" w:cs="Times New Roman"/>
          <w:sz w:val="24"/>
          <w:szCs w:val="24"/>
          <w:lang w:val="en-US"/>
        </w:rPr>
        <w:t>MA Medieval Studies</w:t>
      </w:r>
    </w:p>
    <w:p w14:paraId="136350F6" w14:textId="3ACE223B" w:rsidR="005A36E1" w:rsidRDefault="005A36E1">
      <w:pPr>
        <w:rPr>
          <w:rFonts w:ascii="Times New Roman" w:hAnsi="Times New Roman" w:cs="Times New Roman"/>
          <w:sz w:val="24"/>
          <w:szCs w:val="24"/>
          <w:lang w:val="en-US"/>
        </w:rPr>
      </w:pPr>
      <w:r>
        <w:rPr>
          <w:rFonts w:ascii="Times New Roman" w:hAnsi="Times New Roman" w:cs="Times New Roman"/>
          <w:sz w:val="24"/>
          <w:szCs w:val="24"/>
          <w:lang w:val="en-US"/>
        </w:rPr>
        <w:t>History and Historians 2025-2026</w:t>
      </w:r>
    </w:p>
    <w:p w14:paraId="6045EFB9" w14:textId="438605EA" w:rsidR="005A36E1" w:rsidRDefault="005A36E1">
      <w:pPr>
        <w:rPr>
          <w:rFonts w:ascii="Times New Roman" w:hAnsi="Times New Roman" w:cs="Times New Roman"/>
          <w:sz w:val="24"/>
          <w:szCs w:val="24"/>
          <w:lang w:val="en-US"/>
        </w:rPr>
      </w:pPr>
      <w:r>
        <w:rPr>
          <w:rFonts w:ascii="Times New Roman" w:hAnsi="Times New Roman" w:cs="Times New Roman"/>
          <w:sz w:val="24"/>
          <w:szCs w:val="24"/>
          <w:lang w:val="en-US"/>
        </w:rPr>
        <w:t>Assessment Three</w:t>
      </w:r>
    </w:p>
    <w:p w14:paraId="4B19870A" w14:textId="77777777" w:rsidR="005A36E1" w:rsidRDefault="005A36E1">
      <w:pPr>
        <w:rPr>
          <w:rFonts w:ascii="Times New Roman" w:hAnsi="Times New Roman" w:cs="Times New Roman"/>
          <w:sz w:val="24"/>
          <w:szCs w:val="24"/>
          <w:lang w:val="en-US"/>
        </w:rPr>
      </w:pPr>
    </w:p>
    <w:p w14:paraId="18CB6CEF" w14:textId="12FC00E2" w:rsidR="005A36E1" w:rsidRDefault="005A36E1" w:rsidP="005A36E1">
      <w:pPr>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Extract from The </w:t>
      </w:r>
      <w:r w:rsidRPr="005A36E1">
        <w:rPr>
          <w:rFonts w:ascii="Times New Roman" w:hAnsi="Times New Roman" w:cs="Times New Roman"/>
          <w:i/>
          <w:iCs/>
          <w:sz w:val="24"/>
          <w:szCs w:val="24"/>
          <w:lang w:val="en-US"/>
        </w:rPr>
        <w:t>Chronicon Anglicanum</w:t>
      </w:r>
      <w:r>
        <w:rPr>
          <w:rFonts w:ascii="Times New Roman" w:hAnsi="Times New Roman" w:cs="Times New Roman"/>
          <w:sz w:val="24"/>
          <w:szCs w:val="24"/>
          <w:lang w:val="en-US"/>
        </w:rPr>
        <w:t xml:space="preserve"> </w:t>
      </w:r>
      <w:r w:rsidR="00F54B5A">
        <w:rPr>
          <w:rStyle w:val="FootnoteReference"/>
          <w:rFonts w:ascii="Times New Roman" w:hAnsi="Times New Roman" w:cs="Times New Roman"/>
          <w:sz w:val="24"/>
          <w:szCs w:val="24"/>
          <w:lang w:val="en-US"/>
        </w:rPr>
        <w:footnoteReference w:id="1"/>
      </w:r>
      <w:r>
        <w:rPr>
          <w:rFonts w:ascii="Times New Roman" w:hAnsi="Times New Roman" w:cs="Times New Roman"/>
          <w:sz w:val="24"/>
          <w:szCs w:val="24"/>
          <w:lang w:val="en-US"/>
        </w:rPr>
        <w:t>for editing</w:t>
      </w:r>
    </w:p>
    <w:p w14:paraId="5B744364" w14:textId="77777777" w:rsidR="005A36E1" w:rsidRDefault="005A36E1" w:rsidP="005A36E1">
      <w:pPr>
        <w:jc w:val="center"/>
        <w:rPr>
          <w:rFonts w:ascii="Times New Roman" w:hAnsi="Times New Roman" w:cs="Times New Roman"/>
          <w:sz w:val="24"/>
          <w:szCs w:val="24"/>
          <w:lang w:val="en-US"/>
        </w:rPr>
      </w:pPr>
    </w:p>
    <w:p w14:paraId="70E1BD22" w14:textId="77777777" w:rsidR="009430C6" w:rsidRPr="009430C6" w:rsidRDefault="009430C6" w:rsidP="009430C6">
      <w:pPr>
        <w:pStyle w:val="Heading3"/>
        <w:rPr>
          <w:color w:val="000000" w:themeColor="text1"/>
          <w:sz w:val="26"/>
          <w:szCs w:val="26"/>
          <w:u w:val="single"/>
        </w:rPr>
      </w:pPr>
      <w:r w:rsidRPr="009430C6">
        <w:rPr>
          <w:color w:val="000000" w:themeColor="text1"/>
          <w:sz w:val="26"/>
          <w:szCs w:val="26"/>
          <w:u w:val="single"/>
        </w:rPr>
        <w:t>Concerning the disagreement which arose between the king and the Cistercians and the making of peace.</w:t>
      </w:r>
    </w:p>
    <w:p w14:paraId="1F21B2B8" w14:textId="2AF20E6D" w:rsidR="009430C6" w:rsidRDefault="009430C6" w:rsidP="009430C6">
      <w:pPr>
        <w:spacing w:after="0" w:line="360" w:lineRule="auto"/>
        <w:jc w:val="both"/>
        <w:rPr>
          <w:rFonts w:ascii="Garamond" w:hAnsi="Garamond"/>
          <w:sz w:val="26"/>
          <w:szCs w:val="26"/>
        </w:rPr>
      </w:pPr>
      <w:r>
        <w:rPr>
          <w:rFonts w:ascii="Garamond" w:hAnsi="Garamond" w:cs="Times New Roman"/>
          <w:sz w:val="26"/>
          <w:szCs w:val="26"/>
        </w:rPr>
        <w:t>Then the King of England coming to the province of York,</w:t>
      </w:r>
      <w:r w:rsidR="00501D9F">
        <w:rPr>
          <w:rStyle w:val="FootnoteReference"/>
          <w:rFonts w:ascii="Garamond" w:hAnsi="Garamond" w:cs="Times New Roman"/>
          <w:sz w:val="26"/>
          <w:szCs w:val="26"/>
        </w:rPr>
        <w:footnoteReference w:id="2"/>
      </w:r>
      <w:r>
        <w:rPr>
          <w:rFonts w:ascii="Garamond" w:hAnsi="Garamond" w:cs="Times New Roman"/>
          <w:sz w:val="26"/>
          <w:szCs w:val="26"/>
        </w:rPr>
        <w:t xml:space="preserve"> demanded money from certain abbots of the Cistercian order coming there to meet him, and also from the rest (of the order); wishing to subject the order to the servitude of taxation, which up till then had been free of all kinds of customs.</w:t>
      </w:r>
      <w:r w:rsidR="00F91772">
        <w:rPr>
          <w:rStyle w:val="FootnoteReference"/>
          <w:rFonts w:ascii="Garamond" w:hAnsi="Garamond" w:cs="Times New Roman"/>
          <w:sz w:val="26"/>
          <w:szCs w:val="26"/>
        </w:rPr>
        <w:footnoteReference w:id="3"/>
      </w:r>
    </w:p>
    <w:p w14:paraId="6AD20FF0" w14:textId="77777777" w:rsidR="009430C6" w:rsidRDefault="009430C6" w:rsidP="009430C6">
      <w:pPr>
        <w:spacing w:after="0" w:line="360" w:lineRule="auto"/>
        <w:jc w:val="both"/>
        <w:rPr>
          <w:rFonts w:ascii="Garamond" w:hAnsi="Garamond" w:cs="Times New Roman"/>
          <w:sz w:val="26"/>
          <w:szCs w:val="26"/>
        </w:rPr>
      </w:pPr>
    </w:p>
    <w:p w14:paraId="17BA54E3" w14:textId="2FFAEDC3" w:rsidR="009430C6" w:rsidRDefault="009430C6" w:rsidP="009430C6">
      <w:pPr>
        <w:spacing w:after="0" w:line="360" w:lineRule="auto"/>
        <w:jc w:val="both"/>
        <w:rPr>
          <w:rFonts w:ascii="Garamond" w:hAnsi="Garamond"/>
          <w:sz w:val="26"/>
          <w:szCs w:val="26"/>
        </w:rPr>
      </w:pPr>
      <w:r>
        <w:rPr>
          <w:rFonts w:ascii="Garamond" w:hAnsi="Garamond" w:cs="Times New Roman"/>
          <w:sz w:val="26"/>
          <w:szCs w:val="26"/>
        </w:rPr>
        <w:t>Those abbots then, not yet having had the advice of the rest of their co-abbots, and fearing that if they endorsed the royal tax, afterwards the order would be reduced to liability to servile customs, replied simply to the king that they in no way authorised any monetary taxation, except by common counsel and the assent of the general chapter.</w:t>
      </w:r>
      <w:r w:rsidR="000E550C">
        <w:rPr>
          <w:rStyle w:val="FootnoteReference"/>
          <w:rFonts w:ascii="Garamond" w:hAnsi="Garamond" w:cs="Times New Roman"/>
          <w:sz w:val="26"/>
          <w:szCs w:val="26"/>
        </w:rPr>
        <w:footnoteReference w:id="4"/>
      </w:r>
      <w:r>
        <w:rPr>
          <w:rFonts w:ascii="Garamond" w:hAnsi="Garamond" w:cs="Times New Roman"/>
          <w:sz w:val="26"/>
          <w:szCs w:val="26"/>
        </w:rPr>
        <w:t xml:space="preserve"> The king was </w:t>
      </w:r>
      <w:r>
        <w:rPr>
          <w:rFonts w:ascii="Garamond" w:hAnsi="Garamond" w:cs="Times New Roman"/>
          <w:sz w:val="26"/>
          <w:szCs w:val="26"/>
        </w:rPr>
        <w:lastRenderedPageBreak/>
        <w:t>extremely exasperated by their reply; in anger and rage he ordered his sheriffs (proceeding by word of mouth with those present, and by letter with the absent) that they should oppose the men of that order by whatever means availed themselves, and do them harm, that they should take no judicial action against those that did them harm or falsely accused them, that they should not assist them in any business, but they were to hand over everything to the king.</w:t>
      </w:r>
      <w:r w:rsidR="00AA700E">
        <w:rPr>
          <w:rStyle w:val="FootnoteReference"/>
          <w:rFonts w:ascii="Garamond" w:hAnsi="Garamond" w:cs="Times New Roman"/>
          <w:sz w:val="26"/>
          <w:szCs w:val="26"/>
        </w:rPr>
        <w:footnoteReference w:id="5"/>
      </w:r>
      <w:r>
        <w:rPr>
          <w:rFonts w:ascii="Garamond" w:hAnsi="Garamond" w:cs="Times New Roman"/>
          <w:sz w:val="26"/>
          <w:szCs w:val="26"/>
        </w:rPr>
        <w:t xml:space="preserve"> Therefore, those men of virtue, being very sad and fearful after a cruel edict of this nature, sent the king’s mandate to Lord Hubert archbishop of Canterbury, begging him to meet the king about his harsh edict and mitigate his hostility, however he might, with prayers and gifts</w:t>
      </w:r>
      <w:r w:rsidR="00747D55">
        <w:rPr>
          <w:rFonts w:ascii="Garamond" w:hAnsi="Garamond" w:cs="Times New Roman"/>
          <w:sz w:val="26"/>
          <w:szCs w:val="26"/>
        </w:rPr>
        <w:t>.</w:t>
      </w:r>
      <w:r w:rsidR="00492D83">
        <w:rPr>
          <w:rStyle w:val="FootnoteReference"/>
          <w:rFonts w:ascii="Garamond" w:hAnsi="Garamond" w:cs="Times New Roman"/>
          <w:sz w:val="26"/>
          <w:szCs w:val="26"/>
        </w:rPr>
        <w:footnoteReference w:id="6"/>
      </w:r>
    </w:p>
    <w:p w14:paraId="6257551D" w14:textId="77777777" w:rsidR="009430C6" w:rsidRDefault="009430C6" w:rsidP="009430C6">
      <w:pPr>
        <w:spacing w:after="0" w:line="360" w:lineRule="auto"/>
        <w:jc w:val="both"/>
        <w:rPr>
          <w:rFonts w:ascii="Garamond" w:hAnsi="Garamond" w:cs="Times New Roman"/>
          <w:sz w:val="26"/>
          <w:szCs w:val="26"/>
        </w:rPr>
      </w:pPr>
    </w:p>
    <w:p w14:paraId="4B6932C5" w14:textId="349CF94C" w:rsidR="009430C6" w:rsidRDefault="009430C6" w:rsidP="009430C6">
      <w:pPr>
        <w:spacing w:after="0" w:line="360" w:lineRule="auto"/>
        <w:jc w:val="both"/>
        <w:rPr>
          <w:rFonts w:ascii="Garamond" w:hAnsi="Garamond"/>
          <w:sz w:val="26"/>
          <w:szCs w:val="26"/>
        </w:rPr>
      </w:pPr>
      <w:r>
        <w:rPr>
          <w:rFonts w:ascii="Garamond" w:hAnsi="Garamond" w:cs="Times New Roman"/>
          <w:sz w:val="26"/>
          <w:szCs w:val="26"/>
        </w:rPr>
        <w:t>Gently pitying their afflictions and calamities, he freely rebuked the king for such great cruelty, denouncing him as a persecutor of Holy Church for daring to inflict such great and numerous annoyances upon foremost sons of the church, whom the church praised and honoured for the quality of their life and the austerity of their rule; whom kings and princes of the earth till now had always held in such great veneration that they had given them lands and extensive possessions and protected everything of theirs with the shield of defence.</w:t>
      </w:r>
      <w:r w:rsidR="00507DC8">
        <w:rPr>
          <w:rStyle w:val="FootnoteReference"/>
          <w:rFonts w:ascii="Garamond" w:hAnsi="Garamond" w:cs="Times New Roman"/>
          <w:sz w:val="26"/>
          <w:szCs w:val="26"/>
        </w:rPr>
        <w:footnoteReference w:id="7"/>
      </w:r>
    </w:p>
    <w:p w14:paraId="1DCD855D" w14:textId="77777777" w:rsidR="009430C6" w:rsidRDefault="009430C6" w:rsidP="009430C6">
      <w:pPr>
        <w:spacing w:after="0" w:line="360" w:lineRule="auto"/>
        <w:jc w:val="both"/>
        <w:rPr>
          <w:rFonts w:ascii="Garamond" w:hAnsi="Garamond" w:cs="Times New Roman"/>
          <w:sz w:val="26"/>
          <w:szCs w:val="26"/>
        </w:rPr>
      </w:pPr>
    </w:p>
    <w:p w14:paraId="7081F36F" w14:textId="17ABF81A" w:rsidR="009430C6" w:rsidRDefault="009430C6" w:rsidP="009430C6">
      <w:pPr>
        <w:spacing w:after="0" w:line="360" w:lineRule="auto"/>
        <w:jc w:val="both"/>
        <w:rPr>
          <w:rFonts w:ascii="Garamond" w:hAnsi="Garamond"/>
          <w:sz w:val="26"/>
          <w:szCs w:val="26"/>
        </w:rPr>
      </w:pPr>
      <w:r>
        <w:rPr>
          <w:rFonts w:ascii="Garamond" w:hAnsi="Garamond" w:cs="Times New Roman"/>
          <w:sz w:val="26"/>
          <w:szCs w:val="26"/>
        </w:rPr>
        <w:t xml:space="preserve">Then the king, countenancing the archbishop’s reproof for the time, recalled the priors uselessly by new letters, but his savage mind did not lay aside its hostility against them. After he had gone abroad, the archbishop, in order to placate the king’s mood, pledged him, on behalf of the order, a thousand marks of silver; on one condition, however: that he should endorse with the protection of his seal all those charters and liberties, which king Richard had confirmed to them; but he utterly despised this offering, as if it were next to </w:t>
      </w:r>
      <w:r>
        <w:rPr>
          <w:rFonts w:ascii="Garamond" w:hAnsi="Garamond" w:cs="Times New Roman"/>
          <w:sz w:val="26"/>
          <w:szCs w:val="26"/>
        </w:rPr>
        <w:lastRenderedPageBreak/>
        <w:t>nothing.</w:t>
      </w:r>
      <w:r w:rsidR="002F3709">
        <w:rPr>
          <w:rStyle w:val="FootnoteReference"/>
          <w:rFonts w:ascii="Garamond" w:hAnsi="Garamond" w:cs="Times New Roman"/>
          <w:sz w:val="26"/>
          <w:szCs w:val="26"/>
        </w:rPr>
        <w:footnoteReference w:id="8"/>
      </w:r>
      <w:r>
        <w:rPr>
          <w:rFonts w:ascii="Garamond" w:hAnsi="Garamond" w:cs="Times New Roman"/>
          <w:sz w:val="26"/>
          <w:szCs w:val="26"/>
        </w:rPr>
        <w:t xml:space="preserve"> And then he sailed away breathing fire and slaughter against the followers of Christ, complaining loudly to the overseas abbots about the response of the abbots in England. Therefore, having paid the king of France that 30,000 marks, and having subdued all this enemies and pacified them, he returned to England around about the feast of Michaelmas, together with his wife, namely the daughter of the count of Angoulême, whom he had married abroad on the advice of King Philip; for he had divorced his first wife, namely the daughter of the Earl of Gloucester, on a mandate of the lord pope, on grounds of consanguinity.</w:t>
      </w:r>
      <w:r w:rsidR="00A36CD2">
        <w:rPr>
          <w:rStyle w:val="FootnoteReference"/>
          <w:rFonts w:ascii="Garamond" w:hAnsi="Garamond" w:cs="Times New Roman"/>
          <w:sz w:val="26"/>
          <w:szCs w:val="26"/>
        </w:rPr>
        <w:footnoteReference w:id="9"/>
      </w:r>
      <w:r>
        <w:rPr>
          <w:rFonts w:ascii="Garamond" w:hAnsi="Garamond" w:cs="Times New Roman"/>
          <w:sz w:val="26"/>
          <w:szCs w:val="26"/>
        </w:rPr>
        <w:t xml:space="preserve"> Then on the very day, the Sunday after the feast of Michaelmas [8 October], on which he was to wear the crown at Westminster, and his wife, who seemed to be about twelve years old, was to be consecrated queen,</w:t>
      </w:r>
      <w:r w:rsidR="00617779">
        <w:rPr>
          <w:rStyle w:val="FootnoteReference"/>
          <w:rFonts w:ascii="Garamond" w:hAnsi="Garamond" w:cs="Times New Roman"/>
          <w:sz w:val="26"/>
          <w:szCs w:val="26"/>
        </w:rPr>
        <w:footnoteReference w:id="10"/>
      </w:r>
      <w:r>
        <w:rPr>
          <w:rFonts w:ascii="Garamond" w:hAnsi="Garamond" w:cs="Times New Roman"/>
          <w:sz w:val="26"/>
          <w:szCs w:val="26"/>
        </w:rPr>
        <w:t xml:space="preserve"> early in the morning, before they went to the church, he commanded Hugh de Neville, the chief forester, and a certain man of another rank, to order all the foresters in office in England that they should summon everyone of the Cistercian order to remove all their plough horses, and pigs and flocks and all their animals from the lord king’s forest by a fortnight after Michaelmas week; and that if after the given date they were found in the forest, they were to be taken and sold to the king’s use.</w:t>
      </w:r>
      <w:r w:rsidR="00C52D61">
        <w:rPr>
          <w:rStyle w:val="FootnoteReference"/>
          <w:rFonts w:ascii="Garamond" w:hAnsi="Garamond" w:cs="Times New Roman"/>
          <w:sz w:val="26"/>
          <w:szCs w:val="26"/>
        </w:rPr>
        <w:footnoteReference w:id="11"/>
      </w:r>
    </w:p>
    <w:p w14:paraId="4464E16F" w14:textId="77777777" w:rsidR="009430C6" w:rsidRDefault="009430C6" w:rsidP="009430C6">
      <w:pPr>
        <w:spacing w:after="0" w:line="360" w:lineRule="auto"/>
        <w:jc w:val="both"/>
        <w:rPr>
          <w:rFonts w:ascii="Garamond" w:hAnsi="Garamond" w:cs="Times New Roman"/>
          <w:sz w:val="26"/>
          <w:szCs w:val="26"/>
        </w:rPr>
      </w:pPr>
    </w:p>
    <w:p w14:paraId="6D293FC1" w14:textId="614FEF3A" w:rsidR="009430C6" w:rsidRDefault="009430C6" w:rsidP="009430C6">
      <w:pPr>
        <w:spacing w:after="0" w:line="360" w:lineRule="auto"/>
        <w:jc w:val="both"/>
        <w:rPr>
          <w:rFonts w:ascii="Garamond" w:hAnsi="Garamond" w:cs="Times New Roman"/>
          <w:sz w:val="26"/>
          <w:szCs w:val="26"/>
        </w:rPr>
      </w:pPr>
      <w:r>
        <w:rPr>
          <w:rFonts w:ascii="Garamond" w:hAnsi="Garamond" w:cs="Times New Roman"/>
          <w:sz w:val="26"/>
          <w:szCs w:val="26"/>
        </w:rPr>
        <w:t xml:space="preserve">Therefore when the king’s most cruel edict had been promulgated, each house provided for its flocks meanwhile, as best as it could, and patiently bore the lord king’s great anger; crying out in their tribulation to the Lord their defender, to change the mood of the king to gentleness towards them and mercifully to free his flock from the tribulation of evil and </w:t>
      </w:r>
      <w:r>
        <w:rPr>
          <w:rFonts w:ascii="Garamond" w:hAnsi="Garamond" w:cs="Times New Roman"/>
          <w:sz w:val="26"/>
          <w:szCs w:val="26"/>
        </w:rPr>
        <w:lastRenderedPageBreak/>
        <w:t>grief.</w:t>
      </w:r>
      <w:r w:rsidR="009D72A5">
        <w:rPr>
          <w:rStyle w:val="FootnoteReference"/>
          <w:rFonts w:ascii="Garamond" w:hAnsi="Garamond" w:cs="Times New Roman"/>
          <w:sz w:val="26"/>
          <w:szCs w:val="26"/>
        </w:rPr>
        <w:footnoteReference w:id="12"/>
      </w:r>
      <w:r>
        <w:rPr>
          <w:rFonts w:ascii="Garamond" w:hAnsi="Garamond" w:cs="Times New Roman"/>
          <w:sz w:val="26"/>
          <w:szCs w:val="26"/>
        </w:rPr>
        <w:t xml:space="preserve"> He most certainly did hear them, He whose foes not fail those that believe in Him, and He quickly delivered them from this tribulation. When the king’s mandate had been made known, the archbishop sent his letters to all those abbots, warning them and advising them to meet at Lincoln for the visit of the king on the eve of St Edmund [19 November] so that united together at the same time they might more easily incline the king’s savage mood and himself to mercy and the grace of reconciliation, Then, freely consenting to do his bidding, they met at the place named on the given day by democratic vote </w:t>
      </w:r>
      <w:r>
        <w:rPr>
          <w:rFonts w:ascii="Garamond" w:eastAsiaTheme="minorEastAsia" w:hAnsi="Garamond" w:cs="Times New Roman"/>
          <w:sz w:val="26"/>
          <w:szCs w:val="26"/>
        </w:rPr>
        <w:t>believing more in</w:t>
      </w:r>
      <w:r>
        <w:rPr>
          <w:rFonts w:ascii="Garamond" w:hAnsi="Garamond" w:cs="Times New Roman"/>
          <w:sz w:val="26"/>
          <w:szCs w:val="26"/>
        </w:rPr>
        <w:t xml:space="preserve"> the protection of the Lord then in the efficacy of their own virtue.</w:t>
      </w:r>
      <w:r w:rsidR="007857E8">
        <w:rPr>
          <w:rStyle w:val="FootnoteReference"/>
          <w:rFonts w:ascii="Garamond" w:hAnsi="Garamond" w:cs="Times New Roman"/>
          <w:sz w:val="26"/>
          <w:szCs w:val="26"/>
        </w:rPr>
        <w:footnoteReference w:id="13"/>
      </w:r>
      <w:r>
        <w:rPr>
          <w:rFonts w:ascii="Garamond" w:hAnsi="Garamond" w:cs="Times New Roman"/>
          <w:sz w:val="26"/>
          <w:szCs w:val="26"/>
        </w:rPr>
        <w:t xml:space="preserve"> Therefore they all met together there on the next day, that is on St Edmund’s day [20 Nov], they hastened respectfully to the archbishop as he arrived outside the town, and dismounting from their horses they all of them fell down at his knees, humbly beseeching him mercifully to look after their affairs, and to move the king’s mood which was exasperated against them to the grace of good will by his solicitude. Then the archbishop completely overcome by the humility of so many distinguished people, got down from his horse and prostrating himself too, wept. Then he promised that he would be their helper and adviser in all matters, and having heard their advice, he promised to look after the security and interests of the order as best as he could and to apply himself to placating the king’s attitude by all possible means.</w:t>
      </w:r>
      <w:r w:rsidR="00DC130B">
        <w:rPr>
          <w:rStyle w:val="FootnoteReference"/>
          <w:rFonts w:ascii="Garamond" w:hAnsi="Garamond" w:cs="Times New Roman"/>
          <w:sz w:val="26"/>
          <w:szCs w:val="26"/>
        </w:rPr>
        <w:footnoteReference w:id="14"/>
      </w:r>
      <w:r>
        <w:rPr>
          <w:rFonts w:ascii="Garamond" w:hAnsi="Garamond" w:cs="Times New Roman"/>
          <w:sz w:val="26"/>
          <w:szCs w:val="26"/>
        </w:rPr>
        <w:t xml:space="preserve"> Then he urged them that they should go outside the town on the morrow to meet the king as he arrived, and that they should receive him with the humility that was appropriate so that they might more easily alter his mood to piety and mercy. But afterwards, discussing this amongst themselves, it was agreed that they should not go to meet the king outside the town; lest by any chance they might be disparaged in any way by </w:t>
      </w:r>
      <w:r>
        <w:rPr>
          <w:rFonts w:ascii="Garamond" w:hAnsi="Garamond" w:cs="Times New Roman"/>
          <w:sz w:val="26"/>
          <w:szCs w:val="26"/>
        </w:rPr>
        <w:lastRenderedPageBreak/>
        <w:t>the royal outriders who knew that the king’s mood was hostile to them, and lest they might be received with derision by the triflers of the royal hall.</w:t>
      </w:r>
      <w:r w:rsidR="00014535">
        <w:rPr>
          <w:rStyle w:val="FootnoteReference"/>
          <w:rFonts w:ascii="Garamond" w:hAnsi="Garamond" w:cs="Times New Roman"/>
          <w:sz w:val="26"/>
          <w:szCs w:val="26"/>
        </w:rPr>
        <w:footnoteReference w:id="15"/>
      </w:r>
      <w:r>
        <w:rPr>
          <w:rFonts w:ascii="Garamond" w:hAnsi="Garamond" w:cs="Times New Roman"/>
          <w:sz w:val="26"/>
          <w:szCs w:val="26"/>
        </w:rPr>
        <w:t xml:space="preserve"> </w:t>
      </w:r>
    </w:p>
    <w:p w14:paraId="357BF366" w14:textId="77777777" w:rsidR="0006145B" w:rsidRDefault="0006145B" w:rsidP="009430C6">
      <w:pPr>
        <w:spacing w:after="0" w:line="360" w:lineRule="auto"/>
        <w:jc w:val="both"/>
        <w:rPr>
          <w:rFonts w:ascii="Garamond" w:hAnsi="Garamond" w:cs="Times New Roman"/>
          <w:sz w:val="26"/>
          <w:szCs w:val="26"/>
        </w:rPr>
      </w:pPr>
    </w:p>
    <w:p w14:paraId="6AE51922" w14:textId="77777777" w:rsidR="0006145B" w:rsidRDefault="0006145B" w:rsidP="009430C6">
      <w:pPr>
        <w:spacing w:after="0" w:line="360" w:lineRule="auto"/>
        <w:jc w:val="both"/>
        <w:rPr>
          <w:rFonts w:ascii="Garamond" w:hAnsi="Garamond" w:cs="Times New Roman"/>
          <w:sz w:val="26"/>
          <w:szCs w:val="26"/>
        </w:rPr>
      </w:pPr>
    </w:p>
    <w:p w14:paraId="5821B7C3" w14:textId="77777777" w:rsidR="0006145B" w:rsidRDefault="0006145B" w:rsidP="009430C6">
      <w:pPr>
        <w:spacing w:after="0" w:line="360" w:lineRule="auto"/>
        <w:jc w:val="both"/>
        <w:rPr>
          <w:rFonts w:ascii="Garamond" w:hAnsi="Garamond" w:cs="Times New Roman"/>
          <w:sz w:val="26"/>
          <w:szCs w:val="26"/>
        </w:rPr>
      </w:pPr>
    </w:p>
    <w:p w14:paraId="5B9D309E" w14:textId="0045FBCF" w:rsidR="0006145B" w:rsidRDefault="0006145B" w:rsidP="009430C6">
      <w:pPr>
        <w:spacing w:after="0" w:line="360" w:lineRule="auto"/>
        <w:jc w:val="both"/>
        <w:rPr>
          <w:rFonts w:ascii="Garamond" w:hAnsi="Garamond" w:cs="Times New Roman"/>
          <w:sz w:val="26"/>
          <w:szCs w:val="26"/>
        </w:rPr>
      </w:pPr>
      <w:r>
        <w:rPr>
          <w:rFonts w:ascii="Garamond" w:hAnsi="Garamond" w:cs="Times New Roman"/>
          <w:sz w:val="26"/>
          <w:szCs w:val="26"/>
        </w:rPr>
        <w:t>Word count: 1,018.</w:t>
      </w:r>
    </w:p>
    <w:p w14:paraId="0F49BC04" w14:textId="77777777" w:rsidR="00172D8A" w:rsidRDefault="00172D8A" w:rsidP="009430C6">
      <w:pPr>
        <w:spacing w:after="0" w:line="360" w:lineRule="auto"/>
        <w:jc w:val="both"/>
        <w:rPr>
          <w:rFonts w:ascii="Garamond" w:hAnsi="Garamond" w:cs="Times New Roman"/>
          <w:sz w:val="26"/>
          <w:szCs w:val="26"/>
        </w:rPr>
      </w:pPr>
    </w:p>
    <w:p w14:paraId="1BCD01D8" w14:textId="77777777" w:rsidR="00172D8A" w:rsidRDefault="00172D8A" w:rsidP="009430C6">
      <w:pPr>
        <w:spacing w:after="0" w:line="360" w:lineRule="auto"/>
        <w:jc w:val="both"/>
        <w:rPr>
          <w:rFonts w:ascii="Garamond" w:hAnsi="Garamond" w:cs="Times New Roman"/>
          <w:sz w:val="26"/>
          <w:szCs w:val="26"/>
        </w:rPr>
      </w:pPr>
    </w:p>
    <w:p w14:paraId="19F0F2C2" w14:textId="77777777" w:rsidR="00172D8A" w:rsidRDefault="00172D8A" w:rsidP="009430C6">
      <w:pPr>
        <w:spacing w:after="0" w:line="360" w:lineRule="auto"/>
        <w:jc w:val="both"/>
        <w:rPr>
          <w:rFonts w:ascii="Garamond" w:hAnsi="Garamond" w:cs="Times New Roman"/>
          <w:sz w:val="26"/>
          <w:szCs w:val="26"/>
        </w:rPr>
      </w:pPr>
    </w:p>
    <w:p w14:paraId="7D8A9D41" w14:textId="77777777" w:rsidR="00172D8A" w:rsidRDefault="00172D8A" w:rsidP="009430C6">
      <w:pPr>
        <w:spacing w:after="0" w:line="360" w:lineRule="auto"/>
        <w:jc w:val="both"/>
        <w:rPr>
          <w:rFonts w:ascii="Garamond" w:hAnsi="Garamond" w:cs="Times New Roman"/>
          <w:sz w:val="26"/>
          <w:szCs w:val="26"/>
        </w:rPr>
      </w:pPr>
    </w:p>
    <w:p w14:paraId="5D469127" w14:textId="77777777" w:rsidR="00172D8A" w:rsidRDefault="00172D8A" w:rsidP="009430C6">
      <w:pPr>
        <w:spacing w:after="0" w:line="360" w:lineRule="auto"/>
        <w:jc w:val="both"/>
        <w:rPr>
          <w:rFonts w:ascii="Garamond" w:hAnsi="Garamond" w:cs="Times New Roman"/>
          <w:sz w:val="26"/>
          <w:szCs w:val="26"/>
        </w:rPr>
      </w:pPr>
    </w:p>
    <w:p w14:paraId="3FFA1062" w14:textId="77777777" w:rsidR="00172D8A" w:rsidRDefault="00172D8A" w:rsidP="009430C6">
      <w:pPr>
        <w:spacing w:after="0" w:line="360" w:lineRule="auto"/>
        <w:jc w:val="both"/>
        <w:rPr>
          <w:rFonts w:ascii="Garamond" w:hAnsi="Garamond" w:cs="Times New Roman"/>
          <w:sz w:val="26"/>
          <w:szCs w:val="26"/>
        </w:rPr>
      </w:pPr>
    </w:p>
    <w:p w14:paraId="5533435B" w14:textId="77777777" w:rsidR="00172D8A" w:rsidRDefault="00172D8A" w:rsidP="009430C6">
      <w:pPr>
        <w:spacing w:after="0" w:line="360" w:lineRule="auto"/>
        <w:jc w:val="both"/>
        <w:rPr>
          <w:rFonts w:ascii="Garamond" w:hAnsi="Garamond" w:cs="Times New Roman"/>
          <w:sz w:val="26"/>
          <w:szCs w:val="26"/>
        </w:rPr>
      </w:pPr>
    </w:p>
    <w:p w14:paraId="2125BF9A" w14:textId="77777777" w:rsidR="00172D8A" w:rsidRDefault="00172D8A" w:rsidP="009430C6">
      <w:pPr>
        <w:spacing w:after="0" w:line="360" w:lineRule="auto"/>
        <w:jc w:val="both"/>
        <w:rPr>
          <w:rFonts w:ascii="Garamond" w:hAnsi="Garamond" w:cs="Times New Roman"/>
          <w:sz w:val="26"/>
          <w:szCs w:val="26"/>
        </w:rPr>
      </w:pPr>
    </w:p>
    <w:p w14:paraId="2FBBDB55" w14:textId="77777777" w:rsidR="00172D8A" w:rsidRDefault="00172D8A" w:rsidP="009430C6">
      <w:pPr>
        <w:spacing w:after="0" w:line="360" w:lineRule="auto"/>
        <w:jc w:val="both"/>
        <w:rPr>
          <w:rFonts w:ascii="Garamond" w:hAnsi="Garamond" w:cs="Times New Roman"/>
          <w:sz w:val="26"/>
          <w:szCs w:val="26"/>
        </w:rPr>
      </w:pPr>
    </w:p>
    <w:p w14:paraId="50924DC1" w14:textId="77777777" w:rsidR="00172D8A" w:rsidRDefault="00172D8A" w:rsidP="009430C6">
      <w:pPr>
        <w:spacing w:after="0" w:line="360" w:lineRule="auto"/>
        <w:jc w:val="both"/>
        <w:rPr>
          <w:rFonts w:ascii="Garamond" w:hAnsi="Garamond" w:cs="Times New Roman"/>
          <w:sz w:val="26"/>
          <w:szCs w:val="26"/>
        </w:rPr>
      </w:pPr>
    </w:p>
    <w:p w14:paraId="6872845C" w14:textId="77777777" w:rsidR="00172D8A" w:rsidRDefault="00172D8A" w:rsidP="009430C6">
      <w:pPr>
        <w:spacing w:after="0" w:line="360" w:lineRule="auto"/>
        <w:jc w:val="both"/>
        <w:rPr>
          <w:rFonts w:ascii="Garamond" w:hAnsi="Garamond" w:cs="Times New Roman"/>
          <w:sz w:val="26"/>
          <w:szCs w:val="26"/>
        </w:rPr>
      </w:pPr>
    </w:p>
    <w:p w14:paraId="720BAEBB" w14:textId="77777777" w:rsidR="00172D8A" w:rsidRDefault="00172D8A" w:rsidP="009430C6">
      <w:pPr>
        <w:spacing w:after="0" w:line="360" w:lineRule="auto"/>
        <w:jc w:val="both"/>
        <w:rPr>
          <w:rFonts w:ascii="Garamond" w:hAnsi="Garamond" w:cs="Times New Roman"/>
          <w:sz w:val="26"/>
          <w:szCs w:val="26"/>
        </w:rPr>
      </w:pPr>
    </w:p>
    <w:p w14:paraId="0D2594F7" w14:textId="77777777" w:rsidR="00172D8A" w:rsidRDefault="00172D8A" w:rsidP="009430C6">
      <w:pPr>
        <w:spacing w:after="0" w:line="360" w:lineRule="auto"/>
        <w:jc w:val="both"/>
        <w:rPr>
          <w:rFonts w:ascii="Garamond" w:hAnsi="Garamond" w:cs="Times New Roman"/>
          <w:sz w:val="26"/>
          <w:szCs w:val="26"/>
        </w:rPr>
      </w:pPr>
    </w:p>
    <w:p w14:paraId="59BA55EF" w14:textId="77777777" w:rsidR="00172D8A" w:rsidRDefault="00172D8A" w:rsidP="009430C6">
      <w:pPr>
        <w:spacing w:after="0" w:line="360" w:lineRule="auto"/>
        <w:jc w:val="both"/>
        <w:rPr>
          <w:rFonts w:ascii="Garamond" w:hAnsi="Garamond" w:cs="Times New Roman"/>
          <w:sz w:val="26"/>
          <w:szCs w:val="26"/>
        </w:rPr>
      </w:pPr>
    </w:p>
    <w:p w14:paraId="25F53539" w14:textId="77777777" w:rsidR="00172D8A" w:rsidRDefault="00172D8A" w:rsidP="009430C6">
      <w:pPr>
        <w:spacing w:after="0" w:line="360" w:lineRule="auto"/>
        <w:jc w:val="both"/>
        <w:rPr>
          <w:rFonts w:ascii="Garamond" w:hAnsi="Garamond" w:cs="Times New Roman"/>
          <w:sz w:val="26"/>
          <w:szCs w:val="26"/>
        </w:rPr>
      </w:pPr>
    </w:p>
    <w:p w14:paraId="7BC9272C" w14:textId="77777777" w:rsidR="00172D8A" w:rsidRDefault="00172D8A" w:rsidP="009430C6">
      <w:pPr>
        <w:spacing w:after="0" w:line="360" w:lineRule="auto"/>
        <w:jc w:val="both"/>
        <w:rPr>
          <w:rFonts w:ascii="Garamond" w:hAnsi="Garamond" w:cs="Times New Roman"/>
          <w:sz w:val="26"/>
          <w:szCs w:val="26"/>
        </w:rPr>
      </w:pPr>
    </w:p>
    <w:p w14:paraId="230FF61F" w14:textId="77777777" w:rsidR="00172D8A" w:rsidRDefault="00172D8A" w:rsidP="009430C6">
      <w:pPr>
        <w:spacing w:after="0" w:line="360" w:lineRule="auto"/>
        <w:jc w:val="both"/>
        <w:rPr>
          <w:rFonts w:ascii="Garamond" w:hAnsi="Garamond" w:cs="Times New Roman"/>
          <w:sz w:val="26"/>
          <w:szCs w:val="26"/>
        </w:rPr>
      </w:pPr>
    </w:p>
    <w:p w14:paraId="5FD42980" w14:textId="77777777" w:rsidR="00172D8A" w:rsidRDefault="00172D8A" w:rsidP="009430C6">
      <w:pPr>
        <w:spacing w:after="0" w:line="360" w:lineRule="auto"/>
        <w:jc w:val="both"/>
        <w:rPr>
          <w:rFonts w:ascii="Garamond" w:hAnsi="Garamond" w:cs="Times New Roman"/>
          <w:sz w:val="26"/>
          <w:szCs w:val="26"/>
        </w:rPr>
      </w:pPr>
    </w:p>
    <w:p w14:paraId="2FDC9C39" w14:textId="77777777" w:rsidR="00172D8A" w:rsidRDefault="00172D8A" w:rsidP="009430C6">
      <w:pPr>
        <w:spacing w:after="0" w:line="360" w:lineRule="auto"/>
        <w:jc w:val="both"/>
        <w:rPr>
          <w:rFonts w:ascii="Garamond" w:hAnsi="Garamond" w:cs="Times New Roman"/>
          <w:sz w:val="26"/>
          <w:szCs w:val="26"/>
        </w:rPr>
      </w:pPr>
    </w:p>
    <w:p w14:paraId="762D1C03" w14:textId="77777777" w:rsidR="00172D8A" w:rsidRDefault="00172D8A" w:rsidP="009430C6">
      <w:pPr>
        <w:spacing w:after="0" w:line="360" w:lineRule="auto"/>
        <w:jc w:val="both"/>
        <w:rPr>
          <w:rFonts w:ascii="Garamond" w:hAnsi="Garamond" w:cs="Times New Roman"/>
          <w:sz w:val="26"/>
          <w:szCs w:val="26"/>
        </w:rPr>
      </w:pPr>
    </w:p>
    <w:p w14:paraId="669A2F38" w14:textId="77777777" w:rsidR="00172D8A" w:rsidRDefault="00172D8A" w:rsidP="009430C6">
      <w:pPr>
        <w:spacing w:after="0" w:line="360" w:lineRule="auto"/>
        <w:jc w:val="both"/>
        <w:rPr>
          <w:rFonts w:ascii="Garamond" w:hAnsi="Garamond" w:cs="Times New Roman"/>
          <w:sz w:val="26"/>
          <w:szCs w:val="26"/>
        </w:rPr>
      </w:pPr>
    </w:p>
    <w:p w14:paraId="10538C22" w14:textId="77777777" w:rsidR="00172D8A" w:rsidRDefault="00172D8A" w:rsidP="009430C6">
      <w:pPr>
        <w:spacing w:after="0" w:line="360" w:lineRule="auto"/>
        <w:jc w:val="both"/>
        <w:rPr>
          <w:rFonts w:ascii="Garamond" w:hAnsi="Garamond" w:cs="Times New Roman"/>
          <w:sz w:val="26"/>
          <w:szCs w:val="26"/>
        </w:rPr>
      </w:pPr>
    </w:p>
    <w:p w14:paraId="0AF647F5" w14:textId="77777777" w:rsidR="00172D8A" w:rsidRDefault="00172D8A" w:rsidP="009430C6">
      <w:pPr>
        <w:spacing w:after="0" w:line="360" w:lineRule="auto"/>
        <w:jc w:val="both"/>
        <w:rPr>
          <w:rFonts w:ascii="Garamond" w:hAnsi="Garamond" w:cs="Times New Roman"/>
          <w:sz w:val="26"/>
          <w:szCs w:val="26"/>
        </w:rPr>
      </w:pPr>
    </w:p>
    <w:p w14:paraId="365E5AF6" w14:textId="77777777" w:rsidR="00172D8A" w:rsidRDefault="00172D8A" w:rsidP="009430C6">
      <w:pPr>
        <w:spacing w:after="0" w:line="360" w:lineRule="auto"/>
        <w:jc w:val="both"/>
        <w:rPr>
          <w:rFonts w:ascii="Garamond" w:hAnsi="Garamond" w:cs="Times New Roman"/>
          <w:sz w:val="26"/>
          <w:szCs w:val="26"/>
        </w:rPr>
      </w:pPr>
    </w:p>
    <w:p w14:paraId="5D5056DA" w14:textId="77777777" w:rsidR="00172D8A" w:rsidRDefault="00172D8A" w:rsidP="009430C6">
      <w:pPr>
        <w:spacing w:after="0" w:line="360" w:lineRule="auto"/>
        <w:jc w:val="both"/>
        <w:rPr>
          <w:rFonts w:ascii="Garamond" w:hAnsi="Garamond" w:cs="Times New Roman"/>
          <w:sz w:val="26"/>
          <w:szCs w:val="26"/>
        </w:rPr>
      </w:pPr>
    </w:p>
    <w:p w14:paraId="7E8D0C66" w14:textId="77777777" w:rsidR="00172D8A" w:rsidRDefault="00172D8A" w:rsidP="009430C6">
      <w:pPr>
        <w:spacing w:after="0" w:line="360" w:lineRule="auto"/>
        <w:jc w:val="both"/>
        <w:rPr>
          <w:rFonts w:ascii="Garamond" w:hAnsi="Garamond" w:cs="Times New Roman"/>
          <w:sz w:val="26"/>
          <w:szCs w:val="26"/>
        </w:rPr>
      </w:pPr>
    </w:p>
    <w:p w14:paraId="1704C6CD" w14:textId="77777777" w:rsidR="00172D8A" w:rsidRDefault="00172D8A" w:rsidP="009430C6">
      <w:pPr>
        <w:spacing w:after="0" w:line="360" w:lineRule="auto"/>
        <w:jc w:val="both"/>
        <w:rPr>
          <w:rFonts w:ascii="Garamond" w:hAnsi="Garamond" w:cs="Times New Roman"/>
          <w:sz w:val="26"/>
          <w:szCs w:val="26"/>
        </w:rPr>
      </w:pPr>
    </w:p>
    <w:p w14:paraId="3DAFBD7F" w14:textId="449AEE05" w:rsidR="00172D8A" w:rsidRDefault="00385410" w:rsidP="00385410">
      <w:pPr>
        <w:spacing w:after="0" w:line="360" w:lineRule="auto"/>
        <w:jc w:val="center"/>
        <w:rPr>
          <w:rFonts w:ascii="Garamond" w:hAnsi="Garamond" w:cs="Times New Roman"/>
          <w:sz w:val="26"/>
          <w:szCs w:val="26"/>
        </w:rPr>
      </w:pPr>
      <w:r>
        <w:rPr>
          <w:rFonts w:ascii="Garamond" w:hAnsi="Garamond" w:cs="Times New Roman"/>
          <w:sz w:val="26"/>
          <w:szCs w:val="26"/>
        </w:rPr>
        <w:t>Bibliography</w:t>
      </w:r>
    </w:p>
    <w:p w14:paraId="42393375" w14:textId="77777777" w:rsidR="00385410" w:rsidRDefault="00385410" w:rsidP="00385410">
      <w:pPr>
        <w:spacing w:after="0" w:line="360" w:lineRule="auto"/>
        <w:jc w:val="center"/>
        <w:rPr>
          <w:rFonts w:ascii="Garamond" w:hAnsi="Garamond" w:cs="Times New Roman"/>
          <w:sz w:val="26"/>
          <w:szCs w:val="26"/>
        </w:rPr>
      </w:pPr>
    </w:p>
    <w:p w14:paraId="2C7CACD9" w14:textId="1CEA1541" w:rsidR="00543C74" w:rsidRDefault="00EF5851" w:rsidP="00385410">
      <w:pPr>
        <w:spacing w:after="0" w:line="360" w:lineRule="auto"/>
        <w:jc w:val="both"/>
        <w:rPr>
          <w:rFonts w:ascii="Garamond" w:hAnsi="Garamond" w:cs="Times New Roman"/>
          <w:sz w:val="26"/>
          <w:szCs w:val="26"/>
        </w:rPr>
      </w:pPr>
      <w:r w:rsidRPr="003A244E">
        <w:rPr>
          <w:rFonts w:ascii="Garamond" w:hAnsi="Garamond" w:cs="Times New Roman"/>
          <w:b/>
          <w:bCs/>
          <w:sz w:val="26"/>
          <w:szCs w:val="26"/>
        </w:rPr>
        <w:t>Burton, Janet</w:t>
      </w:r>
      <w:r w:rsidR="000E0C40">
        <w:rPr>
          <w:rFonts w:ascii="Garamond" w:hAnsi="Garamond" w:cs="Times New Roman"/>
          <w:sz w:val="26"/>
          <w:szCs w:val="26"/>
        </w:rPr>
        <w:t xml:space="preserve">, </w:t>
      </w:r>
      <w:r w:rsidR="00BC30A5">
        <w:rPr>
          <w:rFonts w:ascii="Garamond" w:hAnsi="Garamond" w:cs="Times New Roman"/>
          <w:sz w:val="26"/>
          <w:szCs w:val="26"/>
        </w:rPr>
        <w:t>‘The King and the Monks: John of England (1199-1216)</w:t>
      </w:r>
      <w:r w:rsidR="0001065E">
        <w:rPr>
          <w:rFonts w:ascii="Garamond" w:hAnsi="Garamond" w:cs="Times New Roman"/>
          <w:sz w:val="26"/>
          <w:szCs w:val="26"/>
        </w:rPr>
        <w:t xml:space="preserve"> and the Cistercians’</w:t>
      </w:r>
      <w:r w:rsidR="00BE08E3">
        <w:rPr>
          <w:rFonts w:ascii="Garamond" w:hAnsi="Garamond" w:cs="Times New Roman"/>
          <w:sz w:val="26"/>
          <w:szCs w:val="26"/>
        </w:rPr>
        <w:t xml:space="preserve">, </w:t>
      </w:r>
      <w:r w:rsidR="00BE08E3">
        <w:rPr>
          <w:rFonts w:ascii="Garamond" w:hAnsi="Garamond" w:cs="Times New Roman"/>
          <w:i/>
          <w:iCs/>
          <w:sz w:val="26"/>
          <w:szCs w:val="26"/>
        </w:rPr>
        <w:t>Reading Medieval Studies</w:t>
      </w:r>
      <w:r w:rsidR="005B4563">
        <w:rPr>
          <w:rFonts w:ascii="Garamond" w:hAnsi="Garamond" w:cs="Times New Roman"/>
          <w:sz w:val="26"/>
          <w:szCs w:val="26"/>
        </w:rPr>
        <w:t>, 49 (2023), pp.13-33.</w:t>
      </w:r>
    </w:p>
    <w:p w14:paraId="7814E4D8" w14:textId="1D4C3636" w:rsidR="00043AE3" w:rsidRDefault="000C0090" w:rsidP="00385410">
      <w:pPr>
        <w:spacing w:after="0" w:line="360" w:lineRule="auto"/>
        <w:jc w:val="both"/>
        <w:rPr>
          <w:rFonts w:ascii="Garamond" w:hAnsi="Garamond" w:cs="Times New Roman"/>
          <w:sz w:val="26"/>
          <w:szCs w:val="26"/>
        </w:rPr>
      </w:pPr>
      <w:r>
        <w:rPr>
          <w:rFonts w:ascii="Garamond" w:hAnsi="Garamond" w:cs="Times New Roman"/>
          <w:sz w:val="26"/>
          <w:szCs w:val="26"/>
        </w:rPr>
        <w:t>—</w:t>
      </w:r>
      <w:r w:rsidR="00B944D2">
        <w:rPr>
          <w:rFonts w:ascii="Garamond" w:hAnsi="Garamond" w:cs="Times New Roman"/>
          <w:sz w:val="26"/>
          <w:szCs w:val="26"/>
        </w:rPr>
        <w:t>——</w:t>
      </w:r>
      <w:r w:rsidR="00256868">
        <w:rPr>
          <w:rFonts w:ascii="Garamond" w:hAnsi="Garamond" w:cs="Times New Roman"/>
          <w:sz w:val="26"/>
          <w:szCs w:val="26"/>
        </w:rPr>
        <w:t xml:space="preserve"> </w:t>
      </w:r>
      <w:r w:rsidR="00256868">
        <w:rPr>
          <w:rFonts w:ascii="Garamond" w:hAnsi="Garamond" w:cs="Times New Roman"/>
          <w:i/>
          <w:iCs/>
          <w:sz w:val="26"/>
          <w:szCs w:val="26"/>
        </w:rPr>
        <w:t>Monastic and Religious Orders in Britain</w:t>
      </w:r>
      <w:r w:rsidR="00877226">
        <w:rPr>
          <w:rFonts w:ascii="Garamond" w:hAnsi="Garamond" w:cs="Times New Roman"/>
          <w:i/>
          <w:iCs/>
          <w:sz w:val="26"/>
          <w:szCs w:val="26"/>
        </w:rPr>
        <w:t xml:space="preserve"> </w:t>
      </w:r>
      <w:r w:rsidR="00877226">
        <w:rPr>
          <w:rFonts w:ascii="Garamond" w:hAnsi="Garamond" w:cs="Times New Roman"/>
          <w:sz w:val="26"/>
          <w:szCs w:val="26"/>
        </w:rPr>
        <w:t xml:space="preserve">1000-1300, </w:t>
      </w:r>
      <w:r w:rsidR="006F491E">
        <w:rPr>
          <w:rFonts w:ascii="Garamond" w:hAnsi="Garamond" w:cs="Times New Roman"/>
          <w:sz w:val="26"/>
          <w:szCs w:val="26"/>
        </w:rPr>
        <w:t>(Cambridge University Press, 1994).</w:t>
      </w:r>
    </w:p>
    <w:p w14:paraId="7FCB0B6C" w14:textId="5CC07F0F" w:rsidR="006F491E" w:rsidRDefault="00B92E0E" w:rsidP="00385410">
      <w:pPr>
        <w:spacing w:after="0" w:line="360" w:lineRule="auto"/>
        <w:jc w:val="both"/>
        <w:rPr>
          <w:rFonts w:ascii="Garamond" w:hAnsi="Garamond" w:cs="Times New Roman"/>
          <w:sz w:val="26"/>
          <w:szCs w:val="26"/>
        </w:rPr>
      </w:pPr>
      <w:r w:rsidRPr="003A244E">
        <w:rPr>
          <w:rFonts w:ascii="Garamond" w:hAnsi="Garamond" w:cs="Times New Roman"/>
          <w:b/>
          <w:bCs/>
          <w:sz w:val="26"/>
          <w:szCs w:val="26"/>
        </w:rPr>
        <w:t>Cheney, C. R</w:t>
      </w:r>
      <w:r>
        <w:rPr>
          <w:rFonts w:ascii="Garamond" w:hAnsi="Garamond" w:cs="Times New Roman"/>
          <w:sz w:val="26"/>
          <w:szCs w:val="26"/>
        </w:rPr>
        <w:t xml:space="preserve">., </w:t>
      </w:r>
      <w:r>
        <w:rPr>
          <w:rFonts w:ascii="Garamond" w:hAnsi="Garamond" w:cs="Times New Roman"/>
          <w:i/>
          <w:iCs/>
          <w:sz w:val="26"/>
          <w:szCs w:val="26"/>
        </w:rPr>
        <w:t>Hubert Walter</w:t>
      </w:r>
      <w:r w:rsidR="00E425FF">
        <w:rPr>
          <w:rFonts w:ascii="Garamond" w:hAnsi="Garamond" w:cs="Times New Roman"/>
          <w:sz w:val="26"/>
          <w:szCs w:val="26"/>
        </w:rPr>
        <w:t>, (London, 1967).</w:t>
      </w:r>
    </w:p>
    <w:p w14:paraId="62ABCC76" w14:textId="5701B508" w:rsidR="00E425FF" w:rsidRDefault="008837F6" w:rsidP="00385410">
      <w:pPr>
        <w:spacing w:after="0" w:line="360" w:lineRule="auto"/>
        <w:jc w:val="both"/>
        <w:rPr>
          <w:rFonts w:ascii="Garamond" w:hAnsi="Garamond" w:cs="Times New Roman"/>
          <w:sz w:val="26"/>
          <w:szCs w:val="26"/>
        </w:rPr>
      </w:pPr>
      <w:r w:rsidRPr="003A244E">
        <w:rPr>
          <w:rFonts w:ascii="Garamond" w:hAnsi="Garamond" w:cs="Times New Roman"/>
          <w:b/>
          <w:bCs/>
          <w:sz w:val="26"/>
          <w:szCs w:val="26"/>
        </w:rPr>
        <w:t>Gransden, Antonia</w:t>
      </w:r>
      <w:r>
        <w:rPr>
          <w:rFonts w:ascii="Garamond" w:hAnsi="Garamond" w:cs="Times New Roman"/>
          <w:sz w:val="26"/>
          <w:szCs w:val="26"/>
        </w:rPr>
        <w:t xml:space="preserve">, </w:t>
      </w:r>
      <w:r w:rsidR="005B28A0">
        <w:rPr>
          <w:rFonts w:ascii="Garamond" w:hAnsi="Garamond" w:cs="Times New Roman"/>
          <w:i/>
          <w:iCs/>
          <w:sz w:val="26"/>
          <w:szCs w:val="26"/>
        </w:rPr>
        <w:t xml:space="preserve">Historical Writing in England </w:t>
      </w:r>
      <w:r w:rsidR="005B28A0">
        <w:rPr>
          <w:rFonts w:ascii="Garamond" w:hAnsi="Garamond" w:cs="Times New Roman"/>
          <w:sz w:val="26"/>
          <w:szCs w:val="26"/>
        </w:rPr>
        <w:t>c. 550- c. 1307</w:t>
      </w:r>
      <w:r w:rsidR="000A695C">
        <w:rPr>
          <w:rFonts w:ascii="Garamond" w:hAnsi="Garamond" w:cs="Times New Roman"/>
          <w:sz w:val="26"/>
          <w:szCs w:val="26"/>
        </w:rPr>
        <w:t>, (Routledge, Kegan Paul, 1974).</w:t>
      </w:r>
    </w:p>
    <w:p w14:paraId="2C6E9C4D" w14:textId="42B07590" w:rsidR="008A2CC6" w:rsidRDefault="008A2CC6" w:rsidP="00385410">
      <w:pPr>
        <w:spacing w:after="0" w:line="360" w:lineRule="auto"/>
        <w:jc w:val="both"/>
        <w:rPr>
          <w:rFonts w:ascii="Garamond" w:hAnsi="Garamond" w:cs="Times New Roman"/>
          <w:sz w:val="26"/>
          <w:szCs w:val="26"/>
        </w:rPr>
      </w:pPr>
      <w:r w:rsidRPr="003A244E">
        <w:rPr>
          <w:rFonts w:ascii="Garamond" w:hAnsi="Garamond" w:cs="Times New Roman"/>
          <w:b/>
          <w:bCs/>
          <w:sz w:val="26"/>
          <w:szCs w:val="26"/>
        </w:rPr>
        <w:t>Harper-Bill, Christopher</w:t>
      </w:r>
      <w:r>
        <w:rPr>
          <w:rFonts w:ascii="Garamond" w:hAnsi="Garamond" w:cs="Times New Roman"/>
          <w:sz w:val="26"/>
          <w:szCs w:val="26"/>
        </w:rPr>
        <w:t xml:space="preserve">, </w:t>
      </w:r>
      <w:r w:rsidR="004E03B1">
        <w:rPr>
          <w:rFonts w:ascii="Garamond" w:hAnsi="Garamond" w:cs="Times New Roman"/>
          <w:sz w:val="26"/>
          <w:szCs w:val="26"/>
        </w:rPr>
        <w:t>‘John and the Church’, in (ed) Stephen D. Church</w:t>
      </w:r>
      <w:r w:rsidR="00924893">
        <w:rPr>
          <w:rFonts w:ascii="Garamond" w:hAnsi="Garamond" w:cs="Times New Roman"/>
          <w:sz w:val="26"/>
          <w:szCs w:val="26"/>
        </w:rPr>
        <w:t xml:space="preserve">, </w:t>
      </w:r>
      <w:r w:rsidR="00924893">
        <w:rPr>
          <w:rFonts w:ascii="Garamond" w:hAnsi="Garamond" w:cs="Times New Roman"/>
          <w:i/>
          <w:iCs/>
          <w:sz w:val="26"/>
          <w:szCs w:val="26"/>
        </w:rPr>
        <w:t>King John: New Interpretations</w:t>
      </w:r>
      <w:r w:rsidR="00924893">
        <w:rPr>
          <w:rFonts w:ascii="Garamond" w:hAnsi="Garamond" w:cs="Times New Roman"/>
          <w:sz w:val="26"/>
          <w:szCs w:val="26"/>
        </w:rPr>
        <w:t xml:space="preserve">, (Boydell Press, </w:t>
      </w:r>
      <w:r w:rsidR="00B565E9">
        <w:rPr>
          <w:rFonts w:ascii="Garamond" w:hAnsi="Garamond" w:cs="Times New Roman"/>
          <w:sz w:val="26"/>
          <w:szCs w:val="26"/>
        </w:rPr>
        <w:t>2003), pp.289-392.</w:t>
      </w:r>
    </w:p>
    <w:p w14:paraId="7E713862" w14:textId="70E9F6D2" w:rsidR="00B565E9" w:rsidRDefault="00AE6AF6" w:rsidP="00385410">
      <w:pPr>
        <w:spacing w:after="0" w:line="360" w:lineRule="auto"/>
        <w:jc w:val="both"/>
        <w:rPr>
          <w:rFonts w:ascii="Garamond" w:hAnsi="Garamond" w:cs="Times New Roman"/>
          <w:sz w:val="26"/>
          <w:szCs w:val="26"/>
        </w:rPr>
      </w:pPr>
      <w:r w:rsidRPr="003A244E">
        <w:rPr>
          <w:rFonts w:ascii="Garamond" w:hAnsi="Garamond" w:cs="Times New Roman"/>
          <w:b/>
          <w:bCs/>
          <w:sz w:val="26"/>
          <w:szCs w:val="26"/>
        </w:rPr>
        <w:t>Maden, Sister James Eugene C.S.J.</w:t>
      </w:r>
      <w:r>
        <w:rPr>
          <w:rFonts w:ascii="Garamond" w:hAnsi="Garamond" w:cs="Times New Roman"/>
          <w:sz w:val="26"/>
          <w:szCs w:val="26"/>
        </w:rPr>
        <w:t xml:space="preserve">, ‘Business Monks, Banker Monks, </w:t>
      </w:r>
      <w:r w:rsidR="00291B3B">
        <w:rPr>
          <w:rFonts w:ascii="Garamond" w:hAnsi="Garamond" w:cs="Times New Roman"/>
          <w:sz w:val="26"/>
          <w:szCs w:val="26"/>
        </w:rPr>
        <w:t>Bankrupt Monks: The English Cistercians in the Thirteenth Century’,</w:t>
      </w:r>
      <w:r w:rsidR="000E5F04">
        <w:rPr>
          <w:rFonts w:ascii="Garamond" w:hAnsi="Garamond" w:cs="Times New Roman"/>
          <w:sz w:val="26"/>
          <w:szCs w:val="26"/>
        </w:rPr>
        <w:t xml:space="preserve"> </w:t>
      </w:r>
      <w:r w:rsidR="000E5F04">
        <w:rPr>
          <w:rFonts w:ascii="Garamond" w:hAnsi="Garamond" w:cs="Times New Roman"/>
          <w:i/>
          <w:iCs/>
          <w:sz w:val="26"/>
          <w:szCs w:val="26"/>
        </w:rPr>
        <w:t>The Catholic Historical Review</w:t>
      </w:r>
      <w:r w:rsidR="000E5F04">
        <w:rPr>
          <w:rFonts w:ascii="Garamond" w:hAnsi="Garamond" w:cs="Times New Roman"/>
          <w:sz w:val="26"/>
          <w:szCs w:val="26"/>
        </w:rPr>
        <w:t>, Vol.</w:t>
      </w:r>
      <w:r w:rsidR="00AE71FB">
        <w:rPr>
          <w:rFonts w:ascii="Garamond" w:hAnsi="Garamond" w:cs="Times New Roman"/>
          <w:sz w:val="26"/>
          <w:szCs w:val="26"/>
        </w:rPr>
        <w:t xml:space="preserve"> XLIX, No. 3, (Oct 1963), pp. 341-364.</w:t>
      </w:r>
    </w:p>
    <w:p w14:paraId="1FD71587" w14:textId="54AB8F54" w:rsidR="002D2D85" w:rsidRPr="00ED68E6" w:rsidRDefault="002D2D85" w:rsidP="00385410">
      <w:pPr>
        <w:spacing w:after="0" w:line="360" w:lineRule="auto"/>
        <w:jc w:val="both"/>
        <w:rPr>
          <w:rFonts w:ascii="Garamond" w:hAnsi="Garamond" w:cs="Times New Roman"/>
          <w:sz w:val="26"/>
          <w:szCs w:val="26"/>
        </w:rPr>
      </w:pPr>
      <w:r w:rsidRPr="004B2FF8">
        <w:rPr>
          <w:rFonts w:ascii="Garamond" w:hAnsi="Garamond" w:cs="Times New Roman"/>
          <w:b/>
          <w:bCs/>
          <w:sz w:val="26"/>
          <w:szCs w:val="26"/>
        </w:rPr>
        <w:t>Ma</w:t>
      </w:r>
      <w:r w:rsidR="00F122DE" w:rsidRPr="004B2FF8">
        <w:rPr>
          <w:rFonts w:ascii="Garamond" w:hAnsi="Garamond" w:cs="Times New Roman"/>
          <w:b/>
          <w:bCs/>
          <w:sz w:val="26"/>
          <w:szCs w:val="26"/>
        </w:rPr>
        <w:t>ddicott, J. R.</w:t>
      </w:r>
      <w:r w:rsidR="00F122DE">
        <w:rPr>
          <w:rFonts w:ascii="Garamond" w:hAnsi="Garamond" w:cs="Times New Roman"/>
          <w:sz w:val="26"/>
          <w:szCs w:val="26"/>
        </w:rPr>
        <w:t>, ‘</w:t>
      </w:r>
      <w:r w:rsidR="00E55CE8">
        <w:rPr>
          <w:rFonts w:ascii="Garamond" w:hAnsi="Garamond" w:cs="Times New Roman"/>
          <w:sz w:val="26"/>
          <w:szCs w:val="26"/>
        </w:rPr>
        <w:t xml:space="preserve">The </w:t>
      </w:r>
      <w:r w:rsidR="00F122DE">
        <w:rPr>
          <w:rFonts w:ascii="Garamond" w:hAnsi="Garamond" w:cs="Times New Roman"/>
          <w:sz w:val="26"/>
          <w:szCs w:val="26"/>
        </w:rPr>
        <w:t>Oath of Marlborough</w:t>
      </w:r>
      <w:r w:rsidR="00E55CE8">
        <w:rPr>
          <w:rFonts w:ascii="Garamond" w:hAnsi="Garamond" w:cs="Times New Roman"/>
          <w:sz w:val="26"/>
          <w:szCs w:val="26"/>
        </w:rPr>
        <w:t xml:space="preserve">, 1209: Fear, Government and Popular </w:t>
      </w:r>
      <w:r w:rsidR="008D4F24">
        <w:rPr>
          <w:rFonts w:ascii="Garamond" w:hAnsi="Garamond" w:cs="Times New Roman"/>
          <w:sz w:val="26"/>
          <w:szCs w:val="26"/>
        </w:rPr>
        <w:t xml:space="preserve">Allegiance in the Reign of King John’, </w:t>
      </w:r>
      <w:r w:rsidR="00ED68E6">
        <w:rPr>
          <w:rFonts w:ascii="Garamond" w:hAnsi="Garamond" w:cs="Times New Roman"/>
          <w:i/>
          <w:iCs/>
          <w:sz w:val="26"/>
          <w:szCs w:val="26"/>
        </w:rPr>
        <w:t>English Historical Review</w:t>
      </w:r>
      <w:r w:rsidR="00ED68E6">
        <w:rPr>
          <w:rFonts w:ascii="Garamond" w:hAnsi="Garamond" w:cs="Times New Roman"/>
          <w:sz w:val="26"/>
          <w:szCs w:val="26"/>
        </w:rPr>
        <w:t xml:space="preserve">, Vol. 126, </w:t>
      </w:r>
      <w:r w:rsidR="00DB1BA8">
        <w:rPr>
          <w:rFonts w:ascii="Garamond" w:hAnsi="Garamond" w:cs="Times New Roman"/>
          <w:sz w:val="26"/>
          <w:szCs w:val="26"/>
        </w:rPr>
        <w:t>No. 519 (April 2011), pp. 281-318.</w:t>
      </w:r>
    </w:p>
    <w:p w14:paraId="7D15F39F" w14:textId="666A9D64" w:rsidR="003A244E" w:rsidRDefault="006A1F2E" w:rsidP="00385410">
      <w:pPr>
        <w:spacing w:after="0" w:line="360" w:lineRule="auto"/>
        <w:jc w:val="both"/>
        <w:rPr>
          <w:rFonts w:ascii="Garamond" w:hAnsi="Garamond" w:cs="Times New Roman"/>
          <w:sz w:val="26"/>
          <w:szCs w:val="26"/>
        </w:rPr>
      </w:pPr>
      <w:r w:rsidRPr="00F4304E">
        <w:rPr>
          <w:rFonts w:ascii="Garamond" w:hAnsi="Garamond" w:cs="Times New Roman"/>
          <w:b/>
          <w:bCs/>
          <w:sz w:val="26"/>
          <w:szCs w:val="26"/>
        </w:rPr>
        <w:t>Painter, S</w:t>
      </w:r>
      <w:r>
        <w:rPr>
          <w:rFonts w:ascii="Garamond" w:hAnsi="Garamond" w:cs="Times New Roman"/>
          <w:sz w:val="26"/>
          <w:szCs w:val="26"/>
        </w:rPr>
        <w:t xml:space="preserve">., </w:t>
      </w:r>
      <w:r w:rsidR="00995F13">
        <w:rPr>
          <w:rFonts w:ascii="Garamond" w:hAnsi="Garamond" w:cs="Times New Roman"/>
          <w:sz w:val="26"/>
          <w:szCs w:val="26"/>
        </w:rPr>
        <w:t>‘</w:t>
      </w:r>
      <w:r>
        <w:rPr>
          <w:rFonts w:ascii="Garamond" w:hAnsi="Garamond" w:cs="Times New Roman"/>
          <w:sz w:val="26"/>
          <w:szCs w:val="26"/>
        </w:rPr>
        <w:t>The Lords of Lusigan in the Eleventh and Twelfth Centuries</w:t>
      </w:r>
      <w:r w:rsidR="00995F13">
        <w:rPr>
          <w:rFonts w:ascii="Garamond" w:hAnsi="Garamond" w:cs="Times New Roman"/>
          <w:sz w:val="26"/>
          <w:szCs w:val="26"/>
        </w:rPr>
        <w:t xml:space="preserve">’, </w:t>
      </w:r>
      <w:r w:rsidR="00995F13">
        <w:rPr>
          <w:rFonts w:ascii="Garamond" w:hAnsi="Garamond" w:cs="Times New Roman"/>
          <w:i/>
          <w:iCs/>
          <w:sz w:val="26"/>
          <w:szCs w:val="26"/>
        </w:rPr>
        <w:t>Speculum</w:t>
      </w:r>
      <w:r w:rsidR="00F4304E">
        <w:rPr>
          <w:rFonts w:ascii="Garamond" w:hAnsi="Garamond" w:cs="Times New Roman"/>
          <w:sz w:val="26"/>
          <w:szCs w:val="26"/>
        </w:rPr>
        <w:t xml:space="preserve"> 32, (Jan 1957), pp. 27-47.</w:t>
      </w:r>
    </w:p>
    <w:p w14:paraId="31771547" w14:textId="04CC12C6" w:rsidR="004B2FF8" w:rsidRDefault="00D1166A" w:rsidP="00385410">
      <w:pPr>
        <w:spacing w:after="0" w:line="360" w:lineRule="auto"/>
        <w:jc w:val="both"/>
        <w:rPr>
          <w:rFonts w:ascii="Garamond" w:hAnsi="Garamond" w:cs="Times New Roman"/>
          <w:sz w:val="26"/>
          <w:szCs w:val="26"/>
        </w:rPr>
      </w:pPr>
      <w:r w:rsidRPr="00ED4CD0">
        <w:rPr>
          <w:rFonts w:ascii="Garamond" w:hAnsi="Garamond" w:cs="Times New Roman"/>
          <w:b/>
          <w:bCs/>
          <w:sz w:val="26"/>
          <w:szCs w:val="26"/>
        </w:rPr>
        <w:t>Stevenson, J.</w:t>
      </w:r>
      <w:r>
        <w:rPr>
          <w:rFonts w:ascii="Garamond" w:hAnsi="Garamond" w:cs="Times New Roman"/>
          <w:sz w:val="26"/>
          <w:szCs w:val="26"/>
        </w:rPr>
        <w:t xml:space="preserve">, (ed) </w:t>
      </w:r>
      <w:r>
        <w:rPr>
          <w:rFonts w:ascii="Garamond" w:hAnsi="Garamond" w:cs="Times New Roman"/>
          <w:i/>
          <w:iCs/>
          <w:sz w:val="26"/>
          <w:szCs w:val="26"/>
        </w:rPr>
        <w:t>Radulphide</w:t>
      </w:r>
      <w:r w:rsidR="0057704C">
        <w:rPr>
          <w:rFonts w:ascii="Garamond" w:hAnsi="Garamond" w:cs="Times New Roman"/>
          <w:i/>
          <w:iCs/>
          <w:sz w:val="26"/>
          <w:szCs w:val="26"/>
        </w:rPr>
        <w:t xml:space="preserve"> de Coggeshall, Chronicon Anglicanum</w:t>
      </w:r>
      <w:r w:rsidR="0057704C">
        <w:rPr>
          <w:rFonts w:ascii="Garamond" w:hAnsi="Garamond" w:cs="Times New Roman"/>
          <w:sz w:val="26"/>
          <w:szCs w:val="26"/>
        </w:rPr>
        <w:t>, (Rolls Series, 1875).</w:t>
      </w:r>
    </w:p>
    <w:p w14:paraId="0A1154E2" w14:textId="2C14E03E" w:rsidR="00ED4CD0" w:rsidRDefault="00ED4CD0" w:rsidP="00385410">
      <w:pPr>
        <w:spacing w:after="0" w:line="360" w:lineRule="auto"/>
        <w:jc w:val="both"/>
        <w:rPr>
          <w:rFonts w:ascii="Garamond" w:hAnsi="Garamond" w:cs="Times New Roman"/>
          <w:sz w:val="26"/>
          <w:szCs w:val="26"/>
        </w:rPr>
      </w:pPr>
      <w:r w:rsidRPr="00A303A4">
        <w:rPr>
          <w:rFonts w:ascii="Garamond" w:hAnsi="Garamond" w:cs="Times New Roman"/>
          <w:b/>
          <w:bCs/>
          <w:sz w:val="26"/>
          <w:szCs w:val="26"/>
        </w:rPr>
        <w:t>Young, Charles R</w:t>
      </w:r>
      <w:r>
        <w:rPr>
          <w:rFonts w:ascii="Garamond" w:hAnsi="Garamond" w:cs="Times New Roman"/>
          <w:sz w:val="26"/>
          <w:szCs w:val="26"/>
        </w:rPr>
        <w:t xml:space="preserve">., </w:t>
      </w:r>
      <w:r>
        <w:rPr>
          <w:rFonts w:ascii="Garamond" w:hAnsi="Garamond" w:cs="Times New Roman"/>
          <w:i/>
          <w:iCs/>
          <w:sz w:val="26"/>
          <w:szCs w:val="26"/>
        </w:rPr>
        <w:t>Hubert Walter, Lord of Canterbury and Lord of England</w:t>
      </w:r>
      <w:r>
        <w:rPr>
          <w:rFonts w:ascii="Garamond" w:hAnsi="Garamond" w:cs="Times New Roman"/>
          <w:sz w:val="26"/>
          <w:szCs w:val="26"/>
        </w:rPr>
        <w:t>, (Duke University Press, 1968).</w:t>
      </w:r>
    </w:p>
    <w:p w14:paraId="2DB1053E" w14:textId="77777777" w:rsidR="005531A8" w:rsidRDefault="005531A8" w:rsidP="00385410">
      <w:pPr>
        <w:spacing w:after="0" w:line="360" w:lineRule="auto"/>
        <w:jc w:val="both"/>
        <w:rPr>
          <w:rFonts w:ascii="Garamond" w:hAnsi="Garamond" w:cs="Times New Roman"/>
          <w:sz w:val="26"/>
          <w:szCs w:val="26"/>
        </w:rPr>
      </w:pPr>
    </w:p>
    <w:p w14:paraId="0781FE95" w14:textId="77777777" w:rsidR="005531A8" w:rsidRDefault="005531A8" w:rsidP="00385410">
      <w:pPr>
        <w:spacing w:after="0" w:line="360" w:lineRule="auto"/>
        <w:jc w:val="both"/>
        <w:rPr>
          <w:rFonts w:ascii="Garamond" w:hAnsi="Garamond" w:cs="Times New Roman"/>
          <w:sz w:val="26"/>
          <w:szCs w:val="26"/>
        </w:rPr>
      </w:pPr>
    </w:p>
    <w:p w14:paraId="08251481" w14:textId="4F1DA32A" w:rsidR="005531A8" w:rsidRDefault="005531A8" w:rsidP="00385410">
      <w:pPr>
        <w:spacing w:after="0" w:line="360" w:lineRule="auto"/>
        <w:jc w:val="both"/>
        <w:rPr>
          <w:rFonts w:ascii="Garamond" w:hAnsi="Garamond" w:cs="Times New Roman"/>
          <w:sz w:val="26"/>
          <w:szCs w:val="26"/>
        </w:rPr>
      </w:pPr>
      <w:r>
        <w:rPr>
          <w:rFonts w:ascii="Garamond" w:hAnsi="Garamond" w:cs="Times New Roman"/>
          <w:sz w:val="26"/>
          <w:szCs w:val="26"/>
        </w:rPr>
        <w:t>Website</w:t>
      </w:r>
    </w:p>
    <w:p w14:paraId="2D7092C4" w14:textId="11A344AD" w:rsidR="00601A76" w:rsidRDefault="00D10572" w:rsidP="00385410">
      <w:pPr>
        <w:spacing w:after="0" w:line="360" w:lineRule="auto"/>
        <w:jc w:val="both"/>
        <w:rPr>
          <w:rFonts w:ascii="Garamond" w:hAnsi="Garamond" w:cs="Times New Roman"/>
          <w:sz w:val="26"/>
          <w:szCs w:val="26"/>
        </w:rPr>
      </w:pPr>
      <w:hyperlink r:id="rId7" w:history="1">
        <w:r w:rsidRPr="00E3798D">
          <w:rPr>
            <w:rStyle w:val="Hyperlink"/>
            <w:rFonts w:ascii="Garamond" w:hAnsi="Garamond" w:cs="Times New Roman"/>
            <w:sz w:val="26"/>
            <w:szCs w:val="26"/>
          </w:rPr>
          <w:t>https://zoboko.com/text/5p46plmr/seals-and-their-context-in-the-middle-ages/15</w:t>
        </w:r>
      </w:hyperlink>
    </w:p>
    <w:p w14:paraId="68156BD1" w14:textId="77777777" w:rsidR="00D10572" w:rsidRPr="00ED4CD0" w:rsidRDefault="00D10572" w:rsidP="00385410">
      <w:pPr>
        <w:spacing w:after="0" w:line="360" w:lineRule="auto"/>
        <w:jc w:val="both"/>
        <w:rPr>
          <w:rFonts w:ascii="Garamond" w:hAnsi="Garamond" w:cs="Times New Roman"/>
          <w:sz w:val="26"/>
          <w:szCs w:val="26"/>
        </w:rPr>
      </w:pPr>
    </w:p>
    <w:p w14:paraId="5A4452C3" w14:textId="77777777" w:rsidR="00F4304E" w:rsidRPr="00F4304E" w:rsidRDefault="00F4304E" w:rsidP="00385410">
      <w:pPr>
        <w:spacing w:after="0" w:line="360" w:lineRule="auto"/>
        <w:jc w:val="both"/>
        <w:rPr>
          <w:rFonts w:ascii="Garamond" w:hAnsi="Garamond" w:cs="Times New Roman"/>
          <w:sz w:val="26"/>
          <w:szCs w:val="26"/>
        </w:rPr>
      </w:pPr>
    </w:p>
    <w:p w14:paraId="7F86085D" w14:textId="77777777" w:rsidR="003A244E" w:rsidRPr="000E5F04" w:rsidRDefault="003A244E" w:rsidP="00385410">
      <w:pPr>
        <w:spacing w:after="0" w:line="360" w:lineRule="auto"/>
        <w:jc w:val="both"/>
        <w:rPr>
          <w:rFonts w:ascii="Garamond" w:hAnsi="Garamond" w:cs="Times New Roman"/>
          <w:sz w:val="26"/>
          <w:szCs w:val="26"/>
        </w:rPr>
      </w:pPr>
    </w:p>
    <w:p w14:paraId="2334558A" w14:textId="77777777" w:rsidR="005B4563" w:rsidRPr="005B4563" w:rsidRDefault="005B4563" w:rsidP="00385410">
      <w:pPr>
        <w:spacing w:after="0" w:line="360" w:lineRule="auto"/>
        <w:jc w:val="both"/>
        <w:rPr>
          <w:rFonts w:ascii="Garamond" w:hAnsi="Garamond"/>
          <w:sz w:val="26"/>
          <w:szCs w:val="26"/>
        </w:rPr>
      </w:pPr>
    </w:p>
    <w:sectPr w:rsidR="005B4563" w:rsidRPr="005B4563">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4489BA" w14:textId="77777777" w:rsidR="00933DE7" w:rsidRDefault="00933DE7" w:rsidP="00501D9F">
      <w:pPr>
        <w:spacing w:after="0" w:line="240" w:lineRule="auto"/>
      </w:pPr>
      <w:r>
        <w:separator/>
      </w:r>
    </w:p>
  </w:endnote>
  <w:endnote w:type="continuationSeparator" w:id="0">
    <w:p w14:paraId="4DA6899E" w14:textId="77777777" w:rsidR="00933DE7" w:rsidRDefault="00933DE7" w:rsidP="00501D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0594349"/>
      <w:docPartObj>
        <w:docPartGallery w:val="Page Numbers (Bottom of Page)"/>
        <w:docPartUnique/>
      </w:docPartObj>
    </w:sdtPr>
    <w:sdtContent>
      <w:p w14:paraId="3CA6B868" w14:textId="2AA2E592" w:rsidR="00293445" w:rsidRDefault="00293445">
        <w:pPr>
          <w:pStyle w:val="Footer"/>
          <w:jc w:val="right"/>
        </w:pPr>
        <w:r>
          <w:fldChar w:fldCharType="begin"/>
        </w:r>
        <w:r>
          <w:instrText>PAGE   \* MERGEFORMAT</w:instrText>
        </w:r>
        <w:r>
          <w:fldChar w:fldCharType="separate"/>
        </w:r>
        <w:r>
          <w:t>2</w:t>
        </w:r>
        <w:r>
          <w:fldChar w:fldCharType="end"/>
        </w:r>
      </w:p>
    </w:sdtContent>
  </w:sdt>
  <w:p w14:paraId="3DCBB1B3" w14:textId="77777777" w:rsidR="0063098B" w:rsidRDefault="006309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3B05CF" w14:textId="77777777" w:rsidR="00933DE7" w:rsidRDefault="00933DE7" w:rsidP="00501D9F">
      <w:pPr>
        <w:spacing w:after="0" w:line="240" w:lineRule="auto"/>
      </w:pPr>
      <w:r>
        <w:separator/>
      </w:r>
    </w:p>
  </w:footnote>
  <w:footnote w:type="continuationSeparator" w:id="0">
    <w:p w14:paraId="5AAC417E" w14:textId="77777777" w:rsidR="00933DE7" w:rsidRDefault="00933DE7" w:rsidP="00501D9F">
      <w:pPr>
        <w:spacing w:after="0" w:line="240" w:lineRule="auto"/>
      </w:pPr>
      <w:r>
        <w:continuationSeparator/>
      </w:r>
    </w:p>
  </w:footnote>
  <w:footnote w:id="1">
    <w:p w14:paraId="68BAA881" w14:textId="21C8B103" w:rsidR="00F54B5A" w:rsidRPr="004D428C" w:rsidRDefault="00F54B5A" w:rsidP="007F7B1E">
      <w:pPr>
        <w:pStyle w:val="FootnoteText"/>
        <w:jc w:val="both"/>
      </w:pPr>
      <w:r>
        <w:rPr>
          <w:rStyle w:val="FootnoteReference"/>
        </w:rPr>
        <w:footnoteRef/>
      </w:r>
      <w:r>
        <w:t xml:space="preserve"> </w:t>
      </w:r>
      <w:r w:rsidR="004D428C">
        <w:t xml:space="preserve">The </w:t>
      </w:r>
      <w:r w:rsidR="004D428C">
        <w:rPr>
          <w:i/>
          <w:iCs/>
        </w:rPr>
        <w:t>Chronicon Anglicanum</w:t>
      </w:r>
      <w:r w:rsidR="004D428C">
        <w:t xml:space="preserve"> written by Ralph, Abbot of Coggeshall</w:t>
      </w:r>
      <w:r w:rsidR="00C8540E">
        <w:t xml:space="preserve"> (Cistercian)</w:t>
      </w:r>
      <w:r w:rsidR="00917352">
        <w:t>, gives an account of the early years of John’s reign</w:t>
      </w:r>
      <w:r w:rsidR="00F51552">
        <w:t>.</w:t>
      </w:r>
      <w:r w:rsidR="00A25469">
        <w:t xml:space="preserve"> </w:t>
      </w:r>
      <w:r w:rsidR="006F7E28">
        <w:t xml:space="preserve">Ecclesiastical and secular connections </w:t>
      </w:r>
      <w:r w:rsidR="00490823">
        <w:t>likely enable</w:t>
      </w:r>
      <w:r w:rsidR="004C0EE3">
        <w:t>d</w:t>
      </w:r>
      <w:r w:rsidR="00490823">
        <w:t xml:space="preserve"> Ralph to obtain a full account of the quarrel between </w:t>
      </w:r>
      <w:r w:rsidR="00F03205">
        <w:t xml:space="preserve">King John and </w:t>
      </w:r>
      <w:r w:rsidR="004C0EE3">
        <w:t>the Cistercian order over his attempt to obtain money through taxation in 1200.</w:t>
      </w:r>
      <w:r w:rsidR="00B45902">
        <w:t xml:space="preserve"> For a detailed description of Ralph’s writing and connection</w:t>
      </w:r>
      <w:r w:rsidR="00891BE7">
        <w:t>s</w:t>
      </w:r>
      <w:r w:rsidR="00B45902">
        <w:t xml:space="preserve"> see Antonia Gransden, </w:t>
      </w:r>
      <w:r w:rsidR="00891BE7">
        <w:rPr>
          <w:i/>
          <w:iCs/>
        </w:rPr>
        <w:t xml:space="preserve">Historical Writing in England </w:t>
      </w:r>
      <w:r w:rsidR="00357BAF">
        <w:rPr>
          <w:i/>
          <w:iCs/>
        </w:rPr>
        <w:t>c.550 to c. 1307</w:t>
      </w:r>
      <w:r w:rsidR="00357BAF">
        <w:t xml:space="preserve">, </w:t>
      </w:r>
      <w:r w:rsidR="00C3023C">
        <w:t xml:space="preserve">(Routledge &amp; Kegan Paul, </w:t>
      </w:r>
      <w:r w:rsidR="00B830A9">
        <w:t xml:space="preserve">1974), pp. </w:t>
      </w:r>
      <w:r w:rsidR="00244344">
        <w:t>322-332.</w:t>
      </w:r>
      <w:r w:rsidR="00F03205">
        <w:t xml:space="preserve"> </w:t>
      </w:r>
      <w:r w:rsidR="00F51552">
        <w:t xml:space="preserve"> </w:t>
      </w:r>
    </w:p>
  </w:footnote>
  <w:footnote w:id="2">
    <w:p w14:paraId="3491E831" w14:textId="74F4D39E" w:rsidR="00501D9F" w:rsidRPr="00862757" w:rsidRDefault="00501D9F" w:rsidP="00EC25AB">
      <w:pPr>
        <w:pStyle w:val="FootnoteText"/>
        <w:jc w:val="both"/>
        <w:rPr>
          <w:iCs/>
          <w:lang w:val="en-US"/>
        </w:rPr>
      </w:pPr>
      <w:r>
        <w:rPr>
          <w:rStyle w:val="FootnoteReference"/>
        </w:rPr>
        <w:footnoteRef/>
      </w:r>
      <w:r w:rsidR="00192236">
        <w:rPr>
          <w:lang w:val="en-US"/>
        </w:rPr>
        <w:t xml:space="preserve"> </w:t>
      </w:r>
      <w:r w:rsidR="003D1346">
        <w:rPr>
          <w:lang w:val="en-US"/>
        </w:rPr>
        <w:t xml:space="preserve">There may be several reasons why John chose York as a meeting place. </w:t>
      </w:r>
      <w:r w:rsidR="00A828F7">
        <w:rPr>
          <w:lang w:val="en-US"/>
        </w:rPr>
        <w:t>A meeting with William the Lion, King of Scots, had been arranged to discuss the dispute over William’s</w:t>
      </w:r>
      <w:r w:rsidR="00C23628">
        <w:rPr>
          <w:lang w:val="en-US"/>
        </w:rPr>
        <w:t xml:space="preserve"> </w:t>
      </w:r>
      <w:r w:rsidR="007D6522">
        <w:rPr>
          <w:lang w:val="en-US"/>
        </w:rPr>
        <w:t>hereditary</w:t>
      </w:r>
      <w:r w:rsidR="00A828F7">
        <w:rPr>
          <w:lang w:val="en-US"/>
        </w:rPr>
        <w:t xml:space="preserve"> claim to the Earldom of Northum</w:t>
      </w:r>
      <w:r w:rsidR="00026FDA">
        <w:rPr>
          <w:lang w:val="en-US"/>
        </w:rPr>
        <w:t xml:space="preserve">berland. William had threatened to take what he believed as his by force. In the event, he did not show up to his meeting with John. </w:t>
      </w:r>
      <w:r w:rsidR="00380A85">
        <w:rPr>
          <w:lang w:val="en-US"/>
        </w:rPr>
        <w:t>Furthermore, although the eight Yorkshire abbeys were</w:t>
      </w:r>
      <w:r w:rsidR="006C0590">
        <w:rPr>
          <w:lang w:val="en-US"/>
        </w:rPr>
        <w:t xml:space="preserve"> not particularly wealthy in monetary terms, </w:t>
      </w:r>
      <w:r w:rsidR="00CE02CC">
        <w:rPr>
          <w:lang w:val="en-US"/>
        </w:rPr>
        <w:t>wool from their extensive flocks had become</w:t>
      </w:r>
      <w:r w:rsidR="00EF323F">
        <w:rPr>
          <w:lang w:val="en-US"/>
        </w:rPr>
        <w:t xml:space="preserve"> the ‘common denominator for the financial relations of popes, kings and, Cistercians</w:t>
      </w:r>
      <w:r w:rsidR="009C383E">
        <w:rPr>
          <w:lang w:val="en-US"/>
        </w:rPr>
        <w:t>.’</w:t>
      </w:r>
      <w:r w:rsidR="00612BAA">
        <w:rPr>
          <w:lang w:val="en-US"/>
        </w:rPr>
        <w:t xml:space="preserve"> These Cistercian monasteries, exempt from taxation</w:t>
      </w:r>
      <w:r w:rsidR="008924AC">
        <w:rPr>
          <w:lang w:val="en-US"/>
        </w:rPr>
        <w:t xml:space="preserve">, </w:t>
      </w:r>
      <w:r w:rsidR="00A85043">
        <w:rPr>
          <w:lang w:val="en-US"/>
        </w:rPr>
        <w:t>were the holders of “corporate” land wealth</w:t>
      </w:r>
      <w:r w:rsidR="00656775">
        <w:rPr>
          <w:lang w:val="en-US"/>
        </w:rPr>
        <w:t xml:space="preserve"> </w:t>
      </w:r>
      <w:r w:rsidR="00A85043">
        <w:rPr>
          <w:lang w:val="en-US"/>
        </w:rPr>
        <w:t xml:space="preserve">…and </w:t>
      </w:r>
      <w:r w:rsidR="00656775">
        <w:rPr>
          <w:lang w:val="en-US"/>
        </w:rPr>
        <w:t xml:space="preserve">were therefore able to mobilize credit … for kings”. </w:t>
      </w:r>
      <w:r w:rsidR="000903A2">
        <w:rPr>
          <w:lang w:val="en-US"/>
        </w:rPr>
        <w:t xml:space="preserve">Sister James Eugene Maden, C.S.J., ‘Business Monks, Banker Monks, Bankrupt Monks: The English Cistercians in the Thirteenth Century’, </w:t>
      </w:r>
      <w:r w:rsidR="000903A2">
        <w:rPr>
          <w:i/>
          <w:iCs/>
          <w:lang w:val="en-US"/>
        </w:rPr>
        <w:t>The Catholic Historical Review</w:t>
      </w:r>
      <w:r w:rsidR="000903A2">
        <w:rPr>
          <w:lang w:val="en-US"/>
        </w:rPr>
        <w:t>, Vol. XLIX, No. 3, Oct. 1963, pp. 341-364,</w:t>
      </w:r>
      <w:r w:rsidR="00732E55">
        <w:rPr>
          <w:lang w:val="en-US"/>
        </w:rPr>
        <w:t xml:space="preserve"> p. </w:t>
      </w:r>
      <w:r w:rsidR="004F305B">
        <w:rPr>
          <w:lang w:val="en-US"/>
        </w:rPr>
        <w:t>348, and p. 350.</w:t>
      </w:r>
    </w:p>
  </w:footnote>
  <w:footnote w:id="3">
    <w:p w14:paraId="2320382D" w14:textId="12ED3CE1" w:rsidR="00F91772" w:rsidRPr="000B5A1A" w:rsidRDefault="00F91772" w:rsidP="00EC25AB">
      <w:pPr>
        <w:pStyle w:val="FootnoteText"/>
        <w:jc w:val="both"/>
        <w:rPr>
          <w:lang w:val="en-US"/>
        </w:rPr>
      </w:pPr>
      <w:r>
        <w:rPr>
          <w:rStyle w:val="FootnoteReference"/>
        </w:rPr>
        <w:footnoteRef/>
      </w:r>
      <w:r>
        <w:t xml:space="preserve"> </w:t>
      </w:r>
      <w:r w:rsidR="00C71A41">
        <w:rPr>
          <w:lang w:val="en-US"/>
        </w:rPr>
        <w:t>One of the terms of the peace, was a payment of 20,000</w:t>
      </w:r>
      <w:r w:rsidR="00772909">
        <w:rPr>
          <w:lang w:val="en-US"/>
        </w:rPr>
        <w:t xml:space="preserve"> marks to Philip. To raise this sum, </w:t>
      </w:r>
      <w:r w:rsidR="0084020C">
        <w:rPr>
          <w:lang w:val="en-US"/>
        </w:rPr>
        <w:t>John</w:t>
      </w:r>
      <w:r w:rsidR="00F32D34">
        <w:rPr>
          <w:lang w:val="en-US"/>
        </w:rPr>
        <w:t xml:space="preserve"> took issue with the exemption of the Cistercian Order from paying tax</w:t>
      </w:r>
      <w:r w:rsidR="00A91FE6">
        <w:rPr>
          <w:lang w:val="en-US"/>
        </w:rPr>
        <w:t>.</w:t>
      </w:r>
      <w:r w:rsidR="000E0D3D">
        <w:rPr>
          <w:lang w:val="en-US"/>
        </w:rPr>
        <w:t xml:space="preserve"> </w:t>
      </w:r>
      <w:r w:rsidR="00EE7FD8">
        <w:rPr>
          <w:lang w:val="en-US"/>
        </w:rPr>
        <w:t>Pope Pascal II</w:t>
      </w:r>
      <w:r w:rsidR="00167B73">
        <w:rPr>
          <w:lang w:val="en-US"/>
        </w:rPr>
        <w:t>’s</w:t>
      </w:r>
      <w:r w:rsidR="005925E5">
        <w:rPr>
          <w:lang w:val="en-US"/>
        </w:rPr>
        <w:t xml:space="preserve"> (1099-1118)</w:t>
      </w:r>
      <w:r w:rsidR="00167B73">
        <w:rPr>
          <w:lang w:val="en-US"/>
        </w:rPr>
        <w:t xml:space="preserve"> Bull grant</w:t>
      </w:r>
      <w:r w:rsidR="006E112F">
        <w:rPr>
          <w:lang w:val="en-US"/>
        </w:rPr>
        <w:t>ed a</w:t>
      </w:r>
      <w:r w:rsidR="00167B73">
        <w:rPr>
          <w:lang w:val="en-US"/>
        </w:rPr>
        <w:t xml:space="preserve"> temporal</w:t>
      </w:r>
      <w:r w:rsidR="006E112F">
        <w:rPr>
          <w:lang w:val="en-US"/>
        </w:rPr>
        <w:t xml:space="preserve"> exemption privilege, </w:t>
      </w:r>
      <w:r w:rsidR="006E112F">
        <w:rPr>
          <w:i/>
          <w:iCs/>
          <w:lang w:val="en-US"/>
        </w:rPr>
        <w:t>Privilegium Romanum</w:t>
      </w:r>
      <w:r w:rsidR="00413E4B">
        <w:rPr>
          <w:i/>
          <w:iCs/>
          <w:lang w:val="en-US"/>
        </w:rPr>
        <w:t>, w</w:t>
      </w:r>
      <w:r w:rsidR="00413E4B">
        <w:rPr>
          <w:lang w:val="en-US"/>
        </w:rPr>
        <w:t>hich threatened to excommunicate or depose any person (including kings)</w:t>
      </w:r>
      <w:r w:rsidR="007B7494">
        <w:rPr>
          <w:lang w:val="en-US"/>
        </w:rPr>
        <w:t xml:space="preserve"> who dared to contravene this exemption</w:t>
      </w:r>
      <w:r w:rsidR="00647ABD">
        <w:rPr>
          <w:lang w:val="en-US"/>
        </w:rPr>
        <w:t xml:space="preserve">, based as it was on the Order’s </w:t>
      </w:r>
      <w:r w:rsidR="0005210D">
        <w:rPr>
          <w:lang w:val="en-US"/>
        </w:rPr>
        <w:t>“</w:t>
      </w:r>
      <w:r w:rsidR="00647ABD">
        <w:rPr>
          <w:lang w:val="en-US"/>
        </w:rPr>
        <w:t>austere poverty</w:t>
      </w:r>
      <w:r w:rsidR="00463E46">
        <w:rPr>
          <w:lang w:val="en-US"/>
        </w:rPr>
        <w:t xml:space="preserve"> and alienation from all business ties</w:t>
      </w:r>
      <w:r w:rsidR="0005210D">
        <w:rPr>
          <w:lang w:val="en-US"/>
        </w:rPr>
        <w:t>”</w:t>
      </w:r>
      <w:r w:rsidR="00CD0BCF">
        <w:rPr>
          <w:lang w:val="en-US"/>
        </w:rPr>
        <w:t>.</w:t>
      </w:r>
      <w:r w:rsidR="00F41CAD">
        <w:rPr>
          <w:lang w:val="en-US"/>
        </w:rPr>
        <w:t xml:space="preserve"> </w:t>
      </w:r>
      <w:r w:rsidR="002E26F8">
        <w:rPr>
          <w:lang w:val="en-US"/>
        </w:rPr>
        <w:t>I</w:t>
      </w:r>
      <w:r w:rsidR="00250320">
        <w:rPr>
          <w:lang w:val="en-US"/>
        </w:rPr>
        <w:t>bid</w:t>
      </w:r>
      <w:r w:rsidR="002E26F8">
        <w:rPr>
          <w:lang w:val="en-US"/>
        </w:rPr>
        <w:t xml:space="preserve">., </w:t>
      </w:r>
      <w:r w:rsidR="004F305B">
        <w:rPr>
          <w:lang w:val="en-US"/>
        </w:rPr>
        <w:t>p.</w:t>
      </w:r>
      <w:r w:rsidR="005B5E26">
        <w:rPr>
          <w:lang w:val="en-US"/>
        </w:rPr>
        <w:t xml:space="preserve"> 341.</w:t>
      </w:r>
    </w:p>
  </w:footnote>
  <w:footnote w:id="4">
    <w:p w14:paraId="1E459118" w14:textId="2DA2503E" w:rsidR="000E550C" w:rsidRPr="00DC42F6" w:rsidRDefault="000E550C" w:rsidP="00797E83">
      <w:pPr>
        <w:pStyle w:val="FootnoteText"/>
        <w:jc w:val="both"/>
      </w:pPr>
      <w:r>
        <w:rPr>
          <w:rStyle w:val="FootnoteReference"/>
        </w:rPr>
        <w:footnoteRef/>
      </w:r>
      <w:r>
        <w:t xml:space="preserve"> </w:t>
      </w:r>
      <w:r w:rsidR="00970FAA">
        <w:t xml:space="preserve">The claim that </w:t>
      </w:r>
      <w:r w:rsidR="001D12E4">
        <w:t>no decision could be made without the consent of the Cistercian General</w:t>
      </w:r>
      <w:r w:rsidR="00F56DCE">
        <w:t xml:space="preserve"> Chapter</w:t>
      </w:r>
      <w:r w:rsidR="00DF46CB">
        <w:t xml:space="preserve">, or </w:t>
      </w:r>
      <w:r w:rsidR="0005136E">
        <w:t>“</w:t>
      </w:r>
      <w:r w:rsidR="00DF46CB">
        <w:t xml:space="preserve">the </w:t>
      </w:r>
      <w:r w:rsidR="0005136E">
        <w:t xml:space="preserve">Cistercian corporation” as Janet Burton has </w:t>
      </w:r>
      <w:r w:rsidR="00C76960">
        <w:t xml:space="preserve">aptly </w:t>
      </w:r>
      <w:r w:rsidR="0005136E">
        <w:t>termed it</w:t>
      </w:r>
      <w:r w:rsidR="00F56DCE">
        <w:t xml:space="preserve">, </w:t>
      </w:r>
      <w:r w:rsidR="00A71A9F">
        <w:t>clearly indicated that their first loyalty was not to John</w:t>
      </w:r>
      <w:r w:rsidR="00BB0292">
        <w:t xml:space="preserve">, a </w:t>
      </w:r>
      <w:r w:rsidR="0005210D">
        <w:t>situation</w:t>
      </w:r>
      <w:r w:rsidR="00BB0292">
        <w:t xml:space="preserve"> that</w:t>
      </w:r>
      <w:r w:rsidR="00C76960">
        <w:t xml:space="preserve"> </w:t>
      </w:r>
      <w:r w:rsidR="0005210D">
        <w:t xml:space="preserve">John had no intention of tolerating. </w:t>
      </w:r>
      <w:r w:rsidR="003137E5">
        <w:t xml:space="preserve">Not simply about money, this was disloyalty and </w:t>
      </w:r>
      <w:r w:rsidR="0085749A">
        <w:t xml:space="preserve">a challenge to John’s authority as king. </w:t>
      </w:r>
      <w:r w:rsidR="00E93C22">
        <w:t>Janet Burton, ‘The King and the Monks</w:t>
      </w:r>
      <w:r w:rsidR="00E6222B">
        <w:t>: John of England (1199-1216) and the Cistercians</w:t>
      </w:r>
      <w:r w:rsidR="008243ED">
        <w:t xml:space="preserve">’, </w:t>
      </w:r>
      <w:r w:rsidR="00DC42F6">
        <w:rPr>
          <w:i/>
          <w:iCs/>
        </w:rPr>
        <w:t>Reading Medieval Studies</w:t>
      </w:r>
      <w:r w:rsidR="00DC42F6">
        <w:t>, 49</w:t>
      </w:r>
      <w:r w:rsidR="00B42B5A">
        <w:t xml:space="preserve"> (2023), pp. 13-33, p.</w:t>
      </w:r>
      <w:r w:rsidR="00025459">
        <w:t xml:space="preserve"> 17.</w:t>
      </w:r>
    </w:p>
  </w:footnote>
  <w:footnote w:id="5">
    <w:p w14:paraId="50E425C8" w14:textId="23011F9B" w:rsidR="00AA700E" w:rsidRPr="00A34522" w:rsidRDefault="00AA700E" w:rsidP="00797E83">
      <w:pPr>
        <w:pStyle w:val="FootnoteText"/>
        <w:jc w:val="both"/>
        <w:rPr>
          <w:lang w:val="en-US"/>
        </w:rPr>
      </w:pPr>
      <w:r>
        <w:rPr>
          <w:rStyle w:val="FootnoteReference"/>
        </w:rPr>
        <w:footnoteRef/>
      </w:r>
      <w:r>
        <w:t xml:space="preserve"> </w:t>
      </w:r>
      <w:r w:rsidR="00BF2660">
        <w:t>For an account of John’s</w:t>
      </w:r>
      <w:r w:rsidR="00FB706E">
        <w:t xml:space="preserve"> reaction to the refusal to pay, see </w:t>
      </w:r>
      <w:r w:rsidR="002F737B">
        <w:rPr>
          <w:i/>
          <w:iCs/>
        </w:rPr>
        <w:t>Radulphi de Coggeshall</w:t>
      </w:r>
      <w:r w:rsidR="00FD439D">
        <w:rPr>
          <w:i/>
          <w:iCs/>
        </w:rPr>
        <w:t>, Chronicum Anglicanum</w:t>
      </w:r>
      <w:r w:rsidR="00A34522">
        <w:t>, J. Stevenson (ed.)</w:t>
      </w:r>
      <w:r w:rsidR="006922A8">
        <w:t xml:space="preserve">, </w:t>
      </w:r>
      <w:r w:rsidR="008216C1">
        <w:t>(Rolls Ser., 1875)</w:t>
      </w:r>
      <w:r w:rsidR="007313FB">
        <w:t>.</w:t>
      </w:r>
    </w:p>
  </w:footnote>
  <w:footnote w:id="6">
    <w:p w14:paraId="48801979" w14:textId="0A13D742" w:rsidR="00492D83" w:rsidRPr="00492D83" w:rsidRDefault="00492D83" w:rsidP="00797E83">
      <w:pPr>
        <w:pStyle w:val="FootnoteText"/>
        <w:jc w:val="both"/>
      </w:pPr>
      <w:r>
        <w:rPr>
          <w:rStyle w:val="FootnoteReference"/>
        </w:rPr>
        <w:footnoteRef/>
      </w:r>
      <w:r>
        <w:t xml:space="preserve"> </w:t>
      </w:r>
      <w:r w:rsidR="00101841">
        <w:t xml:space="preserve">Hubert Walter (c. 1160-1205), justicar, bishop of Salisbury and Crusader, Archbishop of Canterbury and papal legate, and Chancellor under King John. His remarkable career often saw conflict between his obligations as Archbishop and as a senior government administrator. For more on his life see two biographies – C. R. Cheney, </w:t>
      </w:r>
      <w:r w:rsidR="00101841">
        <w:rPr>
          <w:i/>
          <w:iCs/>
        </w:rPr>
        <w:t>Hubert Walter</w:t>
      </w:r>
      <w:r w:rsidR="00101841">
        <w:t xml:space="preserve">, (London, 1967), and Charles R. Young, </w:t>
      </w:r>
      <w:r w:rsidR="00101841">
        <w:rPr>
          <w:i/>
          <w:iCs/>
        </w:rPr>
        <w:t>Hubert Walter, Lord of Canterbury and Lord of England</w:t>
      </w:r>
      <w:r w:rsidR="00101841">
        <w:t xml:space="preserve">, (Duke University Press, 1968).  </w:t>
      </w:r>
    </w:p>
  </w:footnote>
  <w:footnote w:id="7">
    <w:p w14:paraId="0514B6A6" w14:textId="371B3EF6" w:rsidR="00507DC8" w:rsidRPr="00A031F2" w:rsidRDefault="00507DC8" w:rsidP="00797E83">
      <w:pPr>
        <w:pStyle w:val="FootnoteText"/>
        <w:jc w:val="both"/>
        <w:rPr>
          <w:lang w:val="en-US"/>
        </w:rPr>
      </w:pPr>
      <w:r>
        <w:rPr>
          <w:rStyle w:val="FootnoteReference"/>
        </w:rPr>
        <w:footnoteRef/>
      </w:r>
      <w:r>
        <w:t xml:space="preserve"> </w:t>
      </w:r>
      <w:r w:rsidR="008F3FDA">
        <w:rPr>
          <w:lang w:val="en-US"/>
        </w:rPr>
        <w:t>Archbishop of Canterbury, Walter Hubert, interceded with the pope</w:t>
      </w:r>
      <w:r w:rsidR="007B2097">
        <w:rPr>
          <w:lang w:val="en-US"/>
        </w:rPr>
        <w:t xml:space="preserve"> and prevented sanctions being imposed on John</w:t>
      </w:r>
      <w:r w:rsidR="00B660E8">
        <w:rPr>
          <w:lang w:val="en-US"/>
        </w:rPr>
        <w:t xml:space="preserve"> regarding his threats to the Cistercians. For more</w:t>
      </w:r>
      <w:r w:rsidR="003E0E7D">
        <w:rPr>
          <w:lang w:val="en-US"/>
        </w:rPr>
        <w:t>,</w:t>
      </w:r>
      <w:r w:rsidR="00B660E8">
        <w:rPr>
          <w:lang w:val="en-US"/>
        </w:rPr>
        <w:t xml:space="preserve"> see </w:t>
      </w:r>
      <w:r w:rsidR="007905A9">
        <w:rPr>
          <w:lang w:val="en-US"/>
        </w:rPr>
        <w:t>Christopher Harper-Bill</w:t>
      </w:r>
      <w:r w:rsidR="00A031F2">
        <w:rPr>
          <w:lang w:val="en-US"/>
        </w:rPr>
        <w:t xml:space="preserve"> </w:t>
      </w:r>
      <w:r w:rsidR="007905A9">
        <w:rPr>
          <w:lang w:val="en-US"/>
        </w:rPr>
        <w:t>‘John and the Church’</w:t>
      </w:r>
      <w:r w:rsidR="00A031F2">
        <w:rPr>
          <w:lang w:val="en-US"/>
        </w:rPr>
        <w:t xml:space="preserve"> in Stephen D. Church (ed), </w:t>
      </w:r>
      <w:r w:rsidR="00A031F2">
        <w:rPr>
          <w:i/>
          <w:iCs/>
          <w:lang w:val="en-US"/>
        </w:rPr>
        <w:t>King John: New Interpretations</w:t>
      </w:r>
      <w:r w:rsidR="00A031F2">
        <w:rPr>
          <w:lang w:val="en-US"/>
        </w:rPr>
        <w:t>, (Boydell Press, 2003),</w:t>
      </w:r>
      <w:r w:rsidR="00EE4064">
        <w:rPr>
          <w:lang w:val="en-US"/>
        </w:rPr>
        <w:t>pp. 289</w:t>
      </w:r>
      <w:r w:rsidR="007F0E6B">
        <w:rPr>
          <w:lang w:val="en-US"/>
        </w:rPr>
        <w:t>-392,</w:t>
      </w:r>
      <w:r w:rsidR="00A031F2">
        <w:rPr>
          <w:lang w:val="en-US"/>
        </w:rPr>
        <w:t xml:space="preserve"> p.303.</w:t>
      </w:r>
    </w:p>
  </w:footnote>
  <w:footnote w:id="8">
    <w:p w14:paraId="5E9BEFDA" w14:textId="2709E2B4" w:rsidR="002F3709" w:rsidRPr="002F3709" w:rsidRDefault="002F3709" w:rsidP="00797E83">
      <w:pPr>
        <w:pStyle w:val="FootnoteText"/>
        <w:jc w:val="both"/>
        <w:rPr>
          <w:lang w:val="en-US"/>
        </w:rPr>
      </w:pPr>
      <w:r>
        <w:rPr>
          <w:rStyle w:val="FootnoteReference"/>
        </w:rPr>
        <w:footnoteRef/>
      </w:r>
      <w:r>
        <w:t xml:space="preserve"> </w:t>
      </w:r>
      <w:r w:rsidR="00FA7700">
        <w:rPr>
          <w:lang w:val="en-US"/>
        </w:rPr>
        <w:t>For an excellent history on the importance of</w:t>
      </w:r>
      <w:r w:rsidR="0052619B">
        <w:rPr>
          <w:lang w:val="en-US"/>
        </w:rPr>
        <w:t>,</w:t>
      </w:r>
      <w:r w:rsidR="00FA7700">
        <w:rPr>
          <w:lang w:val="en-US"/>
        </w:rPr>
        <w:t xml:space="preserve"> and the </w:t>
      </w:r>
      <w:r w:rsidR="00A007F2">
        <w:rPr>
          <w:lang w:val="en-US"/>
        </w:rPr>
        <w:t>dramatic history of the Exchequer Seal and the Great Seal in the reign of Richard I</w:t>
      </w:r>
      <w:r w:rsidR="00745777">
        <w:rPr>
          <w:lang w:val="en-US"/>
        </w:rPr>
        <w:t>, see</w:t>
      </w:r>
      <w:r w:rsidR="0052619B">
        <w:rPr>
          <w:lang w:val="en-US"/>
        </w:rPr>
        <w:t xml:space="preserve"> Adrain Ailes, </w:t>
      </w:r>
      <w:r w:rsidR="00745777">
        <w:rPr>
          <w:lang w:val="en-US"/>
        </w:rPr>
        <w:t xml:space="preserve"> ‘Seals and their Context in the Middle Ages</w:t>
      </w:r>
      <w:r w:rsidR="00ED4F14">
        <w:rPr>
          <w:lang w:val="en-US"/>
        </w:rPr>
        <w:t>’, chapter 15:7</w:t>
      </w:r>
      <w:r w:rsidR="008A02A6">
        <w:rPr>
          <w:lang w:val="en-US"/>
        </w:rPr>
        <w:t xml:space="preserve"> Gover</w:t>
      </w:r>
      <w:r w:rsidR="0011271C">
        <w:rPr>
          <w:lang w:val="en-US"/>
        </w:rPr>
        <w:t>n</w:t>
      </w:r>
      <w:r w:rsidR="008A02A6">
        <w:rPr>
          <w:lang w:val="en-US"/>
        </w:rPr>
        <w:t>mental Seals of Richard I</w:t>
      </w:r>
      <w:r w:rsidR="0011271C">
        <w:rPr>
          <w:lang w:val="en-US"/>
        </w:rPr>
        <w:t>, https://zob</w:t>
      </w:r>
      <w:r w:rsidR="004E1910">
        <w:rPr>
          <w:lang w:val="en-US"/>
        </w:rPr>
        <w:t>o</w:t>
      </w:r>
      <w:r w:rsidR="0011271C">
        <w:rPr>
          <w:lang w:val="en-US"/>
        </w:rPr>
        <w:t>ko.com/text/5p46</w:t>
      </w:r>
      <w:r w:rsidR="00FD2A8D">
        <w:rPr>
          <w:lang w:val="en-US"/>
        </w:rPr>
        <w:t>plmr/seals-and-their-context-in-the-middle-ages/15</w:t>
      </w:r>
      <w:r w:rsidR="0052619B">
        <w:rPr>
          <w:lang w:val="en-US"/>
        </w:rPr>
        <w:t>.</w:t>
      </w:r>
    </w:p>
  </w:footnote>
  <w:footnote w:id="9">
    <w:p w14:paraId="3035CDCF" w14:textId="05C95CD6" w:rsidR="00A36CD2" w:rsidRPr="009C7FD9" w:rsidRDefault="00A36CD2" w:rsidP="00797E83">
      <w:pPr>
        <w:pStyle w:val="FootnoteText"/>
        <w:jc w:val="both"/>
        <w:rPr>
          <w:lang w:val="en-US"/>
        </w:rPr>
      </w:pPr>
      <w:r>
        <w:rPr>
          <w:rStyle w:val="FootnoteReference"/>
        </w:rPr>
        <w:footnoteRef/>
      </w:r>
      <w:r>
        <w:t xml:space="preserve"> </w:t>
      </w:r>
      <w:r>
        <w:rPr>
          <w:lang w:val="en-US"/>
        </w:rPr>
        <w:t xml:space="preserve">John’s strategic marriage to </w:t>
      </w:r>
      <w:r w:rsidR="00020E64">
        <w:rPr>
          <w:lang w:val="en-US"/>
        </w:rPr>
        <w:t>Isabella of Angoul</w:t>
      </w:r>
      <w:r w:rsidR="00AE62F8">
        <w:rPr>
          <w:rFonts w:cstheme="minorHAnsi"/>
          <w:lang w:val="en-US"/>
        </w:rPr>
        <w:t>ê</w:t>
      </w:r>
      <w:r w:rsidR="00013048">
        <w:rPr>
          <w:lang w:val="en-US"/>
        </w:rPr>
        <w:t>me</w:t>
      </w:r>
      <w:r w:rsidR="00C4124A">
        <w:rPr>
          <w:lang w:val="en-US"/>
        </w:rPr>
        <w:t xml:space="preserve"> secured </w:t>
      </w:r>
      <w:r w:rsidR="00915784">
        <w:rPr>
          <w:lang w:val="en-US"/>
        </w:rPr>
        <w:t>vital lands for John in France but came at the price of</w:t>
      </w:r>
      <w:r w:rsidR="006A3011">
        <w:rPr>
          <w:lang w:val="en-US"/>
        </w:rPr>
        <w:t xml:space="preserve"> being a disaster political</w:t>
      </w:r>
      <w:r w:rsidR="00CD2E03">
        <w:rPr>
          <w:lang w:val="en-US"/>
        </w:rPr>
        <w:t>ly</w:t>
      </w:r>
      <w:r w:rsidR="006A3011">
        <w:rPr>
          <w:lang w:val="en-US"/>
        </w:rPr>
        <w:t xml:space="preserve">, </w:t>
      </w:r>
      <w:r w:rsidR="00FB4106">
        <w:rPr>
          <w:lang w:val="en-US"/>
        </w:rPr>
        <w:t xml:space="preserve">incurring the strong enmity of Hugh de </w:t>
      </w:r>
      <w:r w:rsidR="00E66730">
        <w:rPr>
          <w:lang w:val="en-US"/>
        </w:rPr>
        <w:t xml:space="preserve">Lusigan to whom Isabella had been betrothed. </w:t>
      </w:r>
      <w:r w:rsidR="00625D2A">
        <w:rPr>
          <w:lang w:val="en-US"/>
        </w:rPr>
        <w:t>S. Painter</w:t>
      </w:r>
      <w:r w:rsidR="00BC2D70">
        <w:rPr>
          <w:lang w:val="en-US"/>
        </w:rPr>
        <w:t>, ‘The Lords of Lusigan in the Eleventh and Twelfth Centuries</w:t>
      </w:r>
      <w:r w:rsidR="002A05EF">
        <w:rPr>
          <w:lang w:val="en-US"/>
        </w:rPr>
        <w:t xml:space="preserve">’, </w:t>
      </w:r>
      <w:r w:rsidR="002A05EF">
        <w:rPr>
          <w:i/>
          <w:iCs/>
          <w:lang w:val="en-US"/>
        </w:rPr>
        <w:t>Speculum</w:t>
      </w:r>
      <w:r w:rsidR="009C7FD9">
        <w:rPr>
          <w:i/>
          <w:iCs/>
          <w:lang w:val="en-US"/>
        </w:rPr>
        <w:t xml:space="preserve"> </w:t>
      </w:r>
      <w:r w:rsidR="009C7FD9">
        <w:rPr>
          <w:lang w:val="en-US"/>
        </w:rPr>
        <w:t>32, (</w:t>
      </w:r>
      <w:r w:rsidR="007E7172">
        <w:rPr>
          <w:lang w:val="en-US"/>
        </w:rPr>
        <w:t xml:space="preserve">Jan. </w:t>
      </w:r>
      <w:r w:rsidR="004D3896">
        <w:rPr>
          <w:lang w:val="en-US"/>
        </w:rPr>
        <w:t xml:space="preserve"> </w:t>
      </w:r>
      <w:r w:rsidR="009C7FD9">
        <w:rPr>
          <w:lang w:val="en-US"/>
        </w:rPr>
        <w:t xml:space="preserve">1957), </w:t>
      </w:r>
      <w:r w:rsidR="003E1B01">
        <w:rPr>
          <w:lang w:val="en-US"/>
        </w:rPr>
        <w:t xml:space="preserve">pp. </w:t>
      </w:r>
      <w:r w:rsidR="007E7172">
        <w:rPr>
          <w:lang w:val="en-US"/>
        </w:rPr>
        <w:t xml:space="preserve">27-47, </w:t>
      </w:r>
      <w:r w:rsidR="009C7FD9">
        <w:rPr>
          <w:lang w:val="en-US"/>
        </w:rPr>
        <w:t xml:space="preserve">p. </w:t>
      </w:r>
      <w:r w:rsidR="00CD2E03">
        <w:rPr>
          <w:lang w:val="en-US"/>
        </w:rPr>
        <w:t>43.</w:t>
      </w:r>
    </w:p>
  </w:footnote>
  <w:footnote w:id="10">
    <w:p w14:paraId="3B59BB43" w14:textId="0DDBC5BD" w:rsidR="00617779" w:rsidRPr="00617779" w:rsidRDefault="00617779" w:rsidP="00797E83">
      <w:pPr>
        <w:pStyle w:val="FootnoteText"/>
        <w:jc w:val="both"/>
        <w:rPr>
          <w:lang w:val="en-US"/>
        </w:rPr>
      </w:pPr>
      <w:r>
        <w:rPr>
          <w:rStyle w:val="FootnoteReference"/>
        </w:rPr>
        <w:footnoteRef/>
      </w:r>
      <w:r>
        <w:t xml:space="preserve"> </w:t>
      </w:r>
      <w:r>
        <w:rPr>
          <w:lang w:val="en-US"/>
        </w:rPr>
        <w:t>Isabella was crowned queen on March 25</w:t>
      </w:r>
      <w:r w:rsidRPr="00617779">
        <w:rPr>
          <w:vertAlign w:val="superscript"/>
          <w:lang w:val="en-US"/>
        </w:rPr>
        <w:t>th</w:t>
      </w:r>
      <w:r w:rsidR="00A41F94">
        <w:rPr>
          <w:lang w:val="en-US"/>
        </w:rPr>
        <w:t>, 1201</w:t>
      </w:r>
      <w:r>
        <w:rPr>
          <w:lang w:val="en-US"/>
        </w:rPr>
        <w:t>, the Feast of the Annunciation of the Virgin Mary, a date loaded with latent significance as a young bride and queen expected to provide an heir for England.</w:t>
      </w:r>
    </w:p>
  </w:footnote>
  <w:footnote w:id="11">
    <w:p w14:paraId="56E8B579" w14:textId="43BCBF5F" w:rsidR="00C52D61" w:rsidRPr="00D17BE2" w:rsidRDefault="00C52D61" w:rsidP="00797E83">
      <w:pPr>
        <w:pStyle w:val="FootnoteText"/>
        <w:jc w:val="both"/>
        <w:rPr>
          <w:lang w:val="en-US"/>
        </w:rPr>
      </w:pPr>
      <w:r>
        <w:rPr>
          <w:rStyle w:val="FootnoteReference"/>
        </w:rPr>
        <w:footnoteRef/>
      </w:r>
      <w:r>
        <w:t xml:space="preserve"> </w:t>
      </w:r>
      <w:r w:rsidR="00344C16">
        <w:rPr>
          <w:lang w:val="en-US"/>
        </w:rPr>
        <w:t xml:space="preserve"> </w:t>
      </w:r>
      <w:r w:rsidR="00625BE4">
        <w:rPr>
          <w:lang w:val="en-US"/>
        </w:rPr>
        <w:t>Hugh de Neville as Chief For</w:t>
      </w:r>
      <w:r w:rsidR="003F3384">
        <w:rPr>
          <w:lang w:val="en-US"/>
        </w:rPr>
        <w:t>ester held one of the four great offices of State. Presiding over the Forest Exchequer</w:t>
      </w:r>
      <w:r w:rsidR="00A8251D">
        <w:rPr>
          <w:lang w:val="en-US"/>
        </w:rPr>
        <w:t>, the revenues raised from woodland and other land were considerable</w:t>
      </w:r>
      <w:r w:rsidR="00E81129">
        <w:rPr>
          <w:lang w:val="en-US"/>
        </w:rPr>
        <w:t xml:space="preserve">. Infringement of Forest Law and its harsh punishments allowed monarchs </w:t>
      </w:r>
      <w:r w:rsidR="000A79E4">
        <w:rPr>
          <w:lang w:val="en-US"/>
        </w:rPr>
        <w:t>to extract considerable sums of money. He was, according to J.R. Maddicott, “head</w:t>
      </w:r>
      <w:r w:rsidR="008E6483">
        <w:rPr>
          <w:lang w:val="en-US"/>
        </w:rPr>
        <w:t xml:space="preserve"> of one of the most detested branches of royal administration”. </w:t>
      </w:r>
      <w:r w:rsidR="00BE6CBF">
        <w:rPr>
          <w:lang w:val="en-US"/>
        </w:rPr>
        <w:t xml:space="preserve">J. R. Maddicott, </w:t>
      </w:r>
      <w:r w:rsidR="0073554C">
        <w:rPr>
          <w:lang w:val="en-US"/>
        </w:rPr>
        <w:t>‘The Oath of Marlborough, 1209: Fear</w:t>
      </w:r>
      <w:r w:rsidR="005A27E4">
        <w:rPr>
          <w:lang w:val="en-US"/>
        </w:rPr>
        <w:t>, Government and Popular Allegiance in the Reign of King John</w:t>
      </w:r>
      <w:r w:rsidR="00D17BE2">
        <w:rPr>
          <w:lang w:val="en-US"/>
        </w:rPr>
        <w:t xml:space="preserve">’, </w:t>
      </w:r>
      <w:r w:rsidR="00D17BE2">
        <w:rPr>
          <w:i/>
          <w:iCs/>
          <w:lang w:val="en-US"/>
        </w:rPr>
        <w:t>English Historical Review</w:t>
      </w:r>
      <w:r w:rsidR="00D17BE2">
        <w:rPr>
          <w:lang w:val="en-US"/>
        </w:rPr>
        <w:t>, Vo</w:t>
      </w:r>
      <w:r w:rsidR="000C4311">
        <w:rPr>
          <w:lang w:val="en-US"/>
        </w:rPr>
        <w:t>l</w:t>
      </w:r>
      <w:r w:rsidR="00D17BE2">
        <w:rPr>
          <w:lang w:val="en-US"/>
        </w:rPr>
        <w:t>. 12</w:t>
      </w:r>
      <w:r w:rsidR="00E41CDE">
        <w:rPr>
          <w:lang w:val="en-US"/>
        </w:rPr>
        <w:t>6</w:t>
      </w:r>
      <w:r w:rsidR="000C4311">
        <w:rPr>
          <w:lang w:val="en-US"/>
        </w:rPr>
        <w:t>, No. 519 (</w:t>
      </w:r>
      <w:r w:rsidR="00F36B5B">
        <w:rPr>
          <w:lang w:val="en-US"/>
        </w:rPr>
        <w:t>April</w:t>
      </w:r>
      <w:r w:rsidR="000C4311">
        <w:rPr>
          <w:lang w:val="en-US"/>
        </w:rPr>
        <w:t xml:space="preserve"> 2011)</w:t>
      </w:r>
      <w:r w:rsidR="00BD2CE8">
        <w:rPr>
          <w:lang w:val="en-US"/>
        </w:rPr>
        <w:t xml:space="preserve">, </w:t>
      </w:r>
      <w:r w:rsidR="00BB30EB">
        <w:rPr>
          <w:lang w:val="en-US"/>
        </w:rPr>
        <w:t>pp.</w:t>
      </w:r>
      <w:r w:rsidR="00E41CDE">
        <w:rPr>
          <w:lang w:val="en-US"/>
        </w:rPr>
        <w:t>281-318, p.</w:t>
      </w:r>
      <w:r w:rsidR="00F36B5B">
        <w:rPr>
          <w:lang w:val="en-US"/>
        </w:rPr>
        <w:t xml:space="preserve"> 316.</w:t>
      </w:r>
      <w:r w:rsidR="00BB30EB">
        <w:rPr>
          <w:lang w:val="en-US"/>
        </w:rPr>
        <w:t xml:space="preserve"> </w:t>
      </w:r>
    </w:p>
  </w:footnote>
  <w:footnote w:id="12">
    <w:p w14:paraId="59BDE937" w14:textId="3672F43F" w:rsidR="009D72A5" w:rsidRPr="009D72A5" w:rsidRDefault="009D72A5" w:rsidP="00797E83">
      <w:pPr>
        <w:pStyle w:val="FootnoteText"/>
        <w:jc w:val="both"/>
      </w:pPr>
      <w:r>
        <w:rPr>
          <w:rStyle w:val="FootnoteReference"/>
        </w:rPr>
        <w:footnoteRef/>
      </w:r>
      <w:r>
        <w:t xml:space="preserve"> </w:t>
      </w:r>
      <w:r w:rsidR="00233CD7">
        <w:t>Although the use of the word ‘flock(s)’</w:t>
      </w:r>
      <w:r w:rsidR="00CE07DE">
        <w:t xml:space="preserve"> here appears to refer to the Cistercian monks in the biblical sense</w:t>
      </w:r>
      <w:r w:rsidR="0029167E">
        <w:t xml:space="preserve"> </w:t>
      </w:r>
      <w:r w:rsidR="003B69C0">
        <w:t>(</w:t>
      </w:r>
      <w:r w:rsidR="0029167E">
        <w:t>John</w:t>
      </w:r>
      <w:r w:rsidR="003B69C0">
        <w:t xml:space="preserve"> 10:28), </w:t>
      </w:r>
      <w:r w:rsidR="00F331E1">
        <w:t xml:space="preserve">wool from the </w:t>
      </w:r>
      <w:r w:rsidR="00E12987">
        <w:t>flocks of sheep owned by the Cistercians</w:t>
      </w:r>
      <w:r w:rsidR="008B3EA5">
        <w:t xml:space="preserve">, was a considerable source of wealth, and therefore a </w:t>
      </w:r>
      <w:r w:rsidR="000B1621">
        <w:t>tempting source of revenue for John.</w:t>
      </w:r>
      <w:r w:rsidR="00F67AED">
        <w:t xml:space="preserve"> J. Burton, </w:t>
      </w:r>
      <w:r w:rsidR="00F67AED">
        <w:rPr>
          <w:i/>
          <w:iCs/>
        </w:rPr>
        <w:t>Monastic and Religious</w:t>
      </w:r>
      <w:r w:rsidR="008D3F2F">
        <w:rPr>
          <w:i/>
          <w:iCs/>
        </w:rPr>
        <w:t xml:space="preserve"> Orders in Britain </w:t>
      </w:r>
      <w:r w:rsidR="008D3F2F">
        <w:t>1000-1300,</w:t>
      </w:r>
      <w:r w:rsidR="003F37B6">
        <w:t xml:space="preserve"> (Cambridge University Press, 1994)</w:t>
      </w:r>
      <w:r w:rsidR="00172D8A">
        <w:t>,</w:t>
      </w:r>
      <w:r w:rsidR="008D3F2F">
        <w:t xml:space="preserve"> </w:t>
      </w:r>
      <w:r w:rsidR="00190B2E">
        <w:t>p. 260.</w:t>
      </w:r>
      <w:r w:rsidR="003B69C0">
        <w:t xml:space="preserve"> </w:t>
      </w:r>
    </w:p>
  </w:footnote>
  <w:footnote w:id="13">
    <w:p w14:paraId="22D8A04C" w14:textId="706F7B8F" w:rsidR="007857E8" w:rsidRPr="007857E8" w:rsidRDefault="007857E8" w:rsidP="00797E83">
      <w:pPr>
        <w:pStyle w:val="FootnoteText"/>
        <w:jc w:val="both"/>
        <w:rPr>
          <w:lang w:val="en-US"/>
        </w:rPr>
      </w:pPr>
      <w:r>
        <w:rPr>
          <w:rStyle w:val="FootnoteReference"/>
        </w:rPr>
        <w:footnoteRef/>
      </w:r>
      <w:r>
        <w:t xml:space="preserve"> </w:t>
      </w:r>
      <w:r w:rsidR="00E361F5">
        <w:rPr>
          <w:lang w:val="en-US"/>
        </w:rPr>
        <w:t xml:space="preserve">It is noticeable that Ralph of Coggeshall in his account of the meeting yet again stresses the </w:t>
      </w:r>
      <w:r w:rsidR="005B79A9">
        <w:rPr>
          <w:lang w:val="en-US"/>
        </w:rPr>
        <w:t>‘corporate’ nature of the gathering of abbots</w:t>
      </w:r>
      <w:r w:rsidR="00D63C21">
        <w:rPr>
          <w:lang w:val="en-US"/>
        </w:rPr>
        <w:t xml:space="preserve">. </w:t>
      </w:r>
      <w:r w:rsidR="00B015F4">
        <w:rPr>
          <w:lang w:val="en-US"/>
        </w:rPr>
        <w:t>J. Burton</w:t>
      </w:r>
      <w:r w:rsidR="00B15FFB">
        <w:rPr>
          <w:lang w:val="en-US"/>
        </w:rPr>
        <w:t xml:space="preserve">, </w:t>
      </w:r>
      <w:r w:rsidR="001B242E">
        <w:rPr>
          <w:lang w:val="en-US"/>
        </w:rPr>
        <w:t>‘The King and the Monks</w:t>
      </w:r>
      <w:r w:rsidR="00783E73">
        <w:rPr>
          <w:lang w:val="en-US"/>
        </w:rPr>
        <w:t>’, p. 17.</w:t>
      </w:r>
    </w:p>
  </w:footnote>
  <w:footnote w:id="14">
    <w:p w14:paraId="03BEBAE0" w14:textId="2836E6C1" w:rsidR="00DC130B" w:rsidRPr="00DC130B" w:rsidRDefault="00DC130B" w:rsidP="00797E83">
      <w:pPr>
        <w:pStyle w:val="FootnoteText"/>
        <w:jc w:val="both"/>
        <w:rPr>
          <w:lang w:val="en-US"/>
        </w:rPr>
      </w:pPr>
      <w:r>
        <w:rPr>
          <w:rStyle w:val="FootnoteReference"/>
        </w:rPr>
        <w:footnoteRef/>
      </w:r>
      <w:r>
        <w:t xml:space="preserve"> </w:t>
      </w:r>
      <w:r w:rsidR="0010440B">
        <w:t xml:space="preserve">Aside from the Archbishop’s emotional response to the </w:t>
      </w:r>
      <w:r w:rsidR="002023CA">
        <w:t xml:space="preserve">entreaties of the abbots, he may well have been swayed by </w:t>
      </w:r>
      <w:r w:rsidR="0054134F">
        <w:t xml:space="preserve">a letter presented to him by </w:t>
      </w:r>
      <w:r w:rsidR="00156F1F">
        <w:t>the Abbot of Meaux from the General Chapter</w:t>
      </w:r>
      <w:r w:rsidR="00493F94">
        <w:t xml:space="preserve"> </w:t>
      </w:r>
      <w:r w:rsidR="004D5354">
        <w:t xml:space="preserve">which stated that </w:t>
      </w:r>
      <w:r w:rsidR="00137E79">
        <w:t>“</w:t>
      </w:r>
      <w:r w:rsidR="004D5354">
        <w:t>it would be better for the English Cistercians to suffer shipwreck</w:t>
      </w:r>
      <w:r w:rsidR="00D4795E">
        <w:t xml:space="preserve"> rather than pay unjust </w:t>
      </w:r>
      <w:r w:rsidR="00337725">
        <w:t>exactions</w:t>
      </w:r>
      <w:r w:rsidR="00D4795E">
        <w:t>”</w:t>
      </w:r>
      <w:r w:rsidR="00137E79">
        <w:t xml:space="preserve">. </w:t>
      </w:r>
      <w:r w:rsidR="00137E79">
        <w:rPr>
          <w:i/>
        </w:rPr>
        <w:t>Chronica de Melsa</w:t>
      </w:r>
      <w:r w:rsidR="00C377D8">
        <w:rPr>
          <w:i/>
        </w:rPr>
        <w:t xml:space="preserve"> I, </w:t>
      </w:r>
      <w:r w:rsidR="001E6FD6">
        <w:rPr>
          <w:iCs/>
        </w:rPr>
        <w:t>p. 329 i</w:t>
      </w:r>
      <w:r w:rsidR="00852C9C">
        <w:rPr>
          <w:iCs/>
        </w:rPr>
        <w:t>n</w:t>
      </w:r>
      <w:r w:rsidR="00BD5A3A" w:rsidRPr="00BD5A3A">
        <w:rPr>
          <w:lang w:val="en-US"/>
        </w:rPr>
        <w:t xml:space="preserve"> </w:t>
      </w:r>
      <w:r w:rsidR="00BD5A3A">
        <w:rPr>
          <w:lang w:val="en-US"/>
        </w:rPr>
        <w:t>Sister James Eugene Maden, C.S.J., ‘Business Monks, Banker Monks, Bankrupt Monks</w:t>
      </w:r>
      <w:r w:rsidR="00852C9C">
        <w:rPr>
          <w:iCs/>
        </w:rPr>
        <w:t>’</w:t>
      </w:r>
      <w:r w:rsidR="00DF47E0">
        <w:rPr>
          <w:iCs/>
        </w:rPr>
        <w:t>, p. 351.</w:t>
      </w:r>
      <w:r w:rsidR="00BD5A3A">
        <w:rPr>
          <w:iCs/>
        </w:rPr>
        <w:t xml:space="preserve"> </w:t>
      </w:r>
      <w:r w:rsidR="00852C9C">
        <w:rPr>
          <w:iCs/>
        </w:rPr>
        <w:t xml:space="preserve">The </w:t>
      </w:r>
      <w:r w:rsidR="00337725">
        <w:rPr>
          <w:iCs/>
        </w:rPr>
        <w:t>General Chapter</w:t>
      </w:r>
      <w:r w:rsidR="00852C9C">
        <w:rPr>
          <w:iCs/>
        </w:rPr>
        <w:t xml:space="preserve"> </w:t>
      </w:r>
      <w:r w:rsidR="00366269">
        <w:t>thank</w:t>
      </w:r>
      <w:r w:rsidR="00337725">
        <w:t>ed</w:t>
      </w:r>
      <w:r w:rsidR="00366269">
        <w:t xml:space="preserve"> him for his continued support</w:t>
      </w:r>
      <w:r w:rsidR="005063BB">
        <w:t xml:space="preserve"> and protection</w:t>
      </w:r>
      <w:r w:rsidR="00366269">
        <w:t xml:space="preserve"> of the Order</w:t>
      </w:r>
      <w:r w:rsidR="005063BB">
        <w:t xml:space="preserve">. </w:t>
      </w:r>
      <w:r w:rsidR="00274730">
        <w:t xml:space="preserve">Buoyed by </w:t>
      </w:r>
      <w:r w:rsidR="00E302FE">
        <w:t xml:space="preserve">this show of support, the Abbots resolved </w:t>
      </w:r>
      <w:r w:rsidR="008B4675">
        <w:t>to delay meeting John</w:t>
      </w:r>
      <w:r w:rsidR="00337725">
        <w:t>.</w:t>
      </w:r>
      <w:r w:rsidR="008B4675">
        <w:t xml:space="preserve"> Ibid. p. </w:t>
      </w:r>
      <w:r w:rsidR="00B54A77">
        <w:t>18.</w:t>
      </w:r>
    </w:p>
  </w:footnote>
  <w:footnote w:id="15">
    <w:p w14:paraId="5EF5EA36" w14:textId="10855F55" w:rsidR="00014535" w:rsidRPr="00C2415E" w:rsidRDefault="00014535" w:rsidP="0006145B">
      <w:pPr>
        <w:pStyle w:val="FootnoteText"/>
        <w:jc w:val="both"/>
        <w:rPr>
          <w:lang w:val="en-US"/>
        </w:rPr>
      </w:pPr>
      <w:r>
        <w:rPr>
          <w:rStyle w:val="FootnoteReference"/>
        </w:rPr>
        <w:footnoteRef/>
      </w:r>
      <w:r>
        <w:t xml:space="preserve"> </w:t>
      </w:r>
      <w:r w:rsidR="00E41B50">
        <w:rPr>
          <w:lang w:val="en-US"/>
        </w:rPr>
        <w:t xml:space="preserve">It appears from the </w:t>
      </w:r>
      <w:r w:rsidR="00E41B50">
        <w:rPr>
          <w:i/>
          <w:iCs/>
          <w:lang w:val="en-US"/>
        </w:rPr>
        <w:t>Annale</w:t>
      </w:r>
      <w:r w:rsidR="008A66B3">
        <w:rPr>
          <w:i/>
          <w:iCs/>
          <w:lang w:val="en-US"/>
        </w:rPr>
        <w:t>s de Margam</w:t>
      </w:r>
      <w:r w:rsidR="008A66B3">
        <w:rPr>
          <w:lang w:val="en-US"/>
        </w:rPr>
        <w:t xml:space="preserve">, </w:t>
      </w:r>
      <w:r w:rsidR="00E9408A">
        <w:rPr>
          <w:lang w:val="en-US"/>
        </w:rPr>
        <w:t>(</w:t>
      </w:r>
      <w:r w:rsidR="008A66B3">
        <w:rPr>
          <w:lang w:val="en-US"/>
        </w:rPr>
        <w:t xml:space="preserve">the annals of the Cistercian Abbey of Margam </w:t>
      </w:r>
      <w:r w:rsidR="00E9408A">
        <w:rPr>
          <w:lang w:val="en-US"/>
        </w:rPr>
        <w:t>in</w:t>
      </w:r>
      <w:r w:rsidR="00561C73">
        <w:rPr>
          <w:lang w:val="en-US"/>
        </w:rPr>
        <w:t xml:space="preserve"> </w:t>
      </w:r>
      <w:r w:rsidR="008A66B3">
        <w:rPr>
          <w:lang w:val="en-US"/>
        </w:rPr>
        <w:t>Wales)</w:t>
      </w:r>
      <w:r w:rsidR="00E9408A">
        <w:rPr>
          <w:lang w:val="en-US"/>
        </w:rPr>
        <w:t>, that the abbots</w:t>
      </w:r>
      <w:r w:rsidR="00561C73">
        <w:rPr>
          <w:lang w:val="en-US"/>
        </w:rPr>
        <w:t xml:space="preserve"> need not have feared John’s </w:t>
      </w:r>
      <w:r w:rsidR="001749B0">
        <w:rPr>
          <w:lang w:val="en-US"/>
        </w:rPr>
        <w:t>anger and derision</w:t>
      </w:r>
      <w:r w:rsidR="00387703">
        <w:rPr>
          <w:lang w:val="en-US"/>
        </w:rPr>
        <w:t xml:space="preserve"> as on his knees</w:t>
      </w:r>
      <w:r w:rsidR="00754CF5">
        <w:rPr>
          <w:lang w:val="en-US"/>
        </w:rPr>
        <w:t xml:space="preserve"> he begged their forgiveness ‘</w:t>
      </w:r>
      <w:r w:rsidR="0017599F">
        <w:rPr>
          <w:lang w:val="en-US"/>
        </w:rPr>
        <w:t>pro eo quod eos vexasset’</w:t>
      </w:r>
      <w:r w:rsidR="0076746F">
        <w:rPr>
          <w:lang w:val="en-US"/>
        </w:rPr>
        <w:t xml:space="preserve">, </w:t>
      </w:r>
      <w:r w:rsidR="0076746F">
        <w:rPr>
          <w:i/>
          <w:iCs/>
          <w:lang w:val="en-US"/>
        </w:rPr>
        <w:t>Annales</w:t>
      </w:r>
      <w:r w:rsidR="00C2415E">
        <w:rPr>
          <w:i/>
          <w:iCs/>
          <w:lang w:val="en-US"/>
        </w:rPr>
        <w:t xml:space="preserve"> Monastici</w:t>
      </w:r>
      <w:r w:rsidR="00C2415E">
        <w:rPr>
          <w:lang w:val="en-US"/>
        </w:rPr>
        <w:t>, I (1864)</w:t>
      </w:r>
      <w:r w:rsidR="00675914">
        <w:rPr>
          <w:lang w:val="en-US"/>
        </w:rPr>
        <w:t>, pp. 1-40 in Janet Burton</w:t>
      </w:r>
      <w:r w:rsidR="000514D7">
        <w:rPr>
          <w:lang w:val="en-US"/>
        </w:rPr>
        <w:t>, “The King and the Monks’, p. 29.</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6E1"/>
    <w:rsid w:val="0001065E"/>
    <w:rsid w:val="00013048"/>
    <w:rsid w:val="00014535"/>
    <w:rsid w:val="00020E64"/>
    <w:rsid w:val="00021DF3"/>
    <w:rsid w:val="00025459"/>
    <w:rsid w:val="00026FDA"/>
    <w:rsid w:val="00035CF6"/>
    <w:rsid w:val="00043AE3"/>
    <w:rsid w:val="0005136E"/>
    <w:rsid w:val="000514D7"/>
    <w:rsid w:val="0005210D"/>
    <w:rsid w:val="000534EF"/>
    <w:rsid w:val="0006145B"/>
    <w:rsid w:val="000903A2"/>
    <w:rsid w:val="000A695C"/>
    <w:rsid w:val="000A79E4"/>
    <w:rsid w:val="000B1621"/>
    <w:rsid w:val="000B5A1A"/>
    <w:rsid w:val="000C0090"/>
    <w:rsid w:val="000C4311"/>
    <w:rsid w:val="000D4031"/>
    <w:rsid w:val="000E0C40"/>
    <w:rsid w:val="000E0D3D"/>
    <w:rsid w:val="000E550C"/>
    <w:rsid w:val="000E5F04"/>
    <w:rsid w:val="00101841"/>
    <w:rsid w:val="0010440B"/>
    <w:rsid w:val="001049D3"/>
    <w:rsid w:val="00110AF9"/>
    <w:rsid w:val="001124BE"/>
    <w:rsid w:val="0011271C"/>
    <w:rsid w:val="0011322B"/>
    <w:rsid w:val="00137E79"/>
    <w:rsid w:val="00156F1F"/>
    <w:rsid w:val="0016696B"/>
    <w:rsid w:val="00167B73"/>
    <w:rsid w:val="00172D8A"/>
    <w:rsid w:val="001749B0"/>
    <w:rsid w:val="0017599F"/>
    <w:rsid w:val="00190B2E"/>
    <w:rsid w:val="00192236"/>
    <w:rsid w:val="001A6D68"/>
    <w:rsid w:val="001B242E"/>
    <w:rsid w:val="001B307F"/>
    <w:rsid w:val="001B3E04"/>
    <w:rsid w:val="001D12E4"/>
    <w:rsid w:val="001E544F"/>
    <w:rsid w:val="001E6FD6"/>
    <w:rsid w:val="001F2ACA"/>
    <w:rsid w:val="002023CA"/>
    <w:rsid w:val="00205EB9"/>
    <w:rsid w:val="00220F66"/>
    <w:rsid w:val="00225C42"/>
    <w:rsid w:val="00233CD7"/>
    <w:rsid w:val="00241A62"/>
    <w:rsid w:val="00244344"/>
    <w:rsid w:val="00250320"/>
    <w:rsid w:val="00256868"/>
    <w:rsid w:val="00274730"/>
    <w:rsid w:val="0028577F"/>
    <w:rsid w:val="0029167E"/>
    <w:rsid w:val="00291B3B"/>
    <w:rsid w:val="00293445"/>
    <w:rsid w:val="002A05EF"/>
    <w:rsid w:val="002B7709"/>
    <w:rsid w:val="002D2D85"/>
    <w:rsid w:val="002E26F8"/>
    <w:rsid w:val="002F3709"/>
    <w:rsid w:val="002F737B"/>
    <w:rsid w:val="003137E5"/>
    <w:rsid w:val="00337725"/>
    <w:rsid w:val="00340A37"/>
    <w:rsid w:val="00344C16"/>
    <w:rsid w:val="003522AF"/>
    <w:rsid w:val="00356B97"/>
    <w:rsid w:val="00357BAF"/>
    <w:rsid w:val="00366269"/>
    <w:rsid w:val="00380A85"/>
    <w:rsid w:val="00385410"/>
    <w:rsid w:val="00387703"/>
    <w:rsid w:val="003A244E"/>
    <w:rsid w:val="003B69C0"/>
    <w:rsid w:val="003D1346"/>
    <w:rsid w:val="003E0E7D"/>
    <w:rsid w:val="003E1B01"/>
    <w:rsid w:val="003F3384"/>
    <w:rsid w:val="003F37B6"/>
    <w:rsid w:val="003F505A"/>
    <w:rsid w:val="00413E4B"/>
    <w:rsid w:val="00415701"/>
    <w:rsid w:val="00431DCA"/>
    <w:rsid w:val="00455289"/>
    <w:rsid w:val="00463E46"/>
    <w:rsid w:val="0047763E"/>
    <w:rsid w:val="00490823"/>
    <w:rsid w:val="00492D83"/>
    <w:rsid w:val="00493F94"/>
    <w:rsid w:val="004B2FF8"/>
    <w:rsid w:val="004C0EE3"/>
    <w:rsid w:val="004C7912"/>
    <w:rsid w:val="004D2E03"/>
    <w:rsid w:val="004D3896"/>
    <w:rsid w:val="004D428C"/>
    <w:rsid w:val="004D5354"/>
    <w:rsid w:val="004E03B1"/>
    <w:rsid w:val="004E1910"/>
    <w:rsid w:val="004F305B"/>
    <w:rsid w:val="004F63BE"/>
    <w:rsid w:val="00501D9F"/>
    <w:rsid w:val="005063BB"/>
    <w:rsid w:val="00507DC8"/>
    <w:rsid w:val="00517453"/>
    <w:rsid w:val="0052619B"/>
    <w:rsid w:val="00534514"/>
    <w:rsid w:val="0054134F"/>
    <w:rsid w:val="00541903"/>
    <w:rsid w:val="00543C74"/>
    <w:rsid w:val="005531A8"/>
    <w:rsid w:val="00561C73"/>
    <w:rsid w:val="0057079C"/>
    <w:rsid w:val="0057704C"/>
    <w:rsid w:val="005925E5"/>
    <w:rsid w:val="0059347C"/>
    <w:rsid w:val="005A27E4"/>
    <w:rsid w:val="005A36E1"/>
    <w:rsid w:val="005B28A0"/>
    <w:rsid w:val="005B4563"/>
    <w:rsid w:val="005B5E26"/>
    <w:rsid w:val="005B6F1F"/>
    <w:rsid w:val="005B79A9"/>
    <w:rsid w:val="005C1330"/>
    <w:rsid w:val="005C1CF8"/>
    <w:rsid w:val="005E08CA"/>
    <w:rsid w:val="00601A76"/>
    <w:rsid w:val="00612BAA"/>
    <w:rsid w:val="00617779"/>
    <w:rsid w:val="00625BE4"/>
    <w:rsid w:val="00625D2A"/>
    <w:rsid w:val="0063098B"/>
    <w:rsid w:val="00647ABD"/>
    <w:rsid w:val="00655182"/>
    <w:rsid w:val="00656775"/>
    <w:rsid w:val="00666CD2"/>
    <w:rsid w:val="00675914"/>
    <w:rsid w:val="0068304F"/>
    <w:rsid w:val="006922A8"/>
    <w:rsid w:val="00696D84"/>
    <w:rsid w:val="006977A0"/>
    <w:rsid w:val="006A1F2E"/>
    <w:rsid w:val="006A3011"/>
    <w:rsid w:val="006B2478"/>
    <w:rsid w:val="006C0590"/>
    <w:rsid w:val="006C277F"/>
    <w:rsid w:val="006E112F"/>
    <w:rsid w:val="006F2A75"/>
    <w:rsid w:val="006F491E"/>
    <w:rsid w:val="006F7E28"/>
    <w:rsid w:val="00715E38"/>
    <w:rsid w:val="00726BD9"/>
    <w:rsid w:val="007313FB"/>
    <w:rsid w:val="00732E55"/>
    <w:rsid w:val="0073554C"/>
    <w:rsid w:val="00745777"/>
    <w:rsid w:val="00747D55"/>
    <w:rsid w:val="00754CF5"/>
    <w:rsid w:val="0076746F"/>
    <w:rsid w:val="00772909"/>
    <w:rsid w:val="00783E73"/>
    <w:rsid w:val="007857E8"/>
    <w:rsid w:val="007905A9"/>
    <w:rsid w:val="00796226"/>
    <w:rsid w:val="00797E83"/>
    <w:rsid w:val="007B1A82"/>
    <w:rsid w:val="007B2097"/>
    <w:rsid w:val="007B7494"/>
    <w:rsid w:val="007C661F"/>
    <w:rsid w:val="007D5823"/>
    <w:rsid w:val="007D6522"/>
    <w:rsid w:val="007E7172"/>
    <w:rsid w:val="007F0E6B"/>
    <w:rsid w:val="007F7B1E"/>
    <w:rsid w:val="00807614"/>
    <w:rsid w:val="008216C1"/>
    <w:rsid w:val="008243ED"/>
    <w:rsid w:val="0084020C"/>
    <w:rsid w:val="0085186E"/>
    <w:rsid w:val="00852C9C"/>
    <w:rsid w:val="0085749A"/>
    <w:rsid w:val="00862757"/>
    <w:rsid w:val="00877226"/>
    <w:rsid w:val="008837F6"/>
    <w:rsid w:val="00883A8F"/>
    <w:rsid w:val="00887CF6"/>
    <w:rsid w:val="00891BE7"/>
    <w:rsid w:val="008924AC"/>
    <w:rsid w:val="008943CC"/>
    <w:rsid w:val="008A02A6"/>
    <w:rsid w:val="008A2CC6"/>
    <w:rsid w:val="008A3F51"/>
    <w:rsid w:val="008A66B3"/>
    <w:rsid w:val="008B2931"/>
    <w:rsid w:val="008B3EA5"/>
    <w:rsid w:val="008B4675"/>
    <w:rsid w:val="008C3A98"/>
    <w:rsid w:val="008C775C"/>
    <w:rsid w:val="008D3F2F"/>
    <w:rsid w:val="008D4F24"/>
    <w:rsid w:val="008E6483"/>
    <w:rsid w:val="008F1E4E"/>
    <w:rsid w:val="008F3FDA"/>
    <w:rsid w:val="00900C0A"/>
    <w:rsid w:val="009130DD"/>
    <w:rsid w:val="00915784"/>
    <w:rsid w:val="00917352"/>
    <w:rsid w:val="00923462"/>
    <w:rsid w:val="00924893"/>
    <w:rsid w:val="009251B7"/>
    <w:rsid w:val="00933DE7"/>
    <w:rsid w:val="009430C6"/>
    <w:rsid w:val="00970FAA"/>
    <w:rsid w:val="009935DC"/>
    <w:rsid w:val="00995F13"/>
    <w:rsid w:val="009C383E"/>
    <w:rsid w:val="009C7FD9"/>
    <w:rsid w:val="009D72A5"/>
    <w:rsid w:val="00A007F2"/>
    <w:rsid w:val="00A011B6"/>
    <w:rsid w:val="00A031F2"/>
    <w:rsid w:val="00A24E67"/>
    <w:rsid w:val="00A25469"/>
    <w:rsid w:val="00A303A4"/>
    <w:rsid w:val="00A34522"/>
    <w:rsid w:val="00A36CD2"/>
    <w:rsid w:val="00A41F94"/>
    <w:rsid w:val="00A71A9F"/>
    <w:rsid w:val="00A8251D"/>
    <w:rsid w:val="00A828F7"/>
    <w:rsid w:val="00A84D2E"/>
    <w:rsid w:val="00A85043"/>
    <w:rsid w:val="00A91FE6"/>
    <w:rsid w:val="00AA49DB"/>
    <w:rsid w:val="00AA700E"/>
    <w:rsid w:val="00AB6F60"/>
    <w:rsid w:val="00AC69CE"/>
    <w:rsid w:val="00AE62F8"/>
    <w:rsid w:val="00AE68F2"/>
    <w:rsid w:val="00AE6AF6"/>
    <w:rsid w:val="00AE71FB"/>
    <w:rsid w:val="00B015F4"/>
    <w:rsid w:val="00B04101"/>
    <w:rsid w:val="00B10EB8"/>
    <w:rsid w:val="00B1156C"/>
    <w:rsid w:val="00B15FFB"/>
    <w:rsid w:val="00B368A7"/>
    <w:rsid w:val="00B42B5A"/>
    <w:rsid w:val="00B45902"/>
    <w:rsid w:val="00B54A77"/>
    <w:rsid w:val="00B565E9"/>
    <w:rsid w:val="00B660E8"/>
    <w:rsid w:val="00B82376"/>
    <w:rsid w:val="00B830A9"/>
    <w:rsid w:val="00B92E0E"/>
    <w:rsid w:val="00B944D2"/>
    <w:rsid w:val="00BB0292"/>
    <w:rsid w:val="00BB30EB"/>
    <w:rsid w:val="00BC2D70"/>
    <w:rsid w:val="00BC30A5"/>
    <w:rsid w:val="00BD2CE8"/>
    <w:rsid w:val="00BD5A3A"/>
    <w:rsid w:val="00BD752B"/>
    <w:rsid w:val="00BE08E3"/>
    <w:rsid w:val="00BE0DF4"/>
    <w:rsid w:val="00BE6CBF"/>
    <w:rsid w:val="00BF2660"/>
    <w:rsid w:val="00C23628"/>
    <w:rsid w:val="00C2415E"/>
    <w:rsid w:val="00C273DD"/>
    <w:rsid w:val="00C3023C"/>
    <w:rsid w:val="00C377D8"/>
    <w:rsid w:val="00C406B3"/>
    <w:rsid w:val="00C4124A"/>
    <w:rsid w:val="00C52D61"/>
    <w:rsid w:val="00C71A41"/>
    <w:rsid w:val="00C76960"/>
    <w:rsid w:val="00C8540E"/>
    <w:rsid w:val="00C9389C"/>
    <w:rsid w:val="00C94ED2"/>
    <w:rsid w:val="00CC5F09"/>
    <w:rsid w:val="00CD0BCF"/>
    <w:rsid w:val="00CD2E03"/>
    <w:rsid w:val="00CE02CC"/>
    <w:rsid w:val="00CE07DE"/>
    <w:rsid w:val="00D10572"/>
    <w:rsid w:val="00D1166A"/>
    <w:rsid w:val="00D17BE2"/>
    <w:rsid w:val="00D21C1B"/>
    <w:rsid w:val="00D4795E"/>
    <w:rsid w:val="00D57226"/>
    <w:rsid w:val="00D63C21"/>
    <w:rsid w:val="00DB1BA8"/>
    <w:rsid w:val="00DC130B"/>
    <w:rsid w:val="00DC42F6"/>
    <w:rsid w:val="00DF4225"/>
    <w:rsid w:val="00DF46CB"/>
    <w:rsid w:val="00DF47E0"/>
    <w:rsid w:val="00DF7E16"/>
    <w:rsid w:val="00E04D24"/>
    <w:rsid w:val="00E12987"/>
    <w:rsid w:val="00E24ACB"/>
    <w:rsid w:val="00E302FE"/>
    <w:rsid w:val="00E361F5"/>
    <w:rsid w:val="00E40DB0"/>
    <w:rsid w:val="00E41B50"/>
    <w:rsid w:val="00E41CDE"/>
    <w:rsid w:val="00E425FF"/>
    <w:rsid w:val="00E55CE8"/>
    <w:rsid w:val="00E6222B"/>
    <w:rsid w:val="00E6534C"/>
    <w:rsid w:val="00E66730"/>
    <w:rsid w:val="00E71802"/>
    <w:rsid w:val="00E81129"/>
    <w:rsid w:val="00E93C22"/>
    <w:rsid w:val="00E9408A"/>
    <w:rsid w:val="00EA0906"/>
    <w:rsid w:val="00EA3759"/>
    <w:rsid w:val="00EC25AB"/>
    <w:rsid w:val="00ED4CD0"/>
    <w:rsid w:val="00ED4F14"/>
    <w:rsid w:val="00ED68E6"/>
    <w:rsid w:val="00EE4064"/>
    <w:rsid w:val="00EE7FD8"/>
    <w:rsid w:val="00EF323F"/>
    <w:rsid w:val="00EF5851"/>
    <w:rsid w:val="00F03205"/>
    <w:rsid w:val="00F122DE"/>
    <w:rsid w:val="00F32D34"/>
    <w:rsid w:val="00F331E1"/>
    <w:rsid w:val="00F36B5B"/>
    <w:rsid w:val="00F409EA"/>
    <w:rsid w:val="00F41CAD"/>
    <w:rsid w:val="00F4304E"/>
    <w:rsid w:val="00F51552"/>
    <w:rsid w:val="00F54B5A"/>
    <w:rsid w:val="00F56DCE"/>
    <w:rsid w:val="00F67AED"/>
    <w:rsid w:val="00F91772"/>
    <w:rsid w:val="00FA64BE"/>
    <w:rsid w:val="00FA7700"/>
    <w:rsid w:val="00FB339F"/>
    <w:rsid w:val="00FB4106"/>
    <w:rsid w:val="00FB706E"/>
    <w:rsid w:val="00FC083E"/>
    <w:rsid w:val="00FD2A8D"/>
    <w:rsid w:val="00FD439D"/>
    <w:rsid w:val="00FE0B94"/>
    <w:rsid w:val="00FE79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BB783"/>
  <w15:chartTrackingRefBased/>
  <w15:docId w15:val="{968C5EDD-D9D1-47F3-8A39-9094BFC40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36E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A36E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nhideWhenUsed/>
    <w:qFormat/>
    <w:rsid w:val="005A36E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A36E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A36E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A36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36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36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36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36E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A36E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A36E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A36E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A36E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A36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36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36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36E1"/>
    <w:rPr>
      <w:rFonts w:eastAsiaTheme="majorEastAsia" w:cstheme="majorBidi"/>
      <w:color w:val="272727" w:themeColor="text1" w:themeTint="D8"/>
    </w:rPr>
  </w:style>
  <w:style w:type="paragraph" w:styleId="Title">
    <w:name w:val="Title"/>
    <w:basedOn w:val="Normal"/>
    <w:next w:val="Normal"/>
    <w:link w:val="TitleChar"/>
    <w:uiPriority w:val="10"/>
    <w:qFormat/>
    <w:rsid w:val="005A36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36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36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36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36E1"/>
    <w:pPr>
      <w:spacing w:before="160"/>
      <w:jc w:val="center"/>
    </w:pPr>
    <w:rPr>
      <w:i/>
      <w:iCs/>
      <w:color w:val="404040" w:themeColor="text1" w:themeTint="BF"/>
    </w:rPr>
  </w:style>
  <w:style w:type="character" w:customStyle="1" w:styleId="QuoteChar">
    <w:name w:val="Quote Char"/>
    <w:basedOn w:val="DefaultParagraphFont"/>
    <w:link w:val="Quote"/>
    <w:uiPriority w:val="29"/>
    <w:rsid w:val="005A36E1"/>
    <w:rPr>
      <w:i/>
      <w:iCs/>
      <w:color w:val="404040" w:themeColor="text1" w:themeTint="BF"/>
    </w:rPr>
  </w:style>
  <w:style w:type="paragraph" w:styleId="ListParagraph">
    <w:name w:val="List Paragraph"/>
    <w:basedOn w:val="Normal"/>
    <w:uiPriority w:val="34"/>
    <w:qFormat/>
    <w:rsid w:val="005A36E1"/>
    <w:pPr>
      <w:ind w:left="720"/>
      <w:contextualSpacing/>
    </w:pPr>
  </w:style>
  <w:style w:type="character" w:styleId="IntenseEmphasis">
    <w:name w:val="Intense Emphasis"/>
    <w:basedOn w:val="DefaultParagraphFont"/>
    <w:uiPriority w:val="21"/>
    <w:qFormat/>
    <w:rsid w:val="005A36E1"/>
    <w:rPr>
      <w:i/>
      <w:iCs/>
      <w:color w:val="2F5496" w:themeColor="accent1" w:themeShade="BF"/>
    </w:rPr>
  </w:style>
  <w:style w:type="paragraph" w:styleId="IntenseQuote">
    <w:name w:val="Intense Quote"/>
    <w:basedOn w:val="Normal"/>
    <w:next w:val="Normal"/>
    <w:link w:val="IntenseQuoteChar"/>
    <w:uiPriority w:val="30"/>
    <w:qFormat/>
    <w:rsid w:val="005A36E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A36E1"/>
    <w:rPr>
      <w:i/>
      <w:iCs/>
      <w:color w:val="2F5496" w:themeColor="accent1" w:themeShade="BF"/>
    </w:rPr>
  </w:style>
  <w:style w:type="character" w:styleId="IntenseReference">
    <w:name w:val="Intense Reference"/>
    <w:basedOn w:val="DefaultParagraphFont"/>
    <w:uiPriority w:val="32"/>
    <w:qFormat/>
    <w:rsid w:val="005A36E1"/>
    <w:rPr>
      <w:b/>
      <w:bCs/>
      <w:smallCaps/>
      <w:color w:val="2F5496" w:themeColor="accent1" w:themeShade="BF"/>
      <w:spacing w:val="5"/>
    </w:rPr>
  </w:style>
  <w:style w:type="paragraph" w:styleId="FootnoteText">
    <w:name w:val="footnote text"/>
    <w:basedOn w:val="Normal"/>
    <w:link w:val="FootnoteTextChar"/>
    <w:uiPriority w:val="99"/>
    <w:semiHidden/>
    <w:unhideWhenUsed/>
    <w:rsid w:val="00501D9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01D9F"/>
    <w:rPr>
      <w:sz w:val="20"/>
      <w:szCs w:val="20"/>
    </w:rPr>
  </w:style>
  <w:style w:type="character" w:styleId="FootnoteReference">
    <w:name w:val="footnote reference"/>
    <w:basedOn w:val="DefaultParagraphFont"/>
    <w:uiPriority w:val="99"/>
    <w:semiHidden/>
    <w:unhideWhenUsed/>
    <w:rsid w:val="00501D9F"/>
    <w:rPr>
      <w:vertAlign w:val="superscript"/>
    </w:rPr>
  </w:style>
  <w:style w:type="paragraph" w:styleId="Header">
    <w:name w:val="header"/>
    <w:basedOn w:val="Normal"/>
    <w:link w:val="HeaderChar"/>
    <w:uiPriority w:val="99"/>
    <w:unhideWhenUsed/>
    <w:rsid w:val="006309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098B"/>
  </w:style>
  <w:style w:type="paragraph" w:styleId="Footer">
    <w:name w:val="footer"/>
    <w:basedOn w:val="Normal"/>
    <w:link w:val="FooterChar"/>
    <w:uiPriority w:val="99"/>
    <w:unhideWhenUsed/>
    <w:rsid w:val="006309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098B"/>
  </w:style>
  <w:style w:type="character" w:styleId="Hyperlink">
    <w:name w:val="Hyperlink"/>
    <w:basedOn w:val="DefaultParagraphFont"/>
    <w:uiPriority w:val="99"/>
    <w:unhideWhenUsed/>
    <w:rsid w:val="00534514"/>
    <w:rPr>
      <w:color w:val="0563C1" w:themeColor="hyperlink"/>
      <w:u w:val="single"/>
    </w:rPr>
  </w:style>
  <w:style w:type="character" w:styleId="UnresolvedMention">
    <w:name w:val="Unresolved Mention"/>
    <w:basedOn w:val="DefaultParagraphFont"/>
    <w:uiPriority w:val="99"/>
    <w:semiHidden/>
    <w:unhideWhenUsed/>
    <w:rsid w:val="005345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zoboko.com/text/5p46plmr/seals-and-their-context-in-the-middle-ages/15"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321AED-E7C5-4334-8479-99E287989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7</Pages>
  <Words>1200</Words>
  <Characters>6844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PAPADOPOULOS</dc:creator>
  <cp:keywords/>
  <dc:description/>
  <cp:lastModifiedBy>ELIZABETH PAPADOPOULOS</cp:lastModifiedBy>
  <cp:revision>81</cp:revision>
  <dcterms:created xsi:type="dcterms:W3CDTF">2025-12-09T10:20:00Z</dcterms:created>
  <dcterms:modified xsi:type="dcterms:W3CDTF">2025-12-09T15:29:00Z</dcterms:modified>
</cp:coreProperties>
</file>