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10EDCB94">
      <w:bookmarkStart w:name="_GoBack" w:id="0"/>
      <w:bookmarkEnd w:id="0"/>
      <w:r w:rsidR="281D0488">
        <w:rPr/>
        <w:t xml:space="preserve">Daniel </w:t>
      </w:r>
      <w:r w:rsidR="281D0488">
        <w:rPr/>
        <w:t>Jeremy</w:t>
      </w:r>
      <w:r w:rsidR="281D0488">
        <w:rPr/>
        <w:t xml:space="preserve"> </w:t>
      </w:r>
    </w:p>
    <w:p w:rsidR="281D0488" w:rsidP="281D0488" w:rsidRDefault="281D0488" w14:paraId="43923D10" w14:textId="682D4525">
      <w:pPr>
        <w:pStyle w:val="Normal"/>
      </w:pPr>
      <w:r w:rsidR="281D0488">
        <w:rPr/>
        <w:t>2104360</w:t>
      </w:r>
    </w:p>
    <w:p w:rsidR="281D0488" w:rsidP="281D0488" w:rsidRDefault="281D0488" w14:paraId="4F474CA6" w14:textId="5C785EBD">
      <w:pPr>
        <w:pStyle w:val="Normal"/>
      </w:pPr>
      <w:r w:rsidR="281D0488">
        <w:rPr/>
        <w:t xml:space="preserve">Criminal Law Assignment 2 </w:t>
      </w:r>
    </w:p>
    <w:p w:rsidR="281D0488" w:rsidP="281D0488" w:rsidRDefault="281D0488" w14:paraId="12E7BB01" w14:textId="448A3BF8">
      <w:pPr>
        <w:pStyle w:val="Normal"/>
      </w:pPr>
    </w:p>
    <w:p w:rsidR="281D0488" w:rsidP="281D0488" w:rsidRDefault="281D0488" w14:paraId="265E5E4C" w14:textId="72428BC2">
      <w:pPr>
        <w:pStyle w:val="Normal"/>
      </w:pPr>
      <w:r w:rsidR="281D0488">
        <w:rPr/>
        <w:t>Firstly, Christine willingly let her friend Paula into her house due to her having a party. Due to this Paula cannot be charged as a trespasser. When Paula entered the house, she didn’t have the mens rea of committing burglary, this means she can only be charged with theft when she later goes onto steal Christine's possessions. Later on, at the party Christine was showing her guests around her home and showed off her gifts her husband had recently purchased for her. When Paula saw the items, she became jealous and then planned to steal the items when the room was empty. Knowing this we can see that Paula had the mens rea here of committing theft. There are 3 types of Mens rea, Paula would fit into category one. This is direct intention mens rea. She then went on to hide Christine's bag she had been given for her birthday into her coat. She then left the building and stashed the bag under her car so she wasn’t seen with the bag. From this we can gather that Paula had the actus reus by going through with stealing Christine's possessions. Due to this Paula can be charged with theft due to her having the intention of permanently depriving Christine of her item.to ensure that Paula is convicted of theft Christine must be able to prove that the act of theft took place in her property. Christine should have no problem with proving this aspect of theft due to Paula being in her home. Paula has no defence for her actions and will be charged with theft. Once the party had ended Paula proceeded to pick the bag up from under her car, hide it in the footwell of the car and drive off. Due to these extended factors, she has no excuse for her actions and will be charged.</w:t>
      </w:r>
    </w:p>
    <w:p w:rsidR="281D0488" w:rsidP="281D0488" w:rsidRDefault="281D0488" w14:paraId="34D4078D" w14:textId="658FC86C">
      <w:pPr>
        <w:pStyle w:val="Normal"/>
      </w:pPr>
      <w:r w:rsidR="281D0488">
        <w:rPr/>
        <w:t xml:space="preserve">While this was taking place at the party Harriet and Leon were getting to know each other as they had only recently been introduced at this party. When Harriet went to the toilet Leon proceeded to spike her drink with vodka. Due to Leon and Harriet not knowing much about each other Leon failed to know that Harriet was allergic to alcohol. Due to Leons actions Harriet began to Hallucinate. In this state she believed that Christines house was on fire. This caused Harriet to try get out the house as quickly as possible. While trying to escape the house she broke multiple panes of glass in the bi fold doors. Harriet could be charged with basic criminal damage. For basic criminal damage to be used in court they must prove that a person without lawful excuse destroys property belonging to another. Bit due to her being spiked at the time of this happening Harriet didn’t have full control of her actions. It would be very hard to charge Harriet with basic criminal damage due to her not having a mens rea. Harriet can use the automatism defence in court. For her to have a successful automatism claim she must prove that she had an external factor that cause involuntary conduct to the defendant. She must then prove that she is not at fault for these actions. On the other hand, the prosecution will be trying to prove that Harriet had control of her actions due to her still having control of her body. Due to this a medical expert will be called in to help the jury decide whether automatism can be used as a defence. If Harriet can prove that she was affected by automatism then she will be fully acquitted of the crime she has been accused of. In the case of R V Falconer, the plea of automatism was used successfully. In this case Falconer was in a state of dissociation due to a series of psychological blows, these blows were taking place at the same time of the crimes being committed. The defendant was subjected to verbal and sexual abuse. Due to the defendant being in a state of disassociation at the time the defendant didn’t remember the acts that had been committed (Lisa Riley). We can link this to the case involving Harriet due to her being in a state of disassociation. The difference between the cases is that Harriets actions were much more justifiable than in the case involving R V Falconer.  </w:t>
      </w:r>
    </w:p>
    <w:p w:rsidR="281D0488" w:rsidP="281D0488" w:rsidRDefault="281D0488" w14:paraId="1A5E2256" w14:textId="2446827B">
      <w:pPr>
        <w:pStyle w:val="Normal"/>
      </w:pPr>
      <w:r w:rsidR="281D0488">
        <w:rPr/>
        <w:t xml:space="preserve">Harriet could also use the defence of involuntary intoxication as she didn’t know that her drink had been spiked with vodka. This defence has been used before in the case of R V Kingston in 1994. In this case the defendant was drugged by a friend and encouraged to preform sexual acts on a minor. In this case the defence was denied. This was due to the fact that yes, the defendant had been given drugs but the drugs wouldn't have caused the defendant to act that way (J R spencer 2009). We can link this case to the case with Harriet due to her being drugged by another member of the party. The court will look into whether her condition with alcohol being a justified reaction to being spiked. Again, a medical expert will be called in to see if the reaction was justified. </w:t>
      </w:r>
    </w:p>
    <w:p w:rsidR="281D0488" w:rsidP="281D0488" w:rsidRDefault="281D0488" w14:paraId="6F7E8834" w14:textId="6AB02BDC">
      <w:pPr>
        <w:pStyle w:val="Normal"/>
      </w:pPr>
      <w:r w:rsidR="281D0488">
        <w:rPr/>
        <w:t>It could be argued in court that Harriet acted recklessly in the circumstances even due to her being spiked. For it to be proven that Harriet has acted recklessly it must be proven that she acted recklessly and was fully aware of the risks she put the other members of the party in. They must also then prove that she acted on these risks. In the case of R v G and another the two defendants went camping against their parents will. They set fire to newspapers in the back of a shop that later spread and caused over one million pounds of damage. They didn’t intend to burn the burn the building down but to any reasonable person the risk would have been obvious. Due to this case, there was an objective test put into place to help to identify whether the defendant can be charged of recklessness. Harriet could use the same defence of automatism and unintentional intoxication as mentioned above.</w:t>
      </w:r>
    </w:p>
    <w:p w:rsidR="281D0488" w:rsidP="281D0488" w:rsidRDefault="281D0488" w14:paraId="48B0B88F" w14:textId="0693A6BC">
      <w:pPr>
        <w:pStyle w:val="Normal"/>
      </w:pPr>
      <w:r w:rsidR="281D0488">
        <w:rPr/>
        <w:t xml:space="preserve">After Harriet had broken the glass panes, she went on to punch another member of the party. This led to Daniel (the guest Harriet punched) having a broken cheek bone. Harriet could be charged for battery for committing this act on Daniel. For battery to be passed in court the four elements of battery must be proven. These would be that, there was some conduct on part of the defendant. The victim suffered unlawful personal violence. The damage done to the victim was inflicted by the defendant's conduct. Finally, that the defendant intended or was reckless to causing the unlawful personal violence. For it to be proven that this was Harriet's aim we must be able to prove the actus reus of battery. For Harriet not to be charged with battery a there would have to be advice from a medical expert to see if her actions would be justifiable for the </w:t>
      </w:r>
      <w:r w:rsidR="281D0488">
        <w:rPr/>
        <w:t>state,</w:t>
      </w:r>
      <w:r w:rsidR="281D0488">
        <w:rPr/>
        <w:t xml:space="preserve"> she was left in due to Leons actions. </w:t>
      </w:r>
    </w:p>
    <w:p w:rsidR="281D0488" w:rsidP="281D0488" w:rsidRDefault="281D0488" w14:paraId="114E3D08" w14:textId="0BE97DB5">
      <w:pPr>
        <w:pStyle w:val="Normal"/>
      </w:pPr>
      <w:r w:rsidR="281D0488">
        <w:rPr/>
        <w:t xml:space="preserve">An example of battery being used in court could be in the case of DPP v K 1990. In this case a 15-year-old boy took acid from a science lesson and placed the acid into a hand dryer in the school toilets. Another member of the school then used the dryer. Due to the defendants actions the victim that used the hand dryer was left with permanent scars. In this case battery was charged to the defendant. In the case including Harriet it was Leon that placed the alcohol into harriets drink meaning that he could be charged with being reckless by committing the act that he did. </w:t>
      </w:r>
    </w:p>
    <w:p w:rsidR="281D0488" w:rsidP="281D0488" w:rsidRDefault="281D0488" w14:paraId="197A2208" w14:textId="50D604BC">
      <w:pPr>
        <w:pStyle w:val="Normal"/>
      </w:pPr>
      <w:r w:rsidR="281D0488">
        <w:rPr/>
        <w:t xml:space="preserve">Another example of a battery case is the case of </w:t>
      </w:r>
      <w:bookmarkStart w:name="_Int_H3PBN2eQ" w:id="1358796919"/>
      <w:r w:rsidR="281D0488">
        <w:rPr/>
        <w:t>Logdon</w:t>
      </w:r>
      <w:bookmarkEnd w:id="1358796919"/>
      <w:r w:rsidR="281D0488">
        <w:rPr/>
        <w:t xml:space="preserve"> v DPP. In this case the defendant as a joke aimed a gun at the victim. The victim who was justifiably terrified until told it was a joke weapon. The court ruled in this case that the victim was faced with immediate physical violence and that the defendant had been reckless to commit this act. This case can be linked to Harriets case due to Leon being reckless to spike her drink causing Harriet to attack </w:t>
      </w:r>
      <w:r w:rsidR="281D0488">
        <w:rPr/>
        <w:t>Daniel</w:t>
      </w:r>
      <w:r w:rsidR="281D0488">
        <w:rPr/>
        <w:t xml:space="preserve"> in a state of panic. </w:t>
      </w:r>
    </w:p>
    <w:p w:rsidR="281D0488" w:rsidP="281D0488" w:rsidRDefault="281D0488" w14:paraId="7EE1E1FA" w14:textId="2799F801">
      <w:pPr>
        <w:pStyle w:val="Normal"/>
      </w:pPr>
    </w:p>
    <w:p w:rsidR="281D0488" w:rsidP="281D0488" w:rsidRDefault="281D0488" w14:paraId="333CD802" w14:textId="51192DFD">
      <w:pPr>
        <w:pStyle w:val="Normal"/>
      </w:pPr>
    </w:p>
    <w:p w:rsidR="281D0488" w:rsidP="281D0488" w:rsidRDefault="281D0488" w14:paraId="5904BCED" w14:textId="42D36144">
      <w:pPr>
        <w:pStyle w:val="Normal"/>
      </w:pPr>
    </w:p>
    <w:p w:rsidR="281D0488" w:rsidP="281D0488" w:rsidRDefault="281D0488" w14:paraId="40647B93" w14:textId="471534E3">
      <w:pPr>
        <w:pStyle w:val="Normal"/>
      </w:pPr>
    </w:p>
    <w:p w:rsidR="281D0488" w:rsidP="281D0488" w:rsidRDefault="281D0488" w14:paraId="25C0EA55" w14:textId="619312D8">
      <w:pPr>
        <w:pStyle w:val="Normal"/>
      </w:pPr>
    </w:p>
    <w:p w:rsidR="281D0488" w:rsidP="281D0488" w:rsidRDefault="281D0488" w14:paraId="2DAAF0BF" w14:textId="33DB849E">
      <w:pPr>
        <w:pStyle w:val="Normal"/>
        <w:rPr>
          <w:rFonts w:ascii="Verdana" w:hAnsi="Verdana" w:eastAsia="Verdana" w:cs="Verdana"/>
          <w:noProof w:val="0"/>
          <w:color w:val="000000" w:themeColor="text1" w:themeTint="FF" w:themeShade="FF"/>
          <w:sz w:val="19"/>
          <w:szCs w:val="19"/>
          <w:lang w:val="en-GB"/>
        </w:rPr>
      </w:pPr>
      <w:r w:rsidRPr="281D0488" w:rsidR="281D0488">
        <w:rPr>
          <w:rFonts w:ascii="Verdana" w:hAnsi="Verdana" w:eastAsia="Verdana" w:cs="Verdana"/>
          <w:noProof w:val="0"/>
          <w:color w:val="000000" w:themeColor="text1" w:themeTint="FF" w:themeShade="FF"/>
          <w:sz w:val="19"/>
          <w:szCs w:val="19"/>
          <w:lang w:val="en-GB"/>
        </w:rPr>
        <w:t xml:space="preserve">J R </w:t>
      </w:r>
      <w:r w:rsidRPr="281D0488" w:rsidR="281D0488">
        <w:rPr>
          <w:rFonts w:ascii="Verdana" w:hAnsi="Verdana" w:eastAsia="Verdana" w:cs="Verdana"/>
          <w:noProof w:val="0"/>
          <w:color w:val="000000" w:themeColor="text1" w:themeTint="FF" w:themeShade="FF"/>
          <w:sz w:val="19"/>
          <w:szCs w:val="19"/>
          <w:lang w:val="en-GB"/>
        </w:rPr>
        <w:t>Spencer.</w:t>
      </w:r>
      <w:r w:rsidRPr="281D0488" w:rsidR="281D0488">
        <w:rPr>
          <w:rFonts w:ascii="Verdana" w:hAnsi="Verdana" w:eastAsia="Verdana" w:cs="Verdana"/>
          <w:noProof w:val="0"/>
          <w:color w:val="000000" w:themeColor="text1" w:themeTint="FF" w:themeShade="FF"/>
          <w:sz w:val="19"/>
          <w:szCs w:val="19"/>
          <w:lang w:val="en-GB"/>
        </w:rPr>
        <w:t xml:space="preserve"> (2009). </w:t>
      </w:r>
      <w:r w:rsidRPr="281D0488" w:rsidR="281D0488">
        <w:rPr>
          <w:rFonts w:ascii="Verdana" w:hAnsi="Verdana" w:eastAsia="Verdana" w:cs="Verdana"/>
          <w:i w:val="1"/>
          <w:iCs w:val="1"/>
          <w:noProof w:val="0"/>
          <w:color w:val="000000" w:themeColor="text1" w:themeTint="FF" w:themeShade="FF"/>
          <w:sz w:val="19"/>
          <w:szCs w:val="19"/>
          <w:lang w:val="en-GB"/>
        </w:rPr>
        <w:t>Involuntary Intoxication as a Defence.</w:t>
      </w:r>
      <w:r w:rsidRPr="281D0488" w:rsidR="281D0488">
        <w:rPr>
          <w:rFonts w:ascii="Verdana" w:hAnsi="Verdana" w:eastAsia="Verdana" w:cs="Verdana"/>
          <w:noProof w:val="0"/>
          <w:color w:val="000000" w:themeColor="text1" w:themeTint="FF" w:themeShade="FF"/>
          <w:sz w:val="19"/>
          <w:szCs w:val="19"/>
          <w:lang w:val="en-GB"/>
        </w:rPr>
        <w:t xml:space="preserve"> Available: https://www.cambridge.org/core/journals/cambridge-law-journal/article/abs/involuntary-intoxication-as-a-defence/1DC1D8A9E70D2370D7B7529D8940E562. Last accessed 13th Dec 2021.</w:t>
      </w:r>
    </w:p>
    <w:p w:rsidR="281D0488" w:rsidP="281D0488" w:rsidRDefault="281D0488" w14:paraId="3E7FD434" w14:textId="27BC9903">
      <w:pPr>
        <w:pStyle w:val="Normal"/>
        <w:rPr>
          <w:rFonts w:ascii="Verdana" w:hAnsi="Verdana" w:eastAsia="Verdana" w:cs="Verdana"/>
          <w:noProof w:val="0"/>
          <w:color w:val="000000" w:themeColor="text1" w:themeTint="FF" w:themeShade="FF"/>
          <w:sz w:val="19"/>
          <w:szCs w:val="19"/>
          <w:lang w:val="en-GB"/>
        </w:rPr>
      </w:pPr>
    </w:p>
    <w:p w:rsidR="281D0488" w:rsidP="281D0488" w:rsidRDefault="281D0488" w14:paraId="7F595133" w14:textId="6F2391E9">
      <w:pPr>
        <w:pStyle w:val="Normal"/>
        <w:rPr>
          <w:rFonts w:ascii="Verdana" w:hAnsi="Verdana" w:eastAsia="Verdana" w:cs="Verdana"/>
          <w:noProof w:val="0"/>
          <w:color w:val="000000" w:themeColor="text1" w:themeTint="FF" w:themeShade="FF"/>
          <w:sz w:val="19"/>
          <w:szCs w:val="19"/>
          <w:lang w:val="en-GB"/>
        </w:rPr>
      </w:pPr>
      <w:r w:rsidRPr="281D0488" w:rsidR="281D0488">
        <w:rPr>
          <w:rFonts w:ascii="Verdana" w:hAnsi="Verdana" w:eastAsia="Verdana" w:cs="Verdana"/>
          <w:noProof w:val="0"/>
          <w:color w:val="000000" w:themeColor="text1" w:themeTint="FF" w:themeShade="FF"/>
          <w:sz w:val="19"/>
          <w:szCs w:val="19"/>
          <w:lang w:val="en-GB"/>
        </w:rPr>
        <w:t xml:space="preserve">Kate Harrison and Berni Bell. (). </w:t>
      </w:r>
      <w:r w:rsidRPr="281D0488" w:rsidR="281D0488">
        <w:rPr>
          <w:rFonts w:ascii="Verdana" w:hAnsi="Verdana" w:eastAsia="Verdana" w:cs="Verdana"/>
          <w:i w:val="1"/>
          <w:iCs w:val="1"/>
          <w:noProof w:val="0"/>
          <w:color w:val="000000" w:themeColor="text1" w:themeTint="FF" w:themeShade="FF"/>
          <w:sz w:val="19"/>
          <w:szCs w:val="19"/>
          <w:lang w:val="en-GB"/>
        </w:rPr>
        <w:t>Assaulting our common sense, the impact of DPP v K.</w:t>
      </w:r>
      <w:r w:rsidRPr="281D0488" w:rsidR="281D0488">
        <w:rPr>
          <w:rFonts w:ascii="Verdana" w:hAnsi="Verdana" w:eastAsia="Verdana" w:cs="Verdana"/>
          <w:noProof w:val="0"/>
          <w:color w:val="000000" w:themeColor="text1" w:themeTint="FF" w:themeShade="FF"/>
          <w:sz w:val="19"/>
          <w:szCs w:val="19"/>
          <w:lang w:val="en-GB"/>
        </w:rPr>
        <w:t xml:space="preserve"> Available: https://www.jstor.org/stable/1096741. Last accessed 15th Dec 2021.</w:t>
      </w:r>
    </w:p>
    <w:p w:rsidR="281D0488" w:rsidP="281D0488" w:rsidRDefault="281D0488" w14:paraId="1AD464F6" w14:textId="3C7545DB">
      <w:pPr>
        <w:pStyle w:val="Normal"/>
        <w:rPr>
          <w:rFonts w:ascii="Verdana" w:hAnsi="Verdana" w:eastAsia="Verdana" w:cs="Verdana"/>
          <w:noProof w:val="0"/>
          <w:color w:val="000000" w:themeColor="text1" w:themeTint="FF" w:themeShade="FF"/>
          <w:sz w:val="19"/>
          <w:szCs w:val="19"/>
          <w:lang w:val="en-GB"/>
        </w:rPr>
      </w:pPr>
      <w:r w:rsidRPr="281D0488" w:rsidR="281D0488">
        <w:rPr>
          <w:rFonts w:ascii="Verdana" w:hAnsi="Verdana" w:eastAsia="Verdana" w:cs="Verdana"/>
          <w:noProof w:val="0"/>
          <w:color w:val="000000" w:themeColor="text1" w:themeTint="FF" w:themeShade="FF"/>
          <w:sz w:val="19"/>
          <w:szCs w:val="19"/>
          <w:lang w:val="en-GB"/>
        </w:rPr>
        <w:t xml:space="preserve">Lisa Riley. (). </w:t>
      </w:r>
      <w:r w:rsidRPr="281D0488" w:rsidR="281D0488">
        <w:rPr>
          <w:rFonts w:ascii="Verdana" w:hAnsi="Verdana" w:eastAsia="Verdana" w:cs="Verdana"/>
          <w:i w:val="1"/>
          <w:iCs w:val="1"/>
          <w:noProof w:val="0"/>
          <w:color w:val="000000" w:themeColor="text1" w:themeTint="FF" w:themeShade="FF"/>
          <w:sz w:val="19"/>
          <w:szCs w:val="19"/>
          <w:lang w:val="en-GB"/>
        </w:rPr>
        <w:t>The Defence of Automatism.</w:t>
      </w:r>
      <w:r w:rsidRPr="281D0488" w:rsidR="281D0488">
        <w:rPr>
          <w:rFonts w:ascii="Verdana" w:hAnsi="Verdana" w:eastAsia="Verdana" w:cs="Verdana"/>
          <w:noProof w:val="0"/>
          <w:color w:val="000000" w:themeColor="text1" w:themeTint="FF" w:themeShade="FF"/>
          <w:sz w:val="19"/>
          <w:szCs w:val="19"/>
          <w:lang w:val="en-GB"/>
        </w:rPr>
        <w:t xml:space="preserve"> Available: https://www.gotocourt.com.au/criminal-law/wa/defence-of-automatism/. Last accessed 15th Dec 2021.</w:t>
      </w:r>
    </w:p>
    <w:p w:rsidR="281D0488" w:rsidP="281D0488" w:rsidRDefault="281D0488" w14:paraId="13913E97" w14:textId="6C75E888">
      <w:pPr>
        <w:pStyle w:val="Normal"/>
        <w:rPr>
          <w:rFonts w:ascii="Verdana" w:hAnsi="Verdana" w:eastAsia="Verdana" w:cs="Verdana"/>
          <w:noProof w:val="0"/>
          <w:color w:val="000000" w:themeColor="text1" w:themeTint="FF" w:themeShade="FF"/>
          <w:sz w:val="19"/>
          <w:szCs w:val="19"/>
          <w:lang w:val="en-GB"/>
        </w:rPr>
      </w:pPr>
      <w:r w:rsidRPr="281D0488" w:rsidR="281D0488">
        <w:rPr>
          <w:rFonts w:ascii="Verdana" w:hAnsi="Verdana" w:eastAsia="Verdana" w:cs="Verdana"/>
          <w:noProof w:val="0"/>
          <w:color w:val="000000" w:themeColor="text1" w:themeTint="FF" w:themeShade="FF"/>
          <w:sz w:val="19"/>
          <w:szCs w:val="19"/>
          <w:lang w:val="en-GB"/>
        </w:rPr>
        <w:t xml:space="preserve">IPSA LOQUITUR. (). </w:t>
      </w:r>
      <w:r w:rsidRPr="281D0488" w:rsidR="281D0488">
        <w:rPr>
          <w:rFonts w:ascii="Verdana" w:hAnsi="Verdana" w:eastAsia="Verdana" w:cs="Verdana"/>
          <w:i w:val="1"/>
          <w:iCs w:val="1"/>
          <w:noProof w:val="0"/>
          <w:color w:val="000000" w:themeColor="text1" w:themeTint="FF" w:themeShade="FF"/>
          <w:sz w:val="19"/>
          <w:szCs w:val="19"/>
          <w:lang w:val="en-GB"/>
        </w:rPr>
        <w:t>Logdon v DPP.</w:t>
      </w:r>
      <w:r w:rsidRPr="281D0488" w:rsidR="281D0488">
        <w:rPr>
          <w:rFonts w:ascii="Verdana" w:hAnsi="Verdana" w:eastAsia="Verdana" w:cs="Verdana"/>
          <w:noProof w:val="0"/>
          <w:color w:val="000000" w:themeColor="text1" w:themeTint="FF" w:themeShade="FF"/>
          <w:sz w:val="19"/>
          <w:szCs w:val="19"/>
          <w:lang w:val="en-GB"/>
        </w:rPr>
        <w:t xml:space="preserve"> Available: https://ipsaloquitur.com/criminal-law/cases/logdon-v-dpp/. Last accessed 15th Dec 2021.</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Qz7MaG7DxFYsXk" int2:id="LKJrhamy">
      <int2:state int2:type="LegacyProofing" int2:value="Rejected"/>
    </int2:textHash>
    <int2:textHash int2:hashCode="ypnpCXlvsG9C54" int2:id="PpPsUxsL">
      <int2:state int2:type="LegacyProofing" int2:value="Rejected"/>
    </int2:textHash>
    <int2:bookmark int2:bookmarkName="_Int_H3PBN2eQ" int2:invalidationBookmarkName="" int2:hashCode="Nwc/CQgmYmcC9Q" int2:id="XQpAVLU8">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4509BD7"/>
    <w:rsid w:val="281D0488"/>
    <w:rsid w:val="34509B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F1964"/>
  <w15:chartTrackingRefBased/>
  <w15:docId w15:val="{9BC7D28F-C42C-47DF-A132-BD87529DA14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89651890c74f4aa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Dan Jeremy</dc:creator>
  <keywords/>
  <dc:description/>
  <lastModifiedBy>Dan Jeremy</lastModifiedBy>
  <revision>2</revision>
  <dcterms:created xsi:type="dcterms:W3CDTF">2021-12-23T02:20:16.2737549Z</dcterms:created>
  <dcterms:modified xsi:type="dcterms:W3CDTF">2021-12-23T18:09:49.7229560Z</dcterms:modified>
</coreProperties>
</file>