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A33DD9" w14:textId="77777777" w:rsidR="00CD6E75" w:rsidRPr="00CA4E46" w:rsidRDefault="00CD6E75" w:rsidP="00B6759B">
      <w:pPr>
        <w:pStyle w:val="Normal1"/>
        <w:spacing w:line="360" w:lineRule="auto"/>
        <w:rPr>
          <w:rFonts w:eastAsia="Times New Roman"/>
          <w:b/>
          <w:sz w:val="32"/>
          <w:szCs w:val="32"/>
        </w:rPr>
      </w:pPr>
    </w:p>
    <w:tbl>
      <w:tblPr>
        <w:tblStyle w:val="Table1"/>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CD6E75" w:rsidRPr="00CA4E46" w14:paraId="79FCDE4C" w14:textId="77777777">
        <w:trPr>
          <w:jc w:val="center"/>
        </w:trPr>
        <w:tc>
          <w:tcPr>
            <w:tcW w:w="9360" w:type="dxa"/>
            <w:shd w:val="clear" w:color="auto" w:fill="B7B7B7"/>
            <w:tcMar>
              <w:top w:w="100" w:type="dxa"/>
              <w:left w:w="100" w:type="dxa"/>
              <w:bottom w:w="100" w:type="dxa"/>
              <w:right w:w="100" w:type="dxa"/>
            </w:tcMar>
          </w:tcPr>
          <w:p w14:paraId="1E889D07" w14:textId="77777777" w:rsidR="00CD6E75" w:rsidRPr="00CA4E46" w:rsidRDefault="00CA4E46" w:rsidP="00CA4E46">
            <w:pPr>
              <w:pStyle w:val="Normal1"/>
              <w:spacing w:before="120" w:after="120" w:line="360" w:lineRule="auto"/>
              <w:jc w:val="center"/>
              <w:rPr>
                <w:rFonts w:eastAsia="Times New Roman"/>
                <w:b/>
                <w:sz w:val="40"/>
                <w:szCs w:val="40"/>
              </w:rPr>
            </w:pPr>
            <w:r w:rsidRPr="00CA4E46">
              <w:rPr>
                <w:rFonts w:eastAsia="Times New Roman"/>
                <w:b/>
                <w:sz w:val="40"/>
                <w:szCs w:val="40"/>
              </w:rPr>
              <w:t xml:space="preserve">LEVEL 7 ASSESSMENT </w:t>
            </w:r>
          </w:p>
        </w:tc>
      </w:tr>
    </w:tbl>
    <w:p w14:paraId="74E8F1C2" w14:textId="77777777" w:rsidR="00CD6E75" w:rsidRPr="00CA4E46" w:rsidRDefault="00CD6E75" w:rsidP="00CA4E46">
      <w:pPr>
        <w:pStyle w:val="Normal1"/>
        <w:spacing w:line="360" w:lineRule="auto"/>
        <w:rPr>
          <w:rFonts w:eastAsia="Times New Roman"/>
          <w:b/>
          <w:sz w:val="34"/>
          <w:szCs w:val="34"/>
        </w:rPr>
      </w:pPr>
    </w:p>
    <w:p w14:paraId="278F8BE6" w14:textId="77777777" w:rsidR="00CD6E75" w:rsidRPr="00CA4E46" w:rsidRDefault="00CD6E75" w:rsidP="00CA4E46">
      <w:pPr>
        <w:pStyle w:val="Normal1"/>
        <w:spacing w:line="360" w:lineRule="auto"/>
        <w:jc w:val="center"/>
        <w:rPr>
          <w:rFonts w:eastAsia="Times New Roman"/>
          <w:b/>
          <w:sz w:val="34"/>
          <w:szCs w:val="34"/>
        </w:rPr>
      </w:pPr>
    </w:p>
    <w:tbl>
      <w:tblPr>
        <w:tblStyle w:val="Table2"/>
        <w:tblW w:w="10005" w:type="dxa"/>
        <w:tblInd w:w="-3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50"/>
        <w:gridCol w:w="3300"/>
        <w:gridCol w:w="2265"/>
        <w:gridCol w:w="1590"/>
      </w:tblGrid>
      <w:tr w:rsidR="00CD6E75" w:rsidRPr="00CA4E46" w14:paraId="1CB8FE5D" w14:textId="77777777">
        <w:trPr>
          <w:trHeight w:val="1065"/>
        </w:trPr>
        <w:tc>
          <w:tcPr>
            <w:tcW w:w="10005" w:type="dxa"/>
            <w:gridSpan w:val="4"/>
            <w:shd w:val="clear" w:color="auto" w:fill="D9D9D9"/>
          </w:tcPr>
          <w:p w14:paraId="48F6CA19" w14:textId="77777777" w:rsidR="00CD6E75" w:rsidRPr="00CA4E46" w:rsidRDefault="00CD6E75" w:rsidP="00CA4E46">
            <w:pPr>
              <w:pStyle w:val="Normal1"/>
              <w:spacing w:line="360" w:lineRule="auto"/>
              <w:jc w:val="center"/>
              <w:rPr>
                <w:rFonts w:eastAsia="Times New Roman"/>
                <w:b/>
                <w:sz w:val="34"/>
                <w:szCs w:val="34"/>
              </w:rPr>
            </w:pPr>
          </w:p>
          <w:p w14:paraId="3EB40F3A" w14:textId="77777777" w:rsidR="00CD6E75" w:rsidRPr="00CA4E46" w:rsidRDefault="00CA4E46" w:rsidP="00CA4E46">
            <w:pPr>
              <w:pStyle w:val="Normal1"/>
              <w:spacing w:line="360" w:lineRule="auto"/>
              <w:jc w:val="center"/>
              <w:rPr>
                <w:rFonts w:eastAsia="Times New Roman"/>
                <w:b/>
                <w:sz w:val="24"/>
                <w:szCs w:val="24"/>
              </w:rPr>
            </w:pPr>
            <w:r w:rsidRPr="00CA4E46">
              <w:rPr>
                <w:rFonts w:eastAsia="Times New Roman"/>
                <w:b/>
                <w:sz w:val="34"/>
                <w:szCs w:val="34"/>
              </w:rPr>
              <w:t>BUSINESS PLAN</w:t>
            </w:r>
          </w:p>
        </w:tc>
      </w:tr>
      <w:tr w:rsidR="00CD6E75" w:rsidRPr="00CA4E46" w14:paraId="40EC6744" w14:textId="77777777">
        <w:tc>
          <w:tcPr>
            <w:tcW w:w="2850" w:type="dxa"/>
            <w:shd w:val="clear" w:color="auto" w:fill="D9D9D9"/>
          </w:tcPr>
          <w:p w14:paraId="0002E48B" w14:textId="77777777" w:rsidR="00CD6E75" w:rsidRPr="00CA4E46" w:rsidRDefault="00CA4E46" w:rsidP="00CA4E46">
            <w:pPr>
              <w:pStyle w:val="Normal1"/>
              <w:spacing w:before="120" w:after="120" w:line="360" w:lineRule="auto"/>
              <w:jc w:val="center"/>
              <w:rPr>
                <w:rFonts w:eastAsia="Times New Roman"/>
                <w:b/>
                <w:sz w:val="24"/>
                <w:szCs w:val="24"/>
              </w:rPr>
            </w:pPr>
            <w:r w:rsidRPr="00CA4E46">
              <w:rPr>
                <w:rFonts w:eastAsia="Times New Roman"/>
                <w:b/>
                <w:sz w:val="24"/>
                <w:szCs w:val="24"/>
              </w:rPr>
              <w:t>Student name:</w:t>
            </w:r>
          </w:p>
        </w:tc>
        <w:tc>
          <w:tcPr>
            <w:tcW w:w="3300" w:type="dxa"/>
          </w:tcPr>
          <w:p w14:paraId="0A06692A" w14:textId="2B1C2C38" w:rsidR="00CD6E75" w:rsidRPr="00CA4E46" w:rsidRDefault="00CA4E46" w:rsidP="00CA4E46">
            <w:pPr>
              <w:pStyle w:val="Normal1"/>
              <w:spacing w:before="120" w:after="120" w:line="360" w:lineRule="auto"/>
              <w:jc w:val="both"/>
              <w:rPr>
                <w:rFonts w:eastAsia="Times New Roman"/>
                <w:b/>
                <w:sz w:val="24"/>
                <w:szCs w:val="24"/>
              </w:rPr>
            </w:pPr>
            <w:r w:rsidRPr="00CA4E46">
              <w:rPr>
                <w:rFonts w:eastAsia="Times New Roman"/>
                <w:b/>
                <w:sz w:val="24"/>
                <w:szCs w:val="24"/>
              </w:rPr>
              <w:t>JITESH BHUPENDRABHAI PATEL</w:t>
            </w:r>
            <w:r w:rsidRPr="00CA4E46">
              <w:rPr>
                <w:rFonts w:eastAsia="Times New Roman"/>
                <w:b/>
                <w:sz w:val="24"/>
                <w:szCs w:val="24"/>
              </w:rPr>
              <w:t> </w:t>
            </w:r>
          </w:p>
        </w:tc>
        <w:tc>
          <w:tcPr>
            <w:tcW w:w="2265" w:type="dxa"/>
            <w:shd w:val="clear" w:color="auto" w:fill="D9D9D9"/>
          </w:tcPr>
          <w:p w14:paraId="32FD1A5F" w14:textId="77777777" w:rsidR="00CD6E75" w:rsidRPr="00CA4E46" w:rsidRDefault="00CA4E46" w:rsidP="00CA4E46">
            <w:pPr>
              <w:pStyle w:val="Normal1"/>
              <w:spacing w:before="120" w:after="120" w:line="360" w:lineRule="auto"/>
              <w:jc w:val="both"/>
              <w:rPr>
                <w:rFonts w:eastAsia="Times New Roman"/>
                <w:b/>
                <w:sz w:val="24"/>
                <w:szCs w:val="24"/>
              </w:rPr>
            </w:pPr>
            <w:r w:rsidRPr="00CA4E46">
              <w:rPr>
                <w:rFonts w:eastAsia="Times New Roman"/>
                <w:b/>
                <w:sz w:val="24"/>
                <w:szCs w:val="24"/>
              </w:rPr>
              <w:t>Student ID number:</w:t>
            </w:r>
          </w:p>
        </w:tc>
        <w:tc>
          <w:tcPr>
            <w:tcW w:w="1590" w:type="dxa"/>
          </w:tcPr>
          <w:p w14:paraId="32E972F8" w14:textId="6F07C24C" w:rsidR="00CD6E75" w:rsidRPr="00CA4E46" w:rsidRDefault="00CA4E46" w:rsidP="00CA4E46">
            <w:pPr>
              <w:pStyle w:val="Normal1"/>
              <w:spacing w:before="120" w:after="120" w:line="360" w:lineRule="auto"/>
              <w:jc w:val="both"/>
              <w:rPr>
                <w:rFonts w:eastAsia="Times New Roman"/>
                <w:b/>
                <w:sz w:val="24"/>
                <w:szCs w:val="24"/>
              </w:rPr>
            </w:pPr>
            <w:r w:rsidRPr="00CA4E46">
              <w:rPr>
                <w:rFonts w:eastAsia="Times New Roman"/>
                <w:b/>
                <w:sz w:val="24"/>
                <w:szCs w:val="24"/>
              </w:rPr>
              <w:t>2245307</w:t>
            </w:r>
          </w:p>
        </w:tc>
      </w:tr>
      <w:tr w:rsidR="00CD6E75" w:rsidRPr="00CA4E46" w14:paraId="7B233738" w14:textId="77777777">
        <w:tc>
          <w:tcPr>
            <w:tcW w:w="2850" w:type="dxa"/>
            <w:shd w:val="clear" w:color="auto" w:fill="D9D9D9"/>
          </w:tcPr>
          <w:p w14:paraId="48426702" w14:textId="77777777" w:rsidR="00CD6E75" w:rsidRPr="00CA4E46" w:rsidRDefault="00CA4E46" w:rsidP="00CA4E46">
            <w:pPr>
              <w:pStyle w:val="Normal1"/>
              <w:spacing w:before="120" w:after="120" w:line="360" w:lineRule="auto"/>
              <w:jc w:val="center"/>
              <w:rPr>
                <w:rFonts w:eastAsia="Times New Roman"/>
                <w:b/>
                <w:sz w:val="24"/>
                <w:szCs w:val="24"/>
              </w:rPr>
            </w:pPr>
            <w:r w:rsidRPr="00CA4E46">
              <w:rPr>
                <w:rFonts w:eastAsia="Times New Roman"/>
                <w:b/>
                <w:sz w:val="24"/>
                <w:szCs w:val="24"/>
              </w:rPr>
              <w:t>Programme:</w:t>
            </w:r>
          </w:p>
        </w:tc>
        <w:tc>
          <w:tcPr>
            <w:tcW w:w="7155" w:type="dxa"/>
            <w:gridSpan w:val="3"/>
          </w:tcPr>
          <w:p w14:paraId="36768042" w14:textId="35E3338E" w:rsidR="00CD6E75" w:rsidRPr="00CA4E46" w:rsidRDefault="00CA4E46" w:rsidP="00CA4E46">
            <w:pPr>
              <w:pStyle w:val="Normal1"/>
              <w:spacing w:before="120" w:after="120" w:line="360" w:lineRule="auto"/>
              <w:jc w:val="center"/>
              <w:rPr>
                <w:rFonts w:eastAsia="Times New Roman"/>
                <w:b/>
                <w:sz w:val="24"/>
                <w:szCs w:val="24"/>
              </w:rPr>
            </w:pPr>
            <w:r w:rsidRPr="00CA4E46">
              <w:rPr>
                <w:rFonts w:eastAsia="Times New Roman"/>
                <w:b/>
                <w:sz w:val="24"/>
                <w:szCs w:val="24"/>
              </w:rPr>
              <w:t>MBA</w:t>
            </w:r>
          </w:p>
        </w:tc>
      </w:tr>
      <w:tr w:rsidR="00CD6E75" w:rsidRPr="00CA4E46" w14:paraId="6335E694" w14:textId="77777777">
        <w:tc>
          <w:tcPr>
            <w:tcW w:w="2850" w:type="dxa"/>
            <w:shd w:val="clear" w:color="auto" w:fill="D9D9D9"/>
          </w:tcPr>
          <w:p w14:paraId="110A57FB" w14:textId="77777777" w:rsidR="00CD6E75" w:rsidRPr="00CA4E46" w:rsidRDefault="00CA4E46" w:rsidP="00CA4E46">
            <w:pPr>
              <w:pStyle w:val="Normal1"/>
              <w:spacing w:before="120" w:after="120" w:line="360" w:lineRule="auto"/>
              <w:jc w:val="center"/>
              <w:rPr>
                <w:rFonts w:eastAsia="Times New Roman"/>
                <w:b/>
                <w:sz w:val="24"/>
                <w:szCs w:val="24"/>
              </w:rPr>
            </w:pPr>
            <w:r w:rsidRPr="00CA4E46">
              <w:rPr>
                <w:rFonts w:eastAsia="Times New Roman"/>
                <w:b/>
                <w:sz w:val="24"/>
                <w:szCs w:val="24"/>
              </w:rPr>
              <w:t>Module:</w:t>
            </w:r>
          </w:p>
        </w:tc>
        <w:tc>
          <w:tcPr>
            <w:tcW w:w="7155" w:type="dxa"/>
            <w:gridSpan w:val="3"/>
            <w:shd w:val="clear" w:color="auto" w:fill="auto"/>
          </w:tcPr>
          <w:p w14:paraId="54DDFCBE" w14:textId="77777777" w:rsidR="00CD6E75" w:rsidRPr="00CA4E46" w:rsidRDefault="00CA4E46" w:rsidP="00CA4E46">
            <w:pPr>
              <w:pStyle w:val="Normal1"/>
              <w:spacing w:before="120" w:after="120" w:line="360" w:lineRule="auto"/>
              <w:jc w:val="center"/>
              <w:rPr>
                <w:rFonts w:eastAsia="Times New Roman"/>
                <w:b/>
                <w:sz w:val="24"/>
                <w:szCs w:val="24"/>
              </w:rPr>
            </w:pPr>
            <w:r w:rsidRPr="00CA4E46">
              <w:rPr>
                <w:rFonts w:eastAsia="Times New Roman"/>
                <w:b/>
                <w:sz w:val="24"/>
                <w:szCs w:val="24"/>
              </w:rPr>
              <w:t>Entrepreneurship</w:t>
            </w:r>
          </w:p>
        </w:tc>
      </w:tr>
      <w:tr w:rsidR="00CD6E75" w:rsidRPr="00CA4E46" w14:paraId="78D0D334" w14:textId="77777777">
        <w:tc>
          <w:tcPr>
            <w:tcW w:w="2850" w:type="dxa"/>
            <w:shd w:val="clear" w:color="auto" w:fill="D9D9D9"/>
          </w:tcPr>
          <w:p w14:paraId="25DBA8A3" w14:textId="77777777" w:rsidR="00CD6E75" w:rsidRPr="00CA4E46" w:rsidRDefault="00CA4E46" w:rsidP="00CA4E46">
            <w:pPr>
              <w:pStyle w:val="Normal1"/>
              <w:spacing w:before="120" w:after="120" w:line="360" w:lineRule="auto"/>
              <w:jc w:val="center"/>
              <w:rPr>
                <w:rFonts w:eastAsia="Times New Roman"/>
                <w:b/>
                <w:sz w:val="24"/>
                <w:szCs w:val="24"/>
              </w:rPr>
            </w:pPr>
            <w:r w:rsidRPr="00CA4E46">
              <w:rPr>
                <w:rFonts w:eastAsia="Times New Roman"/>
                <w:b/>
                <w:sz w:val="24"/>
                <w:szCs w:val="24"/>
              </w:rPr>
              <w:t>Title:</w:t>
            </w:r>
          </w:p>
        </w:tc>
        <w:tc>
          <w:tcPr>
            <w:tcW w:w="7155" w:type="dxa"/>
            <w:gridSpan w:val="3"/>
            <w:shd w:val="clear" w:color="auto" w:fill="auto"/>
          </w:tcPr>
          <w:p w14:paraId="76E14C21" w14:textId="77777777" w:rsidR="00CD6E75" w:rsidRPr="00CA4E46" w:rsidRDefault="00CA4E46" w:rsidP="00CA4E46">
            <w:pPr>
              <w:pStyle w:val="Normal1"/>
              <w:spacing w:before="120" w:after="120" w:line="360" w:lineRule="auto"/>
              <w:jc w:val="center"/>
              <w:rPr>
                <w:rFonts w:eastAsia="Times New Roman"/>
                <w:b/>
                <w:sz w:val="24"/>
                <w:szCs w:val="24"/>
              </w:rPr>
            </w:pPr>
            <w:r w:rsidRPr="00CA4E46">
              <w:rPr>
                <w:rFonts w:eastAsia="Times New Roman"/>
                <w:b/>
                <w:noProof/>
                <w:sz w:val="24"/>
                <w:szCs w:val="24"/>
              </w:rPr>
              <w:drawing>
                <wp:inline distT="114300" distB="114300" distL="114300" distR="114300" wp14:anchorId="23AE84DF" wp14:editId="792C2358">
                  <wp:extent cx="1138913" cy="1138913"/>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7"/>
                          <a:stretch>
                            <a:fillRect/>
                          </a:stretch>
                        </pic:blipFill>
                        <pic:spPr>
                          <a:xfrm>
                            <a:off x="0" y="0"/>
                            <a:ext cx="1138913" cy="1138913"/>
                          </a:xfrm>
                          <a:prstGeom prst="rect">
                            <a:avLst/>
                          </a:prstGeom>
                        </pic:spPr>
                      </pic:pic>
                    </a:graphicData>
                  </a:graphic>
                </wp:inline>
              </w:drawing>
            </w:r>
          </w:p>
          <w:p w14:paraId="3C3282CD" w14:textId="77777777" w:rsidR="00CD6E75" w:rsidRPr="00CA4E46" w:rsidRDefault="00CA4E46" w:rsidP="00CA4E46">
            <w:pPr>
              <w:pStyle w:val="Normal1"/>
              <w:spacing w:before="120" w:after="120" w:line="360" w:lineRule="auto"/>
              <w:jc w:val="center"/>
              <w:rPr>
                <w:rFonts w:eastAsia="Times New Roman"/>
                <w:b/>
                <w:sz w:val="24"/>
                <w:szCs w:val="24"/>
              </w:rPr>
            </w:pPr>
            <w:r w:rsidRPr="00CA4E46">
              <w:rPr>
                <w:rFonts w:eastAsia="Times New Roman"/>
                <w:b/>
                <w:sz w:val="24"/>
                <w:szCs w:val="24"/>
              </w:rPr>
              <w:t>EnGreen UK: Illuminating a Sustainable Future with Renewable Energy Innovations</w:t>
            </w:r>
          </w:p>
        </w:tc>
      </w:tr>
      <w:tr w:rsidR="00CD6E75" w:rsidRPr="00CA4E46" w14:paraId="34B5D0A1" w14:textId="77777777">
        <w:tc>
          <w:tcPr>
            <w:tcW w:w="2850" w:type="dxa"/>
            <w:shd w:val="clear" w:color="auto" w:fill="D9D9D9"/>
          </w:tcPr>
          <w:p w14:paraId="7E435ED5" w14:textId="77777777" w:rsidR="00CD6E75" w:rsidRPr="00CA4E46" w:rsidRDefault="00CA4E46" w:rsidP="00CA4E46">
            <w:pPr>
              <w:pStyle w:val="Normal1"/>
              <w:spacing w:before="120" w:after="120" w:line="360" w:lineRule="auto"/>
              <w:jc w:val="center"/>
              <w:rPr>
                <w:rFonts w:eastAsia="Times New Roman"/>
                <w:b/>
                <w:sz w:val="24"/>
                <w:szCs w:val="24"/>
              </w:rPr>
            </w:pPr>
            <w:r w:rsidRPr="00CA4E46">
              <w:rPr>
                <w:rFonts w:eastAsia="Times New Roman"/>
                <w:b/>
                <w:sz w:val="24"/>
                <w:szCs w:val="24"/>
              </w:rPr>
              <w:t>Module code:</w:t>
            </w:r>
          </w:p>
        </w:tc>
        <w:tc>
          <w:tcPr>
            <w:tcW w:w="3300" w:type="dxa"/>
          </w:tcPr>
          <w:p w14:paraId="799A15C6" w14:textId="77777777" w:rsidR="00CD6E75" w:rsidRPr="00CA4E46" w:rsidRDefault="00CA4E46" w:rsidP="00CA4E46">
            <w:pPr>
              <w:pStyle w:val="Normal1"/>
              <w:spacing w:before="120" w:after="120" w:line="360" w:lineRule="auto"/>
              <w:jc w:val="center"/>
              <w:rPr>
                <w:rFonts w:eastAsia="Times New Roman"/>
                <w:b/>
                <w:sz w:val="24"/>
                <w:szCs w:val="24"/>
              </w:rPr>
            </w:pPr>
            <w:r w:rsidRPr="00CA4E46">
              <w:rPr>
                <w:rFonts w:eastAsia="Times New Roman"/>
                <w:b/>
                <w:sz w:val="24"/>
                <w:szCs w:val="24"/>
              </w:rPr>
              <w:t>LCMB7004</w:t>
            </w:r>
          </w:p>
        </w:tc>
        <w:tc>
          <w:tcPr>
            <w:tcW w:w="2265" w:type="dxa"/>
            <w:shd w:val="clear" w:color="auto" w:fill="D9D9D9"/>
          </w:tcPr>
          <w:p w14:paraId="27424BA3" w14:textId="77777777" w:rsidR="00CD6E75" w:rsidRPr="00CA4E46" w:rsidRDefault="00CA4E46" w:rsidP="00CA4E46">
            <w:pPr>
              <w:pStyle w:val="Normal1"/>
              <w:spacing w:line="360" w:lineRule="auto"/>
              <w:jc w:val="center"/>
              <w:rPr>
                <w:rFonts w:eastAsia="Times New Roman"/>
                <w:b/>
                <w:sz w:val="24"/>
                <w:szCs w:val="24"/>
              </w:rPr>
            </w:pPr>
            <w:r w:rsidRPr="00CA4E46">
              <w:rPr>
                <w:rFonts w:eastAsia="Times New Roman"/>
                <w:b/>
                <w:sz w:val="24"/>
                <w:szCs w:val="24"/>
              </w:rPr>
              <w:t>Contribution to Overall Module Assessment (%):</w:t>
            </w:r>
          </w:p>
        </w:tc>
        <w:tc>
          <w:tcPr>
            <w:tcW w:w="1590" w:type="dxa"/>
          </w:tcPr>
          <w:p w14:paraId="355C65B0" w14:textId="77777777" w:rsidR="00CD6E75" w:rsidRPr="00CA4E46" w:rsidRDefault="00CA4E46" w:rsidP="00CA4E46">
            <w:pPr>
              <w:pStyle w:val="Normal1"/>
              <w:spacing w:before="120" w:after="120" w:line="360" w:lineRule="auto"/>
              <w:jc w:val="center"/>
              <w:rPr>
                <w:rFonts w:eastAsia="Times New Roman"/>
                <w:b/>
                <w:sz w:val="24"/>
                <w:szCs w:val="24"/>
              </w:rPr>
            </w:pPr>
            <w:r w:rsidRPr="00CA4E46">
              <w:rPr>
                <w:rFonts w:eastAsia="Times New Roman"/>
                <w:b/>
                <w:sz w:val="24"/>
                <w:szCs w:val="24"/>
              </w:rPr>
              <w:t>50%</w:t>
            </w:r>
          </w:p>
        </w:tc>
      </w:tr>
      <w:tr w:rsidR="00CD6E75" w:rsidRPr="00CA4E46" w14:paraId="29093CE4" w14:textId="77777777">
        <w:tc>
          <w:tcPr>
            <w:tcW w:w="2850" w:type="dxa"/>
            <w:shd w:val="clear" w:color="auto" w:fill="D9D9D9"/>
          </w:tcPr>
          <w:p w14:paraId="3E11731A" w14:textId="77777777" w:rsidR="00CD6E75" w:rsidRPr="00CA4E46" w:rsidRDefault="00CA4E46" w:rsidP="00CA4E46">
            <w:pPr>
              <w:pStyle w:val="Normal1"/>
              <w:spacing w:before="120" w:after="120" w:line="360" w:lineRule="auto"/>
              <w:jc w:val="center"/>
              <w:rPr>
                <w:rFonts w:eastAsia="Times New Roman"/>
                <w:b/>
                <w:sz w:val="24"/>
                <w:szCs w:val="24"/>
              </w:rPr>
            </w:pPr>
            <w:r w:rsidRPr="00CA4E46">
              <w:rPr>
                <w:rFonts w:eastAsia="Times New Roman"/>
                <w:b/>
                <w:sz w:val="24"/>
                <w:szCs w:val="24"/>
              </w:rPr>
              <w:t>Lecturer:</w:t>
            </w:r>
          </w:p>
        </w:tc>
        <w:tc>
          <w:tcPr>
            <w:tcW w:w="3300" w:type="dxa"/>
          </w:tcPr>
          <w:p w14:paraId="3E797247" w14:textId="77777777" w:rsidR="00CD6E75" w:rsidRPr="00CA4E46" w:rsidRDefault="00CA4E46" w:rsidP="00CA4E46">
            <w:pPr>
              <w:pStyle w:val="Normal1"/>
              <w:spacing w:before="120" w:after="120" w:line="360" w:lineRule="auto"/>
              <w:jc w:val="center"/>
              <w:rPr>
                <w:rFonts w:eastAsia="Times New Roman"/>
                <w:b/>
                <w:sz w:val="24"/>
                <w:szCs w:val="24"/>
              </w:rPr>
            </w:pPr>
            <w:r w:rsidRPr="00CA4E46">
              <w:rPr>
                <w:rFonts w:eastAsia="Times New Roman"/>
                <w:b/>
                <w:sz w:val="24"/>
                <w:szCs w:val="24"/>
              </w:rPr>
              <w:t>Vasilios Tavlaridis</w:t>
            </w:r>
          </w:p>
        </w:tc>
        <w:tc>
          <w:tcPr>
            <w:tcW w:w="2265" w:type="dxa"/>
            <w:shd w:val="clear" w:color="auto" w:fill="D9D9D9"/>
          </w:tcPr>
          <w:p w14:paraId="5421F2B8" w14:textId="77777777" w:rsidR="00CD6E75" w:rsidRPr="00CA4E46" w:rsidRDefault="00CA4E46" w:rsidP="00CA4E46">
            <w:pPr>
              <w:pStyle w:val="Normal1"/>
              <w:spacing w:before="120" w:after="120" w:line="360" w:lineRule="auto"/>
              <w:jc w:val="center"/>
              <w:rPr>
                <w:rFonts w:eastAsia="Times New Roman"/>
                <w:b/>
                <w:sz w:val="24"/>
                <w:szCs w:val="24"/>
              </w:rPr>
            </w:pPr>
            <w:r w:rsidRPr="00CA4E46">
              <w:rPr>
                <w:rFonts w:eastAsia="Times New Roman"/>
                <w:b/>
                <w:sz w:val="24"/>
                <w:szCs w:val="24"/>
              </w:rPr>
              <w:t>Internal Verifier:</w:t>
            </w:r>
          </w:p>
        </w:tc>
        <w:tc>
          <w:tcPr>
            <w:tcW w:w="1590" w:type="dxa"/>
          </w:tcPr>
          <w:p w14:paraId="35697062" w14:textId="77777777" w:rsidR="00CD6E75" w:rsidRPr="00CA4E46" w:rsidRDefault="00CA4E46" w:rsidP="00CA4E46">
            <w:pPr>
              <w:pStyle w:val="Normal1"/>
              <w:spacing w:before="120" w:after="120" w:line="360" w:lineRule="auto"/>
              <w:jc w:val="center"/>
              <w:rPr>
                <w:rFonts w:eastAsia="Times New Roman"/>
                <w:b/>
                <w:sz w:val="24"/>
                <w:szCs w:val="24"/>
              </w:rPr>
            </w:pPr>
            <w:r w:rsidRPr="00CA4E46">
              <w:rPr>
                <w:rFonts w:eastAsia="Times New Roman"/>
                <w:b/>
                <w:sz w:val="24"/>
                <w:szCs w:val="24"/>
              </w:rPr>
              <w:t>David Jenkins</w:t>
            </w:r>
          </w:p>
        </w:tc>
      </w:tr>
      <w:tr w:rsidR="00CD6E75" w:rsidRPr="00CA4E46" w14:paraId="2DD4FB63" w14:textId="77777777">
        <w:tc>
          <w:tcPr>
            <w:tcW w:w="2850" w:type="dxa"/>
            <w:shd w:val="clear" w:color="auto" w:fill="D9D9D9"/>
          </w:tcPr>
          <w:p w14:paraId="6271AFC6" w14:textId="77777777" w:rsidR="00CD6E75" w:rsidRPr="00CA4E46" w:rsidRDefault="00CA4E46" w:rsidP="00CA4E46">
            <w:pPr>
              <w:pStyle w:val="Normal1"/>
              <w:spacing w:before="120" w:after="120" w:line="360" w:lineRule="auto"/>
              <w:jc w:val="center"/>
              <w:rPr>
                <w:rFonts w:eastAsia="Times New Roman"/>
                <w:b/>
                <w:sz w:val="24"/>
                <w:szCs w:val="24"/>
              </w:rPr>
            </w:pPr>
            <w:r w:rsidRPr="00CA4E46">
              <w:rPr>
                <w:rFonts w:eastAsia="Times New Roman"/>
                <w:b/>
                <w:sz w:val="24"/>
                <w:szCs w:val="24"/>
              </w:rPr>
              <w:lastRenderedPageBreak/>
              <w:t>Assignment Title:</w:t>
            </w:r>
          </w:p>
        </w:tc>
        <w:tc>
          <w:tcPr>
            <w:tcW w:w="3300" w:type="dxa"/>
          </w:tcPr>
          <w:p w14:paraId="3E711A91" w14:textId="77777777" w:rsidR="00CD6E75" w:rsidRPr="00CA4E46" w:rsidRDefault="00CD6E75" w:rsidP="00CA4E46">
            <w:pPr>
              <w:pStyle w:val="Normal1"/>
              <w:spacing w:line="360" w:lineRule="auto"/>
              <w:jc w:val="center"/>
              <w:rPr>
                <w:rFonts w:eastAsia="Times New Roman"/>
                <w:b/>
                <w:sz w:val="24"/>
                <w:szCs w:val="24"/>
              </w:rPr>
            </w:pPr>
          </w:p>
          <w:p w14:paraId="14150C23" w14:textId="77777777" w:rsidR="00CD6E75" w:rsidRPr="00CA4E46" w:rsidRDefault="00CA4E46" w:rsidP="00CA4E46">
            <w:pPr>
              <w:pStyle w:val="Normal1"/>
              <w:spacing w:line="360" w:lineRule="auto"/>
              <w:jc w:val="center"/>
              <w:rPr>
                <w:rFonts w:eastAsia="Times New Roman"/>
                <w:b/>
                <w:sz w:val="24"/>
                <w:szCs w:val="24"/>
              </w:rPr>
            </w:pPr>
            <w:r w:rsidRPr="00CA4E46">
              <w:rPr>
                <w:rFonts w:eastAsia="Times New Roman"/>
                <w:b/>
                <w:sz w:val="24"/>
                <w:szCs w:val="24"/>
              </w:rPr>
              <w:t>Component 1- Essay</w:t>
            </w:r>
          </w:p>
        </w:tc>
        <w:tc>
          <w:tcPr>
            <w:tcW w:w="2265" w:type="dxa"/>
            <w:shd w:val="clear" w:color="auto" w:fill="D9D9D9"/>
          </w:tcPr>
          <w:p w14:paraId="067F5DEE" w14:textId="77777777" w:rsidR="00CD6E75" w:rsidRPr="00CA4E46" w:rsidRDefault="00CA4E46" w:rsidP="00CA4E46">
            <w:pPr>
              <w:pStyle w:val="Normal1"/>
              <w:spacing w:before="120" w:after="120" w:line="360" w:lineRule="auto"/>
              <w:jc w:val="center"/>
              <w:rPr>
                <w:rFonts w:eastAsia="Times New Roman"/>
                <w:b/>
                <w:sz w:val="24"/>
                <w:szCs w:val="24"/>
              </w:rPr>
            </w:pPr>
            <w:r w:rsidRPr="00CA4E46">
              <w:rPr>
                <w:rFonts w:eastAsia="Times New Roman"/>
                <w:b/>
                <w:sz w:val="24"/>
                <w:szCs w:val="24"/>
              </w:rPr>
              <w:t>Word count (or equivalent):</w:t>
            </w:r>
          </w:p>
        </w:tc>
        <w:tc>
          <w:tcPr>
            <w:tcW w:w="1590" w:type="dxa"/>
          </w:tcPr>
          <w:p w14:paraId="5F432450" w14:textId="77777777" w:rsidR="00CD6E75" w:rsidRPr="00CA4E46" w:rsidRDefault="00CA4E46" w:rsidP="00CA4E46">
            <w:pPr>
              <w:pStyle w:val="Normal1"/>
              <w:spacing w:before="120" w:after="120" w:line="360" w:lineRule="auto"/>
              <w:jc w:val="center"/>
              <w:rPr>
                <w:rFonts w:eastAsia="Times New Roman"/>
                <w:b/>
                <w:sz w:val="24"/>
                <w:szCs w:val="24"/>
              </w:rPr>
            </w:pPr>
            <w:r w:rsidRPr="00CA4E46">
              <w:rPr>
                <w:rFonts w:eastAsia="Times New Roman"/>
                <w:b/>
                <w:sz w:val="24"/>
                <w:szCs w:val="24"/>
              </w:rPr>
              <w:t>2500 +/- 10%</w:t>
            </w:r>
          </w:p>
        </w:tc>
      </w:tr>
      <w:tr w:rsidR="00CD6E75" w:rsidRPr="00CA4E46" w14:paraId="58D436B8" w14:textId="77777777">
        <w:trPr>
          <w:trHeight w:val="220"/>
        </w:trPr>
        <w:tc>
          <w:tcPr>
            <w:tcW w:w="2850" w:type="dxa"/>
            <w:shd w:val="clear" w:color="auto" w:fill="D9D9D9"/>
          </w:tcPr>
          <w:p w14:paraId="5EBCD523" w14:textId="77777777" w:rsidR="00CD6E75" w:rsidRPr="00CA4E46" w:rsidRDefault="00CA4E46" w:rsidP="00CA4E46">
            <w:pPr>
              <w:pStyle w:val="Normal1"/>
              <w:spacing w:before="120" w:after="120" w:line="360" w:lineRule="auto"/>
              <w:jc w:val="center"/>
              <w:rPr>
                <w:rFonts w:eastAsia="Times New Roman"/>
                <w:b/>
                <w:sz w:val="24"/>
                <w:szCs w:val="24"/>
              </w:rPr>
            </w:pPr>
            <w:r w:rsidRPr="00CA4E46">
              <w:rPr>
                <w:rFonts w:eastAsia="Times New Roman"/>
                <w:b/>
                <w:sz w:val="24"/>
                <w:szCs w:val="24"/>
              </w:rPr>
              <w:t>Turnitin Score:</w:t>
            </w:r>
          </w:p>
        </w:tc>
        <w:tc>
          <w:tcPr>
            <w:tcW w:w="7155" w:type="dxa"/>
            <w:gridSpan w:val="3"/>
          </w:tcPr>
          <w:p w14:paraId="0D498732" w14:textId="77777777" w:rsidR="00CD6E75" w:rsidRPr="00CA4E46" w:rsidRDefault="00CD6E75" w:rsidP="00CA4E46">
            <w:pPr>
              <w:pStyle w:val="Normal1"/>
              <w:spacing w:line="360" w:lineRule="auto"/>
              <w:jc w:val="center"/>
              <w:rPr>
                <w:rFonts w:eastAsia="Times New Roman"/>
                <w:b/>
                <w:sz w:val="24"/>
                <w:szCs w:val="24"/>
              </w:rPr>
            </w:pPr>
          </w:p>
        </w:tc>
      </w:tr>
      <w:tr w:rsidR="00CD6E75" w:rsidRPr="00CA4E46" w14:paraId="0851CACA" w14:textId="77777777">
        <w:trPr>
          <w:trHeight w:val="220"/>
        </w:trPr>
        <w:tc>
          <w:tcPr>
            <w:tcW w:w="2850" w:type="dxa"/>
            <w:shd w:val="clear" w:color="auto" w:fill="D9D9D9"/>
          </w:tcPr>
          <w:p w14:paraId="60441B77" w14:textId="77777777" w:rsidR="00CD6E75" w:rsidRPr="00CA4E46" w:rsidRDefault="00CA4E46" w:rsidP="00CA4E46">
            <w:pPr>
              <w:pStyle w:val="Normal1"/>
              <w:spacing w:before="120" w:after="120" w:line="360" w:lineRule="auto"/>
              <w:jc w:val="center"/>
              <w:rPr>
                <w:rFonts w:eastAsia="Times New Roman"/>
                <w:b/>
                <w:sz w:val="24"/>
                <w:szCs w:val="24"/>
              </w:rPr>
            </w:pPr>
            <w:r w:rsidRPr="00CA4E46">
              <w:rPr>
                <w:rFonts w:eastAsia="Times New Roman"/>
                <w:b/>
                <w:sz w:val="24"/>
                <w:szCs w:val="24"/>
              </w:rPr>
              <w:t>Date of Submission:</w:t>
            </w:r>
          </w:p>
        </w:tc>
        <w:tc>
          <w:tcPr>
            <w:tcW w:w="7155" w:type="dxa"/>
            <w:gridSpan w:val="3"/>
          </w:tcPr>
          <w:p w14:paraId="2FDE9047" w14:textId="041FDE46" w:rsidR="00CD6E75" w:rsidRPr="00CA4E46" w:rsidRDefault="00CA4E46" w:rsidP="00CA4E46">
            <w:pPr>
              <w:pStyle w:val="Normal1"/>
              <w:spacing w:line="360" w:lineRule="auto"/>
              <w:jc w:val="center"/>
              <w:rPr>
                <w:rFonts w:eastAsia="Times New Roman"/>
                <w:b/>
                <w:sz w:val="24"/>
                <w:szCs w:val="24"/>
              </w:rPr>
            </w:pPr>
            <w:r w:rsidRPr="00CA4E46">
              <w:rPr>
                <w:rFonts w:eastAsia="Times New Roman"/>
                <w:b/>
                <w:sz w:val="24"/>
                <w:szCs w:val="24"/>
              </w:rPr>
              <w:t>02-11-23</w:t>
            </w:r>
          </w:p>
        </w:tc>
      </w:tr>
    </w:tbl>
    <w:p w14:paraId="44DD5670" w14:textId="77777777" w:rsidR="00CD6E75" w:rsidRPr="00CA4E46" w:rsidRDefault="00CD6E75" w:rsidP="00CA4E46">
      <w:pPr>
        <w:pStyle w:val="Normal1"/>
        <w:spacing w:line="360" w:lineRule="auto"/>
        <w:rPr>
          <w:rFonts w:eastAsia="Times New Roman"/>
          <w:b/>
          <w:sz w:val="32"/>
          <w:szCs w:val="32"/>
        </w:rPr>
      </w:pPr>
    </w:p>
    <w:p w14:paraId="7A49E339" w14:textId="77777777" w:rsidR="00CD6E75" w:rsidRPr="00CA4E46" w:rsidRDefault="00CD6E75" w:rsidP="00CA4E46">
      <w:pPr>
        <w:pStyle w:val="Normal1"/>
        <w:spacing w:line="360" w:lineRule="auto"/>
        <w:jc w:val="center"/>
        <w:rPr>
          <w:rFonts w:eastAsia="Times New Roman"/>
          <w:b/>
          <w:sz w:val="32"/>
          <w:szCs w:val="32"/>
        </w:rPr>
      </w:pPr>
    </w:p>
    <w:p w14:paraId="7F9EE80E" w14:textId="351E17C8" w:rsidR="00CA4E46" w:rsidRDefault="00CA4E46" w:rsidP="00CA4E46">
      <w:pPr>
        <w:pStyle w:val="Normal1"/>
        <w:spacing w:line="360" w:lineRule="auto"/>
        <w:jc w:val="center"/>
        <w:rPr>
          <w:rFonts w:eastAsia="Times New Roman"/>
          <w:b/>
          <w:sz w:val="32"/>
          <w:szCs w:val="32"/>
        </w:rPr>
      </w:pPr>
    </w:p>
    <w:p w14:paraId="5E8316F1" w14:textId="77777777" w:rsidR="00CA4E46" w:rsidRDefault="00CA4E46">
      <w:pPr>
        <w:rPr>
          <w:rFonts w:eastAsia="Times New Roman"/>
          <w:b/>
          <w:sz w:val="32"/>
          <w:szCs w:val="32"/>
        </w:rPr>
      </w:pPr>
      <w:r>
        <w:rPr>
          <w:rFonts w:eastAsia="Times New Roman"/>
          <w:b/>
          <w:sz w:val="32"/>
          <w:szCs w:val="32"/>
        </w:rPr>
        <w:br w:type="page"/>
      </w:r>
    </w:p>
    <w:p w14:paraId="0955A16A" w14:textId="706635F6" w:rsidR="00CA4E46" w:rsidRDefault="00CA4E46" w:rsidP="00CA4E46">
      <w:pPr>
        <w:pStyle w:val="Normal1"/>
        <w:spacing w:line="360" w:lineRule="auto"/>
        <w:rPr>
          <w:rFonts w:eastAsia="Times New Roman"/>
          <w:b/>
          <w:sz w:val="32"/>
          <w:szCs w:val="32"/>
        </w:rPr>
      </w:pPr>
      <w:r>
        <w:rPr>
          <w:rFonts w:eastAsia="Times New Roman"/>
          <w:b/>
          <w:sz w:val="32"/>
          <w:szCs w:val="32"/>
        </w:rPr>
        <w:lastRenderedPageBreak/>
        <w:t>Executive Summary –</w:t>
      </w:r>
    </w:p>
    <w:p w14:paraId="37AD36A6" w14:textId="77777777" w:rsidR="00CA4E46" w:rsidRDefault="00CA4E46" w:rsidP="00CA4E46">
      <w:pPr>
        <w:pStyle w:val="Normal1"/>
        <w:spacing w:line="360" w:lineRule="auto"/>
        <w:rPr>
          <w:rFonts w:eastAsia="Times New Roman"/>
          <w:b/>
          <w:sz w:val="32"/>
          <w:szCs w:val="32"/>
        </w:rPr>
      </w:pPr>
    </w:p>
    <w:p w14:paraId="2696580D" w14:textId="77777777" w:rsidR="00CA4E46" w:rsidRPr="00CA4E46" w:rsidRDefault="00CA4E46" w:rsidP="00CA4E46">
      <w:pPr>
        <w:pStyle w:val="Heading3"/>
        <w:spacing w:line="360" w:lineRule="auto"/>
        <w:rPr>
          <w:rFonts w:ascii="Arial" w:hAnsi="Arial" w:cs="Arial"/>
          <w:i w:val="0"/>
        </w:rPr>
      </w:pPr>
      <w:bookmarkStart w:id="0" w:name="_Toc149826032"/>
      <w:r w:rsidRPr="00CA4E46">
        <w:rPr>
          <w:rFonts w:ascii="Arial" w:hAnsi="Arial" w:cs="Arial"/>
          <w:i w:val="0"/>
        </w:rPr>
        <w:t>1.1.1 Vision</w:t>
      </w:r>
      <w:bookmarkEnd w:id="0"/>
    </w:p>
    <w:p w14:paraId="70BCC2E9" w14:textId="77777777" w:rsidR="00CA4E46" w:rsidRPr="00CA4E46" w:rsidRDefault="00CA4E46" w:rsidP="00CA4E46">
      <w:pPr>
        <w:pStyle w:val="Normal1"/>
        <w:spacing w:line="360" w:lineRule="auto"/>
        <w:jc w:val="both"/>
        <w:rPr>
          <w:rFonts w:eastAsia="Times New Roman"/>
          <w:sz w:val="24"/>
          <w:szCs w:val="24"/>
        </w:rPr>
      </w:pPr>
      <w:r w:rsidRPr="00CA4E46">
        <w:rPr>
          <w:rFonts w:eastAsia="Times New Roman"/>
          <w:sz w:val="24"/>
          <w:szCs w:val="24"/>
        </w:rPr>
        <w:t>EnGreen's vision is to foster a world where the "EnGreen Attitude" is ingrained in national policies towards extending from energy infrastructures to sustainable mobility ultimately leading to the decontamination of urban, industrial as well and rural areas (Ruralelec.org, 2023). On the other hand, this vision is a response to the urgent need to address climate change as well as environmental degradation on a global scale (Engreensolutions.com, 2023).</w:t>
      </w:r>
    </w:p>
    <w:p w14:paraId="148E5CD5" w14:textId="77777777" w:rsidR="00CA4E46" w:rsidRPr="00CA4E46" w:rsidRDefault="00CA4E46" w:rsidP="00CA4E46">
      <w:pPr>
        <w:pStyle w:val="Heading3"/>
        <w:spacing w:line="360" w:lineRule="auto"/>
        <w:rPr>
          <w:rFonts w:ascii="Arial" w:hAnsi="Arial" w:cs="Arial"/>
          <w:i w:val="0"/>
        </w:rPr>
      </w:pPr>
      <w:bookmarkStart w:id="1" w:name="_Toc149826033"/>
      <w:r w:rsidRPr="00CA4E46">
        <w:rPr>
          <w:rFonts w:ascii="Arial" w:hAnsi="Arial" w:cs="Arial"/>
          <w:i w:val="0"/>
        </w:rPr>
        <w:t>1.1.2 Mission</w:t>
      </w:r>
      <w:bookmarkEnd w:id="1"/>
    </w:p>
    <w:p w14:paraId="348C1858" w14:textId="77777777" w:rsidR="00CA4E46" w:rsidRPr="00CA4E46" w:rsidRDefault="00CA4E46" w:rsidP="00CA4E46">
      <w:pPr>
        <w:pStyle w:val="Normal1"/>
        <w:spacing w:line="360" w:lineRule="auto"/>
        <w:jc w:val="both"/>
        <w:rPr>
          <w:rFonts w:eastAsia="Times New Roman"/>
          <w:sz w:val="24"/>
          <w:szCs w:val="24"/>
        </w:rPr>
      </w:pPr>
      <w:r w:rsidRPr="00CA4E46">
        <w:rPr>
          <w:rFonts w:eastAsia="Times New Roman"/>
          <w:sz w:val="24"/>
          <w:szCs w:val="24"/>
        </w:rPr>
        <w:t>EnGreen's mission is to empower stakeholders to achieve tangible results in energy transition and climate change mitigation by employing innovative business models, and low-carbon technologies as well as strategies that de-risk investments (Engreensolutions.com, 2023). EnGreen is dedicated to cultivating enduring business relationships founded on trust, competence as well and a result-oriented approach (Engreensolutions.com, 2023). The mission emphasizes an integrated approach to sustainable development that involves diverse stakeholders including governments, funds, developers, engineering, procurement as well as construction companies (EPCs), providers as well and local communities to ensure project success.</w:t>
      </w:r>
    </w:p>
    <w:p w14:paraId="1F4148E6" w14:textId="77777777" w:rsidR="00CA4E46" w:rsidRDefault="00CA4E46" w:rsidP="00CA4E46">
      <w:pPr>
        <w:pStyle w:val="Normal1"/>
        <w:spacing w:line="360" w:lineRule="auto"/>
        <w:rPr>
          <w:rFonts w:eastAsia="Times New Roman"/>
          <w:b/>
          <w:sz w:val="32"/>
          <w:szCs w:val="32"/>
        </w:rPr>
      </w:pPr>
    </w:p>
    <w:p w14:paraId="1CFD5251" w14:textId="77777777" w:rsidR="00CA4E46" w:rsidRDefault="00CA4E46">
      <w:pPr>
        <w:rPr>
          <w:rFonts w:eastAsia="Times New Roman"/>
          <w:b/>
          <w:sz w:val="32"/>
          <w:szCs w:val="32"/>
        </w:rPr>
      </w:pPr>
      <w:r>
        <w:rPr>
          <w:rFonts w:eastAsia="Times New Roman"/>
          <w:b/>
          <w:sz w:val="32"/>
          <w:szCs w:val="32"/>
        </w:rPr>
        <w:br w:type="page"/>
      </w:r>
    </w:p>
    <w:p w14:paraId="27608780" w14:textId="77777777" w:rsidR="00CD6E75" w:rsidRPr="00CA4E46" w:rsidRDefault="00CD6E75" w:rsidP="00CA4E46">
      <w:pPr>
        <w:pStyle w:val="Normal1"/>
        <w:spacing w:line="360" w:lineRule="auto"/>
        <w:jc w:val="center"/>
        <w:rPr>
          <w:rFonts w:eastAsia="Times New Roman"/>
          <w:b/>
          <w:sz w:val="32"/>
          <w:szCs w:val="32"/>
        </w:rPr>
      </w:pPr>
    </w:p>
    <w:p w14:paraId="0E396616" w14:textId="77777777" w:rsidR="00CD6E75" w:rsidRPr="00CA4E46" w:rsidRDefault="00CD6E75" w:rsidP="00CA4E46">
      <w:pPr>
        <w:pStyle w:val="Normal1"/>
        <w:spacing w:line="360" w:lineRule="auto"/>
        <w:jc w:val="center"/>
        <w:rPr>
          <w:rFonts w:eastAsia="Times New Roman"/>
          <w:b/>
          <w:sz w:val="32"/>
          <w:szCs w:val="32"/>
        </w:rPr>
      </w:pPr>
    </w:p>
    <w:tbl>
      <w:tblPr>
        <w:tblStyle w:val="Table3"/>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CD6E75" w:rsidRPr="00CA4E46" w14:paraId="7788EAD8" w14:textId="77777777">
        <w:trPr>
          <w:jc w:val="center"/>
        </w:trPr>
        <w:tc>
          <w:tcPr>
            <w:tcW w:w="9360" w:type="dxa"/>
            <w:shd w:val="clear" w:color="auto" w:fill="4A86E8"/>
            <w:tcMar>
              <w:top w:w="100" w:type="dxa"/>
              <w:left w:w="100" w:type="dxa"/>
              <w:bottom w:w="100" w:type="dxa"/>
              <w:right w:w="100" w:type="dxa"/>
            </w:tcMar>
          </w:tcPr>
          <w:p w14:paraId="4B0E1D5A" w14:textId="77777777" w:rsidR="00CD6E75" w:rsidRPr="00CA4E46" w:rsidRDefault="00CA4E46" w:rsidP="00CA4E46">
            <w:pPr>
              <w:pStyle w:val="Normal1"/>
              <w:widowControl w:val="0"/>
              <w:pBdr>
                <w:top w:val="nil"/>
                <w:left w:val="nil"/>
                <w:bottom w:val="nil"/>
                <w:right w:val="nil"/>
                <w:between w:val="nil"/>
              </w:pBdr>
              <w:spacing w:line="360" w:lineRule="auto"/>
              <w:jc w:val="center"/>
              <w:rPr>
                <w:rFonts w:eastAsia="Times New Roman"/>
                <w:b/>
                <w:sz w:val="32"/>
                <w:szCs w:val="32"/>
              </w:rPr>
            </w:pPr>
            <w:r w:rsidRPr="00CA4E46">
              <w:rPr>
                <w:rFonts w:eastAsia="Times New Roman"/>
                <w:b/>
                <w:sz w:val="32"/>
                <w:szCs w:val="32"/>
              </w:rPr>
              <w:t>TABLE OF CONTENTS</w:t>
            </w:r>
          </w:p>
        </w:tc>
      </w:tr>
    </w:tbl>
    <w:p w14:paraId="5AA668E9" w14:textId="77777777" w:rsidR="00CD6E75" w:rsidRPr="00CA4E46" w:rsidRDefault="00CD6E75" w:rsidP="00CA4E46">
      <w:pPr>
        <w:pStyle w:val="Normal1"/>
        <w:spacing w:line="360" w:lineRule="auto"/>
        <w:rPr>
          <w:rFonts w:eastAsia="Times New Roman"/>
          <w:sz w:val="24"/>
          <w:szCs w:val="24"/>
        </w:rPr>
      </w:pPr>
    </w:p>
    <w:sdt>
      <w:sdtPr>
        <w:id w:val="2055789540"/>
        <w:docPartObj>
          <w:docPartGallery w:val="Table of Contents"/>
          <w:docPartUnique/>
        </w:docPartObj>
      </w:sdtPr>
      <w:sdtEndPr/>
      <w:sdtContent>
        <w:p w14:paraId="2CD666A9" w14:textId="63E88866" w:rsidR="00CA4E46" w:rsidRDefault="00CA4E46">
          <w:pPr>
            <w:pStyle w:val="TOC3"/>
            <w:tabs>
              <w:tab w:val="right" w:leader="dot" w:pos="9350"/>
            </w:tabs>
            <w:rPr>
              <w:noProof/>
            </w:rPr>
          </w:pPr>
          <w:r w:rsidRPr="00CA4E46">
            <w:fldChar w:fldCharType="begin"/>
          </w:r>
          <w:r w:rsidRPr="00CA4E46">
            <w:instrText xml:space="preserve"> TOC \h \u \z \t "Heading 1,1,Heading 2,2,Heading 3,3,Heading 4,4,Heading 5,5,Heading 6,6,"</w:instrText>
          </w:r>
          <w:r w:rsidRPr="00CA4E46">
            <w:fldChar w:fldCharType="separate"/>
          </w:r>
          <w:hyperlink w:anchor="_Toc149826032" w:history="1">
            <w:r w:rsidRPr="00574C3B">
              <w:rPr>
                <w:rStyle w:val="Hyperlink"/>
                <w:noProof/>
              </w:rPr>
              <w:t>1.1.1 Vision</w:t>
            </w:r>
            <w:r>
              <w:rPr>
                <w:noProof/>
                <w:webHidden/>
              </w:rPr>
              <w:tab/>
            </w:r>
            <w:r>
              <w:rPr>
                <w:noProof/>
                <w:webHidden/>
              </w:rPr>
              <w:fldChar w:fldCharType="begin"/>
            </w:r>
            <w:r>
              <w:rPr>
                <w:noProof/>
                <w:webHidden/>
              </w:rPr>
              <w:instrText xml:space="preserve"> PAGEREF _Toc149826032 \h </w:instrText>
            </w:r>
            <w:r>
              <w:rPr>
                <w:noProof/>
                <w:webHidden/>
              </w:rPr>
            </w:r>
            <w:r>
              <w:rPr>
                <w:noProof/>
                <w:webHidden/>
              </w:rPr>
              <w:fldChar w:fldCharType="separate"/>
            </w:r>
            <w:r>
              <w:rPr>
                <w:noProof/>
                <w:webHidden/>
              </w:rPr>
              <w:t>3</w:t>
            </w:r>
            <w:r>
              <w:rPr>
                <w:noProof/>
                <w:webHidden/>
              </w:rPr>
              <w:fldChar w:fldCharType="end"/>
            </w:r>
          </w:hyperlink>
        </w:p>
        <w:p w14:paraId="382D2129" w14:textId="0631BBE8" w:rsidR="00CA4E46" w:rsidRDefault="000F1560">
          <w:pPr>
            <w:pStyle w:val="TOC3"/>
            <w:tabs>
              <w:tab w:val="right" w:leader="dot" w:pos="9350"/>
            </w:tabs>
            <w:rPr>
              <w:noProof/>
            </w:rPr>
          </w:pPr>
          <w:hyperlink w:anchor="_Toc149826033" w:history="1">
            <w:r w:rsidR="00CA4E46" w:rsidRPr="00574C3B">
              <w:rPr>
                <w:rStyle w:val="Hyperlink"/>
                <w:noProof/>
              </w:rPr>
              <w:t>1.1.2 Mission</w:t>
            </w:r>
            <w:r w:rsidR="00CA4E46">
              <w:rPr>
                <w:noProof/>
                <w:webHidden/>
              </w:rPr>
              <w:tab/>
            </w:r>
            <w:r w:rsidR="00CA4E46">
              <w:rPr>
                <w:noProof/>
                <w:webHidden/>
              </w:rPr>
              <w:fldChar w:fldCharType="begin"/>
            </w:r>
            <w:r w:rsidR="00CA4E46">
              <w:rPr>
                <w:noProof/>
                <w:webHidden/>
              </w:rPr>
              <w:instrText xml:space="preserve"> PAGEREF _Toc149826033 \h </w:instrText>
            </w:r>
            <w:r w:rsidR="00CA4E46">
              <w:rPr>
                <w:noProof/>
                <w:webHidden/>
              </w:rPr>
            </w:r>
            <w:r w:rsidR="00CA4E46">
              <w:rPr>
                <w:noProof/>
                <w:webHidden/>
              </w:rPr>
              <w:fldChar w:fldCharType="separate"/>
            </w:r>
            <w:r w:rsidR="00CA4E46">
              <w:rPr>
                <w:noProof/>
                <w:webHidden/>
              </w:rPr>
              <w:t>3</w:t>
            </w:r>
            <w:r w:rsidR="00CA4E46">
              <w:rPr>
                <w:noProof/>
                <w:webHidden/>
              </w:rPr>
              <w:fldChar w:fldCharType="end"/>
            </w:r>
          </w:hyperlink>
        </w:p>
        <w:p w14:paraId="365DEB7A" w14:textId="2A5A193F" w:rsidR="00CA4E46" w:rsidRDefault="000F1560">
          <w:pPr>
            <w:pStyle w:val="TOC1"/>
            <w:tabs>
              <w:tab w:val="right" w:leader="dot" w:pos="9350"/>
            </w:tabs>
            <w:rPr>
              <w:noProof/>
            </w:rPr>
          </w:pPr>
          <w:hyperlink w:anchor="_Toc149826034" w:history="1">
            <w:r w:rsidR="00CA4E46" w:rsidRPr="00574C3B">
              <w:rPr>
                <w:rStyle w:val="Hyperlink"/>
                <w:noProof/>
              </w:rPr>
              <w:t>1. Introduction</w:t>
            </w:r>
            <w:r w:rsidR="00CA4E46">
              <w:rPr>
                <w:noProof/>
                <w:webHidden/>
              </w:rPr>
              <w:tab/>
            </w:r>
            <w:r w:rsidR="00CA4E46">
              <w:rPr>
                <w:noProof/>
                <w:webHidden/>
              </w:rPr>
              <w:fldChar w:fldCharType="begin"/>
            </w:r>
            <w:r w:rsidR="00CA4E46">
              <w:rPr>
                <w:noProof/>
                <w:webHidden/>
              </w:rPr>
              <w:instrText xml:space="preserve"> PAGEREF _Toc149826034 \h </w:instrText>
            </w:r>
            <w:r w:rsidR="00CA4E46">
              <w:rPr>
                <w:noProof/>
                <w:webHidden/>
              </w:rPr>
            </w:r>
            <w:r w:rsidR="00CA4E46">
              <w:rPr>
                <w:noProof/>
                <w:webHidden/>
              </w:rPr>
              <w:fldChar w:fldCharType="separate"/>
            </w:r>
            <w:r w:rsidR="00CA4E46">
              <w:rPr>
                <w:noProof/>
                <w:webHidden/>
              </w:rPr>
              <w:t>7</w:t>
            </w:r>
            <w:r w:rsidR="00CA4E46">
              <w:rPr>
                <w:noProof/>
                <w:webHidden/>
              </w:rPr>
              <w:fldChar w:fldCharType="end"/>
            </w:r>
          </w:hyperlink>
        </w:p>
        <w:p w14:paraId="4C1F6908" w14:textId="72415717" w:rsidR="00CA4E46" w:rsidRDefault="000F1560">
          <w:pPr>
            <w:pStyle w:val="TOC2"/>
            <w:tabs>
              <w:tab w:val="right" w:leader="dot" w:pos="9350"/>
            </w:tabs>
            <w:rPr>
              <w:noProof/>
            </w:rPr>
          </w:pPr>
          <w:hyperlink w:anchor="_Toc149826035" w:history="1">
            <w:r w:rsidR="00CA4E46" w:rsidRPr="00574C3B">
              <w:rPr>
                <w:rStyle w:val="Hyperlink"/>
                <w:noProof/>
              </w:rPr>
              <w:t>1.1 Company Overview: EnGreen - Leading the Charge Towards Sustainable Energy</w:t>
            </w:r>
            <w:r w:rsidR="00CA4E46">
              <w:rPr>
                <w:noProof/>
                <w:webHidden/>
              </w:rPr>
              <w:tab/>
            </w:r>
            <w:r w:rsidR="00CA4E46">
              <w:rPr>
                <w:noProof/>
                <w:webHidden/>
              </w:rPr>
              <w:fldChar w:fldCharType="begin"/>
            </w:r>
            <w:r w:rsidR="00CA4E46">
              <w:rPr>
                <w:noProof/>
                <w:webHidden/>
              </w:rPr>
              <w:instrText xml:space="preserve"> PAGEREF _Toc149826035 \h </w:instrText>
            </w:r>
            <w:r w:rsidR="00CA4E46">
              <w:rPr>
                <w:noProof/>
                <w:webHidden/>
              </w:rPr>
            </w:r>
            <w:r w:rsidR="00CA4E46">
              <w:rPr>
                <w:noProof/>
                <w:webHidden/>
              </w:rPr>
              <w:fldChar w:fldCharType="separate"/>
            </w:r>
            <w:r w:rsidR="00CA4E46">
              <w:rPr>
                <w:noProof/>
                <w:webHidden/>
              </w:rPr>
              <w:t>7</w:t>
            </w:r>
            <w:r w:rsidR="00CA4E46">
              <w:rPr>
                <w:noProof/>
                <w:webHidden/>
              </w:rPr>
              <w:fldChar w:fldCharType="end"/>
            </w:r>
          </w:hyperlink>
        </w:p>
        <w:p w14:paraId="6C0D3D35" w14:textId="33B8C409" w:rsidR="00CA4E46" w:rsidRDefault="000F1560">
          <w:pPr>
            <w:pStyle w:val="TOC3"/>
            <w:tabs>
              <w:tab w:val="right" w:leader="dot" w:pos="9350"/>
            </w:tabs>
            <w:rPr>
              <w:noProof/>
            </w:rPr>
          </w:pPr>
          <w:hyperlink w:anchor="_Toc149826036" w:history="1">
            <w:r w:rsidR="00CA4E46" w:rsidRPr="00574C3B">
              <w:rPr>
                <w:rStyle w:val="Hyperlink"/>
                <w:noProof/>
              </w:rPr>
              <w:t>1.1.3 Values</w:t>
            </w:r>
            <w:r w:rsidR="00CA4E46">
              <w:rPr>
                <w:noProof/>
                <w:webHidden/>
              </w:rPr>
              <w:tab/>
            </w:r>
            <w:r w:rsidR="00CA4E46">
              <w:rPr>
                <w:noProof/>
                <w:webHidden/>
              </w:rPr>
              <w:fldChar w:fldCharType="begin"/>
            </w:r>
            <w:r w:rsidR="00CA4E46">
              <w:rPr>
                <w:noProof/>
                <w:webHidden/>
              </w:rPr>
              <w:instrText xml:space="preserve"> PAGEREF _Toc149826036 \h </w:instrText>
            </w:r>
            <w:r w:rsidR="00CA4E46">
              <w:rPr>
                <w:noProof/>
                <w:webHidden/>
              </w:rPr>
            </w:r>
            <w:r w:rsidR="00CA4E46">
              <w:rPr>
                <w:noProof/>
                <w:webHidden/>
              </w:rPr>
              <w:fldChar w:fldCharType="separate"/>
            </w:r>
            <w:r w:rsidR="00CA4E46">
              <w:rPr>
                <w:noProof/>
                <w:webHidden/>
              </w:rPr>
              <w:t>8</w:t>
            </w:r>
            <w:r w:rsidR="00CA4E46">
              <w:rPr>
                <w:noProof/>
                <w:webHidden/>
              </w:rPr>
              <w:fldChar w:fldCharType="end"/>
            </w:r>
          </w:hyperlink>
        </w:p>
        <w:p w14:paraId="52F20A45" w14:textId="19AE9B44" w:rsidR="00CA4E46" w:rsidRDefault="000F1560">
          <w:pPr>
            <w:pStyle w:val="TOC1"/>
            <w:tabs>
              <w:tab w:val="right" w:leader="dot" w:pos="9350"/>
            </w:tabs>
            <w:rPr>
              <w:noProof/>
            </w:rPr>
          </w:pPr>
          <w:hyperlink w:anchor="_Toc149826037" w:history="1">
            <w:r w:rsidR="00CA4E46" w:rsidRPr="00574C3B">
              <w:rPr>
                <w:rStyle w:val="Hyperlink"/>
                <w:noProof/>
              </w:rPr>
              <w:t>2. Business Idea (Product/Service)</w:t>
            </w:r>
            <w:r w:rsidR="00CA4E46">
              <w:rPr>
                <w:noProof/>
                <w:webHidden/>
              </w:rPr>
              <w:tab/>
            </w:r>
            <w:r w:rsidR="00CA4E46">
              <w:rPr>
                <w:noProof/>
                <w:webHidden/>
              </w:rPr>
              <w:fldChar w:fldCharType="begin"/>
            </w:r>
            <w:r w:rsidR="00CA4E46">
              <w:rPr>
                <w:noProof/>
                <w:webHidden/>
              </w:rPr>
              <w:instrText xml:space="preserve"> PAGEREF _Toc149826037 \h </w:instrText>
            </w:r>
            <w:r w:rsidR="00CA4E46">
              <w:rPr>
                <w:noProof/>
                <w:webHidden/>
              </w:rPr>
            </w:r>
            <w:r w:rsidR="00CA4E46">
              <w:rPr>
                <w:noProof/>
                <w:webHidden/>
              </w:rPr>
              <w:fldChar w:fldCharType="separate"/>
            </w:r>
            <w:r w:rsidR="00CA4E46">
              <w:rPr>
                <w:noProof/>
                <w:webHidden/>
              </w:rPr>
              <w:t>8</w:t>
            </w:r>
            <w:r w:rsidR="00CA4E46">
              <w:rPr>
                <w:noProof/>
                <w:webHidden/>
              </w:rPr>
              <w:fldChar w:fldCharType="end"/>
            </w:r>
          </w:hyperlink>
        </w:p>
        <w:p w14:paraId="2A80E830" w14:textId="5E027FF9" w:rsidR="00CA4E46" w:rsidRDefault="000F1560">
          <w:pPr>
            <w:pStyle w:val="TOC2"/>
            <w:tabs>
              <w:tab w:val="right" w:leader="dot" w:pos="9350"/>
            </w:tabs>
            <w:rPr>
              <w:noProof/>
            </w:rPr>
          </w:pPr>
          <w:hyperlink w:anchor="_Toc149826038" w:history="1">
            <w:r w:rsidR="00CA4E46" w:rsidRPr="00574C3B">
              <w:rPr>
                <w:rStyle w:val="Hyperlink"/>
                <w:noProof/>
              </w:rPr>
              <w:t>2.1 EnGreen's Renewable Energy Solutions</w:t>
            </w:r>
            <w:r w:rsidR="00CA4E46">
              <w:rPr>
                <w:noProof/>
                <w:webHidden/>
              </w:rPr>
              <w:tab/>
            </w:r>
            <w:r w:rsidR="00CA4E46">
              <w:rPr>
                <w:noProof/>
                <w:webHidden/>
              </w:rPr>
              <w:fldChar w:fldCharType="begin"/>
            </w:r>
            <w:r w:rsidR="00CA4E46">
              <w:rPr>
                <w:noProof/>
                <w:webHidden/>
              </w:rPr>
              <w:instrText xml:space="preserve"> PAGEREF _Toc149826038 \h </w:instrText>
            </w:r>
            <w:r w:rsidR="00CA4E46">
              <w:rPr>
                <w:noProof/>
                <w:webHidden/>
              </w:rPr>
            </w:r>
            <w:r w:rsidR="00CA4E46">
              <w:rPr>
                <w:noProof/>
                <w:webHidden/>
              </w:rPr>
              <w:fldChar w:fldCharType="separate"/>
            </w:r>
            <w:r w:rsidR="00CA4E46">
              <w:rPr>
                <w:noProof/>
                <w:webHidden/>
              </w:rPr>
              <w:t>8</w:t>
            </w:r>
            <w:r w:rsidR="00CA4E46">
              <w:rPr>
                <w:noProof/>
                <w:webHidden/>
              </w:rPr>
              <w:fldChar w:fldCharType="end"/>
            </w:r>
          </w:hyperlink>
        </w:p>
        <w:p w14:paraId="2E583B3A" w14:textId="48370A6C" w:rsidR="00CA4E46" w:rsidRDefault="000F1560">
          <w:pPr>
            <w:pStyle w:val="TOC2"/>
            <w:tabs>
              <w:tab w:val="right" w:leader="dot" w:pos="9350"/>
            </w:tabs>
            <w:rPr>
              <w:noProof/>
            </w:rPr>
          </w:pPr>
          <w:hyperlink w:anchor="_Toc149826039" w:history="1">
            <w:r w:rsidR="00CA4E46" w:rsidRPr="00574C3B">
              <w:rPr>
                <w:rStyle w:val="Hyperlink"/>
                <w:noProof/>
              </w:rPr>
              <w:t>2.2 Addressing the Global Need for Sustainable Energy</w:t>
            </w:r>
            <w:r w:rsidR="00CA4E46">
              <w:rPr>
                <w:noProof/>
                <w:webHidden/>
              </w:rPr>
              <w:tab/>
            </w:r>
            <w:r w:rsidR="00CA4E46">
              <w:rPr>
                <w:noProof/>
                <w:webHidden/>
              </w:rPr>
              <w:fldChar w:fldCharType="begin"/>
            </w:r>
            <w:r w:rsidR="00CA4E46">
              <w:rPr>
                <w:noProof/>
                <w:webHidden/>
              </w:rPr>
              <w:instrText xml:space="preserve"> PAGEREF _Toc149826039 \h </w:instrText>
            </w:r>
            <w:r w:rsidR="00CA4E46">
              <w:rPr>
                <w:noProof/>
                <w:webHidden/>
              </w:rPr>
            </w:r>
            <w:r w:rsidR="00CA4E46">
              <w:rPr>
                <w:noProof/>
                <w:webHidden/>
              </w:rPr>
              <w:fldChar w:fldCharType="separate"/>
            </w:r>
            <w:r w:rsidR="00CA4E46">
              <w:rPr>
                <w:noProof/>
                <w:webHidden/>
              </w:rPr>
              <w:t>9</w:t>
            </w:r>
            <w:r w:rsidR="00CA4E46">
              <w:rPr>
                <w:noProof/>
                <w:webHidden/>
              </w:rPr>
              <w:fldChar w:fldCharType="end"/>
            </w:r>
          </w:hyperlink>
        </w:p>
        <w:p w14:paraId="09E4E5FB" w14:textId="5AC13D1D" w:rsidR="00CA4E46" w:rsidRDefault="000F1560">
          <w:pPr>
            <w:pStyle w:val="TOC1"/>
            <w:tabs>
              <w:tab w:val="right" w:leader="dot" w:pos="9350"/>
            </w:tabs>
            <w:rPr>
              <w:noProof/>
            </w:rPr>
          </w:pPr>
          <w:hyperlink w:anchor="_Toc149826040" w:history="1">
            <w:r w:rsidR="00CA4E46" w:rsidRPr="00574C3B">
              <w:rPr>
                <w:rStyle w:val="Hyperlink"/>
                <w:noProof/>
              </w:rPr>
              <w:t>3. Identifying Market Gap and Addressing It</w:t>
            </w:r>
            <w:r w:rsidR="00CA4E46">
              <w:rPr>
                <w:noProof/>
                <w:webHidden/>
              </w:rPr>
              <w:tab/>
            </w:r>
            <w:r w:rsidR="00CA4E46">
              <w:rPr>
                <w:noProof/>
                <w:webHidden/>
              </w:rPr>
              <w:fldChar w:fldCharType="begin"/>
            </w:r>
            <w:r w:rsidR="00CA4E46">
              <w:rPr>
                <w:noProof/>
                <w:webHidden/>
              </w:rPr>
              <w:instrText xml:space="preserve"> PAGEREF _Toc149826040 \h </w:instrText>
            </w:r>
            <w:r w:rsidR="00CA4E46">
              <w:rPr>
                <w:noProof/>
                <w:webHidden/>
              </w:rPr>
            </w:r>
            <w:r w:rsidR="00CA4E46">
              <w:rPr>
                <w:noProof/>
                <w:webHidden/>
              </w:rPr>
              <w:fldChar w:fldCharType="separate"/>
            </w:r>
            <w:r w:rsidR="00CA4E46">
              <w:rPr>
                <w:noProof/>
                <w:webHidden/>
              </w:rPr>
              <w:t>9</w:t>
            </w:r>
            <w:r w:rsidR="00CA4E46">
              <w:rPr>
                <w:noProof/>
                <w:webHidden/>
              </w:rPr>
              <w:fldChar w:fldCharType="end"/>
            </w:r>
          </w:hyperlink>
        </w:p>
        <w:p w14:paraId="2D5793B8" w14:textId="57DD4F45" w:rsidR="00CA4E46" w:rsidRDefault="000F1560">
          <w:pPr>
            <w:pStyle w:val="TOC2"/>
            <w:tabs>
              <w:tab w:val="right" w:leader="dot" w:pos="9350"/>
            </w:tabs>
            <w:rPr>
              <w:noProof/>
            </w:rPr>
          </w:pPr>
          <w:hyperlink w:anchor="_Toc149826041" w:history="1">
            <w:r w:rsidR="00CA4E46" w:rsidRPr="00574C3B">
              <w:rPr>
                <w:rStyle w:val="Hyperlink"/>
                <w:noProof/>
              </w:rPr>
              <w:t>3.1 The Market Gap for Renewable Energy</w:t>
            </w:r>
            <w:r w:rsidR="00CA4E46">
              <w:rPr>
                <w:noProof/>
                <w:webHidden/>
              </w:rPr>
              <w:tab/>
            </w:r>
            <w:r w:rsidR="00CA4E46">
              <w:rPr>
                <w:noProof/>
                <w:webHidden/>
              </w:rPr>
              <w:fldChar w:fldCharType="begin"/>
            </w:r>
            <w:r w:rsidR="00CA4E46">
              <w:rPr>
                <w:noProof/>
                <w:webHidden/>
              </w:rPr>
              <w:instrText xml:space="preserve"> PAGEREF _Toc149826041 \h </w:instrText>
            </w:r>
            <w:r w:rsidR="00CA4E46">
              <w:rPr>
                <w:noProof/>
                <w:webHidden/>
              </w:rPr>
            </w:r>
            <w:r w:rsidR="00CA4E46">
              <w:rPr>
                <w:noProof/>
                <w:webHidden/>
              </w:rPr>
              <w:fldChar w:fldCharType="separate"/>
            </w:r>
            <w:r w:rsidR="00CA4E46">
              <w:rPr>
                <w:noProof/>
                <w:webHidden/>
              </w:rPr>
              <w:t>9</w:t>
            </w:r>
            <w:r w:rsidR="00CA4E46">
              <w:rPr>
                <w:noProof/>
                <w:webHidden/>
              </w:rPr>
              <w:fldChar w:fldCharType="end"/>
            </w:r>
          </w:hyperlink>
        </w:p>
        <w:p w14:paraId="13CAC2E7" w14:textId="6ECC68DA" w:rsidR="00CA4E46" w:rsidRDefault="000F1560">
          <w:pPr>
            <w:pStyle w:val="TOC2"/>
            <w:tabs>
              <w:tab w:val="right" w:leader="dot" w:pos="9350"/>
            </w:tabs>
            <w:rPr>
              <w:noProof/>
            </w:rPr>
          </w:pPr>
          <w:hyperlink w:anchor="_Toc149826042" w:history="1">
            <w:r w:rsidR="00CA4E46" w:rsidRPr="00574C3B">
              <w:rPr>
                <w:rStyle w:val="Hyperlink"/>
                <w:noProof/>
              </w:rPr>
              <w:t>3.2 EnGreen's Approach to Bridging the Gap</w:t>
            </w:r>
            <w:r w:rsidR="00CA4E46">
              <w:rPr>
                <w:noProof/>
                <w:webHidden/>
              </w:rPr>
              <w:tab/>
            </w:r>
            <w:r w:rsidR="00CA4E46">
              <w:rPr>
                <w:noProof/>
                <w:webHidden/>
              </w:rPr>
              <w:fldChar w:fldCharType="begin"/>
            </w:r>
            <w:r w:rsidR="00CA4E46">
              <w:rPr>
                <w:noProof/>
                <w:webHidden/>
              </w:rPr>
              <w:instrText xml:space="preserve"> PAGEREF _Toc149826042 \h </w:instrText>
            </w:r>
            <w:r w:rsidR="00CA4E46">
              <w:rPr>
                <w:noProof/>
                <w:webHidden/>
              </w:rPr>
            </w:r>
            <w:r w:rsidR="00CA4E46">
              <w:rPr>
                <w:noProof/>
                <w:webHidden/>
              </w:rPr>
              <w:fldChar w:fldCharType="separate"/>
            </w:r>
            <w:r w:rsidR="00CA4E46">
              <w:rPr>
                <w:noProof/>
                <w:webHidden/>
              </w:rPr>
              <w:t>10</w:t>
            </w:r>
            <w:r w:rsidR="00CA4E46">
              <w:rPr>
                <w:noProof/>
                <w:webHidden/>
              </w:rPr>
              <w:fldChar w:fldCharType="end"/>
            </w:r>
          </w:hyperlink>
        </w:p>
        <w:p w14:paraId="64A3CF37" w14:textId="370C2EFA" w:rsidR="00CA4E46" w:rsidRDefault="000F1560">
          <w:pPr>
            <w:pStyle w:val="TOC1"/>
            <w:tabs>
              <w:tab w:val="right" w:leader="dot" w:pos="9350"/>
            </w:tabs>
            <w:rPr>
              <w:noProof/>
            </w:rPr>
          </w:pPr>
          <w:hyperlink w:anchor="_Toc149826043" w:history="1">
            <w:r w:rsidR="00CA4E46" w:rsidRPr="00574C3B">
              <w:rPr>
                <w:rStyle w:val="Hyperlink"/>
                <w:noProof/>
              </w:rPr>
              <w:t>4. Business Location and Legal Entity</w:t>
            </w:r>
            <w:r w:rsidR="00CA4E46">
              <w:rPr>
                <w:noProof/>
                <w:webHidden/>
              </w:rPr>
              <w:tab/>
            </w:r>
            <w:r w:rsidR="00CA4E46">
              <w:rPr>
                <w:noProof/>
                <w:webHidden/>
              </w:rPr>
              <w:fldChar w:fldCharType="begin"/>
            </w:r>
            <w:r w:rsidR="00CA4E46">
              <w:rPr>
                <w:noProof/>
                <w:webHidden/>
              </w:rPr>
              <w:instrText xml:space="preserve"> PAGEREF _Toc149826043 \h </w:instrText>
            </w:r>
            <w:r w:rsidR="00CA4E46">
              <w:rPr>
                <w:noProof/>
                <w:webHidden/>
              </w:rPr>
            </w:r>
            <w:r w:rsidR="00CA4E46">
              <w:rPr>
                <w:noProof/>
                <w:webHidden/>
              </w:rPr>
              <w:fldChar w:fldCharType="separate"/>
            </w:r>
            <w:r w:rsidR="00CA4E46">
              <w:rPr>
                <w:noProof/>
                <w:webHidden/>
              </w:rPr>
              <w:t>11</w:t>
            </w:r>
            <w:r w:rsidR="00CA4E46">
              <w:rPr>
                <w:noProof/>
                <w:webHidden/>
              </w:rPr>
              <w:fldChar w:fldCharType="end"/>
            </w:r>
          </w:hyperlink>
        </w:p>
        <w:p w14:paraId="7B514CC4" w14:textId="6FE50C97" w:rsidR="00CA4E46" w:rsidRDefault="000F1560">
          <w:pPr>
            <w:pStyle w:val="TOC2"/>
            <w:tabs>
              <w:tab w:val="right" w:leader="dot" w:pos="9350"/>
            </w:tabs>
            <w:rPr>
              <w:noProof/>
            </w:rPr>
          </w:pPr>
          <w:hyperlink w:anchor="_Toc149826044" w:history="1">
            <w:r w:rsidR="00CA4E46" w:rsidRPr="00574C3B">
              <w:rPr>
                <w:rStyle w:val="Hyperlink"/>
                <w:noProof/>
              </w:rPr>
              <w:t>4.1 Choice of Location</w:t>
            </w:r>
            <w:r w:rsidR="00CA4E46">
              <w:rPr>
                <w:noProof/>
                <w:webHidden/>
              </w:rPr>
              <w:tab/>
            </w:r>
            <w:r w:rsidR="00CA4E46">
              <w:rPr>
                <w:noProof/>
                <w:webHidden/>
              </w:rPr>
              <w:fldChar w:fldCharType="begin"/>
            </w:r>
            <w:r w:rsidR="00CA4E46">
              <w:rPr>
                <w:noProof/>
                <w:webHidden/>
              </w:rPr>
              <w:instrText xml:space="preserve"> PAGEREF _Toc149826044 \h </w:instrText>
            </w:r>
            <w:r w:rsidR="00CA4E46">
              <w:rPr>
                <w:noProof/>
                <w:webHidden/>
              </w:rPr>
            </w:r>
            <w:r w:rsidR="00CA4E46">
              <w:rPr>
                <w:noProof/>
                <w:webHidden/>
              </w:rPr>
              <w:fldChar w:fldCharType="separate"/>
            </w:r>
            <w:r w:rsidR="00CA4E46">
              <w:rPr>
                <w:noProof/>
                <w:webHidden/>
              </w:rPr>
              <w:t>11</w:t>
            </w:r>
            <w:r w:rsidR="00CA4E46">
              <w:rPr>
                <w:noProof/>
                <w:webHidden/>
              </w:rPr>
              <w:fldChar w:fldCharType="end"/>
            </w:r>
          </w:hyperlink>
        </w:p>
        <w:p w14:paraId="78FAE898" w14:textId="37F3C584" w:rsidR="00CA4E46" w:rsidRDefault="000F1560">
          <w:pPr>
            <w:pStyle w:val="TOC2"/>
            <w:tabs>
              <w:tab w:val="right" w:leader="dot" w:pos="9350"/>
            </w:tabs>
            <w:rPr>
              <w:noProof/>
            </w:rPr>
          </w:pPr>
          <w:hyperlink w:anchor="_Toc149826045" w:history="1">
            <w:r w:rsidR="00CA4E46" w:rsidRPr="00574C3B">
              <w:rPr>
                <w:rStyle w:val="Hyperlink"/>
                <w:noProof/>
              </w:rPr>
              <w:t>4.2 Legal Structure and Justification</w:t>
            </w:r>
            <w:r w:rsidR="00CA4E46">
              <w:rPr>
                <w:noProof/>
                <w:webHidden/>
              </w:rPr>
              <w:tab/>
            </w:r>
            <w:r w:rsidR="00CA4E46">
              <w:rPr>
                <w:noProof/>
                <w:webHidden/>
              </w:rPr>
              <w:fldChar w:fldCharType="begin"/>
            </w:r>
            <w:r w:rsidR="00CA4E46">
              <w:rPr>
                <w:noProof/>
                <w:webHidden/>
              </w:rPr>
              <w:instrText xml:space="preserve"> PAGEREF _Toc149826045 \h </w:instrText>
            </w:r>
            <w:r w:rsidR="00CA4E46">
              <w:rPr>
                <w:noProof/>
                <w:webHidden/>
              </w:rPr>
            </w:r>
            <w:r w:rsidR="00CA4E46">
              <w:rPr>
                <w:noProof/>
                <w:webHidden/>
              </w:rPr>
              <w:fldChar w:fldCharType="separate"/>
            </w:r>
            <w:r w:rsidR="00CA4E46">
              <w:rPr>
                <w:noProof/>
                <w:webHidden/>
              </w:rPr>
              <w:t>12</w:t>
            </w:r>
            <w:r w:rsidR="00CA4E46">
              <w:rPr>
                <w:noProof/>
                <w:webHidden/>
              </w:rPr>
              <w:fldChar w:fldCharType="end"/>
            </w:r>
          </w:hyperlink>
        </w:p>
        <w:p w14:paraId="4CBA16EA" w14:textId="0162D0A8" w:rsidR="00CA4E46" w:rsidRDefault="000F1560">
          <w:pPr>
            <w:pStyle w:val="TOC1"/>
            <w:tabs>
              <w:tab w:val="right" w:leader="dot" w:pos="9350"/>
            </w:tabs>
            <w:rPr>
              <w:noProof/>
            </w:rPr>
          </w:pPr>
          <w:hyperlink w:anchor="_Toc149826046" w:history="1">
            <w:r w:rsidR="00CA4E46">
              <w:rPr>
                <w:noProof/>
                <w:webHidden/>
              </w:rPr>
              <w:tab/>
            </w:r>
            <w:r w:rsidR="00CA4E46">
              <w:rPr>
                <w:noProof/>
                <w:webHidden/>
              </w:rPr>
              <w:fldChar w:fldCharType="begin"/>
            </w:r>
            <w:r w:rsidR="00CA4E46">
              <w:rPr>
                <w:noProof/>
                <w:webHidden/>
              </w:rPr>
              <w:instrText xml:space="preserve"> PAGEREF _Toc149826046 \h </w:instrText>
            </w:r>
            <w:r w:rsidR="00CA4E46">
              <w:rPr>
                <w:noProof/>
                <w:webHidden/>
              </w:rPr>
            </w:r>
            <w:r w:rsidR="00CA4E46">
              <w:rPr>
                <w:noProof/>
                <w:webHidden/>
              </w:rPr>
              <w:fldChar w:fldCharType="separate"/>
            </w:r>
            <w:r w:rsidR="00CA4E46">
              <w:rPr>
                <w:noProof/>
                <w:webHidden/>
              </w:rPr>
              <w:t>13</w:t>
            </w:r>
            <w:r w:rsidR="00CA4E46">
              <w:rPr>
                <w:noProof/>
                <w:webHidden/>
              </w:rPr>
              <w:fldChar w:fldCharType="end"/>
            </w:r>
          </w:hyperlink>
        </w:p>
        <w:p w14:paraId="1A0DE70D" w14:textId="09EEA658" w:rsidR="00CA4E46" w:rsidRDefault="000F1560">
          <w:pPr>
            <w:pStyle w:val="TOC1"/>
            <w:tabs>
              <w:tab w:val="right" w:leader="dot" w:pos="9350"/>
            </w:tabs>
            <w:rPr>
              <w:noProof/>
            </w:rPr>
          </w:pPr>
          <w:hyperlink w:anchor="_Toc149826047" w:history="1">
            <w:r w:rsidR="00CA4E46" w:rsidRPr="00574C3B">
              <w:rPr>
                <w:rStyle w:val="Hyperlink"/>
                <w:noProof/>
              </w:rPr>
              <w:t>5. SWOT ANALYSIS</w:t>
            </w:r>
            <w:r w:rsidR="00CA4E46">
              <w:rPr>
                <w:noProof/>
                <w:webHidden/>
              </w:rPr>
              <w:tab/>
            </w:r>
            <w:r w:rsidR="00CA4E46">
              <w:rPr>
                <w:noProof/>
                <w:webHidden/>
              </w:rPr>
              <w:fldChar w:fldCharType="begin"/>
            </w:r>
            <w:r w:rsidR="00CA4E46">
              <w:rPr>
                <w:noProof/>
                <w:webHidden/>
              </w:rPr>
              <w:instrText xml:space="preserve"> PAGEREF _Toc149826047 \h </w:instrText>
            </w:r>
            <w:r w:rsidR="00CA4E46">
              <w:rPr>
                <w:noProof/>
                <w:webHidden/>
              </w:rPr>
            </w:r>
            <w:r w:rsidR="00CA4E46">
              <w:rPr>
                <w:noProof/>
                <w:webHidden/>
              </w:rPr>
              <w:fldChar w:fldCharType="separate"/>
            </w:r>
            <w:r w:rsidR="00CA4E46">
              <w:rPr>
                <w:noProof/>
                <w:webHidden/>
              </w:rPr>
              <w:t>13</w:t>
            </w:r>
            <w:r w:rsidR="00CA4E46">
              <w:rPr>
                <w:noProof/>
                <w:webHidden/>
              </w:rPr>
              <w:fldChar w:fldCharType="end"/>
            </w:r>
          </w:hyperlink>
        </w:p>
        <w:p w14:paraId="2265A19C" w14:textId="25797221" w:rsidR="00CA4E46" w:rsidRDefault="000F1560">
          <w:pPr>
            <w:pStyle w:val="TOC1"/>
            <w:tabs>
              <w:tab w:val="right" w:leader="dot" w:pos="9350"/>
            </w:tabs>
            <w:rPr>
              <w:noProof/>
            </w:rPr>
          </w:pPr>
          <w:hyperlink w:anchor="_Toc149826048" w:history="1">
            <w:r w:rsidR="00CA4E46" w:rsidRPr="00574C3B">
              <w:rPr>
                <w:rStyle w:val="Hyperlink"/>
                <w:noProof/>
              </w:rPr>
              <w:t>6. Target Market and Strategies</w:t>
            </w:r>
            <w:r w:rsidR="00CA4E46">
              <w:rPr>
                <w:noProof/>
                <w:webHidden/>
              </w:rPr>
              <w:tab/>
            </w:r>
            <w:r w:rsidR="00CA4E46">
              <w:rPr>
                <w:noProof/>
                <w:webHidden/>
              </w:rPr>
              <w:fldChar w:fldCharType="begin"/>
            </w:r>
            <w:r w:rsidR="00CA4E46">
              <w:rPr>
                <w:noProof/>
                <w:webHidden/>
              </w:rPr>
              <w:instrText xml:space="preserve"> PAGEREF _Toc149826048 \h </w:instrText>
            </w:r>
            <w:r w:rsidR="00CA4E46">
              <w:rPr>
                <w:noProof/>
                <w:webHidden/>
              </w:rPr>
            </w:r>
            <w:r w:rsidR="00CA4E46">
              <w:rPr>
                <w:noProof/>
                <w:webHidden/>
              </w:rPr>
              <w:fldChar w:fldCharType="separate"/>
            </w:r>
            <w:r w:rsidR="00CA4E46">
              <w:rPr>
                <w:noProof/>
                <w:webHidden/>
              </w:rPr>
              <w:t>16</w:t>
            </w:r>
            <w:r w:rsidR="00CA4E46">
              <w:rPr>
                <w:noProof/>
                <w:webHidden/>
              </w:rPr>
              <w:fldChar w:fldCharType="end"/>
            </w:r>
          </w:hyperlink>
        </w:p>
        <w:p w14:paraId="2FF5A6E1" w14:textId="7E108B06" w:rsidR="00CA4E46" w:rsidRDefault="000F1560">
          <w:pPr>
            <w:pStyle w:val="TOC2"/>
            <w:tabs>
              <w:tab w:val="right" w:leader="dot" w:pos="9350"/>
            </w:tabs>
            <w:rPr>
              <w:noProof/>
            </w:rPr>
          </w:pPr>
          <w:hyperlink w:anchor="_Toc149826049" w:history="1">
            <w:r w:rsidR="00CA4E46" w:rsidRPr="00574C3B">
              <w:rPr>
                <w:rStyle w:val="Hyperlink"/>
                <w:noProof/>
              </w:rPr>
              <w:t>6.1 Identifying the Target Market</w:t>
            </w:r>
            <w:r w:rsidR="00CA4E46">
              <w:rPr>
                <w:noProof/>
                <w:webHidden/>
              </w:rPr>
              <w:tab/>
            </w:r>
            <w:r w:rsidR="00CA4E46">
              <w:rPr>
                <w:noProof/>
                <w:webHidden/>
              </w:rPr>
              <w:fldChar w:fldCharType="begin"/>
            </w:r>
            <w:r w:rsidR="00CA4E46">
              <w:rPr>
                <w:noProof/>
                <w:webHidden/>
              </w:rPr>
              <w:instrText xml:space="preserve"> PAGEREF _Toc149826049 \h </w:instrText>
            </w:r>
            <w:r w:rsidR="00CA4E46">
              <w:rPr>
                <w:noProof/>
                <w:webHidden/>
              </w:rPr>
            </w:r>
            <w:r w:rsidR="00CA4E46">
              <w:rPr>
                <w:noProof/>
                <w:webHidden/>
              </w:rPr>
              <w:fldChar w:fldCharType="separate"/>
            </w:r>
            <w:r w:rsidR="00CA4E46">
              <w:rPr>
                <w:noProof/>
                <w:webHidden/>
              </w:rPr>
              <w:t>16</w:t>
            </w:r>
            <w:r w:rsidR="00CA4E46">
              <w:rPr>
                <w:noProof/>
                <w:webHidden/>
              </w:rPr>
              <w:fldChar w:fldCharType="end"/>
            </w:r>
          </w:hyperlink>
        </w:p>
        <w:p w14:paraId="7E0FCAF8" w14:textId="42EF1D2A" w:rsidR="00CA4E46" w:rsidRDefault="000F1560">
          <w:pPr>
            <w:pStyle w:val="TOC2"/>
            <w:tabs>
              <w:tab w:val="right" w:leader="dot" w:pos="9350"/>
            </w:tabs>
            <w:rPr>
              <w:noProof/>
            </w:rPr>
          </w:pPr>
          <w:hyperlink w:anchor="_Toc149826050" w:history="1">
            <w:r w:rsidR="00CA4E46" w:rsidRPr="00574C3B">
              <w:rPr>
                <w:rStyle w:val="Hyperlink"/>
                <w:noProof/>
              </w:rPr>
              <w:t>6.2 Market Capture Strategies</w:t>
            </w:r>
            <w:r w:rsidR="00CA4E46">
              <w:rPr>
                <w:noProof/>
                <w:webHidden/>
              </w:rPr>
              <w:tab/>
            </w:r>
            <w:r w:rsidR="00CA4E46">
              <w:rPr>
                <w:noProof/>
                <w:webHidden/>
              </w:rPr>
              <w:fldChar w:fldCharType="begin"/>
            </w:r>
            <w:r w:rsidR="00CA4E46">
              <w:rPr>
                <w:noProof/>
                <w:webHidden/>
              </w:rPr>
              <w:instrText xml:space="preserve"> PAGEREF _Toc149826050 \h </w:instrText>
            </w:r>
            <w:r w:rsidR="00CA4E46">
              <w:rPr>
                <w:noProof/>
                <w:webHidden/>
              </w:rPr>
            </w:r>
            <w:r w:rsidR="00CA4E46">
              <w:rPr>
                <w:noProof/>
                <w:webHidden/>
              </w:rPr>
              <w:fldChar w:fldCharType="separate"/>
            </w:r>
            <w:r w:rsidR="00CA4E46">
              <w:rPr>
                <w:noProof/>
                <w:webHidden/>
              </w:rPr>
              <w:t>17</w:t>
            </w:r>
            <w:r w:rsidR="00CA4E46">
              <w:rPr>
                <w:noProof/>
                <w:webHidden/>
              </w:rPr>
              <w:fldChar w:fldCharType="end"/>
            </w:r>
          </w:hyperlink>
        </w:p>
        <w:p w14:paraId="3EEA8601" w14:textId="3DEDBCD1" w:rsidR="00CA4E46" w:rsidRDefault="000F1560">
          <w:pPr>
            <w:pStyle w:val="TOC1"/>
            <w:tabs>
              <w:tab w:val="right" w:leader="dot" w:pos="9350"/>
            </w:tabs>
            <w:rPr>
              <w:noProof/>
            </w:rPr>
          </w:pPr>
          <w:hyperlink w:anchor="_Toc149826051" w:history="1">
            <w:r w:rsidR="00CA4E46" w:rsidRPr="00574C3B">
              <w:rPr>
                <w:rStyle w:val="Hyperlink"/>
                <w:noProof/>
              </w:rPr>
              <w:t>7. Budgeting and Funding</w:t>
            </w:r>
            <w:r w:rsidR="00CA4E46">
              <w:rPr>
                <w:noProof/>
                <w:webHidden/>
              </w:rPr>
              <w:tab/>
            </w:r>
            <w:r w:rsidR="00CA4E46">
              <w:rPr>
                <w:noProof/>
                <w:webHidden/>
              </w:rPr>
              <w:fldChar w:fldCharType="begin"/>
            </w:r>
            <w:r w:rsidR="00CA4E46">
              <w:rPr>
                <w:noProof/>
                <w:webHidden/>
              </w:rPr>
              <w:instrText xml:space="preserve"> PAGEREF _Toc149826051 \h </w:instrText>
            </w:r>
            <w:r w:rsidR="00CA4E46">
              <w:rPr>
                <w:noProof/>
                <w:webHidden/>
              </w:rPr>
            </w:r>
            <w:r w:rsidR="00CA4E46">
              <w:rPr>
                <w:noProof/>
                <w:webHidden/>
              </w:rPr>
              <w:fldChar w:fldCharType="separate"/>
            </w:r>
            <w:r w:rsidR="00CA4E46">
              <w:rPr>
                <w:noProof/>
                <w:webHidden/>
              </w:rPr>
              <w:t>18</w:t>
            </w:r>
            <w:r w:rsidR="00CA4E46">
              <w:rPr>
                <w:noProof/>
                <w:webHidden/>
              </w:rPr>
              <w:fldChar w:fldCharType="end"/>
            </w:r>
          </w:hyperlink>
        </w:p>
        <w:p w14:paraId="46239C38" w14:textId="0C28277D" w:rsidR="00CA4E46" w:rsidRDefault="000F1560">
          <w:pPr>
            <w:pStyle w:val="TOC2"/>
            <w:tabs>
              <w:tab w:val="right" w:leader="dot" w:pos="9350"/>
            </w:tabs>
            <w:rPr>
              <w:noProof/>
            </w:rPr>
          </w:pPr>
          <w:hyperlink w:anchor="_Toc149826052" w:history="1">
            <w:r w:rsidR="00CA4E46" w:rsidRPr="00574C3B">
              <w:rPr>
                <w:rStyle w:val="Hyperlink"/>
                <w:noProof/>
              </w:rPr>
              <w:t>7.1 Financial Plan</w:t>
            </w:r>
            <w:r w:rsidR="00CA4E46">
              <w:rPr>
                <w:noProof/>
                <w:webHidden/>
              </w:rPr>
              <w:tab/>
            </w:r>
            <w:r w:rsidR="00CA4E46">
              <w:rPr>
                <w:noProof/>
                <w:webHidden/>
              </w:rPr>
              <w:fldChar w:fldCharType="begin"/>
            </w:r>
            <w:r w:rsidR="00CA4E46">
              <w:rPr>
                <w:noProof/>
                <w:webHidden/>
              </w:rPr>
              <w:instrText xml:space="preserve"> PAGEREF _Toc149826052 \h </w:instrText>
            </w:r>
            <w:r w:rsidR="00CA4E46">
              <w:rPr>
                <w:noProof/>
                <w:webHidden/>
              </w:rPr>
            </w:r>
            <w:r w:rsidR="00CA4E46">
              <w:rPr>
                <w:noProof/>
                <w:webHidden/>
              </w:rPr>
              <w:fldChar w:fldCharType="separate"/>
            </w:r>
            <w:r w:rsidR="00CA4E46">
              <w:rPr>
                <w:noProof/>
                <w:webHidden/>
              </w:rPr>
              <w:t>18</w:t>
            </w:r>
            <w:r w:rsidR="00CA4E46">
              <w:rPr>
                <w:noProof/>
                <w:webHidden/>
              </w:rPr>
              <w:fldChar w:fldCharType="end"/>
            </w:r>
          </w:hyperlink>
        </w:p>
        <w:p w14:paraId="5F2CF199" w14:textId="7018B611" w:rsidR="00CA4E46" w:rsidRDefault="000F1560">
          <w:pPr>
            <w:pStyle w:val="TOC3"/>
            <w:tabs>
              <w:tab w:val="right" w:leader="dot" w:pos="9350"/>
            </w:tabs>
            <w:rPr>
              <w:noProof/>
            </w:rPr>
          </w:pPr>
          <w:hyperlink w:anchor="_Toc149826053" w:history="1">
            <w:r w:rsidR="00CA4E46" w:rsidRPr="00574C3B">
              <w:rPr>
                <w:rStyle w:val="Hyperlink"/>
                <w:noProof/>
              </w:rPr>
              <w:t>Financial Projections Table (Time Horizon: 2023-2027)</w:t>
            </w:r>
            <w:r w:rsidR="00CA4E46">
              <w:rPr>
                <w:noProof/>
                <w:webHidden/>
              </w:rPr>
              <w:tab/>
            </w:r>
            <w:r w:rsidR="00CA4E46">
              <w:rPr>
                <w:noProof/>
                <w:webHidden/>
              </w:rPr>
              <w:fldChar w:fldCharType="begin"/>
            </w:r>
            <w:r w:rsidR="00CA4E46">
              <w:rPr>
                <w:noProof/>
                <w:webHidden/>
              </w:rPr>
              <w:instrText xml:space="preserve"> PAGEREF _Toc149826053 \h </w:instrText>
            </w:r>
            <w:r w:rsidR="00CA4E46">
              <w:rPr>
                <w:noProof/>
                <w:webHidden/>
              </w:rPr>
            </w:r>
            <w:r w:rsidR="00CA4E46">
              <w:rPr>
                <w:noProof/>
                <w:webHidden/>
              </w:rPr>
              <w:fldChar w:fldCharType="separate"/>
            </w:r>
            <w:r w:rsidR="00CA4E46">
              <w:rPr>
                <w:noProof/>
                <w:webHidden/>
              </w:rPr>
              <w:t>18</w:t>
            </w:r>
            <w:r w:rsidR="00CA4E46">
              <w:rPr>
                <w:noProof/>
                <w:webHidden/>
              </w:rPr>
              <w:fldChar w:fldCharType="end"/>
            </w:r>
          </w:hyperlink>
        </w:p>
        <w:p w14:paraId="5A3D71F1" w14:textId="6AF67484" w:rsidR="00CA4E46" w:rsidRDefault="000F1560">
          <w:pPr>
            <w:pStyle w:val="TOC2"/>
            <w:tabs>
              <w:tab w:val="right" w:leader="dot" w:pos="9350"/>
            </w:tabs>
            <w:rPr>
              <w:noProof/>
            </w:rPr>
          </w:pPr>
          <w:hyperlink w:anchor="_Toc149826054" w:history="1">
            <w:r w:rsidR="00CA4E46" w:rsidRPr="00574C3B">
              <w:rPr>
                <w:rStyle w:val="Hyperlink"/>
                <w:noProof/>
              </w:rPr>
              <w:t>7.2 Funding Requirements</w:t>
            </w:r>
            <w:r w:rsidR="00CA4E46">
              <w:rPr>
                <w:noProof/>
                <w:webHidden/>
              </w:rPr>
              <w:tab/>
            </w:r>
            <w:r w:rsidR="00CA4E46">
              <w:rPr>
                <w:noProof/>
                <w:webHidden/>
              </w:rPr>
              <w:fldChar w:fldCharType="begin"/>
            </w:r>
            <w:r w:rsidR="00CA4E46">
              <w:rPr>
                <w:noProof/>
                <w:webHidden/>
              </w:rPr>
              <w:instrText xml:space="preserve"> PAGEREF _Toc149826054 \h </w:instrText>
            </w:r>
            <w:r w:rsidR="00CA4E46">
              <w:rPr>
                <w:noProof/>
                <w:webHidden/>
              </w:rPr>
            </w:r>
            <w:r w:rsidR="00CA4E46">
              <w:rPr>
                <w:noProof/>
                <w:webHidden/>
              </w:rPr>
              <w:fldChar w:fldCharType="separate"/>
            </w:r>
            <w:r w:rsidR="00CA4E46">
              <w:rPr>
                <w:noProof/>
                <w:webHidden/>
              </w:rPr>
              <w:t>18</w:t>
            </w:r>
            <w:r w:rsidR="00CA4E46">
              <w:rPr>
                <w:noProof/>
                <w:webHidden/>
              </w:rPr>
              <w:fldChar w:fldCharType="end"/>
            </w:r>
          </w:hyperlink>
        </w:p>
        <w:p w14:paraId="024911F5" w14:textId="4545BA32" w:rsidR="00CA4E46" w:rsidRDefault="000F1560">
          <w:pPr>
            <w:pStyle w:val="TOC3"/>
            <w:tabs>
              <w:tab w:val="right" w:leader="dot" w:pos="9350"/>
            </w:tabs>
            <w:rPr>
              <w:noProof/>
            </w:rPr>
          </w:pPr>
          <w:hyperlink w:anchor="_Toc149826055" w:history="1">
            <w:r w:rsidR="00CA4E46" w:rsidRPr="00574C3B">
              <w:rPr>
                <w:rStyle w:val="Hyperlink"/>
                <w:noProof/>
              </w:rPr>
              <w:t>Funding Requirements Table</w:t>
            </w:r>
            <w:r w:rsidR="00CA4E46">
              <w:rPr>
                <w:noProof/>
                <w:webHidden/>
              </w:rPr>
              <w:tab/>
            </w:r>
            <w:r w:rsidR="00CA4E46">
              <w:rPr>
                <w:noProof/>
                <w:webHidden/>
              </w:rPr>
              <w:fldChar w:fldCharType="begin"/>
            </w:r>
            <w:r w:rsidR="00CA4E46">
              <w:rPr>
                <w:noProof/>
                <w:webHidden/>
              </w:rPr>
              <w:instrText xml:space="preserve"> PAGEREF _Toc149826055 \h </w:instrText>
            </w:r>
            <w:r w:rsidR="00CA4E46">
              <w:rPr>
                <w:noProof/>
                <w:webHidden/>
              </w:rPr>
            </w:r>
            <w:r w:rsidR="00CA4E46">
              <w:rPr>
                <w:noProof/>
                <w:webHidden/>
              </w:rPr>
              <w:fldChar w:fldCharType="separate"/>
            </w:r>
            <w:r w:rsidR="00CA4E46">
              <w:rPr>
                <w:noProof/>
                <w:webHidden/>
              </w:rPr>
              <w:t>19</w:t>
            </w:r>
            <w:r w:rsidR="00CA4E46">
              <w:rPr>
                <w:noProof/>
                <w:webHidden/>
              </w:rPr>
              <w:fldChar w:fldCharType="end"/>
            </w:r>
          </w:hyperlink>
        </w:p>
        <w:p w14:paraId="48428A98" w14:textId="2870CA80" w:rsidR="00CA4E46" w:rsidRDefault="000F1560">
          <w:pPr>
            <w:pStyle w:val="TOC2"/>
            <w:tabs>
              <w:tab w:val="right" w:leader="dot" w:pos="9350"/>
            </w:tabs>
            <w:rPr>
              <w:noProof/>
            </w:rPr>
          </w:pPr>
          <w:hyperlink w:anchor="_Toc149826056" w:history="1">
            <w:r w:rsidR="00CA4E46" w:rsidRPr="00574C3B">
              <w:rPr>
                <w:rStyle w:val="Hyperlink"/>
                <w:noProof/>
              </w:rPr>
              <w:t>7.3 External Funding Sources and Justification</w:t>
            </w:r>
            <w:r w:rsidR="00CA4E46">
              <w:rPr>
                <w:noProof/>
                <w:webHidden/>
              </w:rPr>
              <w:tab/>
            </w:r>
            <w:r w:rsidR="00CA4E46">
              <w:rPr>
                <w:noProof/>
                <w:webHidden/>
              </w:rPr>
              <w:fldChar w:fldCharType="begin"/>
            </w:r>
            <w:r w:rsidR="00CA4E46">
              <w:rPr>
                <w:noProof/>
                <w:webHidden/>
              </w:rPr>
              <w:instrText xml:space="preserve"> PAGEREF _Toc149826056 \h </w:instrText>
            </w:r>
            <w:r w:rsidR="00CA4E46">
              <w:rPr>
                <w:noProof/>
                <w:webHidden/>
              </w:rPr>
            </w:r>
            <w:r w:rsidR="00CA4E46">
              <w:rPr>
                <w:noProof/>
                <w:webHidden/>
              </w:rPr>
              <w:fldChar w:fldCharType="separate"/>
            </w:r>
            <w:r w:rsidR="00CA4E46">
              <w:rPr>
                <w:noProof/>
                <w:webHidden/>
              </w:rPr>
              <w:t>19</w:t>
            </w:r>
            <w:r w:rsidR="00CA4E46">
              <w:rPr>
                <w:noProof/>
                <w:webHidden/>
              </w:rPr>
              <w:fldChar w:fldCharType="end"/>
            </w:r>
          </w:hyperlink>
        </w:p>
        <w:p w14:paraId="3BCBB19A" w14:textId="0A7BCE5B" w:rsidR="00CA4E46" w:rsidRDefault="000F1560">
          <w:pPr>
            <w:pStyle w:val="TOC1"/>
            <w:tabs>
              <w:tab w:val="right" w:leader="dot" w:pos="9350"/>
            </w:tabs>
            <w:rPr>
              <w:noProof/>
            </w:rPr>
          </w:pPr>
          <w:hyperlink w:anchor="_Toc149826057" w:history="1">
            <w:r w:rsidR="00CA4E46" w:rsidRPr="00574C3B">
              <w:rPr>
                <w:rStyle w:val="Hyperlink"/>
                <w:noProof/>
              </w:rPr>
              <w:t>Conclusion</w:t>
            </w:r>
            <w:r w:rsidR="00CA4E46">
              <w:rPr>
                <w:noProof/>
                <w:webHidden/>
              </w:rPr>
              <w:tab/>
            </w:r>
            <w:r w:rsidR="00CA4E46">
              <w:rPr>
                <w:noProof/>
                <w:webHidden/>
              </w:rPr>
              <w:fldChar w:fldCharType="begin"/>
            </w:r>
            <w:r w:rsidR="00CA4E46">
              <w:rPr>
                <w:noProof/>
                <w:webHidden/>
              </w:rPr>
              <w:instrText xml:space="preserve"> PAGEREF _Toc149826057 \h </w:instrText>
            </w:r>
            <w:r w:rsidR="00CA4E46">
              <w:rPr>
                <w:noProof/>
                <w:webHidden/>
              </w:rPr>
            </w:r>
            <w:r w:rsidR="00CA4E46">
              <w:rPr>
                <w:noProof/>
                <w:webHidden/>
              </w:rPr>
              <w:fldChar w:fldCharType="separate"/>
            </w:r>
            <w:r w:rsidR="00CA4E46">
              <w:rPr>
                <w:noProof/>
                <w:webHidden/>
              </w:rPr>
              <w:t>21</w:t>
            </w:r>
            <w:r w:rsidR="00CA4E46">
              <w:rPr>
                <w:noProof/>
                <w:webHidden/>
              </w:rPr>
              <w:fldChar w:fldCharType="end"/>
            </w:r>
          </w:hyperlink>
        </w:p>
        <w:p w14:paraId="10693D43" w14:textId="7E42FD3F" w:rsidR="00CA4E46" w:rsidRDefault="000F1560">
          <w:pPr>
            <w:pStyle w:val="TOC1"/>
            <w:tabs>
              <w:tab w:val="right" w:leader="dot" w:pos="9350"/>
            </w:tabs>
            <w:rPr>
              <w:noProof/>
            </w:rPr>
          </w:pPr>
          <w:hyperlink w:anchor="_Toc149826058" w:history="1">
            <w:r w:rsidR="00CA4E46" w:rsidRPr="00574C3B">
              <w:rPr>
                <w:rStyle w:val="Hyperlink"/>
                <w:noProof/>
              </w:rPr>
              <w:t>8. Reference</w:t>
            </w:r>
            <w:r w:rsidR="00CA4E46">
              <w:rPr>
                <w:noProof/>
                <w:webHidden/>
              </w:rPr>
              <w:tab/>
            </w:r>
            <w:r w:rsidR="00CA4E46">
              <w:rPr>
                <w:noProof/>
                <w:webHidden/>
              </w:rPr>
              <w:fldChar w:fldCharType="begin"/>
            </w:r>
            <w:r w:rsidR="00CA4E46">
              <w:rPr>
                <w:noProof/>
                <w:webHidden/>
              </w:rPr>
              <w:instrText xml:space="preserve"> PAGEREF _Toc149826058 \h </w:instrText>
            </w:r>
            <w:r w:rsidR="00CA4E46">
              <w:rPr>
                <w:noProof/>
                <w:webHidden/>
              </w:rPr>
            </w:r>
            <w:r w:rsidR="00CA4E46">
              <w:rPr>
                <w:noProof/>
                <w:webHidden/>
              </w:rPr>
              <w:fldChar w:fldCharType="separate"/>
            </w:r>
            <w:r w:rsidR="00CA4E46">
              <w:rPr>
                <w:noProof/>
                <w:webHidden/>
              </w:rPr>
              <w:t>22</w:t>
            </w:r>
            <w:r w:rsidR="00CA4E46">
              <w:rPr>
                <w:noProof/>
                <w:webHidden/>
              </w:rPr>
              <w:fldChar w:fldCharType="end"/>
            </w:r>
          </w:hyperlink>
        </w:p>
        <w:p w14:paraId="78736F8D" w14:textId="305FDE6D" w:rsidR="00CD6E75" w:rsidRPr="00CA4E46" w:rsidRDefault="00CA4E46" w:rsidP="00CA4E46">
          <w:pPr>
            <w:pStyle w:val="Normal1"/>
            <w:widowControl w:val="0"/>
            <w:tabs>
              <w:tab w:val="right" w:leader="dot" w:pos="12000"/>
            </w:tabs>
            <w:spacing w:before="60" w:line="360" w:lineRule="auto"/>
            <w:rPr>
              <w:b/>
              <w:color w:val="000000"/>
            </w:rPr>
          </w:pPr>
          <w:r w:rsidRPr="00CA4E46">
            <w:lastRenderedPageBreak/>
            <w:fldChar w:fldCharType="end"/>
          </w:r>
        </w:p>
      </w:sdtContent>
    </w:sdt>
    <w:p w14:paraId="0FC5FD7A" w14:textId="46EB6797" w:rsidR="00CD6E75" w:rsidRPr="00CA4E46" w:rsidRDefault="00CA4E46" w:rsidP="00CA4E46">
      <w:pPr>
        <w:pStyle w:val="Heading1"/>
        <w:spacing w:line="360" w:lineRule="auto"/>
        <w:rPr>
          <w:rFonts w:ascii="Arial" w:hAnsi="Arial" w:cs="Arial"/>
        </w:rPr>
      </w:pPr>
      <w:bookmarkStart w:id="2" w:name="_xvgdnuwnxhdu" w:colFirst="0" w:colLast="0"/>
      <w:bookmarkStart w:id="3" w:name="_ppzrghiashw4" w:colFirst="0" w:colLast="0"/>
      <w:bookmarkStart w:id="4" w:name="_1llief6mmxsl" w:colFirst="0" w:colLast="0"/>
      <w:bookmarkStart w:id="5" w:name="_obpf246j09ui" w:colFirst="0" w:colLast="0"/>
      <w:bookmarkStart w:id="6" w:name="_rpx1r472wrph" w:colFirst="0" w:colLast="0"/>
      <w:bookmarkStart w:id="7" w:name="_ndluwjqssra5" w:colFirst="0" w:colLast="0"/>
      <w:bookmarkStart w:id="8" w:name="_2ht9e7k34ca1" w:colFirst="0" w:colLast="0"/>
      <w:bookmarkStart w:id="9" w:name="_Toc149826034"/>
      <w:bookmarkEnd w:id="2"/>
      <w:bookmarkEnd w:id="3"/>
      <w:bookmarkEnd w:id="4"/>
      <w:bookmarkEnd w:id="5"/>
      <w:bookmarkEnd w:id="6"/>
      <w:bookmarkEnd w:id="7"/>
      <w:bookmarkEnd w:id="8"/>
      <w:r w:rsidRPr="00CA4E46">
        <w:rPr>
          <w:rFonts w:ascii="Arial" w:hAnsi="Arial" w:cs="Arial"/>
        </w:rPr>
        <w:t>1. Introduction</w:t>
      </w:r>
      <w:bookmarkEnd w:id="9"/>
    </w:p>
    <w:p w14:paraId="3999F79B" w14:textId="77777777" w:rsidR="00CD6E75" w:rsidRPr="00CA4E46" w:rsidRDefault="00CA4E46" w:rsidP="00CA4E46">
      <w:pPr>
        <w:pStyle w:val="Normal1"/>
        <w:spacing w:line="360" w:lineRule="auto"/>
        <w:jc w:val="both"/>
        <w:rPr>
          <w:rFonts w:eastAsia="Times New Roman"/>
          <w:sz w:val="24"/>
          <w:szCs w:val="24"/>
        </w:rPr>
      </w:pPr>
      <w:r w:rsidRPr="00CA4E46">
        <w:rPr>
          <w:rFonts w:eastAsia="Times New Roman"/>
          <w:sz w:val="24"/>
          <w:szCs w:val="24"/>
        </w:rPr>
        <w:t>In this assignment, we will develop a business plan for a renewable energy business idea to address the growing issue of climate change as well as natural disasters caused by global warming. On the reverse side, we will discuss the various components required to create a successful renewable energy business including the product or service offered, the gap in the market it addresses, the proposed location or legal entity, SWOT analysis, target market as well marketing strategy as well and budgeting and financial planning. On the other consideration, by the end of this assignment, we will have a comprehensive and well-researched business plan that can serve as a roadmap for the launch and operation of a renewable energy business in the perspective era.</w:t>
      </w:r>
    </w:p>
    <w:p w14:paraId="62BCB752" w14:textId="77777777" w:rsidR="00CD6E75" w:rsidRPr="00CA4E46" w:rsidRDefault="00CD6E75" w:rsidP="00CA4E46">
      <w:pPr>
        <w:pStyle w:val="Heading2"/>
        <w:spacing w:line="360" w:lineRule="auto"/>
        <w:rPr>
          <w:rFonts w:ascii="Arial" w:hAnsi="Arial" w:cs="Arial"/>
        </w:rPr>
      </w:pPr>
      <w:bookmarkStart w:id="10" w:name="_4095yh9yf5u5" w:colFirst="0" w:colLast="0"/>
      <w:bookmarkEnd w:id="10"/>
    </w:p>
    <w:p w14:paraId="7CD19F99" w14:textId="77777777" w:rsidR="00CD6E75" w:rsidRPr="00CA4E46" w:rsidRDefault="00CA4E46" w:rsidP="00CA4E46">
      <w:pPr>
        <w:pStyle w:val="Heading2"/>
        <w:spacing w:line="360" w:lineRule="auto"/>
        <w:rPr>
          <w:rFonts w:ascii="Arial" w:hAnsi="Arial" w:cs="Arial"/>
        </w:rPr>
      </w:pPr>
      <w:bookmarkStart w:id="11" w:name="_Toc149826035"/>
      <w:r w:rsidRPr="00CA4E46">
        <w:rPr>
          <w:rFonts w:ascii="Arial" w:hAnsi="Arial" w:cs="Arial"/>
        </w:rPr>
        <w:t>1.1 Company Overview: EnGreen - Leading the Charge Towards Sustainable Energy</w:t>
      </w:r>
      <w:bookmarkEnd w:id="11"/>
    </w:p>
    <w:p w14:paraId="10E4B67B" w14:textId="77777777" w:rsidR="00CD6E75" w:rsidRPr="00CA4E46" w:rsidRDefault="00CA4E46" w:rsidP="00CA4E46">
      <w:pPr>
        <w:pStyle w:val="Normal1"/>
        <w:spacing w:line="360" w:lineRule="auto"/>
        <w:jc w:val="center"/>
      </w:pPr>
      <w:r w:rsidRPr="00CA4E46">
        <w:rPr>
          <w:noProof/>
        </w:rPr>
        <w:drawing>
          <wp:inline distT="114300" distB="114300" distL="114300" distR="114300" wp14:anchorId="2D54D9FC" wp14:editId="2B3B6B7E">
            <wp:extent cx="2198443" cy="2198443"/>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7"/>
                    <a:stretch>
                      <a:fillRect/>
                    </a:stretch>
                  </pic:blipFill>
                  <pic:spPr>
                    <a:xfrm>
                      <a:off x="0" y="0"/>
                      <a:ext cx="2198443" cy="2198443"/>
                    </a:xfrm>
                    <a:prstGeom prst="rect">
                      <a:avLst/>
                    </a:prstGeom>
                  </pic:spPr>
                </pic:pic>
              </a:graphicData>
            </a:graphic>
          </wp:inline>
        </w:drawing>
      </w:r>
    </w:p>
    <w:p w14:paraId="313956F0" w14:textId="77777777" w:rsidR="00CD6E75" w:rsidRPr="00CA4E46" w:rsidRDefault="00CA4E46" w:rsidP="00CA4E46">
      <w:pPr>
        <w:pStyle w:val="Normal1"/>
        <w:spacing w:line="360" w:lineRule="auto"/>
        <w:jc w:val="both"/>
        <w:rPr>
          <w:rFonts w:eastAsia="Times New Roman"/>
          <w:sz w:val="24"/>
          <w:szCs w:val="24"/>
        </w:rPr>
      </w:pPr>
      <w:r w:rsidRPr="00CA4E46">
        <w:rPr>
          <w:rFonts w:eastAsia="Times New Roman"/>
          <w:sz w:val="24"/>
          <w:szCs w:val="24"/>
        </w:rPr>
        <w:t>EnGreen is a dynamic and forward-thinking renewable energy company based in Italy and it is committed to spearheading the global transition to sustainable and clean energy solutions. EnGreen performs research and design for impact intended to deliver the best access to energy models to profit and non-profit actors in the field of rural electrification (Ruralelec.org, 2023).  On the flip side, with a focus on innovation, cross-cutting competencies as well and an unwavering dedication to environmental responsibility as well as EnGreen is poised to become a pivotal player in the renewable energy sector.</w:t>
      </w:r>
    </w:p>
    <w:p w14:paraId="670E5469" w14:textId="77777777" w:rsidR="00CD6E75" w:rsidRPr="00CA4E46" w:rsidRDefault="00CA4E46" w:rsidP="00CA4E46">
      <w:pPr>
        <w:pStyle w:val="Heading3"/>
        <w:spacing w:line="360" w:lineRule="auto"/>
        <w:rPr>
          <w:rFonts w:ascii="Arial" w:hAnsi="Arial" w:cs="Arial"/>
          <w:i w:val="0"/>
        </w:rPr>
      </w:pPr>
      <w:bookmarkStart w:id="12" w:name="_Toc149826036"/>
      <w:r w:rsidRPr="00CA4E46">
        <w:rPr>
          <w:rFonts w:ascii="Arial" w:hAnsi="Arial" w:cs="Arial"/>
          <w:i w:val="0"/>
        </w:rPr>
        <w:lastRenderedPageBreak/>
        <w:t>1.1.3 Values</w:t>
      </w:r>
      <w:bookmarkEnd w:id="12"/>
    </w:p>
    <w:p w14:paraId="2BC91B69" w14:textId="77777777" w:rsidR="00CD6E75" w:rsidRPr="00CA4E46" w:rsidRDefault="00CA4E46" w:rsidP="00CA4E46">
      <w:pPr>
        <w:pStyle w:val="Normal1"/>
        <w:spacing w:line="360" w:lineRule="auto"/>
        <w:jc w:val="both"/>
        <w:rPr>
          <w:rFonts w:eastAsia="Times New Roman"/>
          <w:sz w:val="24"/>
          <w:szCs w:val="24"/>
        </w:rPr>
      </w:pPr>
      <w:r w:rsidRPr="00CA4E46">
        <w:rPr>
          <w:rFonts w:eastAsia="Times New Roman"/>
          <w:sz w:val="24"/>
          <w:szCs w:val="24"/>
        </w:rPr>
        <w:t>EnGreen operates on a foundation of desired values that guide its actions as well as shape its corporate culture:</w:t>
      </w:r>
    </w:p>
    <w:p w14:paraId="5D2D47C3" w14:textId="77777777" w:rsidR="00CD6E75" w:rsidRPr="00CA4E46" w:rsidRDefault="00CA4E46" w:rsidP="00CA4E46">
      <w:pPr>
        <w:pStyle w:val="Normal1"/>
        <w:numPr>
          <w:ilvl w:val="0"/>
          <w:numId w:val="4"/>
        </w:numPr>
        <w:spacing w:line="360" w:lineRule="auto"/>
        <w:jc w:val="both"/>
        <w:rPr>
          <w:rFonts w:eastAsia="Times New Roman"/>
          <w:b/>
          <w:sz w:val="24"/>
          <w:szCs w:val="24"/>
        </w:rPr>
      </w:pPr>
      <w:r w:rsidRPr="00CA4E46">
        <w:rPr>
          <w:rFonts w:eastAsia="Times New Roman"/>
          <w:b/>
          <w:sz w:val="24"/>
          <w:szCs w:val="24"/>
        </w:rPr>
        <w:t xml:space="preserve">Cross-cutting Competencies: </w:t>
      </w:r>
      <w:r w:rsidRPr="00CA4E46">
        <w:rPr>
          <w:rFonts w:eastAsia="Times New Roman"/>
          <w:sz w:val="24"/>
          <w:szCs w:val="24"/>
        </w:rPr>
        <w:t>EnGreen leverages its diverse expertise to provide the best possible solutions to its clients (Engreensolutions.com, 2023).</w:t>
      </w:r>
    </w:p>
    <w:p w14:paraId="2D26DBA8" w14:textId="77777777" w:rsidR="00CD6E75" w:rsidRPr="00CA4E46" w:rsidRDefault="00CA4E46" w:rsidP="00CA4E46">
      <w:pPr>
        <w:pStyle w:val="Normal1"/>
        <w:numPr>
          <w:ilvl w:val="0"/>
          <w:numId w:val="4"/>
        </w:numPr>
        <w:spacing w:line="360" w:lineRule="auto"/>
        <w:jc w:val="both"/>
        <w:rPr>
          <w:rFonts w:eastAsia="Times New Roman"/>
          <w:b/>
          <w:sz w:val="24"/>
          <w:szCs w:val="24"/>
        </w:rPr>
      </w:pPr>
      <w:r w:rsidRPr="00CA4E46">
        <w:rPr>
          <w:rFonts w:eastAsia="Times New Roman"/>
          <w:b/>
          <w:sz w:val="24"/>
          <w:szCs w:val="24"/>
        </w:rPr>
        <w:t xml:space="preserve">Orientation on Results: </w:t>
      </w:r>
      <w:r w:rsidRPr="00CA4E46">
        <w:rPr>
          <w:rFonts w:eastAsia="Times New Roman"/>
          <w:sz w:val="24"/>
          <w:szCs w:val="24"/>
        </w:rPr>
        <w:t>The company is dedicated to achieving tangible as well as impactful outcomes in all of its endeavours (Engreensolutions.com, 2023).</w:t>
      </w:r>
    </w:p>
    <w:p w14:paraId="46C59160" w14:textId="77777777" w:rsidR="00CD6E75" w:rsidRPr="00CA4E46" w:rsidRDefault="00CA4E46" w:rsidP="00CA4E46">
      <w:pPr>
        <w:pStyle w:val="Normal1"/>
        <w:numPr>
          <w:ilvl w:val="0"/>
          <w:numId w:val="4"/>
        </w:numPr>
        <w:spacing w:line="360" w:lineRule="auto"/>
        <w:jc w:val="both"/>
        <w:rPr>
          <w:rFonts w:eastAsia="Times New Roman"/>
          <w:b/>
          <w:sz w:val="24"/>
          <w:szCs w:val="24"/>
        </w:rPr>
      </w:pPr>
      <w:r w:rsidRPr="00CA4E46">
        <w:rPr>
          <w:rFonts w:eastAsia="Times New Roman"/>
          <w:b/>
          <w:sz w:val="24"/>
          <w:szCs w:val="24"/>
        </w:rPr>
        <w:t xml:space="preserve">Team-working and Networking: </w:t>
      </w:r>
      <w:r w:rsidRPr="00CA4E46">
        <w:rPr>
          <w:rFonts w:eastAsia="Times New Roman"/>
          <w:sz w:val="24"/>
          <w:szCs w:val="24"/>
        </w:rPr>
        <w:t>EnGreen believes in the power of collaboration as well as actively seeks to build strong networks/partnerships (Engreensolutions.com, 2023).</w:t>
      </w:r>
    </w:p>
    <w:p w14:paraId="2466E572" w14:textId="77777777" w:rsidR="00CD6E75" w:rsidRPr="00CA4E46" w:rsidRDefault="00CA4E46" w:rsidP="00CA4E46">
      <w:pPr>
        <w:pStyle w:val="Normal1"/>
        <w:numPr>
          <w:ilvl w:val="0"/>
          <w:numId w:val="4"/>
        </w:numPr>
        <w:spacing w:line="360" w:lineRule="auto"/>
        <w:jc w:val="both"/>
        <w:rPr>
          <w:rFonts w:eastAsia="Times New Roman"/>
          <w:b/>
          <w:sz w:val="24"/>
          <w:szCs w:val="24"/>
        </w:rPr>
      </w:pPr>
      <w:r w:rsidRPr="00CA4E46">
        <w:rPr>
          <w:rFonts w:eastAsia="Times New Roman"/>
          <w:b/>
          <w:sz w:val="24"/>
          <w:szCs w:val="24"/>
        </w:rPr>
        <w:t>Social Responsibility:</w:t>
      </w:r>
      <w:r w:rsidRPr="00CA4E46">
        <w:rPr>
          <w:rFonts w:eastAsia="Times New Roman"/>
          <w:sz w:val="24"/>
          <w:szCs w:val="24"/>
        </w:rPr>
        <w:t xml:space="preserve"> The company is committed to making a positive impact on society as well as the environment (Engreensolutions.com, 2023).</w:t>
      </w:r>
    </w:p>
    <w:p w14:paraId="1A7D0A87" w14:textId="77777777" w:rsidR="00CD6E75" w:rsidRPr="00CA4E46" w:rsidRDefault="00CA4E46" w:rsidP="00CA4E46">
      <w:pPr>
        <w:pStyle w:val="Normal1"/>
        <w:numPr>
          <w:ilvl w:val="0"/>
          <w:numId w:val="4"/>
        </w:numPr>
        <w:spacing w:line="360" w:lineRule="auto"/>
        <w:jc w:val="both"/>
        <w:rPr>
          <w:rFonts w:eastAsia="Times New Roman"/>
          <w:b/>
          <w:sz w:val="24"/>
          <w:szCs w:val="24"/>
        </w:rPr>
      </w:pPr>
      <w:r w:rsidRPr="00CA4E46">
        <w:rPr>
          <w:rFonts w:eastAsia="Times New Roman"/>
          <w:b/>
          <w:sz w:val="24"/>
          <w:szCs w:val="24"/>
        </w:rPr>
        <w:t>Passion and Commitment:</w:t>
      </w:r>
      <w:r w:rsidRPr="00CA4E46">
        <w:rPr>
          <w:rFonts w:eastAsia="Times New Roman"/>
          <w:sz w:val="24"/>
          <w:szCs w:val="24"/>
        </w:rPr>
        <w:t xml:space="preserve"> EnGreen's team is passionate about its mission as well as deeply committed to its success (Engreensolutions.com, 2023).</w:t>
      </w:r>
    </w:p>
    <w:p w14:paraId="4A0994CA" w14:textId="77777777" w:rsidR="00CD6E75" w:rsidRPr="00CA4E46" w:rsidRDefault="00CA4E46" w:rsidP="00CA4E46">
      <w:pPr>
        <w:pStyle w:val="Normal1"/>
        <w:numPr>
          <w:ilvl w:val="0"/>
          <w:numId w:val="4"/>
        </w:numPr>
        <w:spacing w:line="360" w:lineRule="auto"/>
        <w:jc w:val="both"/>
        <w:rPr>
          <w:rFonts w:eastAsia="Times New Roman"/>
          <w:b/>
          <w:sz w:val="24"/>
          <w:szCs w:val="24"/>
        </w:rPr>
      </w:pPr>
      <w:r w:rsidRPr="00CA4E46">
        <w:rPr>
          <w:rFonts w:eastAsia="Times New Roman"/>
          <w:b/>
          <w:sz w:val="24"/>
          <w:szCs w:val="24"/>
        </w:rPr>
        <w:t xml:space="preserve">Integrity and Fair Play: </w:t>
      </w:r>
      <w:r w:rsidRPr="00CA4E46">
        <w:rPr>
          <w:rFonts w:eastAsia="Times New Roman"/>
          <w:sz w:val="24"/>
          <w:szCs w:val="24"/>
        </w:rPr>
        <w:t>EnGreen adheres to the highest ethical standards in all of its activities to foster trust as well as transparency (Engreensolutions.com, 2023).</w:t>
      </w:r>
    </w:p>
    <w:p w14:paraId="6C9DE89D" w14:textId="77777777" w:rsidR="00CD6E75" w:rsidRPr="00CA4E46" w:rsidRDefault="00CD6E75" w:rsidP="00CA4E46">
      <w:pPr>
        <w:pStyle w:val="Normal1"/>
        <w:spacing w:line="360" w:lineRule="auto"/>
        <w:ind w:left="720"/>
        <w:jc w:val="both"/>
        <w:rPr>
          <w:rFonts w:eastAsia="Times New Roman"/>
          <w:sz w:val="24"/>
          <w:szCs w:val="24"/>
        </w:rPr>
      </w:pPr>
    </w:p>
    <w:p w14:paraId="00F1CA12" w14:textId="77777777" w:rsidR="00CD6E75" w:rsidRPr="00CA4E46" w:rsidRDefault="00CA4E46" w:rsidP="00CA4E46">
      <w:pPr>
        <w:pStyle w:val="Heading1"/>
        <w:spacing w:line="360" w:lineRule="auto"/>
        <w:jc w:val="both"/>
        <w:rPr>
          <w:rFonts w:ascii="Arial" w:hAnsi="Arial" w:cs="Arial"/>
        </w:rPr>
      </w:pPr>
      <w:bookmarkStart w:id="13" w:name="_Toc149826037"/>
      <w:r w:rsidRPr="00CA4E46">
        <w:rPr>
          <w:rFonts w:ascii="Arial" w:hAnsi="Arial" w:cs="Arial"/>
        </w:rPr>
        <w:t>2. Business Idea (Product/Service)</w:t>
      </w:r>
      <w:bookmarkEnd w:id="13"/>
    </w:p>
    <w:p w14:paraId="56E1D1E7" w14:textId="77777777" w:rsidR="00CD6E75" w:rsidRPr="00CA4E46" w:rsidRDefault="00CA4E46" w:rsidP="00CA4E46">
      <w:pPr>
        <w:pStyle w:val="Heading2"/>
        <w:spacing w:line="360" w:lineRule="auto"/>
        <w:rPr>
          <w:rFonts w:ascii="Arial" w:hAnsi="Arial" w:cs="Arial"/>
        </w:rPr>
      </w:pPr>
      <w:bookmarkStart w:id="14" w:name="_Toc149826038"/>
      <w:r w:rsidRPr="00CA4E46">
        <w:rPr>
          <w:rFonts w:ascii="Arial" w:hAnsi="Arial" w:cs="Arial"/>
        </w:rPr>
        <w:t>2.1 EnGreen's Renewable Energy Solutions</w:t>
      </w:r>
      <w:bookmarkEnd w:id="14"/>
    </w:p>
    <w:p w14:paraId="303E820E" w14:textId="77777777" w:rsidR="00CD6E75" w:rsidRPr="00CA4E46" w:rsidRDefault="00CA4E46" w:rsidP="00CA4E46">
      <w:pPr>
        <w:pStyle w:val="Normal1"/>
        <w:spacing w:line="360" w:lineRule="auto"/>
        <w:jc w:val="both"/>
        <w:rPr>
          <w:rFonts w:eastAsia="Times New Roman"/>
          <w:sz w:val="24"/>
          <w:szCs w:val="24"/>
        </w:rPr>
      </w:pPr>
      <w:r w:rsidRPr="00CA4E46">
        <w:rPr>
          <w:rFonts w:eastAsia="Times New Roman"/>
          <w:sz w:val="24"/>
          <w:szCs w:val="24"/>
        </w:rPr>
        <w:t>EnGreen specializes in the development as well as the implementation of renewable energy solutions in rural electrification. On the other hand, the several areas include (Engreengroup.com, 2023).</w:t>
      </w:r>
    </w:p>
    <w:p w14:paraId="6910310B" w14:textId="77777777" w:rsidR="00CD6E75" w:rsidRPr="00CA4E46" w:rsidRDefault="00CA4E46" w:rsidP="00CA4E46">
      <w:pPr>
        <w:pStyle w:val="Normal1"/>
        <w:numPr>
          <w:ilvl w:val="0"/>
          <w:numId w:val="3"/>
        </w:numPr>
        <w:spacing w:line="360" w:lineRule="auto"/>
        <w:jc w:val="both"/>
        <w:rPr>
          <w:rFonts w:eastAsia="Times New Roman"/>
          <w:b/>
          <w:sz w:val="24"/>
          <w:szCs w:val="24"/>
        </w:rPr>
      </w:pPr>
      <w:r w:rsidRPr="00CA4E46">
        <w:rPr>
          <w:rFonts w:eastAsia="Times New Roman"/>
          <w:b/>
          <w:sz w:val="24"/>
          <w:szCs w:val="24"/>
        </w:rPr>
        <w:t>Distributed Energy Service Company (DESCO) services</w:t>
      </w:r>
    </w:p>
    <w:p w14:paraId="2D366AA8" w14:textId="77777777" w:rsidR="00CD6E75" w:rsidRPr="00CA4E46" w:rsidRDefault="00CA4E46" w:rsidP="00CA4E46">
      <w:pPr>
        <w:pStyle w:val="Normal1"/>
        <w:numPr>
          <w:ilvl w:val="0"/>
          <w:numId w:val="3"/>
        </w:numPr>
        <w:spacing w:line="360" w:lineRule="auto"/>
        <w:jc w:val="both"/>
        <w:rPr>
          <w:rFonts w:eastAsia="Times New Roman"/>
          <w:b/>
          <w:sz w:val="24"/>
          <w:szCs w:val="24"/>
        </w:rPr>
      </w:pPr>
      <w:r w:rsidRPr="00CA4E46">
        <w:rPr>
          <w:rFonts w:eastAsia="Times New Roman"/>
          <w:b/>
          <w:sz w:val="24"/>
          <w:szCs w:val="24"/>
        </w:rPr>
        <w:t>Capacity building for local communities</w:t>
      </w:r>
    </w:p>
    <w:p w14:paraId="1BA68BF2" w14:textId="77777777" w:rsidR="00CD6E75" w:rsidRPr="00CA4E46" w:rsidRDefault="00CA4E46" w:rsidP="00CA4E46">
      <w:pPr>
        <w:pStyle w:val="Normal1"/>
        <w:numPr>
          <w:ilvl w:val="0"/>
          <w:numId w:val="3"/>
        </w:numPr>
        <w:spacing w:line="360" w:lineRule="auto"/>
        <w:jc w:val="both"/>
        <w:rPr>
          <w:rFonts w:eastAsia="Times New Roman"/>
          <w:b/>
          <w:sz w:val="24"/>
          <w:szCs w:val="24"/>
        </w:rPr>
      </w:pPr>
      <w:r w:rsidRPr="00CA4E46">
        <w:rPr>
          <w:rFonts w:eastAsia="Times New Roman"/>
          <w:b/>
          <w:sz w:val="24"/>
          <w:szCs w:val="24"/>
        </w:rPr>
        <w:t>Consultancy for sustainable energy projects</w:t>
      </w:r>
    </w:p>
    <w:p w14:paraId="5F537F61" w14:textId="77777777" w:rsidR="00CD6E75" w:rsidRPr="00CA4E46" w:rsidRDefault="00CA4E46" w:rsidP="00CA4E46">
      <w:pPr>
        <w:pStyle w:val="Normal1"/>
        <w:numPr>
          <w:ilvl w:val="0"/>
          <w:numId w:val="3"/>
        </w:numPr>
        <w:spacing w:line="360" w:lineRule="auto"/>
        <w:jc w:val="both"/>
        <w:rPr>
          <w:rFonts w:eastAsia="Times New Roman"/>
          <w:b/>
          <w:sz w:val="24"/>
          <w:szCs w:val="24"/>
        </w:rPr>
      </w:pPr>
      <w:r w:rsidRPr="00CA4E46">
        <w:rPr>
          <w:rFonts w:eastAsia="Times New Roman"/>
          <w:b/>
          <w:sz w:val="24"/>
          <w:szCs w:val="24"/>
        </w:rPr>
        <w:t>Engineering for energy infrastructure</w:t>
      </w:r>
    </w:p>
    <w:p w14:paraId="214A9C7C" w14:textId="77777777" w:rsidR="00CD6E75" w:rsidRPr="00CA4E46" w:rsidRDefault="00CA4E46" w:rsidP="00CA4E46">
      <w:pPr>
        <w:pStyle w:val="Normal1"/>
        <w:numPr>
          <w:ilvl w:val="0"/>
          <w:numId w:val="3"/>
        </w:numPr>
        <w:spacing w:line="360" w:lineRule="auto"/>
        <w:jc w:val="both"/>
        <w:rPr>
          <w:rFonts w:eastAsia="Times New Roman"/>
          <w:b/>
          <w:sz w:val="24"/>
          <w:szCs w:val="24"/>
        </w:rPr>
      </w:pPr>
      <w:r w:rsidRPr="00CA4E46">
        <w:rPr>
          <w:rFonts w:eastAsia="Times New Roman"/>
          <w:b/>
          <w:sz w:val="24"/>
          <w:szCs w:val="24"/>
        </w:rPr>
        <w:t>Prepaid metering systems</w:t>
      </w:r>
    </w:p>
    <w:p w14:paraId="4661F845" w14:textId="77777777" w:rsidR="00CD6E75" w:rsidRPr="00CA4E46" w:rsidRDefault="00CA4E46" w:rsidP="00CA4E46">
      <w:pPr>
        <w:pStyle w:val="Normal1"/>
        <w:numPr>
          <w:ilvl w:val="0"/>
          <w:numId w:val="3"/>
        </w:numPr>
        <w:spacing w:line="360" w:lineRule="auto"/>
        <w:jc w:val="both"/>
        <w:rPr>
          <w:rFonts w:eastAsia="Times New Roman"/>
          <w:b/>
          <w:sz w:val="24"/>
          <w:szCs w:val="24"/>
        </w:rPr>
      </w:pPr>
      <w:r w:rsidRPr="00CA4E46">
        <w:rPr>
          <w:rFonts w:eastAsia="Times New Roman"/>
          <w:b/>
          <w:sz w:val="24"/>
          <w:szCs w:val="24"/>
        </w:rPr>
        <w:t>Project development and management</w:t>
      </w:r>
    </w:p>
    <w:p w14:paraId="377E43E3" w14:textId="77777777" w:rsidR="00CD6E75" w:rsidRPr="00CA4E46" w:rsidRDefault="00CA4E46" w:rsidP="00CA4E46">
      <w:pPr>
        <w:pStyle w:val="Normal1"/>
        <w:numPr>
          <w:ilvl w:val="0"/>
          <w:numId w:val="3"/>
        </w:numPr>
        <w:spacing w:line="360" w:lineRule="auto"/>
        <w:jc w:val="both"/>
        <w:rPr>
          <w:rFonts w:eastAsia="Times New Roman"/>
          <w:b/>
          <w:sz w:val="24"/>
          <w:szCs w:val="24"/>
        </w:rPr>
      </w:pPr>
      <w:r w:rsidRPr="00CA4E46">
        <w:rPr>
          <w:rFonts w:eastAsia="Times New Roman"/>
          <w:b/>
          <w:sz w:val="24"/>
          <w:szCs w:val="24"/>
        </w:rPr>
        <w:t>Research for innovative solutions</w:t>
      </w:r>
    </w:p>
    <w:p w14:paraId="01FF269F" w14:textId="77777777" w:rsidR="00CD6E75" w:rsidRPr="00CA4E46" w:rsidRDefault="00CA4E46" w:rsidP="00CA4E46">
      <w:pPr>
        <w:pStyle w:val="Normal1"/>
        <w:numPr>
          <w:ilvl w:val="0"/>
          <w:numId w:val="3"/>
        </w:numPr>
        <w:spacing w:line="360" w:lineRule="auto"/>
        <w:jc w:val="both"/>
        <w:rPr>
          <w:rFonts w:eastAsia="Times New Roman"/>
          <w:b/>
          <w:sz w:val="24"/>
          <w:szCs w:val="24"/>
        </w:rPr>
      </w:pPr>
      <w:r w:rsidRPr="00CA4E46">
        <w:rPr>
          <w:rFonts w:eastAsia="Times New Roman"/>
          <w:b/>
          <w:sz w:val="24"/>
          <w:szCs w:val="24"/>
        </w:rPr>
        <w:lastRenderedPageBreak/>
        <w:t>Supply and construction of renewable energy facilities</w:t>
      </w:r>
    </w:p>
    <w:p w14:paraId="34795C5B" w14:textId="77777777" w:rsidR="00CD6E75" w:rsidRPr="00CA4E46" w:rsidRDefault="00CA4E46" w:rsidP="00CA4E46">
      <w:pPr>
        <w:pStyle w:val="Normal1"/>
        <w:numPr>
          <w:ilvl w:val="0"/>
          <w:numId w:val="3"/>
        </w:numPr>
        <w:spacing w:line="360" w:lineRule="auto"/>
        <w:jc w:val="both"/>
        <w:rPr>
          <w:rFonts w:eastAsia="Times New Roman"/>
          <w:b/>
          <w:sz w:val="24"/>
          <w:szCs w:val="24"/>
        </w:rPr>
      </w:pPr>
      <w:r w:rsidRPr="00CA4E46">
        <w:rPr>
          <w:rFonts w:eastAsia="Times New Roman"/>
          <w:b/>
          <w:sz w:val="24"/>
          <w:szCs w:val="24"/>
        </w:rPr>
        <w:t>Women empowerment programs</w:t>
      </w:r>
    </w:p>
    <w:p w14:paraId="2ED8EA8D" w14:textId="77777777" w:rsidR="00CD6E75" w:rsidRPr="00CA4E46" w:rsidRDefault="00CD6E75" w:rsidP="00CA4E46">
      <w:pPr>
        <w:pStyle w:val="Normal1"/>
        <w:spacing w:line="360" w:lineRule="auto"/>
        <w:jc w:val="both"/>
        <w:rPr>
          <w:rFonts w:eastAsia="Times New Roman"/>
          <w:sz w:val="24"/>
          <w:szCs w:val="24"/>
        </w:rPr>
      </w:pPr>
    </w:p>
    <w:p w14:paraId="52AAE562" w14:textId="77777777" w:rsidR="00CD6E75" w:rsidRPr="00CA4E46" w:rsidRDefault="00CA4E46" w:rsidP="00CA4E46">
      <w:pPr>
        <w:pStyle w:val="Normal1"/>
        <w:spacing w:line="360" w:lineRule="auto"/>
        <w:jc w:val="both"/>
        <w:rPr>
          <w:rFonts w:eastAsia="Times New Roman"/>
          <w:sz w:val="24"/>
          <w:szCs w:val="24"/>
        </w:rPr>
      </w:pPr>
      <w:r w:rsidRPr="00CA4E46">
        <w:rPr>
          <w:rFonts w:eastAsia="Times New Roman"/>
          <w:sz w:val="24"/>
          <w:szCs w:val="24"/>
        </w:rPr>
        <w:t>The organization focus on both grid-connected and off-grid systems including micro/mini-grids as well as stand-alone setups. On the other hand, their primary renewable energy technologies include battery as well as energy storage, bioenergy, hydro, inverters, solar PV as well and wind power (Engreengroup.com, 2023).</w:t>
      </w:r>
    </w:p>
    <w:p w14:paraId="012EC95B" w14:textId="77777777" w:rsidR="00CD6E75" w:rsidRPr="00CA4E46" w:rsidRDefault="00CA4E46" w:rsidP="00CA4E46">
      <w:pPr>
        <w:pStyle w:val="Heading2"/>
        <w:spacing w:line="360" w:lineRule="auto"/>
        <w:rPr>
          <w:rFonts w:ascii="Arial" w:hAnsi="Arial" w:cs="Arial"/>
        </w:rPr>
      </w:pPr>
      <w:bookmarkStart w:id="15" w:name="_Toc149826039"/>
      <w:r w:rsidRPr="00CA4E46">
        <w:rPr>
          <w:rFonts w:ascii="Arial" w:hAnsi="Arial" w:cs="Arial"/>
        </w:rPr>
        <w:t>2.2 Addressing the Global Need for Sustainable Energy</w:t>
      </w:r>
      <w:bookmarkEnd w:id="15"/>
    </w:p>
    <w:p w14:paraId="7AEF58FC" w14:textId="77777777" w:rsidR="00CD6E75" w:rsidRPr="00CA4E46" w:rsidRDefault="00CA4E46" w:rsidP="00CA4E46">
      <w:pPr>
        <w:pStyle w:val="Normal1"/>
        <w:spacing w:line="360" w:lineRule="auto"/>
        <w:jc w:val="both"/>
      </w:pPr>
      <w:r w:rsidRPr="00CA4E46">
        <w:rPr>
          <w:rFonts w:eastAsia="Times New Roman"/>
          <w:sz w:val="24"/>
          <w:szCs w:val="24"/>
        </w:rPr>
        <w:t>The world is facing an unprecedented demand for sustainable energy solutions. On the flip side, EnGreen's business idea is dedicated to addressing this global need by providing environmentally friendly and reliable energy sources (Engreengroup.com, 2023). In a desired era characterized by increasing environmental awareness and the imperative to reduce carbon emissions as well EnGreen's solutions are poised to make a significant impact. In a precise manner, though catering to both urban and rural areas we are committed to bridging the energy gap and contributing to a more sustainable and eco-conscious world (Engreengroup.com, 2023). EnGreen envisions a future where renewable energy is accessible to all and this business idea represents our determined step towards making that vision a reality.</w:t>
      </w:r>
    </w:p>
    <w:p w14:paraId="4B35ACD7" w14:textId="77777777" w:rsidR="00CD6E75" w:rsidRPr="00CA4E46" w:rsidRDefault="00CA4E46" w:rsidP="00CA4E46">
      <w:pPr>
        <w:pStyle w:val="Heading1"/>
        <w:spacing w:line="360" w:lineRule="auto"/>
        <w:jc w:val="both"/>
        <w:rPr>
          <w:rFonts w:ascii="Arial" w:hAnsi="Arial" w:cs="Arial"/>
        </w:rPr>
      </w:pPr>
      <w:bookmarkStart w:id="16" w:name="_Toc149826040"/>
      <w:r w:rsidRPr="00CA4E46">
        <w:rPr>
          <w:rFonts w:ascii="Arial" w:hAnsi="Arial" w:cs="Arial"/>
        </w:rPr>
        <w:t>3. Identifying Market Gap and Addressing It</w:t>
      </w:r>
      <w:bookmarkEnd w:id="16"/>
    </w:p>
    <w:p w14:paraId="65348BB2" w14:textId="77777777" w:rsidR="00CD6E75" w:rsidRPr="00CA4E46" w:rsidRDefault="00CA4E46" w:rsidP="00CA4E46">
      <w:pPr>
        <w:pStyle w:val="Heading2"/>
        <w:spacing w:line="360" w:lineRule="auto"/>
        <w:rPr>
          <w:rFonts w:ascii="Arial" w:hAnsi="Arial" w:cs="Arial"/>
        </w:rPr>
      </w:pPr>
      <w:bookmarkStart w:id="17" w:name="_Toc149826041"/>
      <w:r w:rsidRPr="00CA4E46">
        <w:rPr>
          <w:rFonts w:ascii="Arial" w:hAnsi="Arial" w:cs="Arial"/>
        </w:rPr>
        <w:t>3.1 The Market Gap for Renewable Energy</w:t>
      </w:r>
      <w:bookmarkEnd w:id="17"/>
    </w:p>
    <w:p w14:paraId="2BE01278" w14:textId="77777777" w:rsidR="00CD6E75" w:rsidRPr="00CA4E46" w:rsidRDefault="00CA4E46" w:rsidP="00CA4E46">
      <w:pPr>
        <w:pStyle w:val="Normal1"/>
        <w:spacing w:line="360" w:lineRule="auto"/>
        <w:jc w:val="both"/>
        <w:rPr>
          <w:rFonts w:eastAsia="Times New Roman"/>
          <w:sz w:val="24"/>
          <w:szCs w:val="24"/>
        </w:rPr>
      </w:pPr>
      <w:r w:rsidRPr="00CA4E46">
        <w:rPr>
          <w:rFonts w:eastAsia="Times New Roman"/>
          <w:sz w:val="24"/>
          <w:szCs w:val="24"/>
        </w:rPr>
        <w:t>The renewable energy sector is experiencing rapid growth and transformation driven by increasing global awareness of the environmental consequences of conventional energy sources. However, despite the progress made a significant market gap persists. This gap is characterized by several critical factors:</w:t>
      </w:r>
    </w:p>
    <w:p w14:paraId="4E314129" w14:textId="77777777" w:rsidR="00CD6E75" w:rsidRPr="00CA4E46" w:rsidRDefault="00CA4E46" w:rsidP="00CA4E46">
      <w:pPr>
        <w:pStyle w:val="Normal1"/>
        <w:numPr>
          <w:ilvl w:val="0"/>
          <w:numId w:val="1"/>
        </w:numPr>
        <w:spacing w:line="360" w:lineRule="auto"/>
        <w:jc w:val="both"/>
        <w:rPr>
          <w:rFonts w:eastAsia="Times New Roman"/>
          <w:b/>
          <w:sz w:val="24"/>
          <w:szCs w:val="24"/>
        </w:rPr>
      </w:pPr>
      <w:r w:rsidRPr="00CA4E46">
        <w:rPr>
          <w:rFonts w:eastAsia="Times New Roman"/>
          <w:b/>
          <w:sz w:val="24"/>
          <w:szCs w:val="24"/>
        </w:rPr>
        <w:t xml:space="preserve">Energy Access Disparities: </w:t>
      </w:r>
      <w:r w:rsidRPr="00CA4E46">
        <w:rPr>
          <w:rFonts w:eastAsia="Times New Roman"/>
          <w:sz w:val="24"/>
          <w:szCs w:val="24"/>
        </w:rPr>
        <w:t>Many regions, especially in developing countries still lack reliable access to electricity. Billions of people live without basic electricity services limiting their opportunities for education, healthcare and economic development (Hailiang et al. 2023).</w:t>
      </w:r>
    </w:p>
    <w:p w14:paraId="529DAB3E" w14:textId="77777777" w:rsidR="00CD6E75" w:rsidRPr="00CA4E46" w:rsidRDefault="00CA4E46" w:rsidP="00CA4E46">
      <w:pPr>
        <w:pStyle w:val="Normal1"/>
        <w:numPr>
          <w:ilvl w:val="0"/>
          <w:numId w:val="1"/>
        </w:numPr>
        <w:spacing w:line="360" w:lineRule="auto"/>
        <w:jc w:val="both"/>
        <w:rPr>
          <w:rFonts w:eastAsia="Times New Roman"/>
          <w:b/>
          <w:sz w:val="24"/>
          <w:szCs w:val="24"/>
        </w:rPr>
      </w:pPr>
      <w:r w:rsidRPr="00CA4E46">
        <w:rPr>
          <w:rFonts w:eastAsia="Times New Roman"/>
          <w:b/>
          <w:sz w:val="24"/>
          <w:szCs w:val="24"/>
        </w:rPr>
        <w:t xml:space="preserve">Reliance on Fossil Fuels: </w:t>
      </w:r>
      <w:r w:rsidRPr="00CA4E46">
        <w:rPr>
          <w:rFonts w:eastAsia="Times New Roman"/>
          <w:sz w:val="24"/>
          <w:szCs w:val="24"/>
        </w:rPr>
        <w:t xml:space="preserve">Fossil fuels continue to dominate the global energy mix leading to escalating greenhouse gas emissions and environmental degradation. </w:t>
      </w:r>
      <w:r w:rsidRPr="00CA4E46">
        <w:rPr>
          <w:rFonts w:eastAsia="Times New Roman"/>
          <w:sz w:val="24"/>
          <w:szCs w:val="24"/>
        </w:rPr>
        <w:lastRenderedPageBreak/>
        <w:t>The transition to renewable energy is not happening at the required pace to curb these adverse effects (Hailiang et al. 2023).</w:t>
      </w:r>
    </w:p>
    <w:p w14:paraId="05BF5234" w14:textId="77777777" w:rsidR="00CD6E75" w:rsidRPr="00CA4E46" w:rsidRDefault="00CA4E46" w:rsidP="00CA4E46">
      <w:pPr>
        <w:pStyle w:val="Normal1"/>
        <w:numPr>
          <w:ilvl w:val="0"/>
          <w:numId w:val="1"/>
        </w:numPr>
        <w:spacing w:line="360" w:lineRule="auto"/>
        <w:jc w:val="both"/>
        <w:rPr>
          <w:rFonts w:eastAsia="Times New Roman"/>
          <w:b/>
          <w:sz w:val="24"/>
          <w:szCs w:val="24"/>
        </w:rPr>
      </w:pPr>
      <w:r w:rsidRPr="00CA4E46">
        <w:rPr>
          <w:rFonts w:eastAsia="Times New Roman"/>
          <w:b/>
          <w:sz w:val="24"/>
          <w:szCs w:val="24"/>
        </w:rPr>
        <w:t>Lack of Tailored Solutions:</w:t>
      </w:r>
      <w:r w:rsidRPr="00CA4E46">
        <w:rPr>
          <w:rFonts w:eastAsia="Times New Roman"/>
          <w:sz w:val="24"/>
          <w:szCs w:val="24"/>
        </w:rPr>
        <w:t xml:space="preserve"> Existing renewable energy solutions often fail to address the unique challenges and needs of specific regions, communities and industries. On the other hand, a one-size-fits-all approach is insufficient in bridging the energy gap (Chang et al. 2017).</w:t>
      </w:r>
    </w:p>
    <w:p w14:paraId="17C13EDA" w14:textId="77777777" w:rsidR="00CD6E75" w:rsidRPr="00CA4E46" w:rsidRDefault="00CA4E46" w:rsidP="00CA4E46">
      <w:pPr>
        <w:pStyle w:val="Normal1"/>
        <w:numPr>
          <w:ilvl w:val="0"/>
          <w:numId w:val="1"/>
        </w:numPr>
        <w:spacing w:line="360" w:lineRule="auto"/>
        <w:jc w:val="both"/>
        <w:rPr>
          <w:rFonts w:eastAsia="Times New Roman"/>
          <w:b/>
          <w:sz w:val="24"/>
          <w:szCs w:val="24"/>
        </w:rPr>
      </w:pPr>
      <w:r w:rsidRPr="00CA4E46">
        <w:rPr>
          <w:rFonts w:eastAsia="Times New Roman"/>
          <w:b/>
          <w:sz w:val="24"/>
          <w:szCs w:val="24"/>
        </w:rPr>
        <w:t>Affordability and Financial Barriers:</w:t>
      </w:r>
      <w:r w:rsidRPr="00CA4E46">
        <w:rPr>
          <w:rFonts w:eastAsia="Times New Roman"/>
          <w:sz w:val="24"/>
          <w:szCs w:val="24"/>
        </w:rPr>
        <w:t xml:space="preserve"> The upfront costs of renewable energy infrastructure can be prohibitive for many communities and organizations. In a precise manner, overcoming financial barriers to investment in renewable energy remains a significant challenge (Chang et al. 2017).</w:t>
      </w:r>
    </w:p>
    <w:p w14:paraId="6B95003E" w14:textId="77777777" w:rsidR="00CD6E75" w:rsidRPr="00CA4E46" w:rsidRDefault="00CD6E75" w:rsidP="00CA4E46">
      <w:pPr>
        <w:pStyle w:val="Normal1"/>
        <w:spacing w:line="360" w:lineRule="auto"/>
        <w:jc w:val="both"/>
        <w:rPr>
          <w:rFonts w:eastAsia="Times New Roman"/>
          <w:sz w:val="24"/>
          <w:szCs w:val="24"/>
        </w:rPr>
      </w:pPr>
    </w:p>
    <w:p w14:paraId="4E373C90" w14:textId="77777777" w:rsidR="00CD6E75" w:rsidRPr="00CA4E46" w:rsidRDefault="00CA4E46" w:rsidP="00CA4E46">
      <w:pPr>
        <w:pStyle w:val="Heading2"/>
        <w:spacing w:line="360" w:lineRule="auto"/>
        <w:rPr>
          <w:rFonts w:ascii="Arial" w:hAnsi="Arial" w:cs="Arial"/>
        </w:rPr>
      </w:pPr>
      <w:bookmarkStart w:id="18" w:name="_Toc149826042"/>
      <w:r w:rsidRPr="00CA4E46">
        <w:rPr>
          <w:rFonts w:ascii="Arial" w:hAnsi="Arial" w:cs="Arial"/>
        </w:rPr>
        <w:t>3.2 EnGreen's Approach to Bridging the Gap</w:t>
      </w:r>
      <w:bookmarkEnd w:id="18"/>
    </w:p>
    <w:p w14:paraId="381B4BD6" w14:textId="77777777" w:rsidR="00CD6E75" w:rsidRPr="00CA4E46" w:rsidRDefault="00CA4E46" w:rsidP="00CA4E46">
      <w:pPr>
        <w:pStyle w:val="Normal1"/>
        <w:spacing w:line="360" w:lineRule="auto"/>
        <w:jc w:val="both"/>
        <w:rPr>
          <w:rFonts w:eastAsia="Times New Roman"/>
          <w:sz w:val="24"/>
          <w:szCs w:val="24"/>
        </w:rPr>
      </w:pPr>
      <w:r w:rsidRPr="00CA4E46">
        <w:rPr>
          <w:rFonts w:eastAsia="Times New Roman"/>
          <w:sz w:val="24"/>
          <w:szCs w:val="24"/>
        </w:rPr>
        <w:t>EnGreen is fully committed to bridging the market gap for renewable energy by implementing a multifaceted approach that eventually addresses the specific challenges mentioned above:</w:t>
      </w:r>
    </w:p>
    <w:p w14:paraId="0A391D53" w14:textId="77777777" w:rsidR="00CD6E75" w:rsidRPr="00CA4E46" w:rsidRDefault="00CA4E46" w:rsidP="00CA4E46">
      <w:pPr>
        <w:pStyle w:val="Normal1"/>
        <w:numPr>
          <w:ilvl w:val="0"/>
          <w:numId w:val="2"/>
        </w:numPr>
        <w:spacing w:line="360" w:lineRule="auto"/>
        <w:jc w:val="both"/>
        <w:rPr>
          <w:rFonts w:eastAsia="Times New Roman"/>
          <w:b/>
          <w:sz w:val="24"/>
          <w:szCs w:val="24"/>
        </w:rPr>
      </w:pPr>
      <w:r w:rsidRPr="00CA4E46">
        <w:rPr>
          <w:rFonts w:eastAsia="Times New Roman"/>
          <w:b/>
          <w:sz w:val="24"/>
          <w:szCs w:val="24"/>
        </w:rPr>
        <w:t xml:space="preserve">Customized Solutions: </w:t>
      </w:r>
      <w:r w:rsidRPr="00CA4E46">
        <w:rPr>
          <w:rFonts w:eastAsia="Times New Roman"/>
          <w:sz w:val="24"/>
          <w:szCs w:val="24"/>
        </w:rPr>
        <w:t>EnGreen recognizes that each community as well as region has unique energy needs. We take a localized approach offering tailored renewable energy solutions that consider factors such as geography, climate as well and energy demand (Oyedepo, 2014).</w:t>
      </w:r>
    </w:p>
    <w:p w14:paraId="4C269EB1" w14:textId="77777777" w:rsidR="00CD6E75" w:rsidRPr="00CA4E46" w:rsidRDefault="00CA4E46" w:rsidP="00CA4E46">
      <w:pPr>
        <w:pStyle w:val="Normal1"/>
        <w:numPr>
          <w:ilvl w:val="0"/>
          <w:numId w:val="2"/>
        </w:numPr>
        <w:spacing w:line="360" w:lineRule="auto"/>
        <w:jc w:val="both"/>
        <w:rPr>
          <w:rFonts w:eastAsia="Times New Roman"/>
          <w:b/>
          <w:sz w:val="24"/>
          <w:szCs w:val="24"/>
        </w:rPr>
      </w:pPr>
      <w:r w:rsidRPr="00CA4E46">
        <w:rPr>
          <w:rFonts w:eastAsia="Times New Roman"/>
          <w:b/>
          <w:sz w:val="24"/>
          <w:szCs w:val="24"/>
        </w:rPr>
        <w:t xml:space="preserve">Empowering Local Communities: </w:t>
      </w:r>
      <w:r w:rsidRPr="00CA4E46">
        <w:rPr>
          <w:rFonts w:eastAsia="Times New Roman"/>
          <w:sz w:val="24"/>
          <w:szCs w:val="24"/>
        </w:rPr>
        <w:t>EnGreen is dedicated to empowering local communities by providing them with the knowledge as well and resources needed to embrace renewable energy. Our capacity-building programs create a sustainable model for energy generation and consumption (Oyedepo, 2014).</w:t>
      </w:r>
    </w:p>
    <w:p w14:paraId="00A2C638" w14:textId="77777777" w:rsidR="00CD6E75" w:rsidRPr="00CA4E46" w:rsidRDefault="00CA4E46" w:rsidP="00CA4E46">
      <w:pPr>
        <w:pStyle w:val="Normal1"/>
        <w:numPr>
          <w:ilvl w:val="0"/>
          <w:numId w:val="2"/>
        </w:numPr>
        <w:spacing w:line="360" w:lineRule="auto"/>
        <w:jc w:val="both"/>
        <w:rPr>
          <w:rFonts w:eastAsia="Times New Roman"/>
          <w:b/>
          <w:sz w:val="24"/>
          <w:szCs w:val="24"/>
        </w:rPr>
      </w:pPr>
      <w:r w:rsidRPr="00CA4E46">
        <w:rPr>
          <w:rFonts w:eastAsia="Times New Roman"/>
          <w:b/>
          <w:sz w:val="24"/>
          <w:szCs w:val="24"/>
        </w:rPr>
        <w:t xml:space="preserve">Affordability and Financial Accessibility: </w:t>
      </w:r>
      <w:r w:rsidRPr="00CA4E46">
        <w:rPr>
          <w:rFonts w:eastAsia="Times New Roman"/>
          <w:sz w:val="24"/>
          <w:szCs w:val="24"/>
        </w:rPr>
        <w:t>EnGreen's business model includes innovative financial solutions such as pay-as-you-go and micro-financing options to make renewable energy more accessible to underserved communities and organizations (Saqib et al. 2023).</w:t>
      </w:r>
    </w:p>
    <w:p w14:paraId="7F9B049E" w14:textId="77777777" w:rsidR="00CD6E75" w:rsidRPr="00CA4E46" w:rsidRDefault="00CA4E46" w:rsidP="00CA4E46">
      <w:pPr>
        <w:pStyle w:val="Normal1"/>
        <w:numPr>
          <w:ilvl w:val="0"/>
          <w:numId w:val="2"/>
        </w:numPr>
        <w:spacing w:line="360" w:lineRule="auto"/>
        <w:jc w:val="both"/>
        <w:rPr>
          <w:rFonts w:eastAsia="Times New Roman"/>
          <w:b/>
          <w:sz w:val="24"/>
          <w:szCs w:val="24"/>
        </w:rPr>
      </w:pPr>
      <w:r w:rsidRPr="00CA4E46">
        <w:rPr>
          <w:rFonts w:eastAsia="Times New Roman"/>
          <w:b/>
          <w:sz w:val="24"/>
          <w:szCs w:val="24"/>
        </w:rPr>
        <w:t xml:space="preserve">Partnerships and Collaboration: </w:t>
      </w:r>
      <w:r w:rsidRPr="00CA4E46">
        <w:rPr>
          <w:rFonts w:eastAsia="Times New Roman"/>
          <w:sz w:val="24"/>
          <w:szCs w:val="24"/>
        </w:rPr>
        <w:t xml:space="preserve">EnGreen collaborates with a wide range of stakeholders, including governments, non-profit organizations as well and the private sector, to create synergies that promote the adoption of renewable energy </w:t>
      </w:r>
      <w:r w:rsidRPr="00CA4E46">
        <w:rPr>
          <w:rFonts w:eastAsia="Times New Roman"/>
          <w:sz w:val="24"/>
          <w:szCs w:val="24"/>
        </w:rPr>
        <w:lastRenderedPageBreak/>
        <w:t>solutions (Saqib et al. 2023). These partnerships facilitate the development of financially viable projects that can have a significant societal impact.</w:t>
      </w:r>
    </w:p>
    <w:p w14:paraId="790D1D07" w14:textId="77777777" w:rsidR="00CD6E75" w:rsidRPr="00CA4E46" w:rsidRDefault="00CA4E46" w:rsidP="00CA4E46">
      <w:pPr>
        <w:pStyle w:val="Normal1"/>
        <w:spacing w:line="360" w:lineRule="auto"/>
        <w:rPr>
          <w:rFonts w:eastAsia="Times New Roman"/>
          <w:sz w:val="24"/>
          <w:szCs w:val="24"/>
        </w:rPr>
      </w:pPr>
      <w:r w:rsidRPr="00CA4E46">
        <w:rPr>
          <w:rFonts w:eastAsia="Times New Roman"/>
          <w:noProof/>
          <w:sz w:val="24"/>
          <w:szCs w:val="24"/>
        </w:rPr>
        <w:drawing>
          <wp:inline distT="114300" distB="114300" distL="114300" distR="114300" wp14:anchorId="21979D89" wp14:editId="508365AA">
            <wp:extent cx="5943600" cy="3200400"/>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8"/>
                    <a:stretch>
                      <a:fillRect/>
                    </a:stretch>
                  </pic:blipFill>
                  <pic:spPr>
                    <a:xfrm>
                      <a:off x="0" y="0"/>
                      <a:ext cx="5943600" cy="3200400"/>
                    </a:xfrm>
                    <a:prstGeom prst="rect">
                      <a:avLst/>
                    </a:prstGeom>
                    <a:ln w="25400">
                      <a:solidFill>
                        <a:srgbClr val="000000"/>
                      </a:solidFill>
                      <a:prstDash val="solid"/>
                    </a:ln>
                  </pic:spPr>
                </pic:pic>
              </a:graphicData>
            </a:graphic>
          </wp:inline>
        </w:drawing>
      </w:r>
    </w:p>
    <w:p w14:paraId="071F960C" w14:textId="77777777" w:rsidR="00CD6E75" w:rsidRPr="00CA4E46" w:rsidRDefault="00CA4E46" w:rsidP="00CA4E46">
      <w:pPr>
        <w:pStyle w:val="Normal1"/>
        <w:spacing w:line="360" w:lineRule="auto"/>
        <w:jc w:val="center"/>
        <w:rPr>
          <w:rFonts w:eastAsia="Times New Roman"/>
          <w:b/>
          <w:sz w:val="24"/>
          <w:szCs w:val="24"/>
        </w:rPr>
      </w:pPr>
      <w:r w:rsidRPr="00CA4E46">
        <w:rPr>
          <w:rFonts w:eastAsia="Times New Roman"/>
          <w:b/>
          <w:sz w:val="24"/>
          <w:szCs w:val="24"/>
        </w:rPr>
        <w:t>Fig 1: US Renewable Energy Market</w:t>
      </w:r>
    </w:p>
    <w:p w14:paraId="61CC119D"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(Source; Mordorintelligence.com, 2023)</w:t>
      </w:r>
    </w:p>
    <w:p w14:paraId="6CCCAA45" w14:textId="77777777" w:rsidR="00CD6E75" w:rsidRPr="00CA4E46" w:rsidRDefault="00CA4E46" w:rsidP="00CA4E46">
      <w:pPr>
        <w:pStyle w:val="Heading1"/>
        <w:spacing w:line="360" w:lineRule="auto"/>
        <w:jc w:val="both"/>
        <w:rPr>
          <w:rFonts w:ascii="Arial" w:hAnsi="Arial" w:cs="Arial"/>
        </w:rPr>
      </w:pPr>
      <w:bookmarkStart w:id="19" w:name="_Toc149826043"/>
      <w:r w:rsidRPr="00CA4E46">
        <w:rPr>
          <w:rFonts w:ascii="Arial" w:hAnsi="Arial" w:cs="Arial"/>
        </w:rPr>
        <w:t>4. Business Location and Legal Entity</w:t>
      </w:r>
      <w:bookmarkEnd w:id="19"/>
    </w:p>
    <w:p w14:paraId="02AD0B09" w14:textId="77777777" w:rsidR="00CD6E75" w:rsidRPr="00CA4E46" w:rsidRDefault="00CA4E46" w:rsidP="00CA4E46">
      <w:pPr>
        <w:pStyle w:val="Heading2"/>
        <w:spacing w:line="360" w:lineRule="auto"/>
        <w:rPr>
          <w:rFonts w:ascii="Arial" w:hAnsi="Arial" w:cs="Arial"/>
        </w:rPr>
      </w:pPr>
      <w:bookmarkStart w:id="20" w:name="_Toc149826044"/>
      <w:r w:rsidRPr="00CA4E46">
        <w:rPr>
          <w:rFonts w:ascii="Arial" w:hAnsi="Arial" w:cs="Arial"/>
        </w:rPr>
        <w:t>4.1 Choice of Location</w:t>
      </w:r>
      <w:bookmarkEnd w:id="20"/>
    </w:p>
    <w:p w14:paraId="438D1663" w14:textId="77777777" w:rsidR="00CD6E75" w:rsidRPr="00CA4E46" w:rsidRDefault="00CA4E46" w:rsidP="00CA4E46">
      <w:pPr>
        <w:pStyle w:val="Normal1"/>
        <w:spacing w:line="360" w:lineRule="auto"/>
        <w:jc w:val="both"/>
        <w:rPr>
          <w:rFonts w:eastAsia="Times New Roman"/>
          <w:sz w:val="24"/>
          <w:szCs w:val="24"/>
        </w:rPr>
      </w:pPr>
      <w:r w:rsidRPr="00CA4E46">
        <w:rPr>
          <w:rFonts w:eastAsia="Times New Roman"/>
          <w:sz w:val="24"/>
          <w:szCs w:val="24"/>
        </w:rPr>
        <w:t>EnGreen intends to establish its operating headquarters in the UK. The decision to locate the company in the UK is completely in line with our aim to promote sustainable energy projects. The UK is the leader in the adoption and innovation of renewable energy making it the perfect location for our activities (Saqib et al. 2023). It has a thriving renewable energy industry a helpful regulatory environment and a commitment to lowering carbon emissions all of which are helpful to achieving our objectives. Additionally, the UK government has implemented several incentives and regulations to support renewable energy projects fostering investment and industry development (Adenle,  2020). EnGreen thinks there are many chances for us to make a substantial contribution to the renewable energy industry given the UK's changing energy environment.</w:t>
      </w:r>
    </w:p>
    <w:p w14:paraId="16A09DB3" w14:textId="77777777" w:rsidR="00CD6E75" w:rsidRPr="00CA4E46" w:rsidRDefault="00CA4E46" w:rsidP="00CA4E46">
      <w:pPr>
        <w:pStyle w:val="Heading2"/>
        <w:spacing w:line="360" w:lineRule="auto"/>
        <w:rPr>
          <w:rFonts w:ascii="Arial" w:hAnsi="Arial" w:cs="Arial"/>
        </w:rPr>
      </w:pPr>
      <w:bookmarkStart w:id="21" w:name="_Toc149826045"/>
      <w:r w:rsidRPr="00CA4E46">
        <w:rPr>
          <w:rFonts w:ascii="Arial" w:hAnsi="Arial" w:cs="Arial"/>
        </w:rPr>
        <w:lastRenderedPageBreak/>
        <w:t>4.2 Legal Structure and Justification</w:t>
      </w:r>
      <w:bookmarkEnd w:id="21"/>
    </w:p>
    <w:p w14:paraId="2ACE9C51" w14:textId="77777777" w:rsidR="00CD6E75" w:rsidRPr="00CA4E46" w:rsidRDefault="00CA4E46" w:rsidP="00CA4E46">
      <w:pPr>
        <w:pStyle w:val="Normal1"/>
        <w:spacing w:line="360" w:lineRule="auto"/>
        <w:jc w:val="both"/>
        <w:rPr>
          <w:rFonts w:eastAsia="Times New Roman"/>
          <w:b/>
          <w:sz w:val="24"/>
          <w:szCs w:val="24"/>
        </w:rPr>
      </w:pPr>
      <w:r w:rsidRPr="00CA4E46">
        <w:rPr>
          <w:rFonts w:eastAsia="Times New Roman"/>
          <w:sz w:val="24"/>
          <w:szCs w:val="24"/>
        </w:rPr>
        <w:t>EnGreen has been established as a Limited Liability Company (LLC) in the United Kingdom. This judicious selection of the legal entity aligns seamlessly with our corporate ambitions. The LLC framework meticulously harmonizes the fortress-like liability protection intrinsic to corporations with the elegance and adaptability synonymous with partnerships. It erects a formidable shield, guarding the personal assets of EnGreen's founders and investors from the turbulence of commercial obligations and legal quandaries (Clausen and Rudolph, 2020). This safeguard becomes an invaluable asset in the ever-fluctuating realm of renewable energy, a domain where unforeseen tribulations are an enduring companion. Furthermore, the LLC structure grants the privilege of pass-through taxation, a mechanism whereby profits and losses serenely cascade into the tax returns of the individual proprietors. This fiscal efficiency amplifies EnGreen's monetary dexterity and wields an allure for potential investors (Clausen and Rudolph, 2020). The dexterity inherent in the LLC framework empowers EnGreen to judiciously apportion profits and losses among its constituents, always mindful of the broader mission and strategic objectives. It also serves as an inviting platform for international investors, enriching our endeavour to engage in a meaningful dialogue with a variegated community of stakeholders (Clausen and Rudolph, 2020).</w:t>
      </w:r>
    </w:p>
    <w:p w14:paraId="534FA36B" w14:textId="77777777" w:rsidR="00CD6E75" w:rsidRPr="00CA4E46" w:rsidRDefault="00CA4E46" w:rsidP="00CA4E46">
      <w:pPr>
        <w:pStyle w:val="Heading1"/>
        <w:spacing w:line="360" w:lineRule="auto"/>
        <w:jc w:val="both"/>
        <w:rPr>
          <w:rFonts w:ascii="Arial" w:hAnsi="Arial" w:cs="Arial"/>
        </w:rPr>
      </w:pPr>
      <w:bookmarkStart w:id="22" w:name="_uk6n1e57y5ly" w:colFirst="0" w:colLast="0"/>
      <w:bookmarkStart w:id="23" w:name="_Toc149826046"/>
      <w:bookmarkEnd w:id="22"/>
      <w:r w:rsidRPr="00CA4E46">
        <w:rPr>
          <w:rFonts w:ascii="Arial" w:hAnsi="Arial" w:cs="Arial"/>
          <w:noProof/>
        </w:rPr>
        <w:lastRenderedPageBreak/>
        <w:drawing>
          <wp:inline distT="114300" distB="114300" distL="114300" distR="114300" wp14:anchorId="5BDFFCE1" wp14:editId="3AF52093">
            <wp:extent cx="5943600" cy="3149600"/>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9"/>
                    <a:stretch>
                      <a:fillRect/>
                    </a:stretch>
                  </pic:blipFill>
                  <pic:spPr>
                    <a:xfrm>
                      <a:off x="0" y="0"/>
                      <a:ext cx="5943600" cy="3149600"/>
                    </a:xfrm>
                    <a:prstGeom prst="rect">
                      <a:avLst/>
                    </a:prstGeom>
                    <a:ln w="25400">
                      <a:solidFill>
                        <a:srgbClr val="000000"/>
                      </a:solidFill>
                      <a:prstDash val="solid"/>
                    </a:ln>
                  </pic:spPr>
                </pic:pic>
              </a:graphicData>
            </a:graphic>
          </wp:inline>
        </w:drawing>
      </w:r>
      <w:bookmarkEnd w:id="23"/>
    </w:p>
    <w:p w14:paraId="313D3177" w14:textId="77777777" w:rsidR="00CD6E75" w:rsidRPr="00CA4E46" w:rsidRDefault="00CA4E46" w:rsidP="00CA4E46">
      <w:pPr>
        <w:pStyle w:val="Normal1"/>
        <w:spacing w:line="360" w:lineRule="auto"/>
        <w:jc w:val="center"/>
        <w:rPr>
          <w:rFonts w:eastAsia="Times New Roman"/>
          <w:b/>
          <w:sz w:val="24"/>
          <w:szCs w:val="24"/>
        </w:rPr>
      </w:pPr>
      <w:r w:rsidRPr="00CA4E46">
        <w:rPr>
          <w:rFonts w:eastAsia="Times New Roman"/>
          <w:b/>
          <w:sz w:val="24"/>
          <w:szCs w:val="24"/>
        </w:rPr>
        <w:t>Fig 2: US Renewable Energy Market Analysis</w:t>
      </w:r>
    </w:p>
    <w:p w14:paraId="139F63CC"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(Source; Mordorintelligence.com, 2023)</w:t>
      </w:r>
    </w:p>
    <w:p w14:paraId="64C43A1C" w14:textId="77777777" w:rsidR="00CD6E75" w:rsidRPr="00CA4E46" w:rsidRDefault="00CD6E75" w:rsidP="00CA4E46">
      <w:pPr>
        <w:pStyle w:val="Normal1"/>
        <w:spacing w:line="360" w:lineRule="auto"/>
      </w:pPr>
    </w:p>
    <w:p w14:paraId="56F63C6E" w14:textId="77777777" w:rsidR="00CD6E75" w:rsidRPr="00CA4E46" w:rsidRDefault="00CA4E46" w:rsidP="00CA4E46">
      <w:pPr>
        <w:pStyle w:val="Heading1"/>
        <w:spacing w:line="360" w:lineRule="auto"/>
        <w:jc w:val="both"/>
        <w:rPr>
          <w:rFonts w:ascii="Arial" w:hAnsi="Arial" w:cs="Arial"/>
          <w:sz w:val="24"/>
          <w:szCs w:val="24"/>
        </w:rPr>
      </w:pPr>
      <w:bookmarkStart w:id="24" w:name="_Toc149826047"/>
      <w:r w:rsidRPr="00CA4E46">
        <w:rPr>
          <w:rFonts w:ascii="Arial" w:hAnsi="Arial" w:cs="Arial"/>
        </w:rPr>
        <w:t>5. SWOT ANALYSIS</w:t>
      </w:r>
      <w:bookmarkEnd w:id="24"/>
    </w:p>
    <w:tbl>
      <w:tblPr>
        <w:tblStyle w:val="Table4"/>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001"/>
        <w:gridCol w:w="7359"/>
      </w:tblGrid>
      <w:tr w:rsidR="00CD6E75" w:rsidRPr="00CA4E46" w14:paraId="6BEE5BFB" w14:textId="77777777">
        <w:trPr>
          <w:trHeight w:val="710"/>
        </w:trPr>
        <w:tc>
          <w:tcPr>
            <w:tcW w:w="200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3F793641" w14:textId="77777777" w:rsidR="00CD6E75" w:rsidRPr="00CA4E46" w:rsidRDefault="00CA4E46" w:rsidP="00CA4E46">
            <w:pPr>
              <w:pStyle w:val="Normal1"/>
              <w:spacing w:before="200" w:line="360" w:lineRule="auto"/>
              <w:jc w:val="center"/>
              <w:rPr>
                <w:rFonts w:eastAsia="Times New Roman"/>
                <w:sz w:val="24"/>
                <w:szCs w:val="24"/>
              </w:rPr>
            </w:pPr>
            <w:r w:rsidRPr="00CA4E46">
              <w:rPr>
                <w:rFonts w:eastAsia="Times New Roman"/>
                <w:b/>
                <w:sz w:val="24"/>
                <w:szCs w:val="24"/>
              </w:rPr>
              <w:t>Factor</w:t>
            </w:r>
          </w:p>
        </w:tc>
        <w:tc>
          <w:tcPr>
            <w:tcW w:w="7358"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282343D7" w14:textId="77777777" w:rsidR="00CD6E75" w:rsidRPr="00CA4E46" w:rsidRDefault="00CA4E46" w:rsidP="00CA4E46">
            <w:pPr>
              <w:pStyle w:val="Normal1"/>
              <w:spacing w:before="200" w:line="360" w:lineRule="auto"/>
              <w:jc w:val="center"/>
              <w:rPr>
                <w:rFonts w:eastAsia="Times New Roman"/>
                <w:sz w:val="24"/>
                <w:szCs w:val="24"/>
              </w:rPr>
            </w:pPr>
            <w:r w:rsidRPr="00CA4E46">
              <w:rPr>
                <w:rFonts w:eastAsia="Times New Roman"/>
                <w:b/>
                <w:sz w:val="24"/>
                <w:szCs w:val="24"/>
              </w:rPr>
              <w:t>Description</w:t>
            </w:r>
          </w:p>
        </w:tc>
      </w:tr>
      <w:tr w:rsidR="00CD6E75" w:rsidRPr="00CA4E46" w14:paraId="50B9051E" w14:textId="77777777">
        <w:trPr>
          <w:trHeight w:val="3935"/>
        </w:trPr>
        <w:tc>
          <w:tcPr>
            <w:tcW w:w="200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24B93F6" w14:textId="77777777" w:rsidR="00CD6E75" w:rsidRPr="00CA4E46" w:rsidRDefault="00CA4E46" w:rsidP="00CA4E46">
            <w:pPr>
              <w:pStyle w:val="Normal1"/>
              <w:spacing w:before="200" w:line="360" w:lineRule="auto"/>
              <w:jc w:val="center"/>
              <w:rPr>
                <w:rFonts w:eastAsia="Times New Roman"/>
                <w:b/>
                <w:sz w:val="24"/>
                <w:szCs w:val="24"/>
              </w:rPr>
            </w:pPr>
            <w:r w:rsidRPr="00CA4E46">
              <w:rPr>
                <w:rFonts w:eastAsia="Times New Roman"/>
                <w:b/>
                <w:sz w:val="24"/>
                <w:szCs w:val="24"/>
              </w:rPr>
              <w:t>Strengths</w:t>
            </w:r>
          </w:p>
        </w:tc>
        <w:tc>
          <w:tcPr>
            <w:tcW w:w="7358"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8780DE0" w14:textId="77777777" w:rsidR="00CD6E75" w:rsidRPr="00CA4E46" w:rsidRDefault="00CA4E46" w:rsidP="00CA4E46">
            <w:pPr>
              <w:pStyle w:val="Normal1"/>
              <w:spacing w:before="200" w:line="360" w:lineRule="auto"/>
              <w:jc w:val="both"/>
              <w:rPr>
                <w:rFonts w:eastAsia="Times New Roman"/>
                <w:sz w:val="24"/>
                <w:szCs w:val="24"/>
              </w:rPr>
            </w:pPr>
            <w:r w:rsidRPr="00CA4E46">
              <w:rPr>
                <w:rFonts w:eastAsia="Times New Roman"/>
                <w:sz w:val="24"/>
                <w:szCs w:val="24"/>
              </w:rPr>
              <w:t xml:space="preserve">EnGreen prides itself on a multitude of substantial merits. Primarily, our profound acumen in the realm of renewable energy technologies and sustainable development, complemented by our multifaceted proficiencies, establishes us as an illustrious frontrunner within this industry (Clausen and Rudolph, 2020. The company's unwavering dedication to research and pioneering endeavours has afforded us the privilege of conceiving avant-garde solutions (Kılkış et al. 2019). Our seasoned and exceptionally adept team, in concert with our expansive international network and partnerships, stands as a priceless resource. Furthermore, the Renewable Energy Market Analysis of the United Kingdom unveils a momentous prospect. The </w:t>
            </w:r>
            <w:r w:rsidRPr="00CA4E46">
              <w:rPr>
                <w:rFonts w:eastAsia="Times New Roman"/>
                <w:sz w:val="24"/>
                <w:szCs w:val="24"/>
              </w:rPr>
              <w:lastRenderedPageBreak/>
              <w:t>market is poised for remarkable expansion, ascending from 395 gigawatts in 2023 to an impressive 636.44 gigawatts by the year 2028, charting an impressive CAGR of 10.01% during the prognosticated period spanning from 2023 to 2028 (Finance.yahoo.com, 2023).</w:t>
            </w:r>
          </w:p>
        </w:tc>
      </w:tr>
      <w:tr w:rsidR="00CD6E75" w:rsidRPr="00CA4E46" w14:paraId="22B4E487" w14:textId="77777777">
        <w:trPr>
          <w:trHeight w:val="3645"/>
        </w:trPr>
        <w:tc>
          <w:tcPr>
            <w:tcW w:w="200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5063952" w14:textId="77777777" w:rsidR="00CD6E75" w:rsidRPr="00CA4E46" w:rsidRDefault="00CA4E46" w:rsidP="00CA4E46">
            <w:pPr>
              <w:pStyle w:val="Normal1"/>
              <w:spacing w:before="200" w:line="360" w:lineRule="auto"/>
              <w:jc w:val="center"/>
              <w:rPr>
                <w:rFonts w:eastAsia="Times New Roman"/>
                <w:b/>
                <w:sz w:val="24"/>
                <w:szCs w:val="24"/>
              </w:rPr>
            </w:pPr>
            <w:r w:rsidRPr="00CA4E46">
              <w:rPr>
                <w:rFonts w:eastAsia="Times New Roman"/>
                <w:b/>
                <w:sz w:val="24"/>
                <w:szCs w:val="24"/>
              </w:rPr>
              <w:lastRenderedPageBreak/>
              <w:t xml:space="preserve">Weaknesses </w:t>
            </w:r>
          </w:p>
        </w:tc>
        <w:tc>
          <w:tcPr>
            <w:tcW w:w="7358"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AD1EE6F" w14:textId="77777777" w:rsidR="00CD6E75" w:rsidRPr="00CA4E46" w:rsidRDefault="00CA4E46" w:rsidP="00CA4E46">
            <w:pPr>
              <w:pStyle w:val="Normal1"/>
              <w:spacing w:before="200" w:line="360" w:lineRule="auto"/>
              <w:jc w:val="both"/>
              <w:rPr>
                <w:rFonts w:eastAsia="Times New Roman"/>
                <w:sz w:val="24"/>
                <w:szCs w:val="24"/>
              </w:rPr>
            </w:pPr>
            <w:r w:rsidRPr="00CA4E46">
              <w:rPr>
                <w:rFonts w:eastAsia="Times New Roman"/>
                <w:sz w:val="24"/>
                <w:szCs w:val="24"/>
              </w:rPr>
              <w:t xml:space="preserve">Despite EnGreen's many advantages, there are also some known drawbacks. Scalability issues for the business are a concern, especially when it enters new areas. The reliance on outside financing sources also creates a potential risk (Engreengroup.com, 2023). Even though EnGreen has a good ability to complete projects quickly there may be difficulties when demand is high. Our operations may be impacted by the changing regulatory environment and policy developments in the renewable energy industry which calls for flexibility (Victoria et al. 2021). </w:t>
            </w:r>
          </w:p>
        </w:tc>
      </w:tr>
      <w:tr w:rsidR="00CD6E75" w:rsidRPr="00CA4E46" w14:paraId="1943C185" w14:textId="77777777">
        <w:trPr>
          <w:trHeight w:val="2773"/>
        </w:trPr>
        <w:tc>
          <w:tcPr>
            <w:tcW w:w="200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0AFDE78" w14:textId="77777777" w:rsidR="00CD6E75" w:rsidRPr="00CA4E46" w:rsidRDefault="00CA4E46" w:rsidP="00CA4E46">
            <w:pPr>
              <w:pStyle w:val="Normal1"/>
              <w:spacing w:before="200" w:line="360" w:lineRule="auto"/>
              <w:jc w:val="center"/>
              <w:rPr>
                <w:rFonts w:eastAsia="Times New Roman"/>
                <w:b/>
                <w:sz w:val="24"/>
                <w:szCs w:val="24"/>
              </w:rPr>
            </w:pPr>
            <w:r w:rsidRPr="00CA4E46">
              <w:rPr>
                <w:rFonts w:eastAsia="Times New Roman"/>
                <w:b/>
                <w:sz w:val="24"/>
                <w:szCs w:val="24"/>
              </w:rPr>
              <w:t xml:space="preserve">Opportunities </w:t>
            </w:r>
          </w:p>
        </w:tc>
        <w:tc>
          <w:tcPr>
            <w:tcW w:w="7358"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5F669C0" w14:textId="77777777" w:rsidR="00CD6E75" w:rsidRPr="00CA4E46" w:rsidRDefault="00CA4E46" w:rsidP="00CA4E46">
            <w:pPr>
              <w:pStyle w:val="Normal1"/>
              <w:spacing w:before="200" w:line="360" w:lineRule="auto"/>
              <w:jc w:val="both"/>
              <w:rPr>
                <w:rFonts w:eastAsia="Times New Roman"/>
                <w:sz w:val="24"/>
                <w:szCs w:val="24"/>
              </w:rPr>
            </w:pPr>
            <w:r w:rsidRPr="00CA4E46">
              <w:rPr>
                <w:rFonts w:eastAsia="Times New Roman"/>
                <w:sz w:val="24"/>
                <w:szCs w:val="24"/>
              </w:rPr>
              <w:t xml:space="preserve">The market for renewable energy in the UK has several prospects. EnGreen is in a good position because of the government's dedication to clean energy and sustainability which is shown by its ambitious renewable energy objectives and incentive programmes (Engreengroup.com, 2023). Demand for renewable energy sources is rising as consumers and companies become more conscious of climate change and environmental responsibility (George et al. 2021). </w:t>
            </w:r>
          </w:p>
        </w:tc>
      </w:tr>
      <w:tr w:rsidR="00CD6E75" w:rsidRPr="00CA4E46" w14:paraId="5B52323C" w14:textId="77777777">
        <w:trPr>
          <w:trHeight w:val="5175"/>
        </w:trPr>
        <w:tc>
          <w:tcPr>
            <w:tcW w:w="200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763CBD4" w14:textId="77777777" w:rsidR="00CD6E75" w:rsidRPr="00CA4E46" w:rsidRDefault="00CA4E46" w:rsidP="00CA4E46">
            <w:pPr>
              <w:pStyle w:val="Normal1"/>
              <w:spacing w:before="200" w:line="360" w:lineRule="auto"/>
              <w:jc w:val="center"/>
              <w:rPr>
                <w:rFonts w:eastAsia="Times New Roman"/>
                <w:b/>
                <w:sz w:val="24"/>
                <w:szCs w:val="24"/>
              </w:rPr>
            </w:pPr>
            <w:r w:rsidRPr="00CA4E46">
              <w:rPr>
                <w:rFonts w:eastAsia="Times New Roman"/>
                <w:b/>
                <w:sz w:val="24"/>
                <w:szCs w:val="24"/>
              </w:rPr>
              <w:lastRenderedPageBreak/>
              <w:t xml:space="preserve">Threats </w:t>
            </w:r>
          </w:p>
        </w:tc>
        <w:tc>
          <w:tcPr>
            <w:tcW w:w="7358"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A8F6CEB" w14:textId="77777777" w:rsidR="00CD6E75" w:rsidRPr="00CA4E46" w:rsidRDefault="00CA4E46" w:rsidP="00CA4E46">
            <w:pPr>
              <w:pStyle w:val="Normal1"/>
              <w:spacing w:before="200" w:line="360" w:lineRule="auto"/>
              <w:jc w:val="both"/>
              <w:rPr>
                <w:rFonts w:eastAsia="Times New Roman"/>
                <w:sz w:val="24"/>
                <w:szCs w:val="24"/>
              </w:rPr>
            </w:pPr>
            <w:r w:rsidRPr="00CA4E46">
              <w:rPr>
                <w:rFonts w:eastAsia="Times New Roman"/>
                <w:sz w:val="24"/>
                <w:szCs w:val="24"/>
              </w:rPr>
              <w:t>The renewable energy sector in the United States, while a global exemplar of triumph, simultaneously brandishes certain perils to EnGreen's UK-centered activities. As of 2022, the International Trade Administration's proclamation resonated that the United States boasts the world's second-largest renewable energy industry, trailing only behind China (Mordorintelligence.com, 2023). In the United Kingdom, renewable energy has entrenched itself profoundly, poised to ascend as the preeminent fount of electricity generation within the nation by the midpoint of the 2030s. This milieu of market saturation and intensified rivalry can indeed furnish a formidable test for EnGreen's ambitions of expansion. The American renewable energy landscape is meticulously segmented based on energy origins, with wind and solar reigning supreme (Finance.yahoo.com, 2023). In the year 2022, investments in clean energy in the United Kingdom soared to an impressive $141 billion, unveiling an 11% year-over-year upsurge, underscoring the fiscal mettle underpinning this dynamic market (Mordorintelligence.com, 2023).</w:t>
            </w:r>
          </w:p>
        </w:tc>
      </w:tr>
    </w:tbl>
    <w:p w14:paraId="7B5E10D8" w14:textId="77777777" w:rsidR="00CD6E75" w:rsidRPr="00CA4E46" w:rsidRDefault="00CD6E75" w:rsidP="00CA4E46">
      <w:pPr>
        <w:pStyle w:val="Normal1"/>
        <w:spacing w:line="360" w:lineRule="auto"/>
        <w:jc w:val="both"/>
        <w:rPr>
          <w:rFonts w:eastAsia="Times New Roman"/>
          <w:sz w:val="24"/>
          <w:szCs w:val="24"/>
        </w:rPr>
      </w:pPr>
    </w:p>
    <w:p w14:paraId="62B921A2" w14:textId="77777777" w:rsidR="00CD6E75" w:rsidRPr="00CA4E46" w:rsidRDefault="00CD6E75" w:rsidP="00CA4E46">
      <w:pPr>
        <w:pStyle w:val="Normal1"/>
        <w:spacing w:line="360" w:lineRule="auto"/>
        <w:jc w:val="both"/>
        <w:rPr>
          <w:rFonts w:eastAsia="Times New Roman"/>
          <w:sz w:val="24"/>
          <w:szCs w:val="24"/>
        </w:rPr>
      </w:pPr>
    </w:p>
    <w:p w14:paraId="734C24BB" w14:textId="77777777" w:rsidR="00CD6E75" w:rsidRPr="00CA4E46" w:rsidRDefault="00CD6E75" w:rsidP="00CA4E46">
      <w:pPr>
        <w:pStyle w:val="Normal1"/>
        <w:spacing w:line="360" w:lineRule="auto"/>
        <w:jc w:val="both"/>
        <w:rPr>
          <w:rFonts w:eastAsia="Times New Roman"/>
          <w:sz w:val="24"/>
          <w:szCs w:val="24"/>
        </w:rPr>
      </w:pPr>
    </w:p>
    <w:p w14:paraId="4B2A14D1" w14:textId="77777777" w:rsidR="00CD6E75" w:rsidRPr="00CA4E46" w:rsidRDefault="00CA4E46" w:rsidP="00CA4E46">
      <w:pPr>
        <w:pStyle w:val="Normal1"/>
        <w:spacing w:line="360" w:lineRule="auto"/>
        <w:jc w:val="both"/>
        <w:rPr>
          <w:rFonts w:eastAsia="Times New Roman"/>
          <w:sz w:val="24"/>
          <w:szCs w:val="24"/>
        </w:rPr>
      </w:pPr>
      <w:r w:rsidRPr="00CA4E46">
        <w:rPr>
          <w:rFonts w:eastAsia="Times New Roman"/>
          <w:noProof/>
          <w:sz w:val="24"/>
          <w:szCs w:val="24"/>
        </w:rPr>
        <w:lastRenderedPageBreak/>
        <w:drawing>
          <wp:inline distT="114300" distB="114300" distL="114300" distR="114300" wp14:anchorId="68EF8343" wp14:editId="478B95B4">
            <wp:extent cx="5614988" cy="3311403"/>
            <wp:effectExtent l="25400" t="25400" r="25400" b="25400"/>
            <wp:docPr id="2" name="image6.png"/>
            <wp:cNvGraphicFramePr/>
            <a:graphic xmlns:a="http://schemas.openxmlformats.org/drawingml/2006/main">
              <a:graphicData uri="http://schemas.openxmlformats.org/drawingml/2006/picture">
                <pic:pic xmlns:pic="http://schemas.openxmlformats.org/drawingml/2006/picture">
                  <pic:nvPicPr>
                    <pic:cNvPr id="2" name="image6.png"/>
                    <pic:cNvPicPr/>
                  </pic:nvPicPr>
                  <pic:blipFill>
                    <a:blip r:embed="rId10"/>
                    <a:stretch>
                      <a:fillRect/>
                    </a:stretch>
                  </pic:blipFill>
                  <pic:spPr>
                    <a:xfrm>
                      <a:off x="0" y="0"/>
                      <a:ext cx="5614988" cy="3311403"/>
                    </a:xfrm>
                    <a:prstGeom prst="rect">
                      <a:avLst/>
                    </a:prstGeom>
                    <a:ln w="25400">
                      <a:solidFill>
                        <a:srgbClr val="000000"/>
                      </a:solidFill>
                      <a:prstDash val="solid"/>
                    </a:ln>
                  </pic:spPr>
                </pic:pic>
              </a:graphicData>
            </a:graphic>
          </wp:inline>
        </w:drawing>
      </w:r>
    </w:p>
    <w:p w14:paraId="286D6B92" w14:textId="77777777" w:rsidR="00CD6E75" w:rsidRPr="00CA4E46" w:rsidRDefault="00CD6E75" w:rsidP="00CA4E46">
      <w:pPr>
        <w:pStyle w:val="Normal1"/>
        <w:spacing w:line="360" w:lineRule="auto"/>
        <w:jc w:val="both"/>
        <w:rPr>
          <w:rFonts w:eastAsia="Times New Roman"/>
          <w:sz w:val="24"/>
          <w:szCs w:val="24"/>
        </w:rPr>
      </w:pPr>
    </w:p>
    <w:p w14:paraId="08C48B1F" w14:textId="77777777" w:rsidR="00CD6E75" w:rsidRPr="00CA4E46" w:rsidRDefault="00CD6E75" w:rsidP="00CA4E46">
      <w:pPr>
        <w:pStyle w:val="Normal1"/>
        <w:spacing w:line="360" w:lineRule="auto"/>
        <w:jc w:val="both"/>
        <w:rPr>
          <w:rFonts w:eastAsia="Times New Roman"/>
          <w:sz w:val="24"/>
          <w:szCs w:val="24"/>
        </w:rPr>
      </w:pPr>
    </w:p>
    <w:p w14:paraId="7719D7E2" w14:textId="77777777" w:rsidR="00CD6E75" w:rsidRPr="00CA4E46" w:rsidRDefault="00CA4E46" w:rsidP="00CA4E46">
      <w:pPr>
        <w:pStyle w:val="Normal1"/>
        <w:spacing w:line="360" w:lineRule="auto"/>
        <w:jc w:val="center"/>
        <w:rPr>
          <w:rFonts w:eastAsia="Times New Roman"/>
          <w:b/>
          <w:sz w:val="24"/>
          <w:szCs w:val="24"/>
        </w:rPr>
      </w:pPr>
      <w:r w:rsidRPr="00CA4E46">
        <w:rPr>
          <w:rFonts w:eastAsia="Times New Roman"/>
          <w:b/>
          <w:sz w:val="24"/>
          <w:szCs w:val="24"/>
        </w:rPr>
        <w:t>Fig 3: US Renewable Energy Market Size</w:t>
      </w:r>
    </w:p>
    <w:p w14:paraId="357BFF13"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(Source; Mordorintelligence.com, 2023)</w:t>
      </w:r>
    </w:p>
    <w:p w14:paraId="70F54D0C" w14:textId="77777777" w:rsidR="00CD6E75" w:rsidRPr="00CA4E46" w:rsidRDefault="00CA4E46" w:rsidP="00CA4E46">
      <w:pPr>
        <w:pStyle w:val="Heading1"/>
        <w:spacing w:line="360" w:lineRule="auto"/>
        <w:jc w:val="both"/>
        <w:rPr>
          <w:rFonts w:ascii="Arial" w:hAnsi="Arial" w:cs="Arial"/>
        </w:rPr>
      </w:pPr>
      <w:bookmarkStart w:id="25" w:name="_Toc149826048"/>
      <w:r w:rsidRPr="00CA4E46">
        <w:rPr>
          <w:rFonts w:ascii="Arial" w:hAnsi="Arial" w:cs="Arial"/>
        </w:rPr>
        <w:t>6. Target Market and Strategies</w:t>
      </w:r>
      <w:bookmarkEnd w:id="25"/>
    </w:p>
    <w:p w14:paraId="0D99BAB3" w14:textId="77777777" w:rsidR="00CD6E75" w:rsidRPr="00CA4E46" w:rsidRDefault="00CA4E46" w:rsidP="00CA4E46">
      <w:pPr>
        <w:pStyle w:val="Heading2"/>
        <w:spacing w:line="360" w:lineRule="auto"/>
        <w:rPr>
          <w:rFonts w:ascii="Arial" w:hAnsi="Arial" w:cs="Arial"/>
        </w:rPr>
      </w:pPr>
      <w:bookmarkStart w:id="26" w:name="_Toc149826049"/>
      <w:r w:rsidRPr="00CA4E46">
        <w:rPr>
          <w:rFonts w:ascii="Arial" w:hAnsi="Arial" w:cs="Arial"/>
        </w:rPr>
        <w:t>6.1 Identifying the Target Market</w:t>
      </w:r>
      <w:bookmarkEnd w:id="26"/>
    </w:p>
    <w:p w14:paraId="5D9C29E3" w14:textId="77777777" w:rsidR="00CD6E75" w:rsidRPr="00CA4E46" w:rsidRDefault="00CA4E46" w:rsidP="00CA4E46">
      <w:pPr>
        <w:pStyle w:val="Normal1"/>
        <w:spacing w:line="360" w:lineRule="auto"/>
        <w:jc w:val="both"/>
        <w:rPr>
          <w:rFonts w:eastAsia="Times New Roman"/>
          <w:sz w:val="24"/>
          <w:szCs w:val="24"/>
        </w:rPr>
      </w:pPr>
      <w:r w:rsidRPr="00CA4E46">
        <w:rPr>
          <w:rFonts w:eastAsia="Times New Roman"/>
          <w:sz w:val="24"/>
          <w:szCs w:val="24"/>
        </w:rPr>
        <w:t xml:space="preserve">In the development of EnGreen's business strategy, the pivotal factor lies in the meticulous identification of its target demographic. In its relentless pursuit of advocating for sustainable energy solutions, EnGreen has meticulously delineated various key segments within the intricate landscape of the United Kingdom's energy sector. Foremost among these segments is the primary focal point, which revolves around residential consumers exhibiting an escalating awareness of their environmental impact (Beck et al. 2021). The surging trend of households embracing renewable energy sources is fuelled by a profound yearning for cleaner energy alternatives and the pursuit of economic benefits. In addition, the sphere of commercial and industrial sectors stands as a linchpin in EnGreen's overarching plan, given their substantial carbon emissions footprint (George et al. 2021). The solutions proffered by EnGreen are impeccably tailored to serve both expansive industrial conglomerates and relatively diminutive commercial enterprises. </w:t>
      </w:r>
      <w:r w:rsidRPr="00CA4E46">
        <w:rPr>
          <w:rFonts w:eastAsia="Times New Roman"/>
          <w:sz w:val="24"/>
          <w:szCs w:val="24"/>
        </w:rPr>
        <w:lastRenderedPageBreak/>
        <w:t>Furthermore, EnGreen aspires to establish synergistic alliances with local governing bodies and municipalities, fostering the execution of renewable energy initiatives on a grandiose scale (Xu et al. 2022). These governmental entities wield a paramount influence in policy formulation and possess the latent capacity to usher in substantial transformations within the energy domain. By discerning these precise target demographics, EnGreen is poised to adeptly customize its strategies to align with the unique requisites of each discerning segment (Joshi and Yenneti, 2020).</w:t>
      </w:r>
    </w:p>
    <w:p w14:paraId="4AFFC088" w14:textId="77777777" w:rsidR="00CD6E75" w:rsidRPr="00CA4E46" w:rsidRDefault="00CA4E46" w:rsidP="00CA4E46">
      <w:pPr>
        <w:pStyle w:val="Heading2"/>
        <w:spacing w:line="360" w:lineRule="auto"/>
        <w:rPr>
          <w:rFonts w:ascii="Arial" w:hAnsi="Arial" w:cs="Arial"/>
        </w:rPr>
      </w:pPr>
      <w:bookmarkStart w:id="27" w:name="_Toc149826050"/>
      <w:r w:rsidRPr="00CA4E46">
        <w:rPr>
          <w:rFonts w:ascii="Arial" w:hAnsi="Arial" w:cs="Arial"/>
        </w:rPr>
        <w:t>6.2 Market Capture Strategies</w:t>
      </w:r>
      <w:bookmarkEnd w:id="27"/>
    </w:p>
    <w:p w14:paraId="5089FDCB" w14:textId="77777777" w:rsidR="00CD6E75" w:rsidRPr="00CA4E46" w:rsidRDefault="00CA4E46" w:rsidP="00CA4E46">
      <w:pPr>
        <w:pStyle w:val="Normal1"/>
        <w:spacing w:line="360" w:lineRule="auto"/>
        <w:jc w:val="both"/>
        <w:rPr>
          <w:rFonts w:eastAsia="Times New Roman"/>
          <w:sz w:val="24"/>
          <w:szCs w:val="24"/>
        </w:rPr>
      </w:pPr>
      <w:r w:rsidRPr="00CA4E46">
        <w:rPr>
          <w:rFonts w:eastAsia="Times New Roman"/>
          <w:sz w:val="24"/>
          <w:szCs w:val="24"/>
        </w:rPr>
        <w:t>EnGreen's market capture strategies revolve around a combination of innovation, education and collaboration. In the context of residential consumers, the strategic approach revolves around raising consciousness concerning the advantageous attributes of renewable energy. EnGreen endeavours to offer economical and eco-friendly solutions, including solar panels and wind turbines. The primary emphasis is directed towards elucidating the enduring fiscal savings and environmental merits inherent in these products, thereby rendering renewable energy an enticing choice (Xu et al. 2022). Within the ambit of commercial and industrial sectors, EnGreen extends personalized energy solutions. The process commences with meticulous energy audits, which are instrumental in pinpointing areas where efficiency enhancements and carbon footprint reductions can be realized (Joshi and Yenneti, 2020). The pivotal aim here is to spotlight the financial advantages of adopting these solutions, effectively courting businesses with an inclination to curtail operational expenses and enhance their ecological sustainability profiles. Collaboration with local governing authorities and municipalities stands as a cornerstone of the overarching strategy. EnGreen actively engages in deliberations about policy formulation, proffering astute insights regarding the merits of sustainable energy solutions (Beck et al. 2021). This symbiotic association with these governmental bodies culminates in the realization of large-scale renewable energy projects, positioning EnGreen at the vanguard of sustainable development endeavours within the United Kingdom.</w:t>
      </w:r>
    </w:p>
    <w:p w14:paraId="58DA2D29" w14:textId="77777777" w:rsidR="00CD6E75" w:rsidRPr="00CA4E46" w:rsidRDefault="00CD6E75" w:rsidP="00CA4E46">
      <w:pPr>
        <w:pStyle w:val="Normal1"/>
        <w:spacing w:line="360" w:lineRule="auto"/>
        <w:jc w:val="both"/>
        <w:rPr>
          <w:rFonts w:eastAsia="Times New Roman"/>
          <w:sz w:val="24"/>
          <w:szCs w:val="24"/>
        </w:rPr>
      </w:pPr>
    </w:p>
    <w:p w14:paraId="4503649F" w14:textId="77777777" w:rsidR="00CD6E75" w:rsidRPr="00CA4E46" w:rsidRDefault="00CA4E46" w:rsidP="00CA4E46">
      <w:pPr>
        <w:pStyle w:val="Heading1"/>
        <w:spacing w:line="360" w:lineRule="auto"/>
        <w:jc w:val="both"/>
        <w:rPr>
          <w:rFonts w:ascii="Arial" w:hAnsi="Arial" w:cs="Arial"/>
        </w:rPr>
      </w:pPr>
      <w:bookmarkStart w:id="28" w:name="_Toc149826051"/>
      <w:r w:rsidRPr="00CA4E46">
        <w:rPr>
          <w:rFonts w:ascii="Arial" w:hAnsi="Arial" w:cs="Arial"/>
        </w:rPr>
        <w:lastRenderedPageBreak/>
        <w:t>7. Budgeting and Funding</w:t>
      </w:r>
      <w:bookmarkEnd w:id="28"/>
    </w:p>
    <w:p w14:paraId="2E3802BA" w14:textId="77777777" w:rsidR="00CD6E75" w:rsidRPr="00CA4E46" w:rsidRDefault="00CA4E46" w:rsidP="00CA4E46">
      <w:pPr>
        <w:pStyle w:val="Heading2"/>
        <w:spacing w:line="360" w:lineRule="auto"/>
        <w:rPr>
          <w:rFonts w:ascii="Arial" w:hAnsi="Arial" w:cs="Arial"/>
        </w:rPr>
      </w:pPr>
      <w:bookmarkStart w:id="29" w:name="_Toc149826052"/>
      <w:r w:rsidRPr="00CA4E46">
        <w:rPr>
          <w:rFonts w:ascii="Arial" w:hAnsi="Arial" w:cs="Arial"/>
        </w:rPr>
        <w:t>7.1 Financial Plan</w:t>
      </w:r>
      <w:bookmarkEnd w:id="29"/>
    </w:p>
    <w:p w14:paraId="35CD60AE" w14:textId="77777777" w:rsidR="00CD6E75" w:rsidRPr="00CA4E46" w:rsidRDefault="00CA4E46" w:rsidP="00CA4E46">
      <w:pPr>
        <w:pStyle w:val="Normal1"/>
        <w:spacing w:line="360" w:lineRule="auto"/>
        <w:jc w:val="both"/>
        <w:rPr>
          <w:rFonts w:eastAsia="Times New Roman"/>
          <w:sz w:val="24"/>
          <w:szCs w:val="24"/>
        </w:rPr>
      </w:pPr>
      <w:r w:rsidRPr="00CA4E46">
        <w:rPr>
          <w:rFonts w:eastAsia="Times New Roman"/>
          <w:sz w:val="24"/>
          <w:szCs w:val="24"/>
        </w:rPr>
        <w:t>The well-structured financial plan is pivotal for EnGreen's success in its mission to drive sustainable energy initiatives in the UK. On the flip side, the financial plan encompasses a comprehensive overview of the company's projected income and expenditures. On the reverse side, it eventually includes detailed financial projections such as revenue, expenses and profit margins over a specific time horizon. These projections are critical for strategic decision-making as well as ensuring the long-term viability of the business.</w:t>
      </w:r>
    </w:p>
    <w:p w14:paraId="2302B526" w14:textId="77777777" w:rsidR="00CD6E75" w:rsidRPr="00CA4E46" w:rsidRDefault="00CD6E75" w:rsidP="00CA4E46">
      <w:pPr>
        <w:pStyle w:val="Normal1"/>
        <w:spacing w:line="360" w:lineRule="auto"/>
      </w:pPr>
    </w:p>
    <w:p w14:paraId="39EC46A6" w14:textId="77777777" w:rsidR="00CD6E75" w:rsidRPr="00CA4E46" w:rsidRDefault="00CA4E46" w:rsidP="00CA4E46">
      <w:pPr>
        <w:pStyle w:val="Heading3"/>
        <w:spacing w:line="360" w:lineRule="auto"/>
        <w:rPr>
          <w:rFonts w:ascii="Arial" w:hAnsi="Arial" w:cs="Arial"/>
          <w:i w:val="0"/>
        </w:rPr>
      </w:pPr>
      <w:bookmarkStart w:id="30" w:name="_Toc149826053"/>
      <w:r w:rsidRPr="00CA4E46">
        <w:rPr>
          <w:rFonts w:ascii="Arial" w:hAnsi="Arial" w:cs="Arial"/>
          <w:i w:val="0"/>
        </w:rPr>
        <w:t>Financial Projections Table (Time Horizon: 2023-2027)</w:t>
      </w:r>
      <w:bookmarkEnd w:id="30"/>
    </w:p>
    <w:p w14:paraId="385F31F6" w14:textId="77777777" w:rsidR="00CD6E75" w:rsidRPr="00CA4E46" w:rsidRDefault="00CD6E75" w:rsidP="00CA4E46">
      <w:pPr>
        <w:pStyle w:val="Normal1"/>
        <w:spacing w:line="360" w:lineRule="auto"/>
      </w:pPr>
    </w:p>
    <w:tbl>
      <w:tblPr>
        <w:tblStyle w:val="Table5"/>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112"/>
        <w:gridCol w:w="1931"/>
        <w:gridCol w:w="1997"/>
        <w:gridCol w:w="1736"/>
        <w:gridCol w:w="2584"/>
      </w:tblGrid>
      <w:tr w:rsidR="00CD6E75" w:rsidRPr="00CA4E46" w14:paraId="3ED9C1FC" w14:textId="77777777">
        <w:trPr>
          <w:trHeight w:val="710"/>
        </w:trPr>
        <w:tc>
          <w:tcPr>
            <w:tcW w:w="111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370C742C"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b/>
                <w:sz w:val="24"/>
                <w:szCs w:val="24"/>
              </w:rPr>
              <w:t>Year</w:t>
            </w:r>
          </w:p>
        </w:tc>
        <w:tc>
          <w:tcPr>
            <w:tcW w:w="193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73D19299"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b/>
                <w:sz w:val="24"/>
                <w:szCs w:val="24"/>
              </w:rPr>
              <w:t>Revenue (£)</w:t>
            </w:r>
          </w:p>
        </w:tc>
        <w:tc>
          <w:tcPr>
            <w:tcW w:w="1997"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49F1F6E3"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b/>
                <w:sz w:val="24"/>
                <w:szCs w:val="24"/>
              </w:rPr>
              <w:t>Expenses (£)</w:t>
            </w:r>
          </w:p>
        </w:tc>
        <w:tc>
          <w:tcPr>
            <w:tcW w:w="173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62992D51"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b/>
                <w:sz w:val="24"/>
                <w:szCs w:val="24"/>
              </w:rPr>
              <w:t>Profit (£)</w:t>
            </w:r>
          </w:p>
        </w:tc>
        <w:tc>
          <w:tcPr>
            <w:tcW w:w="258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296C67E0"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b/>
                <w:sz w:val="24"/>
                <w:szCs w:val="24"/>
              </w:rPr>
              <w:t>Profit Margin (%)</w:t>
            </w:r>
          </w:p>
        </w:tc>
      </w:tr>
      <w:tr w:rsidR="00CD6E75" w:rsidRPr="00CA4E46" w14:paraId="1BD5F9EA" w14:textId="77777777">
        <w:trPr>
          <w:trHeight w:val="695"/>
        </w:trPr>
        <w:tc>
          <w:tcPr>
            <w:tcW w:w="111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2F3B092"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2023</w:t>
            </w:r>
          </w:p>
        </w:tc>
        <w:tc>
          <w:tcPr>
            <w:tcW w:w="193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9C9AA95"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£2,000,000</w:t>
            </w:r>
          </w:p>
        </w:tc>
        <w:tc>
          <w:tcPr>
            <w:tcW w:w="1997"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8A1CBED"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£1,500,000</w:t>
            </w:r>
          </w:p>
        </w:tc>
        <w:tc>
          <w:tcPr>
            <w:tcW w:w="173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2192CF9"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£500,000</w:t>
            </w:r>
          </w:p>
        </w:tc>
        <w:tc>
          <w:tcPr>
            <w:tcW w:w="258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ADF192F"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25%</w:t>
            </w:r>
          </w:p>
        </w:tc>
      </w:tr>
      <w:tr w:rsidR="00CD6E75" w:rsidRPr="00CA4E46" w14:paraId="10A4EBCE" w14:textId="77777777">
        <w:trPr>
          <w:trHeight w:val="695"/>
        </w:trPr>
        <w:tc>
          <w:tcPr>
            <w:tcW w:w="111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AE157AD"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2024</w:t>
            </w:r>
          </w:p>
        </w:tc>
        <w:tc>
          <w:tcPr>
            <w:tcW w:w="193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1ED879A"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£2,500,000</w:t>
            </w:r>
          </w:p>
        </w:tc>
        <w:tc>
          <w:tcPr>
            <w:tcW w:w="1997"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077ED40"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£1,800,000</w:t>
            </w:r>
          </w:p>
        </w:tc>
        <w:tc>
          <w:tcPr>
            <w:tcW w:w="173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3D55C9C"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£700,000</w:t>
            </w:r>
          </w:p>
        </w:tc>
        <w:tc>
          <w:tcPr>
            <w:tcW w:w="258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B4E9487"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28%</w:t>
            </w:r>
          </w:p>
        </w:tc>
      </w:tr>
      <w:tr w:rsidR="00CD6E75" w:rsidRPr="00CA4E46" w14:paraId="0BB87EC6" w14:textId="77777777">
        <w:trPr>
          <w:trHeight w:val="695"/>
        </w:trPr>
        <w:tc>
          <w:tcPr>
            <w:tcW w:w="111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1F6F729"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2025</w:t>
            </w:r>
          </w:p>
        </w:tc>
        <w:tc>
          <w:tcPr>
            <w:tcW w:w="193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A7491A6"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£3,000,000</w:t>
            </w:r>
          </w:p>
        </w:tc>
        <w:tc>
          <w:tcPr>
            <w:tcW w:w="1997"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5045829"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£2,100,000</w:t>
            </w:r>
          </w:p>
        </w:tc>
        <w:tc>
          <w:tcPr>
            <w:tcW w:w="173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2B6E1FB"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£900,000</w:t>
            </w:r>
          </w:p>
        </w:tc>
        <w:tc>
          <w:tcPr>
            <w:tcW w:w="258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D081FCC"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30%</w:t>
            </w:r>
          </w:p>
        </w:tc>
      </w:tr>
      <w:tr w:rsidR="00CD6E75" w:rsidRPr="00CA4E46" w14:paraId="4221EABC" w14:textId="77777777">
        <w:trPr>
          <w:trHeight w:val="695"/>
        </w:trPr>
        <w:tc>
          <w:tcPr>
            <w:tcW w:w="111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FE4251B"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2026</w:t>
            </w:r>
          </w:p>
        </w:tc>
        <w:tc>
          <w:tcPr>
            <w:tcW w:w="193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E7058F9"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£3,500,000</w:t>
            </w:r>
          </w:p>
        </w:tc>
        <w:tc>
          <w:tcPr>
            <w:tcW w:w="1997"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7120BF8"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£2,400,000</w:t>
            </w:r>
          </w:p>
        </w:tc>
        <w:tc>
          <w:tcPr>
            <w:tcW w:w="173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A61F5D1"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£1,100,000</w:t>
            </w:r>
          </w:p>
        </w:tc>
        <w:tc>
          <w:tcPr>
            <w:tcW w:w="258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B205321"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31%</w:t>
            </w:r>
          </w:p>
        </w:tc>
      </w:tr>
      <w:tr w:rsidR="00CD6E75" w:rsidRPr="00CA4E46" w14:paraId="61D2EE44" w14:textId="77777777">
        <w:trPr>
          <w:trHeight w:val="695"/>
        </w:trPr>
        <w:tc>
          <w:tcPr>
            <w:tcW w:w="111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A370EA8"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2027</w:t>
            </w:r>
          </w:p>
        </w:tc>
        <w:tc>
          <w:tcPr>
            <w:tcW w:w="1931"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D3A0D23"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£4,000,000</w:t>
            </w:r>
          </w:p>
        </w:tc>
        <w:tc>
          <w:tcPr>
            <w:tcW w:w="1997"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716C3D7"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£2,700,000</w:t>
            </w:r>
          </w:p>
        </w:tc>
        <w:tc>
          <w:tcPr>
            <w:tcW w:w="173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F63FDED"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£1,300,000</w:t>
            </w:r>
          </w:p>
        </w:tc>
        <w:tc>
          <w:tcPr>
            <w:tcW w:w="258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A113960"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32.5%</w:t>
            </w:r>
          </w:p>
        </w:tc>
      </w:tr>
    </w:tbl>
    <w:p w14:paraId="740B9119" w14:textId="77777777" w:rsidR="00CD6E75" w:rsidRPr="00CA4E46" w:rsidRDefault="00CD6E75" w:rsidP="00CA4E46">
      <w:pPr>
        <w:pStyle w:val="Normal1"/>
        <w:spacing w:line="360" w:lineRule="auto"/>
      </w:pPr>
    </w:p>
    <w:p w14:paraId="7ACA6995" w14:textId="77777777" w:rsidR="00CD6E75" w:rsidRPr="00CA4E46" w:rsidRDefault="00CA4E46" w:rsidP="00CA4E46">
      <w:pPr>
        <w:pStyle w:val="Heading2"/>
        <w:spacing w:line="360" w:lineRule="auto"/>
        <w:rPr>
          <w:rFonts w:ascii="Arial" w:hAnsi="Arial" w:cs="Arial"/>
        </w:rPr>
      </w:pPr>
      <w:bookmarkStart w:id="31" w:name="_Toc149826054"/>
      <w:r w:rsidRPr="00CA4E46">
        <w:rPr>
          <w:rFonts w:ascii="Arial" w:hAnsi="Arial" w:cs="Arial"/>
        </w:rPr>
        <w:t>7.2 Funding Requirements</w:t>
      </w:r>
      <w:bookmarkEnd w:id="31"/>
    </w:p>
    <w:p w14:paraId="424182EC" w14:textId="77777777" w:rsidR="00CD6E75" w:rsidRPr="00CA4E46" w:rsidRDefault="00CA4E46" w:rsidP="00CA4E46">
      <w:pPr>
        <w:pStyle w:val="Normal1"/>
        <w:spacing w:line="360" w:lineRule="auto"/>
        <w:jc w:val="both"/>
        <w:rPr>
          <w:rFonts w:eastAsia="Times New Roman"/>
          <w:sz w:val="24"/>
          <w:szCs w:val="24"/>
        </w:rPr>
      </w:pPr>
      <w:r w:rsidRPr="00CA4E46">
        <w:rPr>
          <w:rFonts w:eastAsia="Times New Roman"/>
          <w:sz w:val="24"/>
          <w:szCs w:val="24"/>
        </w:rPr>
        <w:t>EnGreen's funding requirements are integral to support its operations and the realization of its projects. In addition, these requirements encompass capital for research and development project implementation, marketing and ongoing operational expenses. On the other hand, the funding required will largely depend on the scale and complexity of the projects undertaken and the growth aspirations of the company.</w:t>
      </w:r>
    </w:p>
    <w:p w14:paraId="66487312" w14:textId="77777777" w:rsidR="00CD6E75" w:rsidRPr="00CA4E46" w:rsidRDefault="00CD6E75" w:rsidP="00CA4E46">
      <w:pPr>
        <w:pStyle w:val="Normal1"/>
        <w:spacing w:line="360" w:lineRule="auto"/>
        <w:rPr>
          <w:rFonts w:eastAsia="Times New Roman"/>
          <w:b/>
          <w:sz w:val="24"/>
          <w:szCs w:val="24"/>
        </w:rPr>
      </w:pPr>
    </w:p>
    <w:p w14:paraId="0473637E" w14:textId="77777777" w:rsidR="00CD6E75" w:rsidRPr="00CA4E46" w:rsidRDefault="00CA4E46" w:rsidP="00CA4E46">
      <w:pPr>
        <w:pStyle w:val="Heading3"/>
        <w:spacing w:line="360" w:lineRule="auto"/>
        <w:rPr>
          <w:rFonts w:ascii="Arial" w:hAnsi="Arial" w:cs="Arial"/>
          <w:i w:val="0"/>
        </w:rPr>
      </w:pPr>
      <w:bookmarkStart w:id="32" w:name="_Toc149826055"/>
      <w:r w:rsidRPr="00CA4E46">
        <w:rPr>
          <w:rFonts w:ascii="Arial" w:hAnsi="Arial" w:cs="Arial"/>
          <w:i w:val="0"/>
        </w:rPr>
        <w:t>Funding Requirements Table</w:t>
      </w:r>
      <w:bookmarkEnd w:id="32"/>
    </w:p>
    <w:p w14:paraId="59BC861B" w14:textId="77777777" w:rsidR="00CD6E75" w:rsidRPr="00CA4E46" w:rsidRDefault="00CD6E75" w:rsidP="00CA4E46">
      <w:pPr>
        <w:pStyle w:val="Normal1"/>
        <w:spacing w:line="360" w:lineRule="auto"/>
      </w:pPr>
    </w:p>
    <w:tbl>
      <w:tblPr>
        <w:tblStyle w:val="Table6"/>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873"/>
        <w:gridCol w:w="1780"/>
        <w:gridCol w:w="1945"/>
        <w:gridCol w:w="1396"/>
        <w:gridCol w:w="1613"/>
        <w:gridCol w:w="1753"/>
      </w:tblGrid>
      <w:tr w:rsidR="00CD6E75" w:rsidRPr="00CA4E46" w14:paraId="28F074DB" w14:textId="77777777">
        <w:trPr>
          <w:trHeight w:val="1430"/>
        </w:trPr>
        <w:tc>
          <w:tcPr>
            <w:tcW w:w="872"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30718F87"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b/>
                <w:sz w:val="24"/>
                <w:szCs w:val="24"/>
              </w:rPr>
              <w:t>Year</w:t>
            </w:r>
          </w:p>
        </w:tc>
        <w:tc>
          <w:tcPr>
            <w:tcW w:w="1779"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0F9C0018"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b/>
                <w:sz w:val="24"/>
                <w:szCs w:val="24"/>
              </w:rPr>
              <w:t>Research and Development (£)</w:t>
            </w:r>
          </w:p>
        </w:tc>
        <w:tc>
          <w:tcPr>
            <w:tcW w:w="194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6EBC4839"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b/>
                <w:sz w:val="24"/>
                <w:szCs w:val="24"/>
              </w:rPr>
              <w:t>Project Implementation (£)</w:t>
            </w:r>
          </w:p>
        </w:tc>
        <w:tc>
          <w:tcPr>
            <w:tcW w:w="139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482B92B1"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b/>
                <w:sz w:val="24"/>
                <w:szCs w:val="24"/>
              </w:rPr>
              <w:t>Marketing (£)</w:t>
            </w:r>
          </w:p>
        </w:tc>
        <w:tc>
          <w:tcPr>
            <w:tcW w:w="161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4AA75E00"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b/>
                <w:sz w:val="24"/>
                <w:szCs w:val="24"/>
              </w:rPr>
              <w:t>Operational Expenses (£)</w:t>
            </w:r>
          </w:p>
        </w:tc>
        <w:tc>
          <w:tcPr>
            <w:tcW w:w="175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11CE0DB4"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b/>
                <w:sz w:val="24"/>
                <w:szCs w:val="24"/>
              </w:rPr>
              <w:t>Total Funding Requirement (£)</w:t>
            </w:r>
          </w:p>
        </w:tc>
      </w:tr>
      <w:tr w:rsidR="00CD6E75" w:rsidRPr="00CA4E46" w14:paraId="065CE30F" w14:textId="77777777">
        <w:trPr>
          <w:trHeight w:val="695"/>
        </w:trPr>
        <w:tc>
          <w:tcPr>
            <w:tcW w:w="872"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BBFAD75"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2023</w:t>
            </w:r>
          </w:p>
        </w:tc>
        <w:tc>
          <w:tcPr>
            <w:tcW w:w="1779"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36E284F"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£300,000</w:t>
            </w:r>
          </w:p>
        </w:tc>
        <w:tc>
          <w:tcPr>
            <w:tcW w:w="194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40D517D"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£600,000</w:t>
            </w:r>
          </w:p>
        </w:tc>
        <w:tc>
          <w:tcPr>
            <w:tcW w:w="139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DFC0CBD"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£150,000</w:t>
            </w:r>
          </w:p>
        </w:tc>
        <w:tc>
          <w:tcPr>
            <w:tcW w:w="161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98190D0"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£400,000</w:t>
            </w:r>
          </w:p>
        </w:tc>
        <w:tc>
          <w:tcPr>
            <w:tcW w:w="175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A9D79F7"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£1,450,000</w:t>
            </w:r>
          </w:p>
        </w:tc>
      </w:tr>
      <w:tr w:rsidR="00CD6E75" w:rsidRPr="00CA4E46" w14:paraId="2C15DC9F" w14:textId="77777777">
        <w:trPr>
          <w:trHeight w:val="695"/>
        </w:trPr>
        <w:tc>
          <w:tcPr>
            <w:tcW w:w="872"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47F6056"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2024</w:t>
            </w:r>
          </w:p>
        </w:tc>
        <w:tc>
          <w:tcPr>
            <w:tcW w:w="1779"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59F8B53"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£350,000</w:t>
            </w:r>
          </w:p>
        </w:tc>
        <w:tc>
          <w:tcPr>
            <w:tcW w:w="194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4B0BEF4"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£700,000</w:t>
            </w:r>
          </w:p>
        </w:tc>
        <w:tc>
          <w:tcPr>
            <w:tcW w:w="139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B9A5B47"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£180,000</w:t>
            </w:r>
          </w:p>
        </w:tc>
        <w:tc>
          <w:tcPr>
            <w:tcW w:w="161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BAC74F4"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£450,000</w:t>
            </w:r>
          </w:p>
        </w:tc>
        <w:tc>
          <w:tcPr>
            <w:tcW w:w="175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20F9D65"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£1,680,000</w:t>
            </w:r>
          </w:p>
        </w:tc>
      </w:tr>
      <w:tr w:rsidR="00CD6E75" w:rsidRPr="00CA4E46" w14:paraId="0AA705D4" w14:textId="77777777">
        <w:trPr>
          <w:trHeight w:val="695"/>
        </w:trPr>
        <w:tc>
          <w:tcPr>
            <w:tcW w:w="872"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DBD8AB1"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2025</w:t>
            </w:r>
          </w:p>
        </w:tc>
        <w:tc>
          <w:tcPr>
            <w:tcW w:w="1779"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B7E8B5B"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£400,000</w:t>
            </w:r>
          </w:p>
        </w:tc>
        <w:tc>
          <w:tcPr>
            <w:tcW w:w="194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0B500D8"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£750,000</w:t>
            </w:r>
          </w:p>
        </w:tc>
        <w:tc>
          <w:tcPr>
            <w:tcW w:w="139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AEE2FB1"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£200,000</w:t>
            </w:r>
          </w:p>
        </w:tc>
        <w:tc>
          <w:tcPr>
            <w:tcW w:w="161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EA86F3F"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£500,000</w:t>
            </w:r>
          </w:p>
        </w:tc>
        <w:tc>
          <w:tcPr>
            <w:tcW w:w="175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EC0847A"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£1,850,000</w:t>
            </w:r>
          </w:p>
        </w:tc>
      </w:tr>
      <w:tr w:rsidR="00CD6E75" w:rsidRPr="00CA4E46" w14:paraId="78816ED3" w14:textId="77777777">
        <w:trPr>
          <w:trHeight w:val="695"/>
        </w:trPr>
        <w:tc>
          <w:tcPr>
            <w:tcW w:w="872"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49750C2"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2026</w:t>
            </w:r>
          </w:p>
        </w:tc>
        <w:tc>
          <w:tcPr>
            <w:tcW w:w="1779"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C020BE6"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£450,000</w:t>
            </w:r>
          </w:p>
        </w:tc>
        <w:tc>
          <w:tcPr>
            <w:tcW w:w="194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58F6632"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£800,000</w:t>
            </w:r>
          </w:p>
        </w:tc>
        <w:tc>
          <w:tcPr>
            <w:tcW w:w="139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9507EE2"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£220,000</w:t>
            </w:r>
          </w:p>
        </w:tc>
        <w:tc>
          <w:tcPr>
            <w:tcW w:w="161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0205B2D"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£550,000</w:t>
            </w:r>
          </w:p>
        </w:tc>
        <w:tc>
          <w:tcPr>
            <w:tcW w:w="175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456943B"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£2,020,000</w:t>
            </w:r>
          </w:p>
        </w:tc>
      </w:tr>
      <w:tr w:rsidR="00CD6E75" w:rsidRPr="00CA4E46" w14:paraId="517B4EC3" w14:textId="77777777">
        <w:trPr>
          <w:trHeight w:val="695"/>
        </w:trPr>
        <w:tc>
          <w:tcPr>
            <w:tcW w:w="872"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8859B3A"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2027</w:t>
            </w:r>
          </w:p>
        </w:tc>
        <w:tc>
          <w:tcPr>
            <w:tcW w:w="1779"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8A0BC3D"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£500,000</w:t>
            </w:r>
          </w:p>
        </w:tc>
        <w:tc>
          <w:tcPr>
            <w:tcW w:w="194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9624488"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£850,000</w:t>
            </w:r>
          </w:p>
        </w:tc>
        <w:tc>
          <w:tcPr>
            <w:tcW w:w="139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9EBDD1D"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£250,000</w:t>
            </w:r>
          </w:p>
        </w:tc>
        <w:tc>
          <w:tcPr>
            <w:tcW w:w="161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88E74DB"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£600,000</w:t>
            </w:r>
          </w:p>
        </w:tc>
        <w:tc>
          <w:tcPr>
            <w:tcW w:w="175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C25CECB" w14:textId="77777777" w:rsidR="00CD6E75" w:rsidRPr="00CA4E46" w:rsidRDefault="00CA4E46" w:rsidP="00CA4E46">
            <w:pPr>
              <w:pStyle w:val="Normal1"/>
              <w:spacing w:line="360" w:lineRule="auto"/>
              <w:jc w:val="center"/>
              <w:rPr>
                <w:rFonts w:eastAsia="Times New Roman"/>
                <w:sz w:val="24"/>
                <w:szCs w:val="24"/>
              </w:rPr>
            </w:pPr>
            <w:r w:rsidRPr="00CA4E46">
              <w:rPr>
                <w:rFonts w:eastAsia="Times New Roman"/>
                <w:sz w:val="24"/>
                <w:szCs w:val="24"/>
              </w:rPr>
              <w:t>£2,200,000</w:t>
            </w:r>
          </w:p>
        </w:tc>
      </w:tr>
    </w:tbl>
    <w:p w14:paraId="028962FD" w14:textId="77777777" w:rsidR="00CD6E75" w:rsidRPr="00CA4E46" w:rsidRDefault="00CD6E75" w:rsidP="00CA4E46">
      <w:pPr>
        <w:pStyle w:val="Normal1"/>
        <w:spacing w:line="360" w:lineRule="auto"/>
      </w:pPr>
    </w:p>
    <w:p w14:paraId="6BA736B6" w14:textId="77777777" w:rsidR="00CD6E75" w:rsidRPr="00CA4E46" w:rsidRDefault="00CA4E46" w:rsidP="00CA4E46">
      <w:pPr>
        <w:pStyle w:val="Heading2"/>
        <w:spacing w:line="360" w:lineRule="auto"/>
        <w:rPr>
          <w:rFonts w:ascii="Arial" w:hAnsi="Arial" w:cs="Arial"/>
        </w:rPr>
      </w:pPr>
      <w:bookmarkStart w:id="33" w:name="_Toc149826056"/>
      <w:r w:rsidRPr="00CA4E46">
        <w:rPr>
          <w:rFonts w:ascii="Arial" w:hAnsi="Arial" w:cs="Arial"/>
        </w:rPr>
        <w:t>7.3 External Funding Sources and Justification</w:t>
      </w:r>
      <w:bookmarkEnd w:id="33"/>
    </w:p>
    <w:p w14:paraId="08EAC3CF" w14:textId="77777777" w:rsidR="00CD6E75" w:rsidRPr="00CA4E46" w:rsidRDefault="00CD6E75" w:rsidP="00CA4E46">
      <w:pPr>
        <w:pStyle w:val="Normal1"/>
        <w:spacing w:line="360" w:lineRule="auto"/>
        <w:rPr>
          <w:b/>
        </w:rPr>
      </w:pPr>
    </w:p>
    <w:tbl>
      <w:tblPr>
        <w:tblStyle w:val="Table7"/>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125"/>
        <w:gridCol w:w="7235"/>
      </w:tblGrid>
      <w:tr w:rsidR="00CD6E75" w:rsidRPr="00CA4E46" w14:paraId="33CAC5A3" w14:textId="77777777">
        <w:trPr>
          <w:trHeight w:val="710"/>
        </w:trPr>
        <w:tc>
          <w:tcPr>
            <w:tcW w:w="212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31667E98" w14:textId="77777777" w:rsidR="00CD6E75" w:rsidRPr="00CA4E46" w:rsidRDefault="00CA4E46" w:rsidP="00CA4E46">
            <w:pPr>
              <w:pStyle w:val="Normal1"/>
              <w:spacing w:line="360" w:lineRule="auto"/>
              <w:jc w:val="center"/>
              <w:rPr>
                <w:rFonts w:eastAsia="Times New Roman"/>
                <w:b/>
                <w:sz w:val="24"/>
                <w:szCs w:val="24"/>
              </w:rPr>
            </w:pPr>
            <w:r w:rsidRPr="00CA4E46">
              <w:rPr>
                <w:rFonts w:eastAsia="Times New Roman"/>
                <w:b/>
                <w:sz w:val="24"/>
                <w:szCs w:val="24"/>
              </w:rPr>
              <w:t>Funding Source</w:t>
            </w:r>
          </w:p>
        </w:tc>
        <w:tc>
          <w:tcPr>
            <w:tcW w:w="7234"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44134F02" w14:textId="77777777" w:rsidR="00CD6E75" w:rsidRPr="00CA4E46" w:rsidRDefault="00CA4E46" w:rsidP="00CA4E46">
            <w:pPr>
              <w:pStyle w:val="Normal1"/>
              <w:spacing w:line="360" w:lineRule="auto"/>
              <w:jc w:val="center"/>
              <w:rPr>
                <w:rFonts w:eastAsia="Times New Roman"/>
                <w:b/>
                <w:sz w:val="24"/>
                <w:szCs w:val="24"/>
              </w:rPr>
            </w:pPr>
            <w:r w:rsidRPr="00CA4E46">
              <w:rPr>
                <w:rFonts w:eastAsia="Times New Roman"/>
                <w:b/>
                <w:sz w:val="24"/>
                <w:szCs w:val="24"/>
              </w:rPr>
              <w:t>Justification</w:t>
            </w:r>
          </w:p>
        </w:tc>
      </w:tr>
      <w:tr w:rsidR="00CD6E75" w:rsidRPr="00CA4E46" w14:paraId="04546D80" w14:textId="77777777">
        <w:trPr>
          <w:trHeight w:val="2495"/>
        </w:trPr>
        <w:tc>
          <w:tcPr>
            <w:tcW w:w="212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50CC3C1" w14:textId="77777777" w:rsidR="00CD6E75" w:rsidRPr="00CA4E46" w:rsidRDefault="00CA4E46" w:rsidP="00CA4E46">
            <w:pPr>
              <w:pStyle w:val="Normal1"/>
              <w:spacing w:line="360" w:lineRule="auto"/>
              <w:jc w:val="center"/>
              <w:rPr>
                <w:rFonts w:eastAsia="Times New Roman"/>
                <w:b/>
                <w:sz w:val="24"/>
                <w:szCs w:val="24"/>
              </w:rPr>
            </w:pPr>
            <w:r w:rsidRPr="00CA4E46">
              <w:rPr>
                <w:rFonts w:eastAsia="Times New Roman"/>
                <w:b/>
                <w:sz w:val="24"/>
                <w:szCs w:val="24"/>
              </w:rPr>
              <w:t>Government Grants and Subsidies</w:t>
            </w:r>
          </w:p>
        </w:tc>
        <w:tc>
          <w:tcPr>
            <w:tcW w:w="7234"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5BE65CE" w14:textId="77777777" w:rsidR="00CD6E75" w:rsidRPr="00CA4E46" w:rsidRDefault="00CA4E46" w:rsidP="00CA4E46">
            <w:pPr>
              <w:pStyle w:val="Normal1"/>
              <w:spacing w:line="360" w:lineRule="auto"/>
              <w:jc w:val="both"/>
              <w:rPr>
                <w:rFonts w:eastAsia="Times New Roman"/>
                <w:sz w:val="24"/>
                <w:szCs w:val="24"/>
              </w:rPr>
            </w:pPr>
            <w:r w:rsidRPr="00CA4E46">
              <w:rPr>
                <w:rFonts w:eastAsia="Times New Roman"/>
                <w:sz w:val="24"/>
                <w:szCs w:val="24"/>
              </w:rPr>
              <w:t>Government grants and subsidies dedicated to renewable energy and sustainability initiatives in the UK are a primary focus. EnGreen will actively engage with government agencies and programs that offer financial incentives for projects aligned with our mission. These grants often come with favourable terms and can significantly reduce the financial burden of research, development as well and project implementation.</w:t>
            </w:r>
          </w:p>
        </w:tc>
      </w:tr>
      <w:tr w:rsidR="00CD6E75" w:rsidRPr="00CA4E46" w14:paraId="3C2D6E52" w14:textId="77777777">
        <w:trPr>
          <w:trHeight w:val="2495"/>
        </w:trPr>
        <w:tc>
          <w:tcPr>
            <w:tcW w:w="212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5F97CED" w14:textId="77777777" w:rsidR="00CD6E75" w:rsidRPr="00CA4E46" w:rsidRDefault="00CA4E46" w:rsidP="00CA4E46">
            <w:pPr>
              <w:pStyle w:val="Normal1"/>
              <w:spacing w:line="360" w:lineRule="auto"/>
              <w:jc w:val="center"/>
              <w:rPr>
                <w:rFonts w:eastAsia="Times New Roman"/>
                <w:b/>
                <w:sz w:val="24"/>
                <w:szCs w:val="24"/>
              </w:rPr>
            </w:pPr>
            <w:r w:rsidRPr="00CA4E46">
              <w:rPr>
                <w:rFonts w:eastAsia="Times New Roman"/>
                <w:b/>
                <w:sz w:val="24"/>
                <w:szCs w:val="24"/>
              </w:rPr>
              <w:lastRenderedPageBreak/>
              <w:t>Private Investors and Venture Capital</w:t>
            </w:r>
          </w:p>
        </w:tc>
        <w:tc>
          <w:tcPr>
            <w:tcW w:w="7234"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F3A5721" w14:textId="77777777" w:rsidR="00CD6E75" w:rsidRPr="00CA4E46" w:rsidRDefault="00CA4E46" w:rsidP="00CA4E46">
            <w:pPr>
              <w:pStyle w:val="Normal1"/>
              <w:spacing w:line="360" w:lineRule="auto"/>
              <w:jc w:val="both"/>
              <w:rPr>
                <w:rFonts w:eastAsia="Times New Roman"/>
                <w:sz w:val="24"/>
                <w:szCs w:val="24"/>
              </w:rPr>
            </w:pPr>
            <w:r w:rsidRPr="00CA4E46">
              <w:rPr>
                <w:rFonts w:eastAsia="Times New Roman"/>
                <w:sz w:val="24"/>
                <w:szCs w:val="24"/>
              </w:rPr>
              <w:t xml:space="preserve">EnGreen recognizes the appeal of private investors and venture capital firms that share our commitment to sustainability. In a precise manner, by attracting investments from individuals and organizations with a strong interest in renewable energy as well as we can access the necessary capital to fuel our growth and innovation. </w:t>
            </w:r>
          </w:p>
        </w:tc>
      </w:tr>
      <w:tr w:rsidR="00CD6E75" w:rsidRPr="00CA4E46" w14:paraId="75F13204" w14:textId="77777777">
        <w:trPr>
          <w:trHeight w:val="2135"/>
        </w:trPr>
        <w:tc>
          <w:tcPr>
            <w:tcW w:w="212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5EE17C1" w14:textId="77777777" w:rsidR="00CD6E75" w:rsidRPr="00CA4E46" w:rsidRDefault="00CA4E46" w:rsidP="00CA4E46">
            <w:pPr>
              <w:pStyle w:val="Normal1"/>
              <w:spacing w:line="360" w:lineRule="auto"/>
              <w:jc w:val="center"/>
              <w:rPr>
                <w:rFonts w:eastAsia="Times New Roman"/>
                <w:b/>
                <w:sz w:val="24"/>
                <w:szCs w:val="24"/>
              </w:rPr>
            </w:pPr>
            <w:r w:rsidRPr="00CA4E46">
              <w:rPr>
                <w:rFonts w:eastAsia="Times New Roman"/>
                <w:b/>
                <w:sz w:val="24"/>
                <w:szCs w:val="24"/>
              </w:rPr>
              <w:t>Philanthropic Foundations</w:t>
            </w:r>
          </w:p>
        </w:tc>
        <w:tc>
          <w:tcPr>
            <w:tcW w:w="7234"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A122A66" w14:textId="77777777" w:rsidR="00CD6E75" w:rsidRPr="00CA4E46" w:rsidRDefault="00CA4E46" w:rsidP="00CA4E46">
            <w:pPr>
              <w:pStyle w:val="Normal1"/>
              <w:spacing w:line="360" w:lineRule="auto"/>
              <w:jc w:val="both"/>
              <w:rPr>
                <w:rFonts w:eastAsia="Times New Roman"/>
                <w:sz w:val="24"/>
                <w:szCs w:val="24"/>
              </w:rPr>
            </w:pPr>
            <w:r w:rsidRPr="00CA4E46">
              <w:rPr>
                <w:rFonts w:eastAsia="Times New Roman"/>
                <w:sz w:val="24"/>
                <w:szCs w:val="24"/>
              </w:rPr>
              <w:t>EnGreen plans to look into collaborations with charitable organisations that support environmental concerns. Several foundations are willing to support sustainable programmes that benefit both people and the environment. On the other side, these collaborations may provide our initiatives with both important visibility and financial assistance.</w:t>
            </w:r>
          </w:p>
        </w:tc>
      </w:tr>
      <w:tr w:rsidR="00CD6E75" w:rsidRPr="00CA4E46" w14:paraId="60104243" w14:textId="77777777">
        <w:trPr>
          <w:trHeight w:val="2135"/>
        </w:trPr>
        <w:tc>
          <w:tcPr>
            <w:tcW w:w="212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118AEAD" w14:textId="77777777" w:rsidR="00CD6E75" w:rsidRPr="00CA4E46" w:rsidRDefault="00CA4E46" w:rsidP="00CA4E46">
            <w:pPr>
              <w:pStyle w:val="Normal1"/>
              <w:spacing w:line="360" w:lineRule="auto"/>
              <w:jc w:val="center"/>
              <w:rPr>
                <w:rFonts w:eastAsia="Times New Roman"/>
                <w:b/>
                <w:sz w:val="24"/>
                <w:szCs w:val="24"/>
              </w:rPr>
            </w:pPr>
            <w:r w:rsidRPr="00CA4E46">
              <w:rPr>
                <w:rFonts w:eastAsia="Times New Roman"/>
                <w:b/>
                <w:sz w:val="24"/>
                <w:szCs w:val="24"/>
              </w:rPr>
              <w:t>Corporate Partnerships and Collaborations</w:t>
            </w:r>
          </w:p>
        </w:tc>
        <w:tc>
          <w:tcPr>
            <w:tcW w:w="7234"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AF1F9FD" w14:textId="77777777" w:rsidR="00CD6E75" w:rsidRPr="00CA4E46" w:rsidRDefault="00CA4E46" w:rsidP="00CA4E46">
            <w:pPr>
              <w:pStyle w:val="Normal1"/>
              <w:spacing w:line="360" w:lineRule="auto"/>
              <w:jc w:val="both"/>
              <w:rPr>
                <w:rFonts w:eastAsia="Times New Roman"/>
                <w:sz w:val="24"/>
                <w:szCs w:val="24"/>
              </w:rPr>
            </w:pPr>
            <w:r w:rsidRPr="00CA4E46">
              <w:rPr>
                <w:rFonts w:eastAsia="Times New Roman"/>
                <w:sz w:val="24"/>
                <w:szCs w:val="24"/>
              </w:rPr>
              <w:t>EnGreen is aware of the advantages of working with well-known businesses in the renewable energy industry. On the other side, collaborations with businesses already engaged in sustainability might result in the sharing of resources, access to new markets as well as knowledge. These partnerships may aid in the project's market penetration as well as expansion.</w:t>
            </w:r>
          </w:p>
        </w:tc>
      </w:tr>
      <w:tr w:rsidR="00CD6E75" w:rsidRPr="00CA4E46" w14:paraId="287CF509" w14:textId="77777777">
        <w:trPr>
          <w:trHeight w:val="1775"/>
        </w:trPr>
        <w:tc>
          <w:tcPr>
            <w:tcW w:w="212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ACAFF25" w14:textId="77777777" w:rsidR="00CD6E75" w:rsidRPr="00CA4E46" w:rsidRDefault="00CA4E46" w:rsidP="00CA4E46">
            <w:pPr>
              <w:pStyle w:val="Normal1"/>
              <w:spacing w:line="360" w:lineRule="auto"/>
              <w:jc w:val="center"/>
              <w:rPr>
                <w:rFonts w:eastAsia="Times New Roman"/>
                <w:b/>
                <w:sz w:val="24"/>
                <w:szCs w:val="24"/>
              </w:rPr>
            </w:pPr>
            <w:r w:rsidRPr="00CA4E46">
              <w:rPr>
                <w:rFonts w:eastAsia="Times New Roman"/>
                <w:b/>
                <w:sz w:val="24"/>
                <w:szCs w:val="24"/>
              </w:rPr>
              <w:t>Crowdfunding</w:t>
            </w:r>
          </w:p>
        </w:tc>
        <w:tc>
          <w:tcPr>
            <w:tcW w:w="7234"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8AB237C" w14:textId="77777777" w:rsidR="00CD6E75" w:rsidRPr="00CA4E46" w:rsidRDefault="00CA4E46" w:rsidP="00CA4E46">
            <w:pPr>
              <w:pStyle w:val="Normal1"/>
              <w:spacing w:line="360" w:lineRule="auto"/>
              <w:jc w:val="both"/>
              <w:rPr>
                <w:rFonts w:eastAsia="Times New Roman"/>
                <w:sz w:val="24"/>
                <w:szCs w:val="24"/>
              </w:rPr>
            </w:pPr>
            <w:r w:rsidRPr="00CA4E46">
              <w:rPr>
                <w:rFonts w:eastAsia="Times New Roman"/>
                <w:sz w:val="24"/>
                <w:szCs w:val="24"/>
              </w:rPr>
              <w:t>Crowdfunding platforms provide a distinctive channel for elevating awareness and securing financial backing for particular EnGreen undertakings. Conversely, through active involvement with ecologically-minded individuals and communities, we can access a network of advocates who wholeheartedly embrace our mission and are eager to play a part in our triumph.</w:t>
            </w:r>
          </w:p>
        </w:tc>
      </w:tr>
      <w:tr w:rsidR="00CD6E75" w:rsidRPr="00CA4E46" w14:paraId="5DF50CD4" w14:textId="77777777">
        <w:trPr>
          <w:trHeight w:val="1775"/>
        </w:trPr>
        <w:tc>
          <w:tcPr>
            <w:tcW w:w="212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CD11B75" w14:textId="77777777" w:rsidR="00CD6E75" w:rsidRPr="00CA4E46" w:rsidRDefault="00CA4E46" w:rsidP="00CA4E46">
            <w:pPr>
              <w:pStyle w:val="Normal1"/>
              <w:spacing w:line="360" w:lineRule="auto"/>
              <w:jc w:val="center"/>
              <w:rPr>
                <w:rFonts w:eastAsia="Times New Roman"/>
                <w:b/>
                <w:sz w:val="24"/>
                <w:szCs w:val="24"/>
              </w:rPr>
            </w:pPr>
            <w:r w:rsidRPr="00CA4E46">
              <w:rPr>
                <w:rFonts w:eastAsia="Times New Roman"/>
                <w:b/>
                <w:sz w:val="24"/>
                <w:szCs w:val="24"/>
              </w:rPr>
              <w:t>Debt Financing</w:t>
            </w:r>
          </w:p>
        </w:tc>
        <w:tc>
          <w:tcPr>
            <w:tcW w:w="7234"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D173264" w14:textId="77777777" w:rsidR="00CD6E75" w:rsidRPr="00CA4E46" w:rsidRDefault="00CA4E46" w:rsidP="00CA4E46">
            <w:pPr>
              <w:pStyle w:val="Normal1"/>
              <w:spacing w:line="360" w:lineRule="auto"/>
              <w:jc w:val="both"/>
              <w:rPr>
                <w:rFonts w:eastAsia="Times New Roman"/>
                <w:sz w:val="24"/>
                <w:szCs w:val="24"/>
              </w:rPr>
            </w:pPr>
            <w:r w:rsidRPr="00CA4E46">
              <w:rPr>
                <w:rFonts w:eastAsia="Times New Roman"/>
                <w:sz w:val="24"/>
                <w:szCs w:val="24"/>
              </w:rPr>
              <w:t xml:space="preserve">EnGreen might also contemplate debt financing alternatives, including loans and bonds. Although these avenues necessitate repayment with interest, they offer a pliable reservoir of capital for endeavours with robust revenue prospects. Opting for debt </w:t>
            </w:r>
            <w:r w:rsidRPr="00CA4E46">
              <w:rPr>
                <w:rFonts w:eastAsia="Times New Roman"/>
                <w:sz w:val="24"/>
                <w:szCs w:val="24"/>
              </w:rPr>
              <w:lastRenderedPageBreak/>
              <w:t>financing can be a judicious decision at specific junctures within our ventures.</w:t>
            </w:r>
          </w:p>
        </w:tc>
      </w:tr>
    </w:tbl>
    <w:p w14:paraId="1CFA0D70" w14:textId="77777777" w:rsidR="00CD6E75" w:rsidRPr="00CA4E46" w:rsidRDefault="00CD6E75" w:rsidP="00CA4E46">
      <w:pPr>
        <w:pStyle w:val="Normal1"/>
        <w:spacing w:line="360" w:lineRule="auto"/>
        <w:rPr>
          <w:b/>
        </w:rPr>
      </w:pPr>
    </w:p>
    <w:p w14:paraId="3FE25528" w14:textId="77777777" w:rsidR="00CD6E75" w:rsidRPr="00CA4E46" w:rsidRDefault="00CA4E46" w:rsidP="00CA4E46">
      <w:pPr>
        <w:pStyle w:val="Heading1"/>
        <w:spacing w:line="360" w:lineRule="auto"/>
        <w:rPr>
          <w:rFonts w:ascii="Arial" w:hAnsi="Arial" w:cs="Arial"/>
        </w:rPr>
      </w:pPr>
      <w:bookmarkStart w:id="34" w:name="_Toc149826057"/>
      <w:r w:rsidRPr="00CA4E46">
        <w:rPr>
          <w:rFonts w:ascii="Arial" w:hAnsi="Arial" w:cs="Arial"/>
        </w:rPr>
        <w:t>Conclusion</w:t>
      </w:r>
      <w:bookmarkEnd w:id="34"/>
    </w:p>
    <w:p w14:paraId="68E9C6B5" w14:textId="77777777" w:rsidR="00CD6E75" w:rsidRPr="00CA4E46" w:rsidRDefault="00CA4E46" w:rsidP="00CA4E46">
      <w:pPr>
        <w:pStyle w:val="Normal1"/>
        <w:spacing w:line="360" w:lineRule="auto"/>
        <w:jc w:val="both"/>
        <w:rPr>
          <w:rFonts w:eastAsia="Times New Roman"/>
          <w:sz w:val="24"/>
          <w:szCs w:val="24"/>
        </w:rPr>
      </w:pPr>
      <w:r w:rsidRPr="00CA4E46">
        <w:rPr>
          <w:rFonts w:eastAsia="Times New Roman"/>
          <w:sz w:val="24"/>
          <w:szCs w:val="24"/>
        </w:rPr>
        <w:t>According to the above discussion, EnGreen is a sustainable company that is committed to promoting clean energy solutions and addressing the global need for renewable energy. The core of EnGreen's business strategy is to enable local communities to adopt renewable energy by offering tailored solutions for homes, businesses and local governments. The business is in a good position to benefit from the rising demand for renewable energy options as well as the advantageous financial climate offered by government grants and subsidies, private investors, charitable organisations and business alliances. EnGreen is a perfect partner in advancing projects for sustainable energy because of its diversified approach to closing the market gap for renewable energy. EnGreen is prepared for success in the UK and abroad with a thorough financial strategy and a clear grasp of the target market paving the way for a day when everyone can use sustainable and clean energy sources.</w:t>
      </w:r>
    </w:p>
    <w:p w14:paraId="6B78EC29" w14:textId="77777777" w:rsidR="00CD6E75" w:rsidRPr="00CA4E46" w:rsidRDefault="00CA4E46" w:rsidP="00CA4E46">
      <w:pPr>
        <w:pStyle w:val="Normal1"/>
        <w:spacing w:line="360" w:lineRule="auto"/>
        <w:rPr>
          <w:b/>
        </w:rPr>
      </w:pPr>
      <w:r w:rsidRPr="00CA4E46">
        <w:br w:type="page"/>
      </w:r>
    </w:p>
    <w:p w14:paraId="1908DC01" w14:textId="77777777" w:rsidR="00CD6E75" w:rsidRPr="00CA4E46" w:rsidRDefault="00CD6E75" w:rsidP="00CA4E46">
      <w:pPr>
        <w:pStyle w:val="Heading1"/>
        <w:spacing w:line="360" w:lineRule="auto"/>
        <w:rPr>
          <w:rFonts w:ascii="Arial" w:hAnsi="Arial" w:cs="Arial"/>
        </w:rPr>
      </w:pPr>
      <w:bookmarkStart w:id="35" w:name="_wug85n9xaf7p" w:colFirst="0" w:colLast="0"/>
      <w:bookmarkEnd w:id="35"/>
    </w:p>
    <w:p w14:paraId="03ECD6A0" w14:textId="77777777" w:rsidR="00CD6E75" w:rsidRPr="00CA4E46" w:rsidRDefault="00CA4E46" w:rsidP="00CA4E46">
      <w:pPr>
        <w:pStyle w:val="Heading1"/>
        <w:spacing w:line="360" w:lineRule="auto"/>
        <w:rPr>
          <w:rFonts w:ascii="Arial" w:hAnsi="Arial" w:cs="Arial"/>
        </w:rPr>
      </w:pPr>
      <w:bookmarkStart w:id="36" w:name="_Toc149826058"/>
      <w:r w:rsidRPr="00CA4E46">
        <w:rPr>
          <w:rFonts w:ascii="Arial" w:hAnsi="Arial" w:cs="Arial"/>
        </w:rPr>
        <w:t>8. Reference</w:t>
      </w:r>
      <w:bookmarkEnd w:id="36"/>
      <w:r w:rsidRPr="00CA4E46">
        <w:rPr>
          <w:rFonts w:ascii="Arial" w:hAnsi="Arial" w:cs="Arial"/>
        </w:rPr>
        <w:t xml:space="preserve"> </w:t>
      </w:r>
    </w:p>
    <w:p w14:paraId="2FF27DCF" w14:textId="77777777" w:rsidR="00CD6E75" w:rsidRPr="00CA4E46" w:rsidRDefault="00CD6E75" w:rsidP="00CA4E46">
      <w:pPr>
        <w:pStyle w:val="Normal1"/>
        <w:spacing w:line="360" w:lineRule="auto"/>
        <w:jc w:val="both"/>
        <w:rPr>
          <w:rFonts w:eastAsia="Times New Roman"/>
          <w:sz w:val="24"/>
          <w:szCs w:val="24"/>
        </w:rPr>
      </w:pPr>
    </w:p>
    <w:p w14:paraId="04D14532" w14:textId="77777777" w:rsidR="00CD6E75" w:rsidRPr="00CA4E46" w:rsidRDefault="00CA4E46" w:rsidP="00CA4E46">
      <w:pPr>
        <w:pStyle w:val="Normal1"/>
        <w:numPr>
          <w:ilvl w:val="0"/>
          <w:numId w:val="5"/>
        </w:numPr>
        <w:spacing w:line="360" w:lineRule="auto"/>
        <w:jc w:val="both"/>
        <w:rPr>
          <w:rFonts w:eastAsia="Times New Roman"/>
          <w:sz w:val="24"/>
          <w:szCs w:val="24"/>
        </w:rPr>
      </w:pPr>
      <w:r w:rsidRPr="00CA4E46">
        <w:rPr>
          <w:rFonts w:eastAsia="Times New Roman"/>
          <w:sz w:val="24"/>
          <w:szCs w:val="24"/>
        </w:rPr>
        <w:t xml:space="preserve">Ruralelec.org, 2023. EnGreen. [Online]. Available at: </w:t>
      </w:r>
      <w:hyperlink r:id="rId11">
        <w:r w:rsidRPr="00CA4E46">
          <w:rPr>
            <w:rFonts w:eastAsia="Times New Roman"/>
            <w:color w:val="1155CC"/>
            <w:sz w:val="24"/>
            <w:szCs w:val="24"/>
            <w:u w:val="single"/>
          </w:rPr>
          <w:t>https://www.ruralelec.org/business-opportunities/engreen</w:t>
        </w:r>
      </w:hyperlink>
      <w:r w:rsidRPr="00CA4E46">
        <w:rPr>
          <w:rFonts w:eastAsia="Times New Roman"/>
          <w:sz w:val="24"/>
          <w:szCs w:val="24"/>
        </w:rPr>
        <w:t xml:space="preserve"> [Accessed on: 15/10/2023]</w:t>
      </w:r>
    </w:p>
    <w:p w14:paraId="6B583E37" w14:textId="77777777" w:rsidR="00CD6E75" w:rsidRPr="00CA4E46" w:rsidRDefault="00CD6E75" w:rsidP="00CA4E46">
      <w:pPr>
        <w:pStyle w:val="Normal1"/>
        <w:spacing w:line="360" w:lineRule="auto"/>
        <w:jc w:val="both"/>
        <w:rPr>
          <w:rFonts w:eastAsia="Times New Roman"/>
          <w:sz w:val="24"/>
          <w:szCs w:val="24"/>
        </w:rPr>
      </w:pPr>
    </w:p>
    <w:p w14:paraId="3357C6E2" w14:textId="77777777" w:rsidR="00CD6E75" w:rsidRPr="00CA4E46" w:rsidRDefault="00CA4E46" w:rsidP="00CA4E46">
      <w:pPr>
        <w:pStyle w:val="Normal1"/>
        <w:numPr>
          <w:ilvl w:val="0"/>
          <w:numId w:val="5"/>
        </w:numPr>
        <w:spacing w:line="360" w:lineRule="auto"/>
        <w:jc w:val="both"/>
        <w:rPr>
          <w:rFonts w:eastAsia="Times New Roman"/>
          <w:sz w:val="24"/>
          <w:szCs w:val="24"/>
        </w:rPr>
      </w:pPr>
      <w:r w:rsidRPr="00CA4E46">
        <w:rPr>
          <w:rFonts w:eastAsia="Times New Roman"/>
          <w:sz w:val="24"/>
          <w:szCs w:val="24"/>
        </w:rPr>
        <w:t xml:space="preserve">Engreensolutions.com, 2023.EnGreen| Mission| Vision|.  [Online]. Available at: </w:t>
      </w:r>
      <w:hyperlink r:id="rId12">
        <w:r w:rsidRPr="00CA4E46">
          <w:rPr>
            <w:rFonts w:eastAsia="Times New Roman"/>
            <w:color w:val="1155CC"/>
            <w:sz w:val="24"/>
            <w:szCs w:val="24"/>
            <w:u w:val="single"/>
          </w:rPr>
          <w:t>https://www.engreensolutions.com/about-us/</w:t>
        </w:r>
      </w:hyperlink>
      <w:r w:rsidRPr="00CA4E46">
        <w:rPr>
          <w:rFonts w:eastAsia="Times New Roman"/>
          <w:sz w:val="24"/>
          <w:szCs w:val="24"/>
        </w:rPr>
        <w:t xml:space="preserve"> [Accessed on: 15/10/2023]</w:t>
      </w:r>
    </w:p>
    <w:p w14:paraId="49758C2A" w14:textId="77777777" w:rsidR="00CD6E75" w:rsidRPr="00CA4E46" w:rsidRDefault="00CD6E75" w:rsidP="00CA4E46">
      <w:pPr>
        <w:pStyle w:val="Normal1"/>
        <w:spacing w:line="360" w:lineRule="auto"/>
        <w:jc w:val="both"/>
        <w:rPr>
          <w:rFonts w:eastAsia="Times New Roman"/>
          <w:sz w:val="24"/>
          <w:szCs w:val="24"/>
        </w:rPr>
      </w:pPr>
    </w:p>
    <w:p w14:paraId="3D8F0CB6" w14:textId="77777777" w:rsidR="00CD6E75" w:rsidRPr="00CA4E46" w:rsidRDefault="00CA4E46" w:rsidP="00CA4E46">
      <w:pPr>
        <w:pStyle w:val="Normal1"/>
        <w:numPr>
          <w:ilvl w:val="0"/>
          <w:numId w:val="5"/>
        </w:numPr>
        <w:spacing w:line="360" w:lineRule="auto"/>
        <w:jc w:val="both"/>
        <w:rPr>
          <w:rFonts w:eastAsia="Times New Roman"/>
          <w:sz w:val="24"/>
          <w:szCs w:val="24"/>
        </w:rPr>
      </w:pPr>
      <w:r w:rsidRPr="00CA4E46">
        <w:rPr>
          <w:rFonts w:eastAsia="Times New Roman"/>
          <w:sz w:val="24"/>
          <w:szCs w:val="24"/>
        </w:rPr>
        <w:t xml:space="preserve">Engreengroup.com, 2023. Global Trends in Renewable Energy Investment 2015. [Online]. Available at: </w:t>
      </w:r>
      <w:hyperlink r:id="rId13">
        <w:r w:rsidRPr="00CA4E46">
          <w:rPr>
            <w:rFonts w:eastAsia="Times New Roman"/>
            <w:color w:val="1155CC"/>
            <w:sz w:val="24"/>
            <w:szCs w:val="24"/>
            <w:u w:val="single"/>
          </w:rPr>
          <w:t>http://www.engreengroup.com/marketing_detail.php?marketing_id=3</w:t>
        </w:r>
      </w:hyperlink>
      <w:r w:rsidRPr="00CA4E46">
        <w:rPr>
          <w:rFonts w:eastAsia="Times New Roman"/>
          <w:sz w:val="24"/>
          <w:szCs w:val="24"/>
        </w:rPr>
        <w:t xml:space="preserve">  [Accessed on: 15/10/2023]</w:t>
      </w:r>
    </w:p>
    <w:p w14:paraId="33E779B6" w14:textId="77777777" w:rsidR="00CD6E75" w:rsidRPr="00CA4E46" w:rsidRDefault="00CD6E75" w:rsidP="00CA4E46">
      <w:pPr>
        <w:pStyle w:val="Normal1"/>
        <w:spacing w:line="360" w:lineRule="auto"/>
        <w:jc w:val="both"/>
        <w:rPr>
          <w:rFonts w:eastAsia="Times New Roman"/>
          <w:sz w:val="24"/>
          <w:szCs w:val="24"/>
        </w:rPr>
      </w:pPr>
    </w:p>
    <w:p w14:paraId="5234FB8E" w14:textId="77777777" w:rsidR="00CD6E75" w:rsidRPr="00CA4E46" w:rsidRDefault="00CA4E46" w:rsidP="00CA4E46">
      <w:pPr>
        <w:pStyle w:val="Normal1"/>
        <w:numPr>
          <w:ilvl w:val="0"/>
          <w:numId w:val="5"/>
        </w:numPr>
        <w:spacing w:line="360" w:lineRule="auto"/>
        <w:jc w:val="both"/>
        <w:rPr>
          <w:rFonts w:eastAsia="Times New Roman"/>
          <w:sz w:val="24"/>
          <w:szCs w:val="24"/>
        </w:rPr>
      </w:pPr>
      <w:r w:rsidRPr="00CA4E46">
        <w:rPr>
          <w:rFonts w:eastAsia="Times New Roman"/>
          <w:sz w:val="24"/>
          <w:szCs w:val="24"/>
        </w:rPr>
        <w:t xml:space="preserve">Finance.yahoo.com, 2023. Top 20 Renewable Energy Companies in USA by Revenue. [Online]. Available at: </w:t>
      </w:r>
      <w:hyperlink r:id="rId14">
        <w:r w:rsidRPr="00CA4E46">
          <w:rPr>
            <w:rFonts w:eastAsia="Times New Roman"/>
            <w:color w:val="1155CC"/>
            <w:sz w:val="24"/>
            <w:szCs w:val="24"/>
            <w:u w:val="single"/>
          </w:rPr>
          <w:t>https://finance.yahoo.com/news/top-20-renewable-energy-companies-094943677.html</w:t>
        </w:r>
      </w:hyperlink>
      <w:r w:rsidRPr="00CA4E46">
        <w:rPr>
          <w:rFonts w:eastAsia="Times New Roman"/>
          <w:sz w:val="24"/>
          <w:szCs w:val="24"/>
        </w:rPr>
        <w:t xml:space="preserve">  [Accessed on: 15/10/2023]</w:t>
      </w:r>
    </w:p>
    <w:p w14:paraId="55A35884" w14:textId="77777777" w:rsidR="00CD6E75" w:rsidRPr="00CA4E46" w:rsidRDefault="00CD6E75" w:rsidP="00CA4E46">
      <w:pPr>
        <w:pStyle w:val="Normal1"/>
        <w:spacing w:line="360" w:lineRule="auto"/>
        <w:jc w:val="both"/>
        <w:rPr>
          <w:rFonts w:eastAsia="Times New Roman"/>
          <w:sz w:val="24"/>
          <w:szCs w:val="24"/>
        </w:rPr>
      </w:pPr>
    </w:p>
    <w:p w14:paraId="7687A94D" w14:textId="77777777" w:rsidR="00CD6E75" w:rsidRPr="00CA4E46" w:rsidRDefault="00CA4E46" w:rsidP="00CA4E46">
      <w:pPr>
        <w:pStyle w:val="Normal1"/>
        <w:numPr>
          <w:ilvl w:val="0"/>
          <w:numId w:val="5"/>
        </w:numPr>
        <w:spacing w:line="360" w:lineRule="auto"/>
        <w:jc w:val="both"/>
        <w:rPr>
          <w:rFonts w:eastAsia="Times New Roman"/>
          <w:sz w:val="24"/>
          <w:szCs w:val="24"/>
        </w:rPr>
      </w:pPr>
      <w:r w:rsidRPr="00CA4E46">
        <w:rPr>
          <w:rFonts w:eastAsia="Times New Roman"/>
          <w:sz w:val="24"/>
          <w:szCs w:val="24"/>
        </w:rPr>
        <w:t xml:space="preserve">Mordorintelligence.com, 2023. US RENEWABLE ENERGY MARKET SIZE &amp; SHARE ANALYSIS - GROWTH TRENDS &amp; FORECASTS (2023 - 2028). [Online]. Available at: </w:t>
      </w:r>
      <w:hyperlink r:id="rId15">
        <w:r w:rsidRPr="00CA4E46">
          <w:rPr>
            <w:rFonts w:eastAsia="Times New Roman"/>
            <w:color w:val="1155CC"/>
            <w:sz w:val="24"/>
            <w:szCs w:val="24"/>
            <w:u w:val="single"/>
          </w:rPr>
          <w:t>https://www.mordorintelligence.com/industry-reports/united-states-renewable-energy-market</w:t>
        </w:r>
      </w:hyperlink>
      <w:r w:rsidRPr="00CA4E46">
        <w:rPr>
          <w:rFonts w:eastAsia="Times New Roman"/>
          <w:sz w:val="24"/>
          <w:szCs w:val="24"/>
        </w:rPr>
        <w:t xml:space="preserve"> [Accessed on: 15/10/2023]</w:t>
      </w:r>
    </w:p>
    <w:p w14:paraId="4D76D7A6" w14:textId="77777777" w:rsidR="00CD6E75" w:rsidRPr="00CA4E46" w:rsidRDefault="00CD6E75" w:rsidP="00CA4E46">
      <w:pPr>
        <w:pStyle w:val="Normal1"/>
        <w:spacing w:line="360" w:lineRule="auto"/>
        <w:jc w:val="both"/>
        <w:rPr>
          <w:rFonts w:eastAsia="Times New Roman"/>
          <w:sz w:val="24"/>
          <w:szCs w:val="24"/>
        </w:rPr>
      </w:pPr>
    </w:p>
    <w:p w14:paraId="633BCBB3" w14:textId="77777777" w:rsidR="00CD6E75" w:rsidRPr="00CA4E46" w:rsidRDefault="00CA4E46" w:rsidP="00CA4E46">
      <w:pPr>
        <w:pStyle w:val="Normal1"/>
        <w:numPr>
          <w:ilvl w:val="0"/>
          <w:numId w:val="5"/>
        </w:numPr>
        <w:spacing w:line="360" w:lineRule="auto"/>
        <w:jc w:val="both"/>
        <w:rPr>
          <w:rFonts w:eastAsia="Times New Roman"/>
          <w:sz w:val="24"/>
          <w:szCs w:val="24"/>
        </w:rPr>
      </w:pPr>
      <w:r w:rsidRPr="00CA4E46">
        <w:rPr>
          <w:rFonts w:eastAsia="Times New Roman"/>
          <w:sz w:val="24"/>
          <w:szCs w:val="24"/>
        </w:rPr>
        <w:t>Hailiang, Z., Chau, K.Y. and Waqas, M., 2023. Does green finance and renewable energy promote tourism for sustainable development: empirical evidence from China. Renewable Energy, 207, pp.660-671.</w:t>
      </w:r>
    </w:p>
    <w:p w14:paraId="08028E69" w14:textId="77777777" w:rsidR="00CD6E75" w:rsidRPr="00CA4E46" w:rsidRDefault="00CD6E75" w:rsidP="00CA4E46">
      <w:pPr>
        <w:pStyle w:val="Normal1"/>
        <w:spacing w:line="360" w:lineRule="auto"/>
        <w:jc w:val="both"/>
        <w:rPr>
          <w:rFonts w:eastAsia="Times New Roman"/>
          <w:sz w:val="24"/>
          <w:szCs w:val="24"/>
        </w:rPr>
      </w:pPr>
    </w:p>
    <w:p w14:paraId="651E19B3" w14:textId="77777777" w:rsidR="00CD6E75" w:rsidRPr="00CA4E46" w:rsidRDefault="00CA4E46" w:rsidP="00CA4E46">
      <w:pPr>
        <w:pStyle w:val="Normal1"/>
        <w:numPr>
          <w:ilvl w:val="0"/>
          <w:numId w:val="5"/>
        </w:numPr>
        <w:spacing w:line="360" w:lineRule="auto"/>
        <w:jc w:val="both"/>
        <w:rPr>
          <w:rFonts w:eastAsia="Times New Roman"/>
          <w:sz w:val="24"/>
          <w:szCs w:val="24"/>
        </w:rPr>
      </w:pPr>
      <w:r w:rsidRPr="00CA4E46">
        <w:rPr>
          <w:rFonts w:eastAsia="Times New Roman"/>
          <w:sz w:val="24"/>
          <w:szCs w:val="24"/>
        </w:rPr>
        <w:t xml:space="preserve">Chang, R.D., Zuo, J., Zhao, Z.Y., Zillante, G., Gan, X.L. and Soebarto, V., 2017. Evolving theories of sustainability and firms: History, future directions and </w:t>
      </w:r>
      <w:r w:rsidRPr="00CA4E46">
        <w:rPr>
          <w:rFonts w:eastAsia="Times New Roman"/>
          <w:sz w:val="24"/>
          <w:szCs w:val="24"/>
        </w:rPr>
        <w:lastRenderedPageBreak/>
        <w:t>implications for renewable energy research. Renewable and Sustainable Energy Reviews, 72, pp.48-56.</w:t>
      </w:r>
    </w:p>
    <w:p w14:paraId="4ECCD3C6" w14:textId="77777777" w:rsidR="00CD6E75" w:rsidRPr="00CA4E46" w:rsidRDefault="00CD6E75" w:rsidP="00CA4E46">
      <w:pPr>
        <w:pStyle w:val="Normal1"/>
        <w:spacing w:line="360" w:lineRule="auto"/>
        <w:jc w:val="both"/>
        <w:rPr>
          <w:rFonts w:eastAsia="Times New Roman"/>
          <w:sz w:val="24"/>
          <w:szCs w:val="24"/>
        </w:rPr>
      </w:pPr>
    </w:p>
    <w:p w14:paraId="22E5346A" w14:textId="77777777" w:rsidR="00CD6E75" w:rsidRPr="00CA4E46" w:rsidRDefault="00CA4E46" w:rsidP="00CA4E46">
      <w:pPr>
        <w:pStyle w:val="Normal1"/>
        <w:numPr>
          <w:ilvl w:val="0"/>
          <w:numId w:val="5"/>
        </w:numPr>
        <w:spacing w:line="360" w:lineRule="auto"/>
        <w:jc w:val="both"/>
        <w:rPr>
          <w:rFonts w:eastAsia="Times New Roman"/>
          <w:sz w:val="24"/>
          <w:szCs w:val="24"/>
        </w:rPr>
      </w:pPr>
      <w:r w:rsidRPr="00CA4E46">
        <w:rPr>
          <w:rFonts w:eastAsia="Times New Roman"/>
          <w:sz w:val="24"/>
          <w:szCs w:val="24"/>
        </w:rPr>
        <w:t>Oyedepo, S.O., 2014. Towards achieving energy for sustainable development in Nigeria. Renewable and sustainable energy reviews, 34, pp.255-272.</w:t>
      </w:r>
    </w:p>
    <w:p w14:paraId="4E18860C" w14:textId="77777777" w:rsidR="00CD6E75" w:rsidRPr="00CA4E46" w:rsidRDefault="00CD6E75" w:rsidP="00CA4E46">
      <w:pPr>
        <w:pStyle w:val="Normal1"/>
        <w:spacing w:line="360" w:lineRule="auto"/>
        <w:jc w:val="both"/>
        <w:rPr>
          <w:rFonts w:eastAsia="Times New Roman"/>
          <w:sz w:val="24"/>
          <w:szCs w:val="24"/>
        </w:rPr>
      </w:pPr>
    </w:p>
    <w:p w14:paraId="1DDB5566" w14:textId="77777777" w:rsidR="00CD6E75" w:rsidRPr="00CA4E46" w:rsidRDefault="00CA4E46" w:rsidP="00CA4E46">
      <w:pPr>
        <w:pStyle w:val="Normal1"/>
        <w:numPr>
          <w:ilvl w:val="0"/>
          <w:numId w:val="5"/>
        </w:numPr>
        <w:spacing w:line="360" w:lineRule="auto"/>
        <w:jc w:val="both"/>
        <w:rPr>
          <w:rFonts w:eastAsia="Times New Roman"/>
          <w:sz w:val="24"/>
          <w:szCs w:val="24"/>
        </w:rPr>
      </w:pPr>
      <w:r w:rsidRPr="00CA4E46">
        <w:rPr>
          <w:rFonts w:eastAsia="Times New Roman"/>
          <w:sz w:val="24"/>
          <w:szCs w:val="24"/>
        </w:rPr>
        <w:t>Saqib, N., Mahmood, H., Murshed, M., Duran, I.A. and Douissa, I.B., 2023. Harnessing digital solutions for sustainable development: a quantile-based framework for designing an SDG framework for green transition. Environmental Science and Pollution Research, pp.1-18.</w:t>
      </w:r>
    </w:p>
    <w:p w14:paraId="0267F822" w14:textId="77777777" w:rsidR="00CD6E75" w:rsidRPr="00CA4E46" w:rsidRDefault="00CD6E75" w:rsidP="00CA4E46">
      <w:pPr>
        <w:pStyle w:val="Normal1"/>
        <w:spacing w:line="360" w:lineRule="auto"/>
        <w:jc w:val="both"/>
        <w:rPr>
          <w:rFonts w:eastAsia="Times New Roman"/>
          <w:sz w:val="24"/>
          <w:szCs w:val="24"/>
        </w:rPr>
      </w:pPr>
    </w:p>
    <w:p w14:paraId="69A6EE2A" w14:textId="77777777" w:rsidR="00CD6E75" w:rsidRPr="00CA4E46" w:rsidRDefault="00CA4E46" w:rsidP="00CA4E46">
      <w:pPr>
        <w:pStyle w:val="Normal1"/>
        <w:numPr>
          <w:ilvl w:val="0"/>
          <w:numId w:val="5"/>
        </w:numPr>
        <w:spacing w:line="360" w:lineRule="auto"/>
        <w:jc w:val="both"/>
        <w:rPr>
          <w:rFonts w:eastAsia="Times New Roman"/>
          <w:sz w:val="24"/>
          <w:szCs w:val="24"/>
        </w:rPr>
      </w:pPr>
      <w:r w:rsidRPr="00CA4E46">
        <w:rPr>
          <w:rFonts w:eastAsia="Times New Roman"/>
          <w:sz w:val="24"/>
          <w:szCs w:val="24"/>
        </w:rPr>
        <w:t>Adenle, A.A., 2020. Assessment of solar energy technologies in Africa-opportunities and challenges in meeting the 2030 agenda and sustainable development goals. Energy Policy, 137, p.111180.</w:t>
      </w:r>
    </w:p>
    <w:p w14:paraId="440BBBD8" w14:textId="77777777" w:rsidR="00CD6E75" w:rsidRPr="00CA4E46" w:rsidRDefault="00CD6E75" w:rsidP="00CA4E46">
      <w:pPr>
        <w:pStyle w:val="Normal1"/>
        <w:spacing w:line="360" w:lineRule="auto"/>
        <w:jc w:val="both"/>
        <w:rPr>
          <w:rFonts w:eastAsia="Times New Roman"/>
          <w:sz w:val="24"/>
          <w:szCs w:val="24"/>
        </w:rPr>
      </w:pPr>
    </w:p>
    <w:p w14:paraId="11321E3F" w14:textId="77777777" w:rsidR="00CD6E75" w:rsidRPr="00CA4E46" w:rsidRDefault="00CA4E46" w:rsidP="00CA4E46">
      <w:pPr>
        <w:pStyle w:val="Normal1"/>
        <w:numPr>
          <w:ilvl w:val="0"/>
          <w:numId w:val="5"/>
        </w:numPr>
        <w:spacing w:line="360" w:lineRule="auto"/>
        <w:jc w:val="both"/>
        <w:rPr>
          <w:rFonts w:eastAsia="Times New Roman"/>
          <w:sz w:val="24"/>
          <w:szCs w:val="24"/>
        </w:rPr>
      </w:pPr>
      <w:r w:rsidRPr="00CA4E46">
        <w:rPr>
          <w:rFonts w:eastAsia="Times New Roman"/>
          <w:sz w:val="24"/>
          <w:szCs w:val="24"/>
        </w:rPr>
        <w:t>Clausen, L.T. and Rudolph, D., 2020. Renewable energy for sustainable rural development: Synergies and mismatches. Energy Policy, 138, p.111289.</w:t>
      </w:r>
    </w:p>
    <w:p w14:paraId="4ABF0305" w14:textId="77777777" w:rsidR="00CD6E75" w:rsidRPr="00CA4E46" w:rsidRDefault="00CD6E75" w:rsidP="00CA4E46">
      <w:pPr>
        <w:pStyle w:val="Normal1"/>
        <w:spacing w:line="360" w:lineRule="auto"/>
        <w:jc w:val="both"/>
        <w:rPr>
          <w:rFonts w:eastAsia="Times New Roman"/>
          <w:sz w:val="24"/>
          <w:szCs w:val="24"/>
        </w:rPr>
      </w:pPr>
    </w:p>
    <w:p w14:paraId="1CE3B022" w14:textId="77777777" w:rsidR="00CD6E75" w:rsidRPr="00CA4E46" w:rsidRDefault="00CA4E46" w:rsidP="00CA4E46">
      <w:pPr>
        <w:pStyle w:val="Normal1"/>
        <w:numPr>
          <w:ilvl w:val="0"/>
          <w:numId w:val="5"/>
        </w:numPr>
        <w:spacing w:line="360" w:lineRule="auto"/>
        <w:jc w:val="both"/>
        <w:rPr>
          <w:rFonts w:eastAsia="Times New Roman"/>
          <w:sz w:val="24"/>
          <w:szCs w:val="24"/>
        </w:rPr>
      </w:pPr>
      <w:r w:rsidRPr="00CA4E46">
        <w:rPr>
          <w:rFonts w:eastAsia="Times New Roman"/>
          <w:sz w:val="24"/>
          <w:szCs w:val="24"/>
        </w:rPr>
        <w:t>Kılkış, Ş., Krajačić, G., Duić, N., Montorsi, L., Wang, Q. and Rosen, M.A., 2019. Research frontiers in sustainable development of energy, water and environment systems in a time of climate crisis. Energy conversion and management, 199, p.111938.</w:t>
      </w:r>
    </w:p>
    <w:p w14:paraId="65E8CF9B" w14:textId="77777777" w:rsidR="00CD6E75" w:rsidRPr="00CA4E46" w:rsidRDefault="00CD6E75" w:rsidP="00CA4E46">
      <w:pPr>
        <w:pStyle w:val="Normal1"/>
        <w:spacing w:line="360" w:lineRule="auto"/>
        <w:jc w:val="both"/>
        <w:rPr>
          <w:rFonts w:eastAsia="Times New Roman"/>
          <w:sz w:val="24"/>
          <w:szCs w:val="24"/>
        </w:rPr>
      </w:pPr>
    </w:p>
    <w:p w14:paraId="2F71638C" w14:textId="77777777" w:rsidR="00CD6E75" w:rsidRPr="00CA4E46" w:rsidRDefault="00CA4E46" w:rsidP="00CA4E46">
      <w:pPr>
        <w:pStyle w:val="Normal1"/>
        <w:numPr>
          <w:ilvl w:val="0"/>
          <w:numId w:val="5"/>
        </w:numPr>
        <w:spacing w:line="360" w:lineRule="auto"/>
        <w:jc w:val="both"/>
        <w:rPr>
          <w:rFonts w:eastAsia="Times New Roman"/>
          <w:sz w:val="24"/>
          <w:szCs w:val="24"/>
        </w:rPr>
      </w:pPr>
      <w:r w:rsidRPr="00CA4E46">
        <w:rPr>
          <w:rFonts w:eastAsia="Times New Roman"/>
          <w:sz w:val="24"/>
          <w:szCs w:val="24"/>
        </w:rPr>
        <w:t>Victoria, M., Haegel, N., Peters, I.M., Sinton, R., Jäger-Waldau, A., del Canizo, C., Breyer, C., Stocks, M., Blakers, A., Kaizuka, I. and Komoto, K., 2021. Solar photovoltaics is ready to power a sustainable future. Joule, 5(5), pp.1041-1056.</w:t>
      </w:r>
    </w:p>
    <w:p w14:paraId="2C04BD77" w14:textId="77777777" w:rsidR="00CD6E75" w:rsidRPr="00CA4E46" w:rsidRDefault="00CD6E75" w:rsidP="00CA4E46">
      <w:pPr>
        <w:pStyle w:val="Normal1"/>
        <w:spacing w:line="360" w:lineRule="auto"/>
        <w:jc w:val="both"/>
        <w:rPr>
          <w:rFonts w:eastAsia="Times New Roman"/>
          <w:sz w:val="24"/>
          <w:szCs w:val="24"/>
        </w:rPr>
      </w:pPr>
    </w:p>
    <w:p w14:paraId="4CE53C45" w14:textId="77777777" w:rsidR="00CD6E75" w:rsidRPr="00CA4E46" w:rsidRDefault="00CA4E46" w:rsidP="00CA4E46">
      <w:pPr>
        <w:pStyle w:val="Normal1"/>
        <w:numPr>
          <w:ilvl w:val="0"/>
          <w:numId w:val="5"/>
        </w:numPr>
        <w:spacing w:line="360" w:lineRule="auto"/>
        <w:jc w:val="both"/>
        <w:rPr>
          <w:rFonts w:eastAsia="Times New Roman"/>
          <w:sz w:val="24"/>
          <w:szCs w:val="24"/>
        </w:rPr>
      </w:pPr>
      <w:r w:rsidRPr="00CA4E46">
        <w:rPr>
          <w:rFonts w:eastAsia="Times New Roman"/>
          <w:sz w:val="24"/>
          <w:szCs w:val="24"/>
        </w:rPr>
        <w:t>George, G., Merrill, R.K. and Schillebeeckx, S.J., 2021. Digital sustainability and entrepreneurship: How digital innovations are helping tackle climate change and sustainable development. Entrepreneurship Theory and Practice, 45(5), pp.999-1027.</w:t>
      </w:r>
    </w:p>
    <w:p w14:paraId="11460C32" w14:textId="77777777" w:rsidR="00CD6E75" w:rsidRPr="00CA4E46" w:rsidRDefault="00CD6E75" w:rsidP="00CA4E46">
      <w:pPr>
        <w:pStyle w:val="Normal1"/>
        <w:spacing w:line="360" w:lineRule="auto"/>
        <w:jc w:val="both"/>
        <w:rPr>
          <w:rFonts w:eastAsia="Times New Roman"/>
          <w:sz w:val="24"/>
          <w:szCs w:val="24"/>
        </w:rPr>
      </w:pPr>
    </w:p>
    <w:p w14:paraId="474E8792" w14:textId="77777777" w:rsidR="00CD6E75" w:rsidRPr="00CA4E46" w:rsidRDefault="00CA4E46" w:rsidP="00CA4E46">
      <w:pPr>
        <w:pStyle w:val="Normal1"/>
        <w:numPr>
          <w:ilvl w:val="0"/>
          <w:numId w:val="5"/>
        </w:numPr>
        <w:spacing w:line="360" w:lineRule="auto"/>
        <w:jc w:val="both"/>
        <w:rPr>
          <w:rFonts w:eastAsia="Times New Roman"/>
          <w:sz w:val="24"/>
          <w:szCs w:val="24"/>
        </w:rPr>
      </w:pPr>
      <w:r w:rsidRPr="00CA4E46">
        <w:rPr>
          <w:rFonts w:eastAsia="Times New Roman"/>
          <w:sz w:val="24"/>
          <w:szCs w:val="24"/>
        </w:rPr>
        <w:t>George, G., Merrill, R.K. and Schillebeeckx, S.J., 2021. Digital sustainability and entrepreneurship: How digital innovations are helping tackle climate change and sustainable development. Entrepreneurship Theory and Practice, 45(5), pp.999-1027.</w:t>
      </w:r>
    </w:p>
    <w:p w14:paraId="2AB3C8BA" w14:textId="77777777" w:rsidR="00CD6E75" w:rsidRPr="00CA4E46" w:rsidRDefault="00CD6E75" w:rsidP="00CA4E46">
      <w:pPr>
        <w:pStyle w:val="Normal1"/>
        <w:spacing w:line="360" w:lineRule="auto"/>
        <w:jc w:val="both"/>
        <w:rPr>
          <w:rFonts w:eastAsia="Times New Roman"/>
          <w:sz w:val="24"/>
          <w:szCs w:val="24"/>
        </w:rPr>
      </w:pPr>
    </w:p>
    <w:p w14:paraId="4E28557F" w14:textId="77777777" w:rsidR="00CD6E75" w:rsidRPr="00CA4E46" w:rsidRDefault="00CA4E46" w:rsidP="00CA4E46">
      <w:pPr>
        <w:pStyle w:val="Normal1"/>
        <w:numPr>
          <w:ilvl w:val="0"/>
          <w:numId w:val="5"/>
        </w:numPr>
        <w:spacing w:line="360" w:lineRule="auto"/>
        <w:jc w:val="both"/>
        <w:rPr>
          <w:rFonts w:eastAsia="Times New Roman"/>
          <w:sz w:val="24"/>
          <w:szCs w:val="24"/>
        </w:rPr>
      </w:pPr>
      <w:r w:rsidRPr="00CA4E46">
        <w:rPr>
          <w:rFonts w:eastAsia="Times New Roman"/>
          <w:sz w:val="24"/>
          <w:szCs w:val="24"/>
        </w:rPr>
        <w:t>Joshi, G. and Yenneti, K., 2020. Community solar energy initiatives in India: A pathway for addressing energy poverty and sustainability?. Energy and Buildings, 210, p.109736.</w:t>
      </w:r>
    </w:p>
    <w:p w14:paraId="7C64BF60" w14:textId="77777777" w:rsidR="00CD6E75" w:rsidRPr="00CA4E46" w:rsidRDefault="00CD6E75" w:rsidP="00CA4E46">
      <w:pPr>
        <w:pStyle w:val="Normal1"/>
        <w:spacing w:line="360" w:lineRule="auto"/>
        <w:jc w:val="both"/>
        <w:rPr>
          <w:rFonts w:eastAsia="Times New Roman"/>
          <w:sz w:val="24"/>
          <w:szCs w:val="24"/>
        </w:rPr>
      </w:pPr>
    </w:p>
    <w:p w14:paraId="400EC8B3" w14:textId="77777777" w:rsidR="00CD6E75" w:rsidRPr="00CA4E46" w:rsidRDefault="00CA4E46" w:rsidP="00CA4E46">
      <w:pPr>
        <w:pStyle w:val="Normal1"/>
        <w:numPr>
          <w:ilvl w:val="0"/>
          <w:numId w:val="5"/>
        </w:numPr>
        <w:spacing w:line="360" w:lineRule="auto"/>
        <w:jc w:val="both"/>
        <w:rPr>
          <w:rFonts w:eastAsia="Times New Roman"/>
          <w:sz w:val="24"/>
          <w:szCs w:val="24"/>
        </w:rPr>
      </w:pPr>
      <w:r w:rsidRPr="00CA4E46">
        <w:rPr>
          <w:rFonts w:eastAsia="Times New Roman"/>
          <w:sz w:val="24"/>
          <w:szCs w:val="24"/>
        </w:rPr>
        <w:t>Xu, D., Sheraz, M., Hassan, A., Sinha, A. and Ullah, S., 2022. Financial development, renewable energy and CO2 emission in G7 countries: new evidence from non-linear and asymmetric analysis. Energy Economics, 109, p.105994.</w:t>
      </w:r>
    </w:p>
    <w:p w14:paraId="12365A90" w14:textId="77777777" w:rsidR="00CD6E75" w:rsidRPr="00CA4E46" w:rsidRDefault="00CD6E75" w:rsidP="00CA4E46">
      <w:pPr>
        <w:pStyle w:val="Normal1"/>
        <w:spacing w:line="360" w:lineRule="auto"/>
        <w:jc w:val="both"/>
        <w:rPr>
          <w:rFonts w:eastAsia="Times New Roman"/>
          <w:sz w:val="24"/>
          <w:szCs w:val="24"/>
        </w:rPr>
      </w:pPr>
    </w:p>
    <w:p w14:paraId="4A3D107E" w14:textId="77777777" w:rsidR="00CD6E75" w:rsidRPr="00CA4E46" w:rsidRDefault="00CA4E46" w:rsidP="00CA4E46">
      <w:pPr>
        <w:pStyle w:val="Normal1"/>
        <w:numPr>
          <w:ilvl w:val="0"/>
          <w:numId w:val="5"/>
        </w:numPr>
        <w:spacing w:line="360" w:lineRule="auto"/>
        <w:jc w:val="both"/>
        <w:rPr>
          <w:rFonts w:eastAsia="Times New Roman"/>
          <w:sz w:val="24"/>
          <w:szCs w:val="24"/>
        </w:rPr>
      </w:pPr>
      <w:r w:rsidRPr="00CA4E46">
        <w:rPr>
          <w:rFonts w:eastAsia="Times New Roman"/>
          <w:sz w:val="24"/>
          <w:szCs w:val="24"/>
        </w:rPr>
        <w:t>Beck, S., Jasanoff, S., Stirling, A. and Polzin, C., 2021. The governance of sociotechnical transformations to sustainability. Current Opinion in Environmental Sustainability, 49, pp.143-152.</w:t>
      </w:r>
    </w:p>
    <w:sectPr w:rsidR="00CD6E75" w:rsidRPr="00CA4E46">
      <w:headerReference w:type="default" r:id="rId16"/>
      <w:footerReference w:type="default" r:id="rId17"/>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9F4B8D" w14:textId="77777777" w:rsidR="00CA4E46" w:rsidRDefault="00CA4E46">
      <w:pPr>
        <w:spacing w:line="240" w:lineRule="auto"/>
      </w:pPr>
      <w:r>
        <w:separator/>
      </w:r>
    </w:p>
  </w:endnote>
  <w:endnote w:type="continuationSeparator" w:id="0">
    <w:p w14:paraId="725802D9" w14:textId="77777777" w:rsidR="00CA4E46" w:rsidRDefault="00CA4E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5B166" w14:textId="77777777" w:rsidR="00CD6E75" w:rsidRDefault="00CA4E46">
    <w:pPr>
      <w:pStyle w:val="Normal1"/>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PAGE NO.</w:t>
    </w: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Pr>
        <w:rFonts w:ascii="Times New Roman" w:eastAsia="Times New Roman" w:hAnsi="Times New Roman" w:cs="Times New Roman"/>
        <w:b/>
        <w:noProof/>
        <w:sz w:val="24"/>
        <w:szCs w:val="24"/>
      </w:rPr>
      <w:t>1</w:t>
    </w:r>
    <w:r>
      <w:rPr>
        <w:rFonts w:ascii="Times New Roman" w:eastAsia="Times New Roman" w:hAnsi="Times New Roman" w:cs="Times New Roman"/>
        <w:b/>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FAF79A" w14:textId="77777777" w:rsidR="00CA4E46" w:rsidRDefault="00CA4E46">
      <w:pPr>
        <w:spacing w:line="240" w:lineRule="auto"/>
      </w:pPr>
      <w:r>
        <w:separator/>
      </w:r>
    </w:p>
  </w:footnote>
  <w:footnote w:type="continuationSeparator" w:id="0">
    <w:p w14:paraId="72937B46" w14:textId="77777777" w:rsidR="00CA4E46" w:rsidRDefault="00CA4E4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6861F3" w14:textId="77777777" w:rsidR="00CD6E75" w:rsidRDefault="00CA4E46">
    <w:pPr>
      <w:pStyle w:val="Normal1"/>
    </w:pPr>
    <w:r>
      <w:rPr>
        <w:noProof/>
      </w:rPr>
      <w:drawing>
        <wp:anchor distT="0" distB="0" distL="114300" distR="114300" simplePos="0" relativeHeight="251658240" behindDoc="0" locked="0" layoutInCell="1" allowOverlap="1" wp14:anchorId="6EC3A867" wp14:editId="63207106">
          <wp:simplePos x="0" y="0"/>
          <wp:positionH relativeFrom="column">
            <wp:posOffset>114300</wp:posOffset>
          </wp:positionH>
          <wp:positionV relativeFrom="paragraph">
            <wp:posOffset>0</wp:posOffset>
          </wp:positionV>
          <wp:extent cx="871538" cy="378342"/>
          <wp:effectExtent l="0" t="0" r="0" b="0"/>
          <wp:wrapSquare wrapText="bothSides"/>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image1.png" descr="Discover University of Wales Trinity Saint David"/>
                  <pic:cNvPicPr/>
                </pic:nvPicPr>
                <pic:blipFill>
                  <a:blip r:embed="rId1"/>
                  <a:stretch>
                    <a:fillRect/>
                  </a:stretch>
                </pic:blipFill>
                <pic:spPr>
                  <a:xfrm>
                    <a:off x="0" y="0"/>
                    <a:ext cx="871538" cy="378342"/>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C246ED"/>
    <w:multiLevelType w:val="hybridMultilevel"/>
    <w:tmpl w:val="00000000"/>
    <w:lvl w:ilvl="0" w:tplc="E8C2EBE4">
      <w:start w:val="1"/>
      <w:numFmt w:val="bullet"/>
      <w:lvlText w:val="★"/>
      <w:lvlJc w:val="left"/>
      <w:pPr>
        <w:ind w:left="720" w:hanging="360"/>
      </w:pPr>
      <w:rPr>
        <w:u w:val="none"/>
      </w:rPr>
    </w:lvl>
    <w:lvl w:ilvl="1" w:tplc="1CBCC570">
      <w:start w:val="1"/>
      <w:numFmt w:val="bullet"/>
      <w:lvlText w:val="○"/>
      <w:lvlJc w:val="left"/>
      <w:pPr>
        <w:ind w:left="1440" w:hanging="360"/>
      </w:pPr>
      <w:rPr>
        <w:u w:val="none"/>
      </w:rPr>
    </w:lvl>
    <w:lvl w:ilvl="2" w:tplc="CB5C3C02">
      <w:start w:val="1"/>
      <w:numFmt w:val="bullet"/>
      <w:lvlText w:val="■"/>
      <w:lvlJc w:val="left"/>
      <w:pPr>
        <w:ind w:left="2160" w:hanging="360"/>
      </w:pPr>
      <w:rPr>
        <w:u w:val="none"/>
      </w:rPr>
    </w:lvl>
    <w:lvl w:ilvl="3" w:tplc="8494B538">
      <w:start w:val="1"/>
      <w:numFmt w:val="bullet"/>
      <w:lvlText w:val="●"/>
      <w:lvlJc w:val="left"/>
      <w:pPr>
        <w:ind w:left="2880" w:hanging="360"/>
      </w:pPr>
      <w:rPr>
        <w:u w:val="none"/>
      </w:rPr>
    </w:lvl>
    <w:lvl w:ilvl="4" w:tplc="AB3A7194">
      <w:start w:val="1"/>
      <w:numFmt w:val="bullet"/>
      <w:lvlText w:val="○"/>
      <w:lvlJc w:val="left"/>
      <w:pPr>
        <w:ind w:left="3600" w:hanging="360"/>
      </w:pPr>
      <w:rPr>
        <w:u w:val="none"/>
      </w:rPr>
    </w:lvl>
    <w:lvl w:ilvl="5" w:tplc="93F6CE10">
      <w:start w:val="1"/>
      <w:numFmt w:val="bullet"/>
      <w:lvlText w:val="■"/>
      <w:lvlJc w:val="left"/>
      <w:pPr>
        <w:ind w:left="4320" w:hanging="360"/>
      </w:pPr>
      <w:rPr>
        <w:u w:val="none"/>
      </w:rPr>
    </w:lvl>
    <w:lvl w:ilvl="6" w:tplc="E01AC70C">
      <w:start w:val="1"/>
      <w:numFmt w:val="bullet"/>
      <w:lvlText w:val="●"/>
      <w:lvlJc w:val="left"/>
      <w:pPr>
        <w:ind w:left="5040" w:hanging="360"/>
      </w:pPr>
      <w:rPr>
        <w:u w:val="none"/>
      </w:rPr>
    </w:lvl>
    <w:lvl w:ilvl="7" w:tplc="A1F4B27E">
      <w:start w:val="1"/>
      <w:numFmt w:val="bullet"/>
      <w:lvlText w:val="○"/>
      <w:lvlJc w:val="left"/>
      <w:pPr>
        <w:ind w:left="5760" w:hanging="360"/>
      </w:pPr>
      <w:rPr>
        <w:u w:val="none"/>
      </w:rPr>
    </w:lvl>
    <w:lvl w:ilvl="8" w:tplc="FA08AF38">
      <w:start w:val="1"/>
      <w:numFmt w:val="bullet"/>
      <w:lvlText w:val="■"/>
      <w:lvlJc w:val="left"/>
      <w:pPr>
        <w:ind w:left="6480" w:hanging="360"/>
      </w:pPr>
      <w:rPr>
        <w:u w:val="none"/>
      </w:rPr>
    </w:lvl>
  </w:abstractNum>
  <w:abstractNum w:abstractNumId="1" w15:restartNumberingAfterBreak="0">
    <w:nsid w:val="47457623"/>
    <w:multiLevelType w:val="hybridMultilevel"/>
    <w:tmpl w:val="BF18A28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B833B1E"/>
    <w:multiLevelType w:val="hybridMultilevel"/>
    <w:tmpl w:val="00000000"/>
    <w:lvl w:ilvl="0" w:tplc="4096127E">
      <w:start w:val="1"/>
      <w:numFmt w:val="bullet"/>
      <w:lvlText w:val="➢"/>
      <w:lvlJc w:val="left"/>
      <w:pPr>
        <w:ind w:left="720" w:hanging="360"/>
      </w:pPr>
      <w:rPr>
        <w:u w:val="none"/>
      </w:rPr>
    </w:lvl>
    <w:lvl w:ilvl="1" w:tplc="CD5CD1F6">
      <w:start w:val="1"/>
      <w:numFmt w:val="bullet"/>
      <w:lvlText w:val="○"/>
      <w:lvlJc w:val="left"/>
      <w:pPr>
        <w:ind w:left="1440" w:hanging="360"/>
      </w:pPr>
      <w:rPr>
        <w:u w:val="none"/>
      </w:rPr>
    </w:lvl>
    <w:lvl w:ilvl="2" w:tplc="708AF5D6">
      <w:start w:val="1"/>
      <w:numFmt w:val="bullet"/>
      <w:lvlText w:val="■"/>
      <w:lvlJc w:val="left"/>
      <w:pPr>
        <w:ind w:left="2160" w:hanging="360"/>
      </w:pPr>
      <w:rPr>
        <w:u w:val="none"/>
      </w:rPr>
    </w:lvl>
    <w:lvl w:ilvl="3" w:tplc="BD04D998">
      <w:start w:val="1"/>
      <w:numFmt w:val="bullet"/>
      <w:lvlText w:val="●"/>
      <w:lvlJc w:val="left"/>
      <w:pPr>
        <w:ind w:left="2880" w:hanging="360"/>
      </w:pPr>
      <w:rPr>
        <w:u w:val="none"/>
      </w:rPr>
    </w:lvl>
    <w:lvl w:ilvl="4" w:tplc="28FE0DB0">
      <w:start w:val="1"/>
      <w:numFmt w:val="bullet"/>
      <w:lvlText w:val="○"/>
      <w:lvlJc w:val="left"/>
      <w:pPr>
        <w:ind w:left="3600" w:hanging="360"/>
      </w:pPr>
      <w:rPr>
        <w:u w:val="none"/>
      </w:rPr>
    </w:lvl>
    <w:lvl w:ilvl="5" w:tplc="6B8A1062">
      <w:start w:val="1"/>
      <w:numFmt w:val="bullet"/>
      <w:lvlText w:val="■"/>
      <w:lvlJc w:val="left"/>
      <w:pPr>
        <w:ind w:left="4320" w:hanging="360"/>
      </w:pPr>
      <w:rPr>
        <w:u w:val="none"/>
      </w:rPr>
    </w:lvl>
    <w:lvl w:ilvl="6" w:tplc="E188D4DA">
      <w:start w:val="1"/>
      <w:numFmt w:val="bullet"/>
      <w:lvlText w:val="●"/>
      <w:lvlJc w:val="left"/>
      <w:pPr>
        <w:ind w:left="5040" w:hanging="360"/>
      </w:pPr>
      <w:rPr>
        <w:u w:val="none"/>
      </w:rPr>
    </w:lvl>
    <w:lvl w:ilvl="7" w:tplc="6CD8169A">
      <w:start w:val="1"/>
      <w:numFmt w:val="bullet"/>
      <w:lvlText w:val="○"/>
      <w:lvlJc w:val="left"/>
      <w:pPr>
        <w:ind w:left="5760" w:hanging="360"/>
      </w:pPr>
      <w:rPr>
        <w:u w:val="none"/>
      </w:rPr>
    </w:lvl>
    <w:lvl w:ilvl="8" w:tplc="6FD6E924">
      <w:start w:val="1"/>
      <w:numFmt w:val="bullet"/>
      <w:lvlText w:val="■"/>
      <w:lvlJc w:val="left"/>
      <w:pPr>
        <w:ind w:left="6480" w:hanging="360"/>
      </w:pPr>
      <w:rPr>
        <w:u w:val="none"/>
      </w:rPr>
    </w:lvl>
  </w:abstractNum>
  <w:abstractNum w:abstractNumId="3" w15:restartNumberingAfterBreak="0">
    <w:nsid w:val="5C1C2BB4"/>
    <w:multiLevelType w:val="hybridMultilevel"/>
    <w:tmpl w:val="00000000"/>
    <w:lvl w:ilvl="0" w:tplc="E0B2C30A">
      <w:start w:val="1"/>
      <w:numFmt w:val="bullet"/>
      <w:lvlText w:val="●"/>
      <w:lvlJc w:val="left"/>
      <w:pPr>
        <w:ind w:left="720" w:hanging="360"/>
      </w:pPr>
      <w:rPr>
        <w:u w:val="none"/>
      </w:rPr>
    </w:lvl>
    <w:lvl w:ilvl="1" w:tplc="F614234E">
      <w:start w:val="1"/>
      <w:numFmt w:val="bullet"/>
      <w:lvlText w:val="○"/>
      <w:lvlJc w:val="left"/>
      <w:pPr>
        <w:ind w:left="1440" w:hanging="360"/>
      </w:pPr>
      <w:rPr>
        <w:u w:val="none"/>
      </w:rPr>
    </w:lvl>
    <w:lvl w:ilvl="2" w:tplc="B4C20A98">
      <w:start w:val="1"/>
      <w:numFmt w:val="bullet"/>
      <w:lvlText w:val="■"/>
      <w:lvlJc w:val="left"/>
      <w:pPr>
        <w:ind w:left="2160" w:hanging="360"/>
      </w:pPr>
      <w:rPr>
        <w:u w:val="none"/>
      </w:rPr>
    </w:lvl>
    <w:lvl w:ilvl="3" w:tplc="BE26343A">
      <w:start w:val="1"/>
      <w:numFmt w:val="bullet"/>
      <w:lvlText w:val="●"/>
      <w:lvlJc w:val="left"/>
      <w:pPr>
        <w:ind w:left="2880" w:hanging="360"/>
      </w:pPr>
      <w:rPr>
        <w:u w:val="none"/>
      </w:rPr>
    </w:lvl>
    <w:lvl w:ilvl="4" w:tplc="1826CBD0">
      <w:start w:val="1"/>
      <w:numFmt w:val="bullet"/>
      <w:lvlText w:val="○"/>
      <w:lvlJc w:val="left"/>
      <w:pPr>
        <w:ind w:left="3600" w:hanging="360"/>
      </w:pPr>
      <w:rPr>
        <w:u w:val="none"/>
      </w:rPr>
    </w:lvl>
    <w:lvl w:ilvl="5" w:tplc="65306D20">
      <w:start w:val="1"/>
      <w:numFmt w:val="bullet"/>
      <w:lvlText w:val="■"/>
      <w:lvlJc w:val="left"/>
      <w:pPr>
        <w:ind w:left="4320" w:hanging="360"/>
      </w:pPr>
      <w:rPr>
        <w:u w:val="none"/>
      </w:rPr>
    </w:lvl>
    <w:lvl w:ilvl="6" w:tplc="FB00FC48">
      <w:start w:val="1"/>
      <w:numFmt w:val="bullet"/>
      <w:lvlText w:val="●"/>
      <w:lvlJc w:val="left"/>
      <w:pPr>
        <w:ind w:left="5040" w:hanging="360"/>
      </w:pPr>
      <w:rPr>
        <w:u w:val="none"/>
      </w:rPr>
    </w:lvl>
    <w:lvl w:ilvl="7" w:tplc="142C3444">
      <w:start w:val="1"/>
      <w:numFmt w:val="bullet"/>
      <w:lvlText w:val="○"/>
      <w:lvlJc w:val="left"/>
      <w:pPr>
        <w:ind w:left="5760" w:hanging="360"/>
      </w:pPr>
      <w:rPr>
        <w:u w:val="none"/>
      </w:rPr>
    </w:lvl>
    <w:lvl w:ilvl="8" w:tplc="A724AA60">
      <w:start w:val="1"/>
      <w:numFmt w:val="bullet"/>
      <w:lvlText w:val="■"/>
      <w:lvlJc w:val="left"/>
      <w:pPr>
        <w:ind w:left="6480" w:hanging="360"/>
      </w:pPr>
      <w:rPr>
        <w:u w:val="none"/>
      </w:rPr>
    </w:lvl>
  </w:abstractNum>
  <w:abstractNum w:abstractNumId="4" w15:restartNumberingAfterBreak="0">
    <w:nsid w:val="7FDF6D2E"/>
    <w:multiLevelType w:val="hybridMultilevel"/>
    <w:tmpl w:val="00000000"/>
    <w:lvl w:ilvl="0" w:tplc="39A01864">
      <w:start w:val="1"/>
      <w:numFmt w:val="bullet"/>
      <w:lvlText w:val="➢"/>
      <w:lvlJc w:val="left"/>
      <w:pPr>
        <w:ind w:left="720" w:hanging="360"/>
      </w:pPr>
      <w:rPr>
        <w:u w:val="none"/>
      </w:rPr>
    </w:lvl>
    <w:lvl w:ilvl="1" w:tplc="3AEE3FF0">
      <w:start w:val="1"/>
      <w:numFmt w:val="bullet"/>
      <w:lvlText w:val="○"/>
      <w:lvlJc w:val="left"/>
      <w:pPr>
        <w:ind w:left="1440" w:hanging="360"/>
      </w:pPr>
      <w:rPr>
        <w:u w:val="none"/>
      </w:rPr>
    </w:lvl>
    <w:lvl w:ilvl="2" w:tplc="3DAA18E0">
      <w:start w:val="1"/>
      <w:numFmt w:val="bullet"/>
      <w:lvlText w:val="■"/>
      <w:lvlJc w:val="left"/>
      <w:pPr>
        <w:ind w:left="2160" w:hanging="360"/>
      </w:pPr>
      <w:rPr>
        <w:u w:val="none"/>
      </w:rPr>
    </w:lvl>
    <w:lvl w:ilvl="3" w:tplc="B67ADB52">
      <w:start w:val="1"/>
      <w:numFmt w:val="bullet"/>
      <w:lvlText w:val="●"/>
      <w:lvlJc w:val="left"/>
      <w:pPr>
        <w:ind w:left="2880" w:hanging="360"/>
      </w:pPr>
      <w:rPr>
        <w:u w:val="none"/>
      </w:rPr>
    </w:lvl>
    <w:lvl w:ilvl="4" w:tplc="60A87F5E">
      <w:start w:val="1"/>
      <w:numFmt w:val="bullet"/>
      <w:lvlText w:val="○"/>
      <w:lvlJc w:val="left"/>
      <w:pPr>
        <w:ind w:left="3600" w:hanging="360"/>
      </w:pPr>
      <w:rPr>
        <w:u w:val="none"/>
      </w:rPr>
    </w:lvl>
    <w:lvl w:ilvl="5" w:tplc="9E8A7A30">
      <w:start w:val="1"/>
      <w:numFmt w:val="bullet"/>
      <w:lvlText w:val="■"/>
      <w:lvlJc w:val="left"/>
      <w:pPr>
        <w:ind w:left="4320" w:hanging="360"/>
      </w:pPr>
      <w:rPr>
        <w:u w:val="none"/>
      </w:rPr>
    </w:lvl>
    <w:lvl w:ilvl="6" w:tplc="1652AD2C">
      <w:start w:val="1"/>
      <w:numFmt w:val="bullet"/>
      <w:lvlText w:val="●"/>
      <w:lvlJc w:val="left"/>
      <w:pPr>
        <w:ind w:left="5040" w:hanging="360"/>
      </w:pPr>
      <w:rPr>
        <w:u w:val="none"/>
      </w:rPr>
    </w:lvl>
    <w:lvl w:ilvl="7" w:tplc="1A7420CA">
      <w:start w:val="1"/>
      <w:numFmt w:val="bullet"/>
      <w:lvlText w:val="○"/>
      <w:lvlJc w:val="left"/>
      <w:pPr>
        <w:ind w:left="5760" w:hanging="360"/>
      </w:pPr>
      <w:rPr>
        <w:u w:val="none"/>
      </w:rPr>
    </w:lvl>
    <w:lvl w:ilvl="8" w:tplc="64F68CDC">
      <w:start w:val="1"/>
      <w:numFmt w:val="bullet"/>
      <w:lvlText w:val="■"/>
      <w:lvlJc w:val="left"/>
      <w:pPr>
        <w:ind w:left="6480" w:hanging="360"/>
      </w:pPr>
      <w:rPr>
        <w:u w:val="none"/>
      </w:rPr>
    </w:lvl>
  </w:abstractNum>
  <w:num w:numId="1" w16cid:durableId="2143190401">
    <w:abstractNumId w:val="0"/>
  </w:num>
  <w:num w:numId="2" w16cid:durableId="899755231">
    <w:abstractNumId w:val="4"/>
  </w:num>
  <w:num w:numId="3" w16cid:durableId="2025550893">
    <w:abstractNumId w:val="2"/>
  </w:num>
  <w:num w:numId="4" w16cid:durableId="1215193101">
    <w:abstractNumId w:val="3"/>
  </w:num>
  <w:num w:numId="5" w16cid:durableId="15214343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6E75"/>
    <w:rsid w:val="000F1560"/>
    <w:rsid w:val="00B6759B"/>
    <w:rsid w:val="00CA4E46"/>
    <w:rsid w:val="00CD6E7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125535"/>
  <w15:docId w15:val="{D34AC99F-E817-4CDF-A040-61B98CA11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rFonts w:ascii="Times New Roman" w:eastAsia="Times New Roman" w:hAnsi="Times New Roman" w:cs="Times New Roman"/>
      <w:b/>
      <w:sz w:val="28"/>
      <w:szCs w:val="28"/>
    </w:rPr>
  </w:style>
  <w:style w:type="paragraph" w:styleId="Heading2">
    <w:name w:val="heading 2"/>
    <w:basedOn w:val="Normal1"/>
    <w:next w:val="Normal1"/>
    <w:pPr>
      <w:keepNext/>
      <w:keepLines/>
      <w:jc w:val="both"/>
      <w:outlineLvl w:val="1"/>
    </w:pPr>
    <w:rPr>
      <w:rFonts w:ascii="Times New Roman" w:eastAsia="Times New Roman" w:hAnsi="Times New Roman" w:cs="Times New Roman"/>
      <w:b/>
      <w:sz w:val="26"/>
      <w:szCs w:val="26"/>
    </w:rPr>
  </w:style>
  <w:style w:type="paragraph" w:styleId="Heading3">
    <w:name w:val="heading 3"/>
    <w:basedOn w:val="Normal1"/>
    <w:next w:val="Normal1"/>
    <w:link w:val="Heading3Char"/>
    <w:pPr>
      <w:keepNext/>
      <w:keepLines/>
      <w:jc w:val="both"/>
      <w:outlineLvl w:val="2"/>
    </w:pPr>
    <w:rPr>
      <w:rFonts w:ascii="Times New Roman" w:eastAsia="Times New Roman" w:hAnsi="Times New Roman" w:cs="Times New Roman"/>
      <w:b/>
      <w:i/>
      <w:sz w:val="24"/>
      <w:szCs w:val="24"/>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left w:w="115" w:type="dxa"/>
        <w:right w:w="115"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tcPr>
      <w:shd w:val="clear" w:color="auto" w:fill="444654"/>
    </w:tcPr>
  </w:style>
  <w:style w:type="table" w:customStyle="1" w:styleId="Table5">
    <w:name w:val="Table5"/>
    <w:basedOn w:val="TableNormal1"/>
    <w:tblPr>
      <w:tblStyleRowBandSize w:val="1"/>
      <w:tblStyleColBandSize w:val="1"/>
      <w:tblCellMar>
        <w:top w:w="100" w:type="dxa"/>
        <w:left w:w="100" w:type="dxa"/>
        <w:bottom w:w="100" w:type="dxa"/>
        <w:right w:w="100" w:type="dxa"/>
      </w:tblCellMar>
    </w:tblPr>
    <w:tcPr>
      <w:shd w:val="clear" w:color="auto" w:fill="444654"/>
    </w:tcPr>
  </w:style>
  <w:style w:type="table" w:customStyle="1" w:styleId="Table6">
    <w:name w:val="Table6"/>
    <w:basedOn w:val="TableNormal1"/>
    <w:tblPr>
      <w:tblStyleRowBandSize w:val="1"/>
      <w:tblStyleColBandSize w:val="1"/>
      <w:tblCellMar>
        <w:top w:w="100" w:type="dxa"/>
        <w:left w:w="100" w:type="dxa"/>
        <w:bottom w:w="100" w:type="dxa"/>
        <w:right w:w="100" w:type="dxa"/>
      </w:tblCellMar>
    </w:tblPr>
    <w:tcPr>
      <w:shd w:val="clear" w:color="auto" w:fill="444654"/>
    </w:tcPr>
  </w:style>
  <w:style w:type="table" w:customStyle="1" w:styleId="Table7">
    <w:name w:val="Table7"/>
    <w:basedOn w:val="TableNormal1"/>
    <w:tblPr>
      <w:tblStyleRowBandSize w:val="1"/>
      <w:tblStyleColBandSize w:val="1"/>
      <w:tblCellMar>
        <w:top w:w="100" w:type="dxa"/>
        <w:left w:w="100" w:type="dxa"/>
        <w:bottom w:w="100" w:type="dxa"/>
        <w:right w:w="100" w:type="dxa"/>
      </w:tblCellMar>
    </w:tblPr>
    <w:tcPr>
      <w:shd w:val="clear" w:color="auto" w:fill="444654"/>
    </w:tcPr>
  </w:style>
  <w:style w:type="character" w:customStyle="1" w:styleId="Heading3Char">
    <w:name w:val="Heading 3 Char"/>
    <w:basedOn w:val="DefaultParagraphFont"/>
    <w:link w:val="Heading3"/>
    <w:rsid w:val="00CA4E46"/>
    <w:rPr>
      <w:rFonts w:ascii="Times New Roman" w:eastAsia="Times New Roman" w:hAnsi="Times New Roman" w:cs="Times New Roman"/>
      <w:b/>
      <w:i/>
      <w:sz w:val="24"/>
      <w:szCs w:val="24"/>
    </w:rPr>
  </w:style>
  <w:style w:type="paragraph" w:styleId="TOC3">
    <w:name w:val="toc 3"/>
    <w:basedOn w:val="Normal"/>
    <w:next w:val="Normal"/>
    <w:autoRedefine/>
    <w:uiPriority w:val="39"/>
    <w:unhideWhenUsed/>
    <w:rsid w:val="00CA4E46"/>
    <w:pPr>
      <w:spacing w:after="100"/>
      <w:ind w:left="440"/>
    </w:pPr>
  </w:style>
  <w:style w:type="paragraph" w:styleId="TOC1">
    <w:name w:val="toc 1"/>
    <w:basedOn w:val="Normal"/>
    <w:next w:val="Normal"/>
    <w:autoRedefine/>
    <w:uiPriority w:val="39"/>
    <w:unhideWhenUsed/>
    <w:rsid w:val="00CA4E46"/>
    <w:pPr>
      <w:spacing w:after="100"/>
    </w:pPr>
  </w:style>
  <w:style w:type="paragraph" w:styleId="TOC2">
    <w:name w:val="toc 2"/>
    <w:basedOn w:val="Normal"/>
    <w:next w:val="Normal"/>
    <w:autoRedefine/>
    <w:uiPriority w:val="39"/>
    <w:unhideWhenUsed/>
    <w:rsid w:val="00CA4E46"/>
    <w:pPr>
      <w:spacing w:after="100"/>
      <w:ind w:left="220"/>
    </w:pPr>
  </w:style>
  <w:style w:type="character" w:styleId="Hyperlink">
    <w:name w:val="Hyperlink"/>
    <w:basedOn w:val="DefaultParagraphFont"/>
    <w:uiPriority w:val="99"/>
    <w:unhideWhenUsed/>
    <w:rsid w:val="00CA4E4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engreengroup.com/marketing_detail.php?marketing_id=3"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ngreensolutions.com/about-u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uralelec.org/business-opportunities/engreen" TargetMode="External"/><Relationship Id="rId5" Type="http://schemas.openxmlformats.org/officeDocument/2006/relationships/footnotes" Target="footnotes.xml"/><Relationship Id="rId15" Type="http://schemas.openxmlformats.org/officeDocument/2006/relationships/hyperlink" Target="https://www.mordorintelligence.com/industry-reports/united-states-renewable-energy-market"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finance.yahoo.com/news/top-20-renewable-energy-companies-094943677.html"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22</Pages>
  <Words>3876</Words>
  <Characters>24106</Characters>
  <Application>Microsoft Office Word</Application>
  <DocSecurity>0</DocSecurity>
  <Lines>604</Lines>
  <Paragraphs>236</Paragraphs>
  <ScaleCrop>false</ScaleCrop>
  <Company/>
  <LinksUpToDate>false</LinksUpToDate>
  <CharactersWithSpaces>27761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Raj Modi</dc:creator>
  <cp:lastModifiedBy>Raj Modi</cp:lastModifiedBy>
  <cp:revision>3</cp:revision>
  <dcterms:created xsi:type="dcterms:W3CDTF">2023-11-03T22:49:00Z</dcterms:created>
  <dcterms:modified xsi:type="dcterms:W3CDTF">2023-11-03T22:49:00Z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0cc91517b22ccf06ce6e89d5cfc5eb9abc39a91bb10373fab58a9c1b75ba54c6</vt:lpwstr>
  </property>
</Properties>
</file>