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16C681B" w:rsidR="7908378C" w:rsidRDefault="7908378C" w:rsidP="33572C6E">
            <w:pPr>
              <w:ind w:right="237"/>
              <w:rPr>
                <w:b/>
                <w:bCs/>
                <w:color w:val="auto"/>
                <w:sz w:val="32"/>
                <w:szCs w:val="32"/>
              </w:rPr>
            </w:pPr>
            <w:r w:rsidRPr="33572C6E">
              <w:rPr>
                <w:b/>
                <w:bCs/>
                <w:color w:val="auto"/>
                <w:sz w:val="32"/>
                <w:szCs w:val="32"/>
              </w:rPr>
              <w:t xml:space="preserve">Learner name: </w:t>
            </w:r>
            <w:r w:rsidR="001E298B">
              <w:rPr>
                <w:b/>
                <w:bCs/>
                <w:color w:val="auto"/>
                <w:sz w:val="32"/>
                <w:szCs w:val="32"/>
              </w:rPr>
              <w:t>Amy Griffiths</w:t>
            </w:r>
          </w:p>
          <w:p w14:paraId="3A3A802D" w14:textId="77777777" w:rsidR="33572C6E" w:rsidRDefault="33572C6E" w:rsidP="33572C6E">
            <w:pPr>
              <w:ind w:right="237"/>
              <w:rPr>
                <w:b/>
                <w:bCs/>
                <w:color w:val="auto"/>
                <w:sz w:val="32"/>
                <w:szCs w:val="32"/>
              </w:rPr>
            </w:pPr>
          </w:p>
          <w:p w14:paraId="7883A53E" w14:textId="730B8515" w:rsidR="7908378C" w:rsidRDefault="7908378C" w:rsidP="33572C6E">
            <w:pPr>
              <w:ind w:right="237"/>
              <w:rPr>
                <w:b/>
                <w:bCs/>
                <w:color w:val="auto"/>
                <w:sz w:val="32"/>
                <w:szCs w:val="32"/>
              </w:rPr>
            </w:pPr>
            <w:r w:rsidRPr="33572C6E">
              <w:rPr>
                <w:b/>
                <w:bCs/>
                <w:color w:val="auto"/>
                <w:sz w:val="32"/>
                <w:szCs w:val="32"/>
              </w:rPr>
              <w:t>Learner’s University Registration Number:</w:t>
            </w:r>
            <w:r w:rsidR="001E298B">
              <w:rPr>
                <w:b/>
                <w:bCs/>
                <w:color w:val="auto"/>
                <w:sz w:val="32"/>
                <w:szCs w:val="32"/>
              </w:rPr>
              <w:t xml:space="preserve"> 2131771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E8E0D8E" w14:textId="77777777" w:rsidR="00E511F9" w:rsidRPr="00E676F7" w:rsidRDefault="00E511F9" w:rsidP="45B99DA0">
      <w:pPr>
        <w:overflowPunct/>
        <w:autoSpaceDE/>
        <w:autoSpaceDN/>
        <w:adjustRightInd/>
        <w:ind w:right="237"/>
        <w:textAlignment w:val="auto"/>
        <w:rPr>
          <w:b/>
          <w:bCs/>
          <w:i/>
          <w:iCs/>
          <w:color w:val="auto"/>
          <w:sz w:val="24"/>
          <w:szCs w:val="24"/>
        </w:rPr>
      </w:pPr>
    </w:p>
    <w:p w14:paraId="32933C98" w14:textId="554017CD" w:rsidR="00AA666E" w:rsidRDefault="00AA666E" w:rsidP="00340E9A">
      <w:pPr>
        <w:ind w:right="237"/>
        <w:rPr>
          <w:sz w:val="24"/>
          <w:szCs w:val="24"/>
        </w:rPr>
      </w:pPr>
    </w:p>
    <w:p w14:paraId="5DE56534" w14:textId="77777777" w:rsidR="00A44C03" w:rsidRPr="00E676F7" w:rsidRDefault="00A44C03"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695BAA33" w14:textId="77777777" w:rsidR="00B13DA3" w:rsidRPr="00D219E0" w:rsidRDefault="00B13DA3" w:rsidP="00B13DA3">
      <w:pPr>
        <w:ind w:right="237"/>
        <w:jc w:val="both"/>
        <w:rPr>
          <w:sz w:val="24"/>
          <w:szCs w:val="24"/>
        </w:rPr>
      </w:pPr>
      <w:r>
        <w:rPr>
          <w:sz w:val="24"/>
          <w:szCs w:val="24"/>
        </w:rPr>
        <w:t xml:space="preserve">Throughout this assignment, I will critically evaluate a specific situation in which I have played a significant role with a victim of a crime. I will consider the social and legislative contexts, as well as address any relevant cultural, ethnicity and language issues. Furthermore, I will emphasise the various approaches used in supporting and managing vulnerable individuals. Subsequently, I will delve into the utilisation of evidence-based policing, exploring what works in relation to tackling repeat victimisation and repeat offending. Throughout my reflection, I will </w:t>
      </w:r>
      <w:proofErr w:type="gramStart"/>
      <w:r>
        <w:rPr>
          <w:sz w:val="24"/>
          <w:szCs w:val="24"/>
        </w:rPr>
        <w:t>make reference</w:t>
      </w:r>
      <w:proofErr w:type="gramEnd"/>
      <w:r>
        <w:rPr>
          <w:sz w:val="24"/>
          <w:szCs w:val="24"/>
        </w:rPr>
        <w:t xml:space="preserve"> to Boud’s Reflective Triangle, which encompasses the three essential elements of experience, reflection, and learning (Boud </w:t>
      </w:r>
      <w:r>
        <w:rPr>
          <w:i/>
          <w:iCs/>
          <w:sz w:val="24"/>
          <w:szCs w:val="24"/>
        </w:rPr>
        <w:t xml:space="preserve">et al., </w:t>
      </w:r>
      <w:r>
        <w:rPr>
          <w:sz w:val="24"/>
          <w:szCs w:val="24"/>
        </w:rPr>
        <w:t>1985).</w:t>
      </w:r>
    </w:p>
    <w:p w14:paraId="7C9D66F3" w14:textId="77777777" w:rsidR="00B13DA3" w:rsidRDefault="00B13DA3" w:rsidP="00B13DA3">
      <w:pPr>
        <w:ind w:right="237"/>
        <w:jc w:val="both"/>
        <w:rPr>
          <w:sz w:val="24"/>
          <w:szCs w:val="24"/>
        </w:rPr>
      </w:pPr>
    </w:p>
    <w:p w14:paraId="3D838538" w14:textId="77777777" w:rsidR="00B13DA3" w:rsidRDefault="00B13DA3" w:rsidP="00B13DA3">
      <w:pPr>
        <w:ind w:right="237"/>
        <w:jc w:val="both"/>
        <w:rPr>
          <w:sz w:val="24"/>
          <w:szCs w:val="24"/>
        </w:rPr>
      </w:pPr>
      <w:r>
        <w:rPr>
          <w:sz w:val="24"/>
          <w:szCs w:val="24"/>
        </w:rPr>
        <w:t>Recently, I attended a specific situation related to a third-party report expressing concern for an elderly female. The initial call detailed how the home of the elderly female had been targeted for a second time in three weeks, therefore making her a repeat victim of burglary. The control room were requesting for this incident to be attended on a grade two response which requires officers to arrive at the location within the hour. Considering the vulnerabilities of the elderly female, coupled with the fact I was available at that moment, I promptly responded to the call.</w:t>
      </w:r>
    </w:p>
    <w:p w14:paraId="799A8271" w14:textId="77777777" w:rsidR="00B13DA3" w:rsidRDefault="00B13DA3" w:rsidP="00B13DA3">
      <w:pPr>
        <w:ind w:right="237"/>
        <w:jc w:val="both"/>
        <w:rPr>
          <w:sz w:val="24"/>
          <w:szCs w:val="24"/>
        </w:rPr>
      </w:pPr>
    </w:p>
    <w:p w14:paraId="378B25BB" w14:textId="77777777" w:rsidR="00B13DA3" w:rsidRDefault="00B13DA3" w:rsidP="00B13DA3">
      <w:pPr>
        <w:ind w:right="237"/>
        <w:jc w:val="both"/>
        <w:rPr>
          <w:sz w:val="24"/>
          <w:szCs w:val="24"/>
        </w:rPr>
      </w:pPr>
      <w:r>
        <w:rPr>
          <w:sz w:val="24"/>
          <w:szCs w:val="24"/>
        </w:rPr>
        <w:t>As per section one of Boud’s Reflective Triangle, I will be elaborating on my experience. Upon arriving at the location, no evidence of forced entry was apparent, and there was no discernible damage to the external door. Following a conversation with the elderly female, she advised that she resides by herself and has recently begun sleeping in the backroom downstairs due to experiencing a rapid decline in her physical health. As a result, the female is no longer able to go upstairs and has had several adaptations to her home to cater to her individual needs.</w:t>
      </w:r>
    </w:p>
    <w:p w14:paraId="70335A5C" w14:textId="77777777" w:rsidR="00B13DA3" w:rsidRDefault="00B13DA3" w:rsidP="00B13DA3">
      <w:pPr>
        <w:ind w:right="237"/>
        <w:jc w:val="both"/>
        <w:rPr>
          <w:sz w:val="24"/>
          <w:szCs w:val="24"/>
        </w:rPr>
      </w:pPr>
    </w:p>
    <w:p w14:paraId="7D1E7D0B" w14:textId="77777777" w:rsidR="00B13DA3" w:rsidRDefault="00B13DA3" w:rsidP="00B13DA3">
      <w:pPr>
        <w:ind w:right="237"/>
        <w:jc w:val="both"/>
        <w:rPr>
          <w:sz w:val="24"/>
          <w:szCs w:val="24"/>
        </w:rPr>
      </w:pPr>
      <w:r>
        <w:rPr>
          <w:sz w:val="24"/>
          <w:szCs w:val="24"/>
        </w:rPr>
        <w:t xml:space="preserve">In relation to the reported incident, the female explained that while she was in bed, she heard a loud noise at the door at approximately 05:30am. The female presumed this to be her </w:t>
      </w:r>
      <w:proofErr w:type="spellStart"/>
      <w:r>
        <w:rPr>
          <w:sz w:val="24"/>
          <w:szCs w:val="24"/>
        </w:rPr>
        <w:t>carer</w:t>
      </w:r>
      <w:proofErr w:type="spellEnd"/>
      <w:r>
        <w:rPr>
          <w:sz w:val="24"/>
          <w:szCs w:val="24"/>
        </w:rPr>
        <w:t>, however, thought it was strange as her carer typically arrives at the address for 07:30am. Shortly after this, she perceived what she believed to be footsteps in the hallway. Subsequently, the female heard a jingling sound, which she immediately recognised, as she had recently attached a bell keyring to her purse due to her habit of misplacing it regularly. Following this, the female stated that she observed what she believed to be to a torch, shining in between the gaps in her door. She then tried calling for help, however, was unable to ascertain what was going on due to having limited mobility and inability to get out of her bed unaided. The female stated that she did not hear anyone leaving her property and did not hear the door close. The female explained that she initially thought she was being paranoid as she had already fallen victim to a burglary the previous month.</w:t>
      </w:r>
    </w:p>
    <w:p w14:paraId="15B0187E" w14:textId="77777777" w:rsidR="00B13DA3" w:rsidRDefault="00B13DA3" w:rsidP="00B13DA3">
      <w:pPr>
        <w:ind w:right="237"/>
        <w:jc w:val="both"/>
        <w:rPr>
          <w:sz w:val="24"/>
          <w:szCs w:val="24"/>
        </w:rPr>
      </w:pPr>
    </w:p>
    <w:p w14:paraId="1FA8593D" w14:textId="77777777" w:rsidR="00B13DA3" w:rsidRDefault="00B13DA3" w:rsidP="00B13DA3">
      <w:pPr>
        <w:ind w:right="237"/>
        <w:jc w:val="both"/>
        <w:rPr>
          <w:sz w:val="24"/>
          <w:szCs w:val="24"/>
        </w:rPr>
      </w:pPr>
      <w:r>
        <w:rPr>
          <w:sz w:val="24"/>
          <w:szCs w:val="24"/>
        </w:rPr>
        <w:t>The female then explained that she had received a fraud alert message from her bank, however, she did not pay much attention to this as she had been informed of scam messages circulating. She further mentioned that her late husband had always managed their finances and had never encountered any issues.</w:t>
      </w:r>
    </w:p>
    <w:p w14:paraId="18744D3C" w14:textId="77777777" w:rsidR="00B13DA3" w:rsidRDefault="00B13DA3" w:rsidP="00B13DA3">
      <w:pPr>
        <w:ind w:right="237"/>
        <w:jc w:val="both"/>
        <w:rPr>
          <w:sz w:val="24"/>
          <w:szCs w:val="24"/>
        </w:rPr>
      </w:pPr>
    </w:p>
    <w:p w14:paraId="40C3A2A1" w14:textId="77777777" w:rsidR="00B13DA3" w:rsidRDefault="00B13DA3" w:rsidP="00B13DA3">
      <w:pPr>
        <w:ind w:right="237"/>
        <w:jc w:val="both"/>
        <w:rPr>
          <w:sz w:val="24"/>
          <w:szCs w:val="24"/>
        </w:rPr>
      </w:pPr>
      <w:r>
        <w:rPr>
          <w:sz w:val="24"/>
          <w:szCs w:val="24"/>
        </w:rPr>
        <w:t>The female stated that she only became aware of the situation when she received a phone call from the bank, advising her that there had been frequent use on her within a short timeframe. When the female’s carer arrived, she helped search for the female’s purse, but it could not be found. The carer also assisted in reviewing the female’s bank statements, which revealed unauthorised withdrawals from her account.</w:t>
      </w:r>
    </w:p>
    <w:p w14:paraId="2C42DE4B" w14:textId="77777777" w:rsidR="00B13DA3" w:rsidRDefault="00B13DA3" w:rsidP="00B13DA3">
      <w:pPr>
        <w:ind w:right="237"/>
        <w:jc w:val="both"/>
        <w:rPr>
          <w:sz w:val="24"/>
          <w:szCs w:val="24"/>
        </w:rPr>
      </w:pPr>
    </w:p>
    <w:p w14:paraId="1C56BAFD" w14:textId="77777777" w:rsidR="00B13DA3" w:rsidRPr="00557C90" w:rsidRDefault="00B13DA3" w:rsidP="00B13DA3">
      <w:pPr>
        <w:overflowPunct/>
        <w:autoSpaceDE/>
        <w:autoSpaceDN/>
        <w:adjustRightInd/>
        <w:textAlignment w:val="auto"/>
        <w:rPr>
          <w:sz w:val="24"/>
          <w:szCs w:val="24"/>
        </w:rPr>
      </w:pPr>
      <w:r>
        <w:rPr>
          <w:sz w:val="24"/>
          <w:szCs w:val="24"/>
        </w:rPr>
        <w:t xml:space="preserve">In relation to the legislative context, it became evident that an offence of burglary had been committed under Section 9(1)(a) of the Theft Act 1968. This transpired </w:t>
      </w:r>
      <w:proofErr w:type="gramStart"/>
      <w:r>
        <w:rPr>
          <w:sz w:val="24"/>
          <w:szCs w:val="24"/>
        </w:rPr>
        <w:t>as a result of</w:t>
      </w:r>
      <w:proofErr w:type="gramEnd"/>
      <w:r>
        <w:rPr>
          <w:sz w:val="24"/>
          <w:szCs w:val="24"/>
        </w:rPr>
        <w:t xml:space="preserve"> the suspect/s entering the property as a trespasser with the intent to steal (CPS, 2022). Throughout my interaction with the female, no ethical or cultural issues were raised, however, upon acquiring additional information, a further offence of fraud by false representation was identified under Section 2 of the Fraud Act 2006. This was confirmed when the suspect/s dishonestly made a false representation by using the female’s bank card, intending “to make a gain for himself or another, to cause loss to another or to expose another to risk of loss” (CPS, 2019).</w:t>
      </w:r>
    </w:p>
    <w:p w14:paraId="46504A49" w14:textId="77777777" w:rsidR="00B13DA3" w:rsidRDefault="00B13DA3" w:rsidP="00B13DA3">
      <w:pPr>
        <w:overflowPunct/>
        <w:autoSpaceDE/>
        <w:autoSpaceDN/>
        <w:adjustRightInd/>
        <w:textAlignment w:val="auto"/>
        <w:rPr>
          <w:b/>
          <w:bCs/>
          <w:sz w:val="24"/>
          <w:szCs w:val="24"/>
        </w:rPr>
      </w:pPr>
    </w:p>
    <w:p w14:paraId="113EAC36" w14:textId="77777777" w:rsidR="00B13DA3" w:rsidRDefault="00B13DA3" w:rsidP="00B13DA3">
      <w:pPr>
        <w:overflowPunct/>
        <w:autoSpaceDE/>
        <w:autoSpaceDN/>
        <w:adjustRightInd/>
        <w:textAlignment w:val="auto"/>
        <w:rPr>
          <w:sz w:val="24"/>
          <w:szCs w:val="24"/>
        </w:rPr>
      </w:pPr>
      <w:r>
        <w:rPr>
          <w:sz w:val="24"/>
          <w:szCs w:val="24"/>
        </w:rPr>
        <w:t xml:space="preserve">The social context of this specific situation was very pertinent. The female described a clear act of burglary, coupled with an additional offence of fraud. In addition to this, the locality of this incident is an emerging burglary hot spot with high levels of repeat victimisation. The residential area predominantly comprises elderly people and is regarded as a disadvantaged area, lacking adequate surveillance. The area is also built up of several semi-detached properties with several public alleyways which lead directly to what can be considered as exit routes. </w:t>
      </w:r>
      <w:r w:rsidRPr="006A5282">
        <w:rPr>
          <w:sz w:val="24"/>
          <w:szCs w:val="24"/>
        </w:rPr>
        <w:t xml:space="preserve">Scharf </w:t>
      </w:r>
      <w:r w:rsidRPr="006A5282">
        <w:rPr>
          <w:i/>
          <w:iCs/>
          <w:sz w:val="24"/>
          <w:szCs w:val="24"/>
        </w:rPr>
        <w:t xml:space="preserve">et al. </w:t>
      </w:r>
      <w:r w:rsidRPr="006A5282">
        <w:rPr>
          <w:sz w:val="24"/>
          <w:szCs w:val="24"/>
        </w:rPr>
        <w:t>(2022) highlights</w:t>
      </w:r>
      <w:r>
        <w:rPr>
          <w:sz w:val="24"/>
          <w:szCs w:val="24"/>
        </w:rPr>
        <w:t xml:space="preserve"> the significance of the environment, emphasising that elderly people residing in these disadvantaged areas, face heightened vulnerability to crime, thereby increasing their susceptibility to repeat victimisation.</w:t>
      </w:r>
    </w:p>
    <w:p w14:paraId="2C61575B" w14:textId="77777777" w:rsidR="00B13DA3" w:rsidRDefault="00B13DA3" w:rsidP="00B13DA3">
      <w:pPr>
        <w:overflowPunct/>
        <w:autoSpaceDE/>
        <w:autoSpaceDN/>
        <w:adjustRightInd/>
        <w:textAlignment w:val="auto"/>
        <w:rPr>
          <w:sz w:val="24"/>
          <w:szCs w:val="24"/>
        </w:rPr>
      </w:pPr>
    </w:p>
    <w:p w14:paraId="2D60F954" w14:textId="77777777" w:rsidR="00B13DA3" w:rsidRDefault="00B13DA3" w:rsidP="00B13DA3">
      <w:pPr>
        <w:overflowPunct/>
        <w:autoSpaceDE/>
        <w:autoSpaceDN/>
        <w:adjustRightInd/>
        <w:textAlignment w:val="auto"/>
        <w:rPr>
          <w:sz w:val="24"/>
          <w:szCs w:val="24"/>
        </w:rPr>
      </w:pPr>
      <w:r>
        <w:rPr>
          <w:sz w:val="24"/>
          <w:szCs w:val="24"/>
        </w:rPr>
        <w:t xml:space="preserve">The ONS (2019) has defined repeat victimisation as “the experience of being a victim of more than one crime of the same type within the last 12 months”. Mawby </w:t>
      </w:r>
      <w:r>
        <w:rPr>
          <w:sz w:val="24"/>
          <w:szCs w:val="24"/>
        </w:rPr>
        <w:lastRenderedPageBreak/>
        <w:t xml:space="preserve">(2013) conducted a study in which burglaries were analysed over a 12-month period. The findings from the study revealed that repeat burglaries typically occur within a few weeks of the initial incident. With </w:t>
      </w:r>
      <w:proofErr w:type="spellStart"/>
      <w:r>
        <w:rPr>
          <w:sz w:val="24"/>
          <w:szCs w:val="24"/>
        </w:rPr>
        <w:t>Kleemans</w:t>
      </w:r>
      <w:proofErr w:type="spellEnd"/>
      <w:r>
        <w:rPr>
          <w:sz w:val="24"/>
          <w:szCs w:val="24"/>
        </w:rPr>
        <w:t xml:space="preserve"> (2001) study concluding that the rate of repeat burglary is ten times more likely to occur during that timeframe.</w:t>
      </w:r>
    </w:p>
    <w:p w14:paraId="7C49D8FD" w14:textId="77777777" w:rsidR="00B13DA3" w:rsidRDefault="00B13DA3" w:rsidP="00B13DA3">
      <w:pPr>
        <w:overflowPunct/>
        <w:autoSpaceDE/>
        <w:autoSpaceDN/>
        <w:adjustRightInd/>
        <w:textAlignment w:val="auto"/>
        <w:rPr>
          <w:sz w:val="24"/>
          <w:szCs w:val="24"/>
        </w:rPr>
      </w:pPr>
    </w:p>
    <w:p w14:paraId="38165B12" w14:textId="77777777" w:rsidR="00B13DA3" w:rsidRDefault="00B13DA3" w:rsidP="00B13DA3">
      <w:pPr>
        <w:overflowPunct/>
        <w:autoSpaceDE/>
        <w:autoSpaceDN/>
        <w:adjustRightInd/>
        <w:textAlignment w:val="auto"/>
        <w:rPr>
          <w:sz w:val="24"/>
          <w:szCs w:val="24"/>
        </w:rPr>
      </w:pPr>
      <w:r>
        <w:rPr>
          <w:sz w:val="24"/>
          <w:szCs w:val="24"/>
        </w:rPr>
        <w:t xml:space="preserve">The research on repeat victimisation reveals that certain individuals have a higher susceptibility to victimisation compared to others. Tapp (2018) offers insight into the patterns of victimisation by introducing the concepts of ‘target vulnerability’ and ‘target </w:t>
      </w:r>
      <w:proofErr w:type="spellStart"/>
      <w:r>
        <w:rPr>
          <w:sz w:val="24"/>
          <w:szCs w:val="24"/>
        </w:rPr>
        <w:t>gratifiability</w:t>
      </w:r>
      <w:proofErr w:type="spellEnd"/>
      <w:r>
        <w:rPr>
          <w:sz w:val="24"/>
          <w:szCs w:val="24"/>
        </w:rPr>
        <w:t>’.</w:t>
      </w:r>
    </w:p>
    <w:p w14:paraId="4CB09070" w14:textId="77777777" w:rsidR="00B13DA3" w:rsidRDefault="00B13DA3" w:rsidP="00B13DA3">
      <w:pPr>
        <w:overflowPunct/>
        <w:autoSpaceDE/>
        <w:autoSpaceDN/>
        <w:adjustRightInd/>
        <w:textAlignment w:val="auto"/>
        <w:rPr>
          <w:sz w:val="24"/>
          <w:szCs w:val="24"/>
        </w:rPr>
      </w:pPr>
    </w:p>
    <w:p w14:paraId="2CA1FCCB" w14:textId="77777777" w:rsidR="00B13DA3" w:rsidRPr="00CC399C" w:rsidRDefault="00B13DA3" w:rsidP="00B13DA3">
      <w:pPr>
        <w:overflowPunct/>
        <w:autoSpaceDE/>
        <w:autoSpaceDN/>
        <w:adjustRightInd/>
        <w:textAlignment w:val="auto"/>
        <w:rPr>
          <w:sz w:val="24"/>
          <w:szCs w:val="24"/>
        </w:rPr>
      </w:pPr>
      <w:r w:rsidRPr="00025AED">
        <w:rPr>
          <w:sz w:val="24"/>
          <w:szCs w:val="24"/>
        </w:rPr>
        <w:t>Target vulnerability refers to</w:t>
      </w:r>
      <w:r>
        <w:rPr>
          <w:sz w:val="24"/>
          <w:szCs w:val="24"/>
        </w:rPr>
        <w:t xml:space="preserve"> an individual’s susceptibility to victimisation and it is suggested that </w:t>
      </w:r>
      <w:r w:rsidRPr="00025AED">
        <w:rPr>
          <w:sz w:val="24"/>
          <w:szCs w:val="24"/>
        </w:rPr>
        <w:t>the elderly grow progressively more vulnerable as they age</w:t>
      </w:r>
      <w:r>
        <w:rPr>
          <w:b/>
          <w:bCs/>
          <w:sz w:val="24"/>
          <w:szCs w:val="24"/>
        </w:rPr>
        <w:t xml:space="preserve"> </w:t>
      </w:r>
      <w:r>
        <w:rPr>
          <w:sz w:val="24"/>
          <w:szCs w:val="24"/>
        </w:rPr>
        <w:t>(Tapp, 2018).</w:t>
      </w:r>
      <w:r>
        <w:rPr>
          <w:b/>
          <w:bCs/>
          <w:sz w:val="24"/>
          <w:szCs w:val="24"/>
        </w:rPr>
        <w:t xml:space="preserve"> </w:t>
      </w:r>
      <w:r w:rsidRPr="00CC399C">
        <w:rPr>
          <w:sz w:val="24"/>
          <w:szCs w:val="24"/>
        </w:rPr>
        <w:t>Physical impairments leave the elderly less able to safeguard their property or defend themselves</w:t>
      </w:r>
      <w:r>
        <w:rPr>
          <w:b/>
          <w:bCs/>
          <w:sz w:val="24"/>
          <w:szCs w:val="24"/>
        </w:rPr>
        <w:t xml:space="preserve"> </w:t>
      </w:r>
      <w:r>
        <w:rPr>
          <w:sz w:val="24"/>
          <w:szCs w:val="24"/>
        </w:rPr>
        <w:t xml:space="preserve">(Payne, 2011), while </w:t>
      </w:r>
      <w:r w:rsidRPr="00CC399C">
        <w:rPr>
          <w:sz w:val="24"/>
          <w:szCs w:val="24"/>
        </w:rPr>
        <w:t>cognitive impairments diminish their ability to assess situations, making them a more attractive target</w:t>
      </w:r>
      <w:r>
        <w:rPr>
          <w:sz w:val="24"/>
          <w:szCs w:val="24"/>
        </w:rPr>
        <w:t xml:space="preserve"> </w:t>
      </w:r>
      <w:r w:rsidRPr="008C3ED3">
        <w:rPr>
          <w:sz w:val="24"/>
          <w:szCs w:val="24"/>
        </w:rPr>
        <w:t>(Carlson, 2006).</w:t>
      </w:r>
    </w:p>
    <w:p w14:paraId="5D6BC4FF" w14:textId="77777777" w:rsidR="00B13DA3" w:rsidRDefault="00B13DA3" w:rsidP="00B13DA3">
      <w:pPr>
        <w:overflowPunct/>
        <w:autoSpaceDE/>
        <w:autoSpaceDN/>
        <w:adjustRightInd/>
        <w:textAlignment w:val="auto"/>
        <w:rPr>
          <w:b/>
          <w:bCs/>
          <w:sz w:val="24"/>
          <w:szCs w:val="24"/>
        </w:rPr>
      </w:pPr>
    </w:p>
    <w:p w14:paraId="0A714EE5" w14:textId="77777777" w:rsidR="00B13DA3" w:rsidRDefault="00B13DA3" w:rsidP="00B13DA3">
      <w:pPr>
        <w:overflowPunct/>
        <w:autoSpaceDE/>
        <w:autoSpaceDN/>
        <w:adjustRightInd/>
        <w:textAlignment w:val="auto"/>
        <w:rPr>
          <w:sz w:val="24"/>
          <w:szCs w:val="24"/>
        </w:rPr>
      </w:pPr>
      <w:r>
        <w:rPr>
          <w:sz w:val="24"/>
          <w:szCs w:val="24"/>
        </w:rPr>
        <w:t xml:space="preserve">Target </w:t>
      </w:r>
      <w:proofErr w:type="spellStart"/>
      <w:r>
        <w:rPr>
          <w:sz w:val="24"/>
          <w:szCs w:val="24"/>
        </w:rPr>
        <w:t>gratifiability</w:t>
      </w:r>
      <w:proofErr w:type="spellEnd"/>
      <w:r>
        <w:rPr>
          <w:sz w:val="24"/>
          <w:szCs w:val="24"/>
        </w:rPr>
        <w:t xml:space="preserve"> on the other hand, </w:t>
      </w:r>
      <w:r w:rsidRPr="00BE2997">
        <w:rPr>
          <w:sz w:val="24"/>
          <w:szCs w:val="24"/>
        </w:rPr>
        <w:t xml:space="preserve">refers to what the victim </w:t>
      </w:r>
      <w:r>
        <w:rPr>
          <w:sz w:val="24"/>
          <w:szCs w:val="24"/>
        </w:rPr>
        <w:t xml:space="preserve">possesses </w:t>
      </w:r>
      <w:r w:rsidRPr="00EE30AA">
        <w:rPr>
          <w:sz w:val="24"/>
          <w:szCs w:val="24"/>
        </w:rPr>
        <w:t>(Tapp, 2018).</w:t>
      </w:r>
      <w:r>
        <w:rPr>
          <w:b/>
          <w:bCs/>
          <w:sz w:val="24"/>
          <w:szCs w:val="24"/>
        </w:rPr>
        <w:t xml:space="preserve"> </w:t>
      </w:r>
      <w:r w:rsidRPr="009260B6">
        <w:rPr>
          <w:sz w:val="24"/>
          <w:szCs w:val="24"/>
        </w:rPr>
        <w:t xml:space="preserve">The perception that the elderly </w:t>
      </w:r>
      <w:proofErr w:type="gramStart"/>
      <w:r w:rsidRPr="009260B6">
        <w:rPr>
          <w:sz w:val="24"/>
          <w:szCs w:val="24"/>
        </w:rPr>
        <w:t>are</w:t>
      </w:r>
      <w:proofErr w:type="gramEnd"/>
      <w:r w:rsidRPr="009260B6">
        <w:rPr>
          <w:sz w:val="24"/>
          <w:szCs w:val="24"/>
        </w:rPr>
        <w:t xml:space="preserve"> more wealthy makes them more attractive targets</w:t>
      </w:r>
      <w:r>
        <w:rPr>
          <w:b/>
          <w:bCs/>
          <w:sz w:val="24"/>
          <w:szCs w:val="24"/>
        </w:rPr>
        <w:t xml:space="preserve"> </w:t>
      </w:r>
      <w:r>
        <w:rPr>
          <w:sz w:val="24"/>
          <w:szCs w:val="24"/>
        </w:rPr>
        <w:t>(Bonnie and Wallace, 2003).</w:t>
      </w:r>
      <w:r>
        <w:rPr>
          <w:rStyle w:val="eop"/>
          <w:sz w:val="24"/>
          <w:szCs w:val="24"/>
        </w:rPr>
        <w:t xml:space="preserve"> </w:t>
      </w:r>
      <w:r w:rsidRPr="009260B6">
        <w:rPr>
          <w:sz w:val="24"/>
          <w:szCs w:val="24"/>
        </w:rPr>
        <w:t xml:space="preserve">Elderly </w:t>
      </w:r>
      <w:r>
        <w:rPr>
          <w:sz w:val="24"/>
          <w:szCs w:val="24"/>
        </w:rPr>
        <w:t>females</w:t>
      </w:r>
      <w:r w:rsidRPr="009260B6">
        <w:rPr>
          <w:sz w:val="24"/>
          <w:szCs w:val="24"/>
        </w:rPr>
        <w:t>, in particular,</w:t>
      </w:r>
      <w:r>
        <w:rPr>
          <w:b/>
          <w:bCs/>
          <w:sz w:val="24"/>
          <w:szCs w:val="24"/>
        </w:rPr>
        <w:t xml:space="preserve"> </w:t>
      </w:r>
      <w:r>
        <w:rPr>
          <w:sz w:val="24"/>
          <w:szCs w:val="24"/>
        </w:rPr>
        <w:t>who have become widows may not have previously managed their finances, therefore, making them more vulnerable and consequently increasing their risk to fraud and repeat-victimisation (Payne and Gainey, 2009).</w:t>
      </w:r>
    </w:p>
    <w:p w14:paraId="37EC5C04" w14:textId="77777777" w:rsidR="00B13DA3" w:rsidRPr="00EF3488" w:rsidRDefault="00B13DA3" w:rsidP="00B13DA3">
      <w:pPr>
        <w:overflowPunct/>
        <w:autoSpaceDE/>
        <w:autoSpaceDN/>
        <w:adjustRightInd/>
        <w:textAlignment w:val="auto"/>
        <w:rPr>
          <w:b/>
          <w:bCs/>
          <w:sz w:val="24"/>
          <w:szCs w:val="24"/>
        </w:rPr>
      </w:pPr>
    </w:p>
    <w:p w14:paraId="0192E178" w14:textId="77777777" w:rsidR="00B13DA3" w:rsidRDefault="00B13DA3" w:rsidP="00B13DA3">
      <w:pPr>
        <w:overflowPunct/>
        <w:autoSpaceDE/>
        <w:autoSpaceDN/>
        <w:adjustRightInd/>
        <w:textAlignment w:val="auto"/>
        <w:rPr>
          <w:sz w:val="24"/>
          <w:szCs w:val="24"/>
        </w:rPr>
      </w:pPr>
      <w:r>
        <w:rPr>
          <w:sz w:val="24"/>
          <w:szCs w:val="24"/>
        </w:rPr>
        <w:t xml:space="preserve">Although the presence of the above factors increases the risk of victimisation among the elderly, it is crucial to acknowledge that anyone can become the victim of a crime. Although Logan and Walker (2021) suggest this, their research implies that individuals are more likely to be subjected to a crime due to perceived vulnerability. This vulnerability encompasses any of the ‘protected characteristics’ </w:t>
      </w:r>
      <w:r w:rsidRPr="00CE16FD">
        <w:rPr>
          <w:sz w:val="24"/>
          <w:szCs w:val="24"/>
        </w:rPr>
        <w:t xml:space="preserve">which are directly </w:t>
      </w:r>
      <w:r>
        <w:rPr>
          <w:sz w:val="24"/>
          <w:szCs w:val="24"/>
        </w:rPr>
        <w:t xml:space="preserve">stipulated in the Equality Act 2010. </w:t>
      </w:r>
    </w:p>
    <w:p w14:paraId="7AE06E2A" w14:textId="77777777" w:rsidR="00B13DA3" w:rsidRDefault="00B13DA3" w:rsidP="00B13DA3">
      <w:pPr>
        <w:overflowPunct/>
        <w:autoSpaceDE/>
        <w:autoSpaceDN/>
        <w:adjustRightInd/>
        <w:textAlignment w:val="auto"/>
        <w:rPr>
          <w:sz w:val="24"/>
          <w:szCs w:val="24"/>
        </w:rPr>
      </w:pPr>
    </w:p>
    <w:p w14:paraId="0EEF3C98" w14:textId="77777777" w:rsidR="00B13DA3" w:rsidRPr="008239F3" w:rsidRDefault="00B13DA3" w:rsidP="00B13DA3">
      <w:pPr>
        <w:pStyle w:val="NormalWeb"/>
        <w:spacing w:before="0" w:beforeAutospacing="0" w:after="0" w:afterAutospacing="0"/>
        <w:rPr>
          <w:rFonts w:ascii="Arial" w:hAnsi="Arial" w:cs="Arial"/>
          <w:color w:val="000000"/>
        </w:rPr>
      </w:pPr>
      <w:r>
        <w:rPr>
          <w:rFonts w:ascii="Arial" w:hAnsi="Arial" w:cs="Arial"/>
          <w:color w:val="000000"/>
        </w:rPr>
        <w:t xml:space="preserve">In a policing context, the College of Policing (2021) defines an individual as </w:t>
      </w:r>
      <w:r w:rsidRPr="005C7282">
        <w:rPr>
          <w:rFonts w:ascii="Arial" w:hAnsi="Arial" w:cs="Arial"/>
          <w:color w:val="000000"/>
        </w:rPr>
        <w:t>vulnerable if “as a result of their situation or circumstances, they are unable to take care of or protect themselves or others from harm or exploitation” (p.1).</w:t>
      </w:r>
      <w:r>
        <w:rPr>
          <w:rFonts w:ascii="Arial" w:hAnsi="Arial" w:cs="Arial"/>
          <w:color w:val="000000"/>
        </w:rPr>
        <w:t xml:space="preserve"> It is therefore of great importance for officers to possess the knowledge and understanding of </w:t>
      </w:r>
      <w:r w:rsidRPr="00595F0B">
        <w:rPr>
          <w:rFonts w:ascii="Arial" w:hAnsi="Arial" w:cs="Arial"/>
          <w:color w:val="000000"/>
        </w:rPr>
        <w:t>specialised policies</w:t>
      </w:r>
      <w:r>
        <w:rPr>
          <w:rFonts w:ascii="Arial" w:hAnsi="Arial" w:cs="Arial"/>
          <w:color w:val="000000"/>
        </w:rPr>
        <w:t xml:space="preserve"> and </w:t>
      </w:r>
      <w:r w:rsidRPr="00595F0B">
        <w:rPr>
          <w:rFonts w:ascii="Arial" w:hAnsi="Arial" w:cs="Arial"/>
          <w:color w:val="000000"/>
        </w:rPr>
        <w:t>procedures</w:t>
      </w:r>
      <w:r>
        <w:rPr>
          <w:rFonts w:ascii="Arial" w:hAnsi="Arial" w:cs="Arial"/>
          <w:b/>
          <w:bCs/>
          <w:color w:val="000000"/>
        </w:rPr>
        <w:t xml:space="preserve"> </w:t>
      </w:r>
      <w:r>
        <w:rPr>
          <w:rFonts w:ascii="Arial" w:hAnsi="Arial" w:cs="Arial"/>
          <w:color w:val="000000"/>
        </w:rPr>
        <w:t xml:space="preserve">that </w:t>
      </w:r>
      <w:r w:rsidRPr="008239F3">
        <w:rPr>
          <w:rFonts w:ascii="Arial" w:hAnsi="Arial" w:cs="Arial"/>
          <w:color w:val="000000"/>
        </w:rPr>
        <w:t>have been developed</w:t>
      </w:r>
      <w:r>
        <w:rPr>
          <w:rFonts w:ascii="Arial" w:hAnsi="Arial" w:cs="Arial"/>
          <w:color w:val="000000"/>
        </w:rPr>
        <w:t xml:space="preserve"> for the purpose of </w:t>
      </w:r>
      <w:r w:rsidRPr="008239F3">
        <w:rPr>
          <w:rFonts w:ascii="Arial" w:hAnsi="Arial" w:cs="Arial"/>
          <w:color w:val="000000"/>
        </w:rPr>
        <w:t>respond</w:t>
      </w:r>
      <w:r>
        <w:rPr>
          <w:rFonts w:ascii="Arial" w:hAnsi="Arial" w:cs="Arial"/>
          <w:color w:val="000000"/>
        </w:rPr>
        <w:t>ing</w:t>
      </w:r>
      <w:r w:rsidRPr="008239F3">
        <w:rPr>
          <w:rFonts w:ascii="Arial" w:hAnsi="Arial" w:cs="Arial"/>
          <w:color w:val="000000"/>
        </w:rPr>
        <w:t xml:space="preserve"> to vulnerable individuals in the community.</w:t>
      </w:r>
    </w:p>
    <w:p w14:paraId="0AF4517D" w14:textId="77777777" w:rsidR="00B13DA3" w:rsidRDefault="00B13DA3" w:rsidP="00B13DA3">
      <w:pPr>
        <w:pStyle w:val="NormalWeb"/>
        <w:spacing w:before="0" w:beforeAutospacing="0" w:after="0" w:afterAutospacing="0"/>
        <w:rPr>
          <w:rFonts w:ascii="Arial" w:hAnsi="Arial" w:cs="Arial"/>
          <w:b/>
          <w:bCs/>
          <w:color w:val="000000"/>
        </w:rPr>
      </w:pPr>
    </w:p>
    <w:p w14:paraId="59E6D9B6" w14:textId="77777777" w:rsidR="00B13DA3" w:rsidRDefault="00B13DA3" w:rsidP="00B13DA3">
      <w:pPr>
        <w:pStyle w:val="NormalWeb"/>
        <w:spacing w:before="0" w:beforeAutospacing="0" w:after="0" w:afterAutospacing="0"/>
        <w:rPr>
          <w:rFonts w:ascii="Arial" w:hAnsi="Arial" w:cs="Arial"/>
          <w:color w:val="000000"/>
        </w:rPr>
      </w:pPr>
      <w:r w:rsidRPr="00310403">
        <w:rPr>
          <w:rFonts w:ascii="Arial" w:hAnsi="Arial" w:cs="Arial"/>
          <w:color w:val="000000"/>
        </w:rPr>
        <w:t>The HMICFRS (2015)</w:t>
      </w:r>
      <w:r>
        <w:rPr>
          <w:rFonts w:ascii="Arial" w:hAnsi="Arial" w:cs="Arial"/>
          <w:color w:val="000000"/>
        </w:rPr>
        <w:t xml:space="preserve"> review highlighted that although many officers respond quickly and professionally to vulnerable victims, there were still areas for improvement, particularly with how some forces respond to these calls and the level of support they provide.</w:t>
      </w:r>
    </w:p>
    <w:p w14:paraId="083B08E4" w14:textId="77777777" w:rsidR="00B13DA3" w:rsidRPr="00B54863" w:rsidRDefault="00B13DA3" w:rsidP="00B13DA3">
      <w:pPr>
        <w:pStyle w:val="NormalWeb"/>
        <w:spacing w:before="0" w:beforeAutospacing="0" w:after="0" w:afterAutospacing="0"/>
        <w:rPr>
          <w:rFonts w:ascii="Arial" w:hAnsi="Arial" w:cs="Arial"/>
          <w:b/>
          <w:bCs/>
          <w:color w:val="000000"/>
        </w:rPr>
      </w:pPr>
    </w:p>
    <w:p w14:paraId="5BD0CA46" w14:textId="77777777" w:rsidR="00B13DA3" w:rsidRDefault="00B13DA3" w:rsidP="00B13DA3">
      <w:pPr>
        <w:overflowPunct/>
        <w:autoSpaceDE/>
        <w:autoSpaceDN/>
        <w:adjustRightInd/>
        <w:textAlignment w:val="auto"/>
        <w:rPr>
          <w:sz w:val="24"/>
          <w:szCs w:val="24"/>
        </w:rPr>
      </w:pPr>
      <w:r>
        <w:rPr>
          <w:sz w:val="24"/>
          <w:szCs w:val="24"/>
        </w:rPr>
        <w:t>It is acknowledged that addressing vulnerability within policing can present inherent challenges. To address this concern, the National Police Chief’s Council (2022) has therefore created a ‘National Vulnerability Action Plan’ designed to facilitate the implementation of its seven designated key themes by police forces. Additionally, this plan outlines five overarching principles relevant to the realm of policing and vulnerability.</w:t>
      </w:r>
    </w:p>
    <w:p w14:paraId="73ECC927" w14:textId="77777777" w:rsidR="00B13DA3" w:rsidRDefault="00B13DA3" w:rsidP="00B13DA3">
      <w:pPr>
        <w:overflowPunct/>
        <w:autoSpaceDE/>
        <w:autoSpaceDN/>
        <w:adjustRightInd/>
        <w:textAlignment w:val="auto"/>
        <w:rPr>
          <w:sz w:val="24"/>
          <w:szCs w:val="24"/>
        </w:rPr>
      </w:pPr>
    </w:p>
    <w:p w14:paraId="5DEDC252" w14:textId="77777777" w:rsidR="00B13DA3" w:rsidRDefault="00B13DA3" w:rsidP="00B13DA3">
      <w:pPr>
        <w:overflowPunct/>
        <w:autoSpaceDE/>
        <w:autoSpaceDN/>
        <w:adjustRightInd/>
        <w:textAlignment w:val="auto"/>
        <w:rPr>
          <w:sz w:val="24"/>
          <w:szCs w:val="24"/>
        </w:rPr>
      </w:pPr>
      <w:r>
        <w:rPr>
          <w:sz w:val="24"/>
          <w:szCs w:val="24"/>
        </w:rPr>
        <w:lastRenderedPageBreak/>
        <w:t xml:space="preserve">In accordance with themes one and two of the action plan, I had to consider the appropriateness of different interventions to manage the risks and support the elderly female. </w:t>
      </w:r>
    </w:p>
    <w:p w14:paraId="0544A606" w14:textId="77777777" w:rsidR="00B13DA3" w:rsidRDefault="00B13DA3" w:rsidP="00B13DA3">
      <w:pPr>
        <w:overflowPunct/>
        <w:autoSpaceDE/>
        <w:autoSpaceDN/>
        <w:adjustRightInd/>
        <w:textAlignment w:val="auto"/>
        <w:rPr>
          <w:sz w:val="24"/>
          <w:szCs w:val="24"/>
        </w:rPr>
      </w:pPr>
    </w:p>
    <w:p w14:paraId="35A1ECAD" w14:textId="77777777" w:rsidR="00B13DA3" w:rsidRPr="0009778C" w:rsidRDefault="00B13DA3" w:rsidP="00B13DA3">
      <w:pPr>
        <w:overflowPunct/>
        <w:autoSpaceDE/>
        <w:autoSpaceDN/>
        <w:adjustRightInd/>
        <w:textAlignment w:val="auto"/>
        <w:rPr>
          <w:sz w:val="24"/>
          <w:szCs w:val="24"/>
        </w:rPr>
      </w:pPr>
      <w:r>
        <w:rPr>
          <w:sz w:val="24"/>
          <w:szCs w:val="24"/>
        </w:rPr>
        <w:t xml:space="preserve">I acknowledged the significance of adopting a victim-centred approach while considering the support that could be made available to the elderly female. I firstly submitted a Public Protection Notification </w:t>
      </w:r>
      <w:r w:rsidRPr="00722746">
        <w:rPr>
          <w:sz w:val="24"/>
          <w:szCs w:val="24"/>
        </w:rPr>
        <w:t>which is an informati</w:t>
      </w:r>
      <w:r>
        <w:rPr>
          <w:sz w:val="24"/>
          <w:szCs w:val="24"/>
        </w:rPr>
        <w:t>ve</w:t>
      </w:r>
      <w:r w:rsidRPr="00722746">
        <w:rPr>
          <w:sz w:val="24"/>
          <w:szCs w:val="24"/>
        </w:rPr>
        <w:t xml:space="preserve"> report</w:t>
      </w:r>
      <w:r>
        <w:rPr>
          <w:sz w:val="24"/>
          <w:szCs w:val="24"/>
        </w:rPr>
        <w:t>, documenting and sharing any safeguarding concerns. Subsequently, th</w:t>
      </w:r>
      <w:r w:rsidRPr="00D20B41">
        <w:rPr>
          <w:sz w:val="24"/>
          <w:szCs w:val="24"/>
        </w:rPr>
        <w:t xml:space="preserve">is document </w:t>
      </w:r>
      <w:r>
        <w:rPr>
          <w:sz w:val="24"/>
          <w:szCs w:val="24"/>
        </w:rPr>
        <w:t>was</w:t>
      </w:r>
      <w:r w:rsidRPr="00D20B41">
        <w:rPr>
          <w:sz w:val="24"/>
          <w:szCs w:val="24"/>
        </w:rPr>
        <w:t xml:space="preserve"> then shared with partner</w:t>
      </w:r>
      <w:r>
        <w:rPr>
          <w:sz w:val="24"/>
          <w:szCs w:val="24"/>
        </w:rPr>
        <w:t>-</w:t>
      </w:r>
      <w:r w:rsidRPr="00D20B41">
        <w:rPr>
          <w:sz w:val="24"/>
          <w:szCs w:val="24"/>
        </w:rPr>
        <w:t>agencies</w:t>
      </w:r>
      <w:r>
        <w:rPr>
          <w:sz w:val="24"/>
          <w:szCs w:val="24"/>
        </w:rPr>
        <w:t xml:space="preserve"> </w:t>
      </w:r>
      <w:r w:rsidRPr="00D20B41">
        <w:rPr>
          <w:sz w:val="24"/>
          <w:szCs w:val="24"/>
        </w:rPr>
        <w:t>to</w:t>
      </w:r>
      <w:r>
        <w:rPr>
          <w:sz w:val="24"/>
          <w:szCs w:val="24"/>
        </w:rPr>
        <w:t xml:space="preserve"> facilitate a holistic and co-ordinated response, ensuring that the needs and well-being of the female took precedence</w:t>
      </w:r>
      <w:r>
        <w:rPr>
          <w:b/>
          <w:bCs/>
          <w:sz w:val="24"/>
          <w:szCs w:val="24"/>
        </w:rPr>
        <w:t xml:space="preserve"> </w:t>
      </w:r>
      <w:r>
        <w:rPr>
          <w:sz w:val="24"/>
          <w:szCs w:val="24"/>
        </w:rPr>
        <w:t>(HMICFRS, 2023).</w:t>
      </w:r>
    </w:p>
    <w:p w14:paraId="2001810A" w14:textId="77777777" w:rsidR="00B13DA3" w:rsidRDefault="00B13DA3" w:rsidP="00B13DA3">
      <w:pPr>
        <w:overflowPunct/>
        <w:autoSpaceDE/>
        <w:autoSpaceDN/>
        <w:adjustRightInd/>
        <w:textAlignment w:val="auto"/>
        <w:rPr>
          <w:sz w:val="24"/>
          <w:szCs w:val="24"/>
        </w:rPr>
      </w:pPr>
    </w:p>
    <w:p w14:paraId="74C02E74" w14:textId="77777777" w:rsidR="00B13DA3" w:rsidRDefault="00B13DA3" w:rsidP="00B13DA3">
      <w:pPr>
        <w:overflowPunct/>
        <w:autoSpaceDE/>
        <w:autoSpaceDN/>
        <w:adjustRightInd/>
        <w:textAlignment w:val="auto"/>
        <w:rPr>
          <w:sz w:val="24"/>
          <w:szCs w:val="24"/>
        </w:rPr>
      </w:pPr>
      <w:r>
        <w:rPr>
          <w:sz w:val="24"/>
          <w:szCs w:val="24"/>
        </w:rPr>
        <w:t xml:space="preserve">For additional support, I also submitted a Victim Focus Referral with the female’s consent. Victim Focus is a free and independent service with a primary goal of supporting individuals impacted by crime in South Wales (SWVF, 2023). They have the capability to conduct risk assessments to determine how to safely deliver their support while tailoring it specifically to the needs of the victim. In this </w:t>
      </w:r>
      <w:proofErr w:type="gramStart"/>
      <w:r>
        <w:rPr>
          <w:sz w:val="24"/>
          <w:szCs w:val="24"/>
        </w:rPr>
        <w:t>particular case</w:t>
      </w:r>
      <w:proofErr w:type="gramEnd"/>
      <w:r>
        <w:rPr>
          <w:sz w:val="24"/>
          <w:szCs w:val="24"/>
        </w:rPr>
        <w:t>, this included safeguarding for the female as well as access to low-cost security items as her personal safety was a concern.</w:t>
      </w:r>
    </w:p>
    <w:p w14:paraId="0BC2FF78" w14:textId="77777777" w:rsidR="00B13DA3" w:rsidRDefault="00B13DA3" w:rsidP="00B13DA3">
      <w:pPr>
        <w:overflowPunct/>
        <w:autoSpaceDE/>
        <w:autoSpaceDN/>
        <w:adjustRightInd/>
        <w:textAlignment w:val="auto"/>
        <w:rPr>
          <w:sz w:val="24"/>
          <w:szCs w:val="24"/>
        </w:rPr>
      </w:pPr>
    </w:p>
    <w:p w14:paraId="52CF64A7" w14:textId="77777777" w:rsidR="00B13DA3" w:rsidRDefault="00B13DA3" w:rsidP="00B13DA3">
      <w:pPr>
        <w:overflowPunct/>
        <w:autoSpaceDE/>
        <w:autoSpaceDN/>
        <w:adjustRightInd/>
        <w:textAlignment w:val="auto"/>
        <w:rPr>
          <w:sz w:val="24"/>
          <w:szCs w:val="24"/>
        </w:rPr>
      </w:pPr>
      <w:r>
        <w:rPr>
          <w:sz w:val="24"/>
          <w:szCs w:val="24"/>
        </w:rPr>
        <w:t xml:space="preserve">I then </w:t>
      </w:r>
      <w:proofErr w:type="gramStart"/>
      <w:r>
        <w:rPr>
          <w:sz w:val="24"/>
          <w:szCs w:val="24"/>
        </w:rPr>
        <w:t>looked into</w:t>
      </w:r>
      <w:proofErr w:type="gramEnd"/>
      <w:r>
        <w:rPr>
          <w:sz w:val="24"/>
          <w:szCs w:val="24"/>
        </w:rPr>
        <w:t xml:space="preserve"> education and prevention strategies aimed at mitigating the risk of further victimisation. This was achieved by facilitating the female’s access to community resources, including a local senior group and a financial advisor. The purpose of this, was to firstly, educate the female by equipping her with the necessary safety advice to maintain the security of her property. Secondly, it was aimed at helping the female understand best practice, for the safekeeping of her bank cards and items of personal value.</w:t>
      </w:r>
    </w:p>
    <w:p w14:paraId="79552E23" w14:textId="77777777" w:rsidR="00B13DA3" w:rsidRDefault="00B13DA3" w:rsidP="00B13DA3">
      <w:pPr>
        <w:overflowPunct/>
        <w:autoSpaceDE/>
        <w:autoSpaceDN/>
        <w:adjustRightInd/>
        <w:textAlignment w:val="auto"/>
        <w:rPr>
          <w:sz w:val="24"/>
          <w:szCs w:val="24"/>
        </w:rPr>
      </w:pPr>
    </w:p>
    <w:p w14:paraId="53D7DBE4" w14:textId="77777777" w:rsidR="00B13DA3" w:rsidRDefault="00B13DA3" w:rsidP="00B13DA3">
      <w:pPr>
        <w:overflowPunct/>
        <w:autoSpaceDE/>
        <w:autoSpaceDN/>
        <w:adjustRightInd/>
        <w:textAlignment w:val="auto"/>
        <w:rPr>
          <w:sz w:val="24"/>
          <w:szCs w:val="24"/>
        </w:rPr>
      </w:pPr>
      <w:r>
        <w:rPr>
          <w:sz w:val="24"/>
          <w:szCs w:val="24"/>
        </w:rPr>
        <w:t xml:space="preserve">I also tasked </w:t>
      </w:r>
      <w:r w:rsidRPr="00586248">
        <w:rPr>
          <w:sz w:val="24"/>
          <w:szCs w:val="24"/>
        </w:rPr>
        <w:t xml:space="preserve">the crime prevention tactical advisor to assist with </w:t>
      </w:r>
      <w:r>
        <w:rPr>
          <w:sz w:val="24"/>
          <w:szCs w:val="24"/>
        </w:rPr>
        <w:t xml:space="preserve">enhancing the security of the female’s property. Newton </w:t>
      </w:r>
      <w:r>
        <w:rPr>
          <w:i/>
          <w:iCs/>
          <w:sz w:val="24"/>
          <w:szCs w:val="24"/>
        </w:rPr>
        <w:t xml:space="preserve">et al. </w:t>
      </w:r>
      <w:r>
        <w:rPr>
          <w:sz w:val="24"/>
          <w:szCs w:val="24"/>
        </w:rPr>
        <w:t xml:space="preserve">(2008) analysed burglary and target hardening activities over </w:t>
      </w:r>
      <w:proofErr w:type="gramStart"/>
      <w:r>
        <w:rPr>
          <w:sz w:val="24"/>
          <w:szCs w:val="24"/>
        </w:rPr>
        <w:t>a period of time</w:t>
      </w:r>
      <w:proofErr w:type="gramEnd"/>
      <w:r>
        <w:rPr>
          <w:sz w:val="24"/>
          <w:szCs w:val="24"/>
        </w:rPr>
        <w:t>. They found that the most effective strategies for crime prevention involved increasing physical security, which included installing alarms, CCTV systems, adding detection lighting, and fitting new door/window locks. These measures were proven to significantly reduce overall crime rates.</w:t>
      </w:r>
    </w:p>
    <w:p w14:paraId="1B1B9851" w14:textId="77777777" w:rsidR="00B13DA3" w:rsidRDefault="00B13DA3" w:rsidP="00B13DA3">
      <w:pPr>
        <w:overflowPunct/>
        <w:autoSpaceDE/>
        <w:autoSpaceDN/>
        <w:adjustRightInd/>
        <w:textAlignment w:val="auto"/>
        <w:rPr>
          <w:sz w:val="24"/>
          <w:szCs w:val="24"/>
        </w:rPr>
      </w:pPr>
    </w:p>
    <w:p w14:paraId="0CAF10C7" w14:textId="77777777" w:rsidR="00B13DA3" w:rsidRDefault="00B13DA3" w:rsidP="00B13DA3">
      <w:pPr>
        <w:overflowPunct/>
        <w:autoSpaceDE/>
        <w:autoSpaceDN/>
        <w:adjustRightInd/>
        <w:textAlignment w:val="auto"/>
        <w:rPr>
          <w:sz w:val="24"/>
          <w:szCs w:val="24"/>
        </w:rPr>
      </w:pPr>
      <w:r>
        <w:rPr>
          <w:sz w:val="24"/>
          <w:szCs w:val="24"/>
        </w:rPr>
        <w:t xml:space="preserve">In </w:t>
      </w:r>
      <w:r w:rsidRPr="008C3ED3">
        <w:rPr>
          <w:sz w:val="24"/>
          <w:szCs w:val="24"/>
        </w:rPr>
        <w:t>relation to evidence-based policing, South Wales Police (SWP) have explored what works in relation to tackling repeat victimisation and repeat offending.</w:t>
      </w:r>
    </w:p>
    <w:p w14:paraId="3323625C" w14:textId="77777777" w:rsidR="00B13DA3" w:rsidRDefault="00B13DA3" w:rsidP="00B13DA3">
      <w:pPr>
        <w:overflowPunct/>
        <w:autoSpaceDE/>
        <w:autoSpaceDN/>
        <w:adjustRightInd/>
        <w:textAlignment w:val="auto"/>
        <w:rPr>
          <w:sz w:val="24"/>
          <w:szCs w:val="24"/>
        </w:rPr>
      </w:pPr>
    </w:p>
    <w:p w14:paraId="6F812282" w14:textId="77777777" w:rsidR="00B13DA3" w:rsidRDefault="00B13DA3" w:rsidP="00B13DA3">
      <w:pPr>
        <w:overflowPunct/>
        <w:autoSpaceDE/>
        <w:autoSpaceDN/>
        <w:adjustRightInd/>
        <w:textAlignment w:val="auto"/>
        <w:rPr>
          <w:sz w:val="24"/>
          <w:szCs w:val="24"/>
        </w:rPr>
      </w:pPr>
      <w:r>
        <w:rPr>
          <w:sz w:val="24"/>
          <w:szCs w:val="24"/>
        </w:rPr>
        <w:t>Operation Sceptre was first introduced two years ago by SWP as a method to pilot hotspot approaches aimed at preventing crime and violence. The results indicated a success in reduction of crime; however, it was ascertained that more precise hotspots were necessary to maximise and measure the impact on prevention and problem-solving (SWP, 2023).</w:t>
      </w:r>
    </w:p>
    <w:p w14:paraId="4815D32E" w14:textId="77777777" w:rsidR="00B13DA3" w:rsidRDefault="00B13DA3" w:rsidP="00B13DA3">
      <w:pPr>
        <w:overflowPunct/>
        <w:autoSpaceDE/>
        <w:autoSpaceDN/>
        <w:adjustRightInd/>
        <w:textAlignment w:val="auto"/>
        <w:rPr>
          <w:sz w:val="24"/>
          <w:szCs w:val="24"/>
        </w:rPr>
      </w:pPr>
    </w:p>
    <w:p w14:paraId="08537297" w14:textId="77777777" w:rsidR="00B13DA3" w:rsidRDefault="00B13DA3" w:rsidP="00B13DA3">
      <w:pPr>
        <w:overflowPunct/>
        <w:autoSpaceDE/>
        <w:autoSpaceDN/>
        <w:adjustRightInd/>
        <w:textAlignment w:val="auto"/>
        <w:rPr>
          <w:sz w:val="24"/>
          <w:szCs w:val="24"/>
        </w:rPr>
      </w:pPr>
      <w:r>
        <w:rPr>
          <w:sz w:val="24"/>
          <w:szCs w:val="24"/>
        </w:rPr>
        <w:t xml:space="preserve">Consequently, the Home Office granted a total of £1million to SWP for the purpose of combatting hotspot areas. Using statistical processes, 172 </w:t>
      </w:r>
      <w:proofErr w:type="spellStart"/>
      <w:r>
        <w:rPr>
          <w:sz w:val="24"/>
          <w:szCs w:val="24"/>
        </w:rPr>
        <w:t>microbeats</w:t>
      </w:r>
      <w:proofErr w:type="spellEnd"/>
      <w:r>
        <w:rPr>
          <w:sz w:val="24"/>
          <w:szCs w:val="24"/>
        </w:rPr>
        <w:t xml:space="preserve"> within the force were identified as priority zones. Operation Sentinel was therefore introduced, to enhance the presence of officers engaged in foot patrols within high-crime areas. The primary strategy of this operation was to disrupt and deter offending as well as </w:t>
      </w:r>
      <w:r>
        <w:rPr>
          <w:sz w:val="24"/>
          <w:szCs w:val="24"/>
        </w:rPr>
        <w:lastRenderedPageBreak/>
        <w:t>protect the most vulnerable members of our communities from repeat victimisation (SWP, 2023).</w:t>
      </w:r>
    </w:p>
    <w:p w14:paraId="045FCD65" w14:textId="77777777" w:rsidR="00B13DA3" w:rsidRDefault="00B13DA3" w:rsidP="00B13DA3">
      <w:pPr>
        <w:overflowPunct/>
        <w:autoSpaceDE/>
        <w:autoSpaceDN/>
        <w:adjustRightInd/>
        <w:textAlignment w:val="auto"/>
        <w:rPr>
          <w:sz w:val="24"/>
          <w:szCs w:val="24"/>
        </w:rPr>
      </w:pPr>
    </w:p>
    <w:p w14:paraId="6A575A8E" w14:textId="77777777" w:rsidR="00B13DA3" w:rsidRDefault="00B13DA3" w:rsidP="00B13DA3">
      <w:pPr>
        <w:overflowPunct/>
        <w:autoSpaceDE/>
        <w:autoSpaceDN/>
        <w:adjustRightInd/>
        <w:textAlignment w:val="auto"/>
        <w:rPr>
          <w:sz w:val="24"/>
          <w:szCs w:val="24"/>
        </w:rPr>
      </w:pPr>
      <w:r>
        <w:rPr>
          <w:sz w:val="24"/>
          <w:szCs w:val="24"/>
        </w:rPr>
        <w:t>Following the first month of the operation, a review was undertaken, yielding positive results. The overtime patrols resulted in a total of “30 ASB referrals, 76 intelligence submissions, 15 stop searches, 12 arrests as well as 70 problem solving opportunities which were flagged to the local team/partners” (SWP, 2023). These statistics demonstrate the effectiveness of the ongoing operations and the subsequent benefits they will bring to the community.</w:t>
      </w:r>
    </w:p>
    <w:p w14:paraId="3439E2A3" w14:textId="77777777" w:rsidR="00B13DA3" w:rsidRDefault="00B13DA3" w:rsidP="00B13DA3">
      <w:pPr>
        <w:overflowPunct/>
        <w:autoSpaceDE/>
        <w:autoSpaceDN/>
        <w:adjustRightInd/>
        <w:textAlignment w:val="auto"/>
        <w:rPr>
          <w:sz w:val="24"/>
          <w:szCs w:val="24"/>
        </w:rPr>
      </w:pPr>
    </w:p>
    <w:p w14:paraId="2BB85405" w14:textId="77777777" w:rsidR="00B13DA3" w:rsidRDefault="00B13DA3" w:rsidP="00B13DA3">
      <w:pPr>
        <w:overflowPunct/>
        <w:autoSpaceDE/>
        <w:autoSpaceDN/>
        <w:adjustRightInd/>
        <w:textAlignment w:val="auto"/>
        <w:rPr>
          <w:sz w:val="24"/>
          <w:szCs w:val="24"/>
        </w:rPr>
      </w:pPr>
      <w:r>
        <w:rPr>
          <w:sz w:val="24"/>
          <w:szCs w:val="24"/>
        </w:rPr>
        <w:t xml:space="preserve">To conclude, I will now reflect on my experience, in accordance with the remaining two stages of Boud’s Reflective Triangle. I believe that I responded effectively to the situation and as the first officer on scene, I felt well-equipped with knowledge due to prior experiences. This, therefore, gave me confidence in my ability to provide the best possible service to the female. Furthermore, I made co-ordinated efforts to ensure that the vulnerable victim received adequate support by implementing a variety of preventative measures. </w:t>
      </w:r>
    </w:p>
    <w:p w14:paraId="597BFE42" w14:textId="77777777" w:rsidR="00B13DA3" w:rsidRDefault="00B13DA3" w:rsidP="00B13DA3">
      <w:pPr>
        <w:overflowPunct/>
        <w:autoSpaceDE/>
        <w:autoSpaceDN/>
        <w:adjustRightInd/>
        <w:textAlignment w:val="auto"/>
        <w:rPr>
          <w:sz w:val="24"/>
          <w:szCs w:val="24"/>
        </w:rPr>
      </w:pPr>
    </w:p>
    <w:p w14:paraId="04D61DE5" w14:textId="77777777" w:rsidR="00B13DA3" w:rsidRDefault="00B13DA3" w:rsidP="00B13DA3">
      <w:pPr>
        <w:overflowPunct/>
        <w:autoSpaceDE/>
        <w:autoSpaceDN/>
        <w:adjustRightInd/>
        <w:textAlignment w:val="auto"/>
        <w:rPr>
          <w:sz w:val="24"/>
          <w:szCs w:val="24"/>
        </w:rPr>
      </w:pPr>
      <w:r>
        <w:rPr>
          <w:sz w:val="24"/>
          <w:szCs w:val="24"/>
        </w:rPr>
        <w:t>I have, however, recognised that when communicating with members of the public, I often use police jargon. As a result, the female asked me several questions as she struggled to grasp the terminology. While I did clarify everything using simpler terms, I will strive to minimise this and incorporate language that can be readily understood by victims and witnesses of crime.</w:t>
      </w:r>
    </w:p>
    <w:p w14:paraId="71A2648F" w14:textId="77777777" w:rsidR="00DB2CD3" w:rsidRDefault="00DB2CD3" w:rsidP="00B13DA3">
      <w:pPr>
        <w:overflowPunct/>
        <w:autoSpaceDE/>
        <w:autoSpaceDN/>
        <w:adjustRightInd/>
        <w:textAlignment w:val="auto"/>
        <w:rPr>
          <w:sz w:val="24"/>
          <w:szCs w:val="24"/>
        </w:rPr>
      </w:pPr>
    </w:p>
    <w:p w14:paraId="25458D98" w14:textId="77777777" w:rsidR="00B13DA3" w:rsidRDefault="00B13DA3" w:rsidP="00B13DA3">
      <w:pPr>
        <w:overflowPunct/>
        <w:autoSpaceDE/>
        <w:autoSpaceDN/>
        <w:adjustRightInd/>
        <w:textAlignment w:val="auto"/>
        <w:rPr>
          <w:sz w:val="24"/>
          <w:szCs w:val="24"/>
        </w:rPr>
      </w:pPr>
      <w:r>
        <w:rPr>
          <w:sz w:val="24"/>
          <w:szCs w:val="24"/>
        </w:rPr>
        <w:t>This assignment has highlighted the critical importance of tailoring interventions to effectively manage the risks and provide support to vulnerable individuals. By examining various interventions and their appropriateness, their research underscores the need for a detailed, evidence-based approach to addressing vulnerabilities within our communities. It is evident that one-size-fits-all solution is inadequate, and the application of specific, targeted strategies is essential.</w:t>
      </w:r>
    </w:p>
    <w:p w14:paraId="7855CAEB" w14:textId="77777777" w:rsidR="00B13DA3" w:rsidRDefault="00B13DA3" w:rsidP="00B13DA3">
      <w:pPr>
        <w:overflowPunct/>
        <w:autoSpaceDE/>
        <w:autoSpaceDN/>
        <w:adjustRightInd/>
        <w:textAlignment w:val="auto"/>
        <w:rPr>
          <w:sz w:val="24"/>
          <w:szCs w:val="24"/>
        </w:rPr>
      </w:pPr>
    </w:p>
    <w:p w14:paraId="0E569D40" w14:textId="77777777" w:rsidR="00B13DA3" w:rsidRDefault="00B13DA3" w:rsidP="00B13DA3">
      <w:pPr>
        <w:overflowPunct/>
        <w:autoSpaceDE/>
        <w:autoSpaceDN/>
        <w:adjustRightInd/>
        <w:textAlignment w:val="auto"/>
        <w:rPr>
          <w:sz w:val="24"/>
          <w:szCs w:val="24"/>
        </w:rPr>
      </w:pPr>
      <w:r>
        <w:rPr>
          <w:sz w:val="24"/>
          <w:szCs w:val="24"/>
        </w:rPr>
        <w:t>Furthermore, this assignment sheds light on the relationship between evidence-based policing and its effectiveness in reducing target victimisation and repeat offending. It becomes increasingly clear that relying on empirical evidence and data-driven approaches can lead to more efficient and successful outcomes in preventing and addressing crimes against vulnerable individuals.</w:t>
      </w:r>
    </w:p>
    <w:p w14:paraId="2BDB47BD" w14:textId="77777777" w:rsidR="00B13DA3" w:rsidRDefault="00B13DA3" w:rsidP="00B13DA3">
      <w:pPr>
        <w:overflowPunct/>
        <w:autoSpaceDE/>
        <w:autoSpaceDN/>
        <w:adjustRightInd/>
        <w:textAlignment w:val="auto"/>
        <w:rPr>
          <w:sz w:val="24"/>
          <w:szCs w:val="24"/>
        </w:rPr>
      </w:pPr>
    </w:p>
    <w:p w14:paraId="165BECF0" w14:textId="77777777" w:rsidR="00B13DA3" w:rsidRDefault="00B13DA3" w:rsidP="00B13DA3">
      <w:pPr>
        <w:overflowPunct/>
        <w:autoSpaceDE/>
        <w:autoSpaceDN/>
        <w:adjustRightInd/>
        <w:textAlignment w:val="auto"/>
        <w:rPr>
          <w:sz w:val="24"/>
          <w:szCs w:val="24"/>
        </w:rPr>
      </w:pPr>
      <w:r>
        <w:rPr>
          <w:sz w:val="24"/>
          <w:szCs w:val="24"/>
        </w:rPr>
        <w:t>Moving forward, it is imperative to recognise the vulnerable people of our communities, including the elderly and to employ evidence-based strategies that have demonstrated their efficacy. This not only enhances the safety and well-being of individuals like the elderly female in this assignment, but also contributes to a more comprehensive and successful approach to policing.</w:t>
      </w:r>
    </w:p>
    <w:p w14:paraId="6D3CEFFE" w14:textId="77777777" w:rsidR="00B13DA3" w:rsidRDefault="00B13DA3" w:rsidP="00B13DA3">
      <w:pPr>
        <w:overflowPunct/>
        <w:autoSpaceDE/>
        <w:autoSpaceDN/>
        <w:adjustRightInd/>
        <w:textAlignment w:val="auto"/>
        <w:rPr>
          <w:sz w:val="24"/>
          <w:szCs w:val="24"/>
        </w:rPr>
      </w:pPr>
    </w:p>
    <w:p w14:paraId="7740DDC8" w14:textId="7CE5FB33" w:rsidR="00B13DA3" w:rsidRPr="00B13DA3" w:rsidRDefault="00B13DA3" w:rsidP="00B13DA3">
      <w:pPr>
        <w:overflowPunct/>
        <w:autoSpaceDE/>
        <w:autoSpaceDN/>
        <w:adjustRightInd/>
        <w:textAlignment w:val="auto"/>
        <w:rPr>
          <w:b/>
          <w:bCs/>
          <w:sz w:val="24"/>
          <w:szCs w:val="24"/>
        </w:rPr>
      </w:pPr>
      <w:r w:rsidRPr="00B13DA3">
        <w:rPr>
          <w:b/>
          <w:bCs/>
          <w:sz w:val="24"/>
          <w:szCs w:val="24"/>
        </w:rPr>
        <w:t>Word count – 2200</w:t>
      </w:r>
    </w:p>
    <w:p w14:paraId="26641A8F" w14:textId="77777777" w:rsidR="00B13DA3" w:rsidRPr="00E676F7" w:rsidRDefault="00B13DA3"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4732D590" w14:textId="0142D2FF" w:rsidR="00025650" w:rsidRDefault="00025650" w:rsidP="00487557">
      <w:pPr>
        <w:overflowPunct/>
        <w:autoSpaceDE/>
        <w:autoSpaceDN/>
        <w:adjustRightInd/>
        <w:textAlignment w:val="auto"/>
        <w:rPr>
          <w:b/>
          <w:bCs/>
          <w:sz w:val="24"/>
          <w:szCs w:val="24"/>
        </w:rPr>
      </w:pPr>
    </w:p>
    <w:p w14:paraId="0BEF8CA9" w14:textId="77777777" w:rsidR="00487557" w:rsidRDefault="00487557" w:rsidP="00487557">
      <w:pPr>
        <w:overflowPunct/>
        <w:autoSpaceDE/>
        <w:autoSpaceDN/>
        <w:adjustRightInd/>
        <w:textAlignment w:val="auto"/>
        <w:rPr>
          <w:b/>
          <w:bCs/>
          <w:sz w:val="24"/>
          <w:szCs w:val="24"/>
        </w:rPr>
      </w:pPr>
    </w:p>
    <w:p w14:paraId="4A5356AF" w14:textId="77777777" w:rsidR="00487557" w:rsidRPr="00487557" w:rsidRDefault="00487557" w:rsidP="00487557">
      <w:pPr>
        <w:overflowPunct/>
        <w:autoSpaceDE/>
        <w:autoSpaceDN/>
        <w:adjustRightInd/>
        <w:textAlignment w:val="auto"/>
        <w:rPr>
          <w:b/>
          <w:bCs/>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Default="00025650" w:rsidP="0FF883D4">
      <w:pPr>
        <w:ind w:right="237"/>
        <w:jc w:val="both"/>
        <w:rPr>
          <w:b/>
          <w:bCs/>
          <w:color w:val="000000" w:themeColor="text1"/>
          <w:sz w:val="24"/>
          <w:szCs w:val="24"/>
        </w:rPr>
      </w:pPr>
    </w:p>
    <w:p w14:paraId="1904F088" w14:textId="77777777" w:rsidR="00D90C2E" w:rsidRDefault="00D90C2E" w:rsidP="00D90C2E">
      <w:pPr>
        <w:ind w:right="237"/>
        <w:jc w:val="both"/>
        <w:rPr>
          <w:color w:val="000000" w:themeColor="text1"/>
          <w:sz w:val="24"/>
          <w:szCs w:val="24"/>
        </w:rPr>
      </w:pPr>
      <w:r>
        <w:rPr>
          <w:color w:val="000000" w:themeColor="text1"/>
          <w:sz w:val="24"/>
          <w:szCs w:val="24"/>
        </w:rPr>
        <w:t xml:space="preserve">Throughout this assignment, I will critically explore an incident that I have recently attended which presented as a complex issue for the community. I will discuss how I played a significant role in providing a response as well as critically evaluate a range of interventions that I have implemented to promote community engagement. Whilst reflecting, I will utilise Borton’s Reflective Tool by incorporating its three fundamental stages: “what?”, “so what?” and “now what?” </w:t>
      </w:r>
      <w:r w:rsidRPr="003F214E">
        <w:rPr>
          <w:color w:val="000000" w:themeColor="text1"/>
          <w:sz w:val="24"/>
          <w:szCs w:val="24"/>
        </w:rPr>
        <w:t xml:space="preserve">to produce a structured and reflective outlook </w:t>
      </w:r>
      <w:r>
        <w:rPr>
          <w:color w:val="000000" w:themeColor="text1"/>
          <w:sz w:val="24"/>
          <w:szCs w:val="24"/>
        </w:rPr>
        <w:t>regarding my experience (Borton, 1970).</w:t>
      </w:r>
    </w:p>
    <w:p w14:paraId="6D8C4F85" w14:textId="77777777" w:rsidR="00D90C2E" w:rsidRDefault="00D90C2E" w:rsidP="00D90C2E">
      <w:pPr>
        <w:ind w:right="237"/>
        <w:jc w:val="both"/>
        <w:rPr>
          <w:color w:val="000000" w:themeColor="text1"/>
          <w:sz w:val="24"/>
          <w:szCs w:val="24"/>
        </w:rPr>
      </w:pPr>
    </w:p>
    <w:p w14:paraId="3AD39169" w14:textId="77777777" w:rsidR="00D90C2E" w:rsidRDefault="00D90C2E" w:rsidP="00D90C2E">
      <w:pPr>
        <w:ind w:right="237"/>
        <w:jc w:val="both"/>
        <w:rPr>
          <w:color w:val="000000" w:themeColor="text1"/>
          <w:sz w:val="24"/>
          <w:szCs w:val="24"/>
        </w:rPr>
      </w:pPr>
      <w:r>
        <w:rPr>
          <w:color w:val="000000" w:themeColor="text1"/>
          <w:sz w:val="24"/>
          <w:szCs w:val="24"/>
        </w:rPr>
        <w:t>Firstly, I will be utilising the “what?” stage of Borton’s Model. Recently, I was made aware of an incident by the control room involving a known youth who was found in possession of a machete, using it to inflict significant damage to a vehicle. Due to the context of the call, a taser authority was authorised and the control room were requesting officers to attend the location on an emergency response.</w:t>
      </w:r>
    </w:p>
    <w:p w14:paraId="617E38CB" w14:textId="77777777" w:rsidR="00D90C2E" w:rsidRDefault="00D90C2E" w:rsidP="00D90C2E">
      <w:pPr>
        <w:ind w:right="237"/>
        <w:jc w:val="both"/>
        <w:rPr>
          <w:color w:val="000000" w:themeColor="text1"/>
          <w:sz w:val="24"/>
          <w:szCs w:val="24"/>
        </w:rPr>
      </w:pPr>
    </w:p>
    <w:p w14:paraId="4255A0CF" w14:textId="77777777" w:rsidR="00D90C2E" w:rsidRDefault="00D90C2E" w:rsidP="00D90C2E">
      <w:pPr>
        <w:ind w:right="237"/>
        <w:jc w:val="both"/>
        <w:rPr>
          <w:color w:val="000000" w:themeColor="text1"/>
          <w:sz w:val="24"/>
          <w:szCs w:val="24"/>
        </w:rPr>
      </w:pPr>
      <w:r>
        <w:rPr>
          <w:color w:val="000000" w:themeColor="text1"/>
          <w:sz w:val="24"/>
          <w:szCs w:val="24"/>
        </w:rPr>
        <w:lastRenderedPageBreak/>
        <w:t>Upon arrival at the specified location, there were no apparent signs of any disturbance; however, I was immediately informed by the reporting person (RP) that the youth had made off prior to our arrival.</w:t>
      </w:r>
    </w:p>
    <w:p w14:paraId="6A06EF9A" w14:textId="77777777" w:rsidR="00D90C2E" w:rsidRDefault="00D90C2E" w:rsidP="00D90C2E">
      <w:pPr>
        <w:ind w:right="237"/>
        <w:jc w:val="both"/>
        <w:rPr>
          <w:color w:val="000000" w:themeColor="text1"/>
          <w:sz w:val="24"/>
          <w:szCs w:val="24"/>
        </w:rPr>
      </w:pPr>
    </w:p>
    <w:p w14:paraId="2722CEF3" w14:textId="77777777" w:rsidR="00D90C2E" w:rsidRDefault="00D90C2E" w:rsidP="00D90C2E">
      <w:pPr>
        <w:ind w:right="237"/>
        <w:jc w:val="both"/>
        <w:rPr>
          <w:color w:val="000000" w:themeColor="text1"/>
          <w:sz w:val="24"/>
          <w:szCs w:val="24"/>
        </w:rPr>
      </w:pPr>
      <w:r>
        <w:rPr>
          <w:color w:val="000000" w:themeColor="text1"/>
          <w:sz w:val="24"/>
          <w:szCs w:val="24"/>
        </w:rPr>
        <w:t>While in conversation with the RP, he disclosed that this incident had stemmed from a stabbing altercation that occurred the week prior. The RP reported that his neighbour had come forward as a witness and, after providing a formal statement identifying the suspects, she was then targeted. The RP further explained that the neighbour and her children were inside their vehicle in the neighbourhood when the suspects from the previous stabbing incident approached them, brandishing a machete and making direct threats of harm while damaging their vehicle. The RP was within his property at the time; however, upon hearing the disturbance, he exited his property and shouted at the suspects to leave his neighbour alone. In response, one of the suspects, known to the RP, brandished a machete and uttered threatening words to the effect of “YOU’RE NEXT”. The RP stated that, at the time, he did not perceive the threats to be credible; however, following the damage to his vehicle, he now expresses a heightened fear for his safety.</w:t>
      </w:r>
    </w:p>
    <w:p w14:paraId="7D69F83F" w14:textId="77777777" w:rsidR="00D90C2E" w:rsidRDefault="00D90C2E" w:rsidP="00D90C2E">
      <w:pPr>
        <w:ind w:right="237"/>
        <w:jc w:val="both"/>
        <w:rPr>
          <w:color w:val="000000" w:themeColor="text1"/>
          <w:sz w:val="24"/>
          <w:szCs w:val="24"/>
        </w:rPr>
      </w:pPr>
    </w:p>
    <w:p w14:paraId="65657D06" w14:textId="77777777" w:rsidR="00D90C2E" w:rsidRDefault="00D90C2E" w:rsidP="00D90C2E">
      <w:pPr>
        <w:ind w:right="237"/>
        <w:jc w:val="both"/>
        <w:rPr>
          <w:color w:val="000000" w:themeColor="text1"/>
          <w:sz w:val="24"/>
          <w:szCs w:val="24"/>
        </w:rPr>
      </w:pPr>
      <w:r>
        <w:rPr>
          <w:color w:val="000000" w:themeColor="text1"/>
          <w:sz w:val="24"/>
          <w:szCs w:val="24"/>
        </w:rPr>
        <w:t>The RP then disclosed details of the most recent incident, explaining that he was sat in his living room when he heard loud banging emanating from the rear of his property. Subsequently, he got up and upon exiting his property, observed the same young male who had previously issued threats a few days prior. the RP affirms that he witnessed the young male brandishing a machete, which he wielded to repeatedly striking his vehicle, resulting in significant damage. In response, the RP verbally confronted the male, who responded with sequence of abusive language. The RP then indicated his intention to contact the police, prompting the young male to hastily make off from the scene, vanishing from sight.</w:t>
      </w:r>
    </w:p>
    <w:p w14:paraId="017A3E01" w14:textId="77777777" w:rsidR="00D90C2E" w:rsidRDefault="00D90C2E" w:rsidP="00D90C2E">
      <w:pPr>
        <w:ind w:right="237"/>
        <w:jc w:val="both"/>
        <w:rPr>
          <w:color w:val="000000" w:themeColor="text1"/>
          <w:sz w:val="24"/>
          <w:szCs w:val="24"/>
        </w:rPr>
      </w:pPr>
    </w:p>
    <w:p w14:paraId="49A95247" w14:textId="77777777" w:rsidR="00D90C2E" w:rsidRDefault="00D90C2E" w:rsidP="00D90C2E">
      <w:pPr>
        <w:ind w:right="237"/>
        <w:jc w:val="both"/>
        <w:rPr>
          <w:color w:val="000000" w:themeColor="text1"/>
          <w:sz w:val="24"/>
          <w:szCs w:val="24"/>
        </w:rPr>
      </w:pPr>
      <w:r>
        <w:rPr>
          <w:color w:val="000000" w:themeColor="text1"/>
          <w:sz w:val="24"/>
          <w:szCs w:val="24"/>
        </w:rPr>
        <w:t xml:space="preserve">I will now discuss the “so what?” stage of Borton’s Model. Having engaged in a comprehensive conversation with the RP, I meticulously gathered as much information as possible, which enabled me to undertake an </w:t>
      </w:r>
      <w:r w:rsidRPr="00164D85">
        <w:rPr>
          <w:color w:val="000000" w:themeColor="text1"/>
          <w:sz w:val="24"/>
          <w:szCs w:val="24"/>
        </w:rPr>
        <w:t>initial assessment of risk</w:t>
      </w:r>
      <w:r>
        <w:rPr>
          <w:color w:val="000000" w:themeColor="text1"/>
          <w:sz w:val="24"/>
          <w:szCs w:val="24"/>
        </w:rPr>
        <w:t>s</w:t>
      </w:r>
      <w:r w:rsidRPr="00164D85">
        <w:rPr>
          <w:color w:val="000000" w:themeColor="text1"/>
          <w:sz w:val="24"/>
          <w:szCs w:val="24"/>
        </w:rPr>
        <w:t xml:space="preserve"> and </w:t>
      </w:r>
      <w:r>
        <w:rPr>
          <w:color w:val="000000" w:themeColor="text1"/>
          <w:sz w:val="24"/>
          <w:szCs w:val="24"/>
        </w:rPr>
        <w:t xml:space="preserve">potential </w:t>
      </w:r>
      <w:r w:rsidRPr="00164D85">
        <w:rPr>
          <w:color w:val="000000" w:themeColor="text1"/>
          <w:sz w:val="24"/>
          <w:szCs w:val="24"/>
        </w:rPr>
        <w:t>harm.</w:t>
      </w:r>
      <w:r>
        <w:rPr>
          <w:color w:val="000000" w:themeColor="text1"/>
          <w:sz w:val="24"/>
          <w:szCs w:val="24"/>
        </w:rPr>
        <w:t xml:space="preserve"> Upon recognising that the incident was part of a wider situation, I deemed it essential to request additional units. As a result, I immediately updated the control room with the circumstances and requested for further officers to conduct an area search to locate the named male. I also linked in with the neighbourhood policing team (NPT) to </w:t>
      </w:r>
      <w:proofErr w:type="gramStart"/>
      <w:r>
        <w:rPr>
          <w:color w:val="000000" w:themeColor="text1"/>
          <w:sz w:val="24"/>
          <w:szCs w:val="24"/>
        </w:rPr>
        <w:t>provide assistance</w:t>
      </w:r>
      <w:proofErr w:type="gramEnd"/>
      <w:r>
        <w:rPr>
          <w:color w:val="000000" w:themeColor="text1"/>
          <w:sz w:val="24"/>
          <w:szCs w:val="24"/>
        </w:rPr>
        <w:t xml:space="preserve"> at scene.</w:t>
      </w:r>
    </w:p>
    <w:p w14:paraId="7FC6442F" w14:textId="77777777" w:rsidR="00D90C2E" w:rsidRDefault="00D90C2E" w:rsidP="00D90C2E">
      <w:pPr>
        <w:ind w:right="237"/>
        <w:jc w:val="both"/>
        <w:rPr>
          <w:color w:val="000000" w:themeColor="text1"/>
          <w:sz w:val="24"/>
          <w:szCs w:val="24"/>
        </w:rPr>
      </w:pPr>
    </w:p>
    <w:p w14:paraId="7432B4EF" w14:textId="77777777" w:rsidR="00D90C2E" w:rsidRDefault="00D90C2E" w:rsidP="00D90C2E">
      <w:pPr>
        <w:ind w:right="237"/>
        <w:jc w:val="both"/>
        <w:rPr>
          <w:color w:val="000000" w:themeColor="text1"/>
          <w:sz w:val="24"/>
          <w:szCs w:val="24"/>
        </w:rPr>
      </w:pPr>
      <w:r w:rsidRPr="00591C87">
        <w:rPr>
          <w:color w:val="000000" w:themeColor="text1"/>
          <w:sz w:val="24"/>
          <w:szCs w:val="24"/>
        </w:rPr>
        <w:t>Following the report of any incident,</w:t>
      </w:r>
      <w:r>
        <w:rPr>
          <w:b/>
          <w:bCs/>
          <w:color w:val="000000" w:themeColor="text1"/>
          <w:sz w:val="24"/>
          <w:szCs w:val="24"/>
        </w:rPr>
        <w:t xml:space="preserve"> </w:t>
      </w:r>
      <w:r>
        <w:rPr>
          <w:color w:val="000000" w:themeColor="text1"/>
          <w:sz w:val="24"/>
          <w:szCs w:val="24"/>
        </w:rPr>
        <w:t>it is vital to take positive action as part of the ‘golden hour’ enquiries as this can have a significant impact on the rest of the investigation (Spooner and Cooper, 2023). In my role as the initial attending officer, I had a duty to consider what fast-track actions were necessary to “protect, preserve or gather material that may otherwise be concealed, lost, damaged, altered or destroyed” (CoP, 2013).</w:t>
      </w:r>
    </w:p>
    <w:p w14:paraId="58542A63" w14:textId="77777777" w:rsidR="00D90C2E" w:rsidRDefault="00D90C2E" w:rsidP="00D90C2E">
      <w:pPr>
        <w:ind w:right="237"/>
        <w:jc w:val="both"/>
        <w:rPr>
          <w:color w:val="000000" w:themeColor="text1"/>
          <w:sz w:val="24"/>
          <w:szCs w:val="24"/>
        </w:rPr>
      </w:pPr>
    </w:p>
    <w:p w14:paraId="2FEAF1A8" w14:textId="77777777" w:rsidR="00D90C2E" w:rsidRDefault="00D90C2E" w:rsidP="00D90C2E">
      <w:pPr>
        <w:ind w:right="237"/>
        <w:jc w:val="both"/>
        <w:rPr>
          <w:color w:val="000000" w:themeColor="text1"/>
          <w:sz w:val="24"/>
          <w:szCs w:val="24"/>
        </w:rPr>
      </w:pPr>
      <w:r>
        <w:rPr>
          <w:color w:val="000000" w:themeColor="text1"/>
          <w:sz w:val="24"/>
          <w:szCs w:val="24"/>
        </w:rPr>
        <w:t>I commenced the investigation by conducting a thorough area search. During this phase, I discovered a black machete sheath situated on the footpath adjacent to the incident address. I took photographs of the sheath in situ and subsequently seized the item for forensic examination. This is considered a valuable tool as on average, the police are three times more likely to identify/link suspects when forensic opportunities are apparent (Bradbury and Feist, 2005).</w:t>
      </w:r>
    </w:p>
    <w:p w14:paraId="63457DC4" w14:textId="77777777" w:rsidR="00D90C2E" w:rsidRDefault="00D90C2E" w:rsidP="00D90C2E">
      <w:pPr>
        <w:ind w:right="237"/>
        <w:jc w:val="both"/>
        <w:rPr>
          <w:color w:val="000000" w:themeColor="text1"/>
          <w:sz w:val="24"/>
          <w:szCs w:val="24"/>
        </w:rPr>
      </w:pPr>
    </w:p>
    <w:p w14:paraId="7BF6A9D5" w14:textId="77777777" w:rsidR="00D90C2E" w:rsidRDefault="00D90C2E" w:rsidP="00D90C2E">
      <w:pPr>
        <w:ind w:right="237"/>
        <w:jc w:val="both"/>
        <w:rPr>
          <w:color w:val="000000" w:themeColor="text1"/>
          <w:sz w:val="24"/>
          <w:szCs w:val="24"/>
        </w:rPr>
      </w:pPr>
      <w:r>
        <w:rPr>
          <w:color w:val="000000" w:themeColor="text1"/>
          <w:sz w:val="24"/>
          <w:szCs w:val="24"/>
        </w:rPr>
        <w:t>Following this, I began conducting house to house/CCTV enquiries with the neighbouring properties alongside NPT. A strong emphasis is placed on how you interact with neighbours during first point of contact as their decision to support the investigation is likely to be influenced by this</w:t>
      </w:r>
      <w:r>
        <w:rPr>
          <w:b/>
          <w:bCs/>
          <w:color w:val="000000" w:themeColor="text1"/>
          <w:sz w:val="24"/>
          <w:szCs w:val="24"/>
        </w:rPr>
        <w:t xml:space="preserve"> </w:t>
      </w:r>
      <w:r>
        <w:rPr>
          <w:color w:val="000000" w:themeColor="text1"/>
          <w:sz w:val="24"/>
          <w:szCs w:val="24"/>
        </w:rPr>
        <w:t>(Spooner and Cooper, 2023). Whilst speaking with the neighbouring properties, it was brought to my attention that they had several concerns with assisting police. This was due to there now being two targeted incidents because of witnesses coming forward to support a police investigation. Upon delving further into understanding the views and needs of the community, I had to consider ways in which I could reduce their fear of crime and improve their confidence in the police to obtain their assistance with the investigation.</w:t>
      </w:r>
    </w:p>
    <w:p w14:paraId="40DE4438" w14:textId="77777777" w:rsidR="00D90C2E" w:rsidRDefault="00D90C2E" w:rsidP="00D90C2E">
      <w:pPr>
        <w:ind w:right="237"/>
        <w:jc w:val="both"/>
        <w:rPr>
          <w:color w:val="000000" w:themeColor="text1"/>
          <w:sz w:val="24"/>
          <w:szCs w:val="24"/>
        </w:rPr>
      </w:pPr>
    </w:p>
    <w:p w14:paraId="29EBEB4B" w14:textId="77777777" w:rsidR="00D90C2E" w:rsidRDefault="00D90C2E" w:rsidP="00D90C2E">
      <w:pPr>
        <w:ind w:right="237"/>
        <w:jc w:val="both"/>
        <w:rPr>
          <w:color w:val="000000" w:themeColor="text1"/>
          <w:sz w:val="24"/>
          <w:szCs w:val="24"/>
        </w:rPr>
      </w:pPr>
      <w:r>
        <w:rPr>
          <w:color w:val="000000" w:themeColor="text1"/>
          <w:sz w:val="24"/>
          <w:szCs w:val="24"/>
        </w:rPr>
        <w:t xml:space="preserve">Whilst still at the incident location, I received a point-to-point from the officers conducting arrest enquiries. I was informed that they had located the male at his residence, which was in </w:t>
      </w:r>
      <w:proofErr w:type="gramStart"/>
      <w:r>
        <w:rPr>
          <w:color w:val="000000" w:themeColor="text1"/>
          <w:sz w:val="24"/>
          <w:szCs w:val="24"/>
        </w:rPr>
        <w:t>close proximity</w:t>
      </w:r>
      <w:proofErr w:type="gramEnd"/>
      <w:r>
        <w:rPr>
          <w:color w:val="000000" w:themeColor="text1"/>
          <w:sz w:val="24"/>
          <w:szCs w:val="24"/>
        </w:rPr>
        <w:t>. I was advised that the male was found to be wearing the same clothing as described in the initial call. Subsequently, the officers arrested the male for the offences of criminal damage and possession of a bladed article in a public place.</w:t>
      </w:r>
    </w:p>
    <w:p w14:paraId="5AAE52A5" w14:textId="77777777" w:rsidR="00D90C2E" w:rsidRDefault="00D90C2E" w:rsidP="00D90C2E">
      <w:pPr>
        <w:ind w:right="237"/>
        <w:jc w:val="both"/>
        <w:rPr>
          <w:color w:val="000000" w:themeColor="text1"/>
          <w:sz w:val="24"/>
          <w:szCs w:val="24"/>
        </w:rPr>
      </w:pPr>
    </w:p>
    <w:p w14:paraId="6CA558D5" w14:textId="77777777" w:rsidR="00D90C2E" w:rsidRDefault="00D90C2E" w:rsidP="00D90C2E">
      <w:pPr>
        <w:ind w:right="237"/>
        <w:jc w:val="both"/>
        <w:rPr>
          <w:color w:val="000000" w:themeColor="text1"/>
          <w:sz w:val="24"/>
          <w:szCs w:val="24"/>
        </w:rPr>
      </w:pPr>
      <w:r>
        <w:rPr>
          <w:color w:val="000000" w:themeColor="text1"/>
          <w:sz w:val="24"/>
          <w:szCs w:val="24"/>
        </w:rPr>
        <w:t>Following arrest, section 32(b) of the Police and Criminal Evidence Act 1984 was utilised, which gives constables the power to</w:t>
      </w:r>
      <w:r w:rsidRPr="00DD0F83">
        <w:rPr>
          <w:color w:val="000000" w:themeColor="text1"/>
          <w:sz w:val="24"/>
          <w:szCs w:val="24"/>
        </w:rPr>
        <w:t xml:space="preserve"> enter and search any premises in which a person is arrested, for evidence relating to the offence </w:t>
      </w:r>
      <w:r>
        <w:rPr>
          <w:color w:val="000000" w:themeColor="text1"/>
          <w:sz w:val="24"/>
          <w:szCs w:val="24"/>
        </w:rPr>
        <w:t xml:space="preserve">(Legislation.gov.uk, 2013). </w:t>
      </w:r>
      <w:proofErr w:type="gramStart"/>
      <w:r>
        <w:rPr>
          <w:color w:val="000000" w:themeColor="text1"/>
          <w:sz w:val="24"/>
          <w:szCs w:val="24"/>
        </w:rPr>
        <w:t>Subsequent to</w:t>
      </w:r>
      <w:proofErr w:type="gramEnd"/>
      <w:r>
        <w:rPr>
          <w:color w:val="000000" w:themeColor="text1"/>
          <w:sz w:val="24"/>
          <w:szCs w:val="24"/>
        </w:rPr>
        <w:t xml:space="preserve"> this search, I was advised that officers discovered a machete knife, a cannister of CS spray, in addition to multiple wraps of cannabis. Furthermore, the officers also uncovered a substantial amount of cash, alongside a regular mobile phone and several ‘burner’ phones. As a result of these findings, the youth was further arrested for possession of a bladed article in a private place, possession of a Section 5 firearm and possession with intent to supply Class B drugs. </w:t>
      </w:r>
    </w:p>
    <w:p w14:paraId="1E4DDBDE" w14:textId="77777777" w:rsidR="00D90C2E" w:rsidRDefault="00D90C2E" w:rsidP="00D90C2E">
      <w:pPr>
        <w:ind w:right="237"/>
        <w:jc w:val="both"/>
        <w:rPr>
          <w:color w:val="000000" w:themeColor="text1"/>
          <w:sz w:val="24"/>
          <w:szCs w:val="24"/>
        </w:rPr>
      </w:pPr>
    </w:p>
    <w:p w14:paraId="2BF88A1F" w14:textId="77777777" w:rsidR="00D90C2E" w:rsidRPr="00441A62" w:rsidRDefault="00D90C2E" w:rsidP="00D90C2E">
      <w:pPr>
        <w:ind w:right="237"/>
        <w:jc w:val="both"/>
        <w:rPr>
          <w:color w:val="000000" w:themeColor="text1"/>
          <w:sz w:val="24"/>
          <w:szCs w:val="24"/>
        </w:rPr>
      </w:pPr>
      <w:r>
        <w:rPr>
          <w:color w:val="000000" w:themeColor="text1"/>
          <w:sz w:val="24"/>
          <w:szCs w:val="24"/>
        </w:rPr>
        <w:t>The Youth Justice Service produces annual reports that provide up-to-date statistics on youth-related crime. Upon reviewing the published figures for the year 2021/2022, it reveals a combined total of 3,500 knife and/or offensive weapon offences committed by children aged 10-to-17 years. The male involved in this incident falls within the 10-to-17 age group, which at 31.2% has the highest re-offending rate of all age groups (YJB, 2023).</w:t>
      </w:r>
    </w:p>
    <w:p w14:paraId="78D7A31F" w14:textId="77777777" w:rsidR="00D90C2E" w:rsidRDefault="00D90C2E" w:rsidP="00D90C2E">
      <w:pPr>
        <w:ind w:right="237"/>
        <w:jc w:val="both"/>
        <w:rPr>
          <w:color w:val="000000" w:themeColor="text1"/>
          <w:sz w:val="24"/>
          <w:szCs w:val="24"/>
        </w:rPr>
      </w:pPr>
    </w:p>
    <w:p w14:paraId="0399D0A1" w14:textId="77777777" w:rsidR="00D90C2E" w:rsidRDefault="00D90C2E" w:rsidP="00D90C2E">
      <w:pPr>
        <w:ind w:right="237"/>
        <w:jc w:val="both"/>
        <w:rPr>
          <w:color w:val="000000" w:themeColor="text1"/>
          <w:sz w:val="24"/>
          <w:szCs w:val="24"/>
        </w:rPr>
      </w:pPr>
      <w:r>
        <w:rPr>
          <w:color w:val="000000" w:themeColor="text1"/>
          <w:sz w:val="24"/>
          <w:szCs w:val="24"/>
        </w:rPr>
        <w:t>The Criminal Justice System face</w:t>
      </w:r>
      <w:r>
        <w:rPr>
          <w:b/>
          <w:bCs/>
          <w:color w:val="000000" w:themeColor="text1"/>
          <w:sz w:val="24"/>
          <w:szCs w:val="24"/>
        </w:rPr>
        <w:t xml:space="preserve"> </w:t>
      </w:r>
      <w:r w:rsidRPr="00DA377B">
        <w:rPr>
          <w:color w:val="000000" w:themeColor="text1"/>
          <w:sz w:val="24"/>
          <w:szCs w:val="24"/>
        </w:rPr>
        <w:t>ever more challenges from society</w:t>
      </w:r>
      <w:r>
        <w:rPr>
          <w:b/>
          <w:bCs/>
          <w:color w:val="000000" w:themeColor="text1"/>
          <w:sz w:val="24"/>
          <w:szCs w:val="24"/>
        </w:rPr>
        <w:t xml:space="preserve"> </w:t>
      </w:r>
      <w:r>
        <w:rPr>
          <w:color w:val="000000" w:themeColor="text1"/>
          <w:sz w:val="24"/>
          <w:szCs w:val="24"/>
        </w:rPr>
        <w:t>today (University of Birmingham, 2016).</w:t>
      </w:r>
      <w:r>
        <w:rPr>
          <w:b/>
          <w:bCs/>
          <w:color w:val="000000" w:themeColor="text1"/>
          <w:sz w:val="24"/>
          <w:szCs w:val="24"/>
        </w:rPr>
        <w:t xml:space="preserve"> </w:t>
      </w:r>
      <w:r>
        <w:rPr>
          <w:color w:val="000000" w:themeColor="text1"/>
          <w:sz w:val="24"/>
          <w:szCs w:val="24"/>
        </w:rPr>
        <w:t>Despite the 10-to-17 age group having the highest re-offending rate, the Youth Justice Board (2023) has highlighted a year-on-year decrease in figures for offences committed by children since 2015. “</w:t>
      </w:r>
      <w:r w:rsidRPr="007C5721">
        <w:rPr>
          <w:rFonts w:eastAsia="Arial"/>
          <w:color w:val="000000" w:themeColor="text1"/>
          <w:sz w:val="24"/>
          <w:szCs w:val="24"/>
        </w:rPr>
        <w:t>While official figures show a drop in police recorded crime in the UK, the distribution of crime shows a more complex pattern with violent crime showing a rise</w:t>
      </w:r>
      <w:r>
        <w:rPr>
          <w:rFonts w:eastAsia="Arial"/>
          <w:color w:val="000000" w:themeColor="text1"/>
          <w:sz w:val="24"/>
          <w:szCs w:val="24"/>
        </w:rPr>
        <w:t>”</w:t>
      </w:r>
      <w:r>
        <w:rPr>
          <w:rFonts w:eastAsia="Arial"/>
          <w:b/>
          <w:bCs/>
          <w:color w:val="000000" w:themeColor="text1"/>
          <w:sz w:val="24"/>
          <w:szCs w:val="24"/>
        </w:rPr>
        <w:t xml:space="preserve"> </w:t>
      </w:r>
      <w:r>
        <w:rPr>
          <w:color w:val="000000" w:themeColor="text1"/>
          <w:sz w:val="24"/>
          <w:szCs w:val="24"/>
        </w:rPr>
        <w:t>(University of Birmingham, 2016). Thus, it is crucial to investigate the factors contributing to the decline in the re-offending rates, which include instances of victim and witness intimidation. The continuing practice is a widespread issue which if not addressed can have a detrimental effect on community engagement (Chen, 2009).</w:t>
      </w:r>
    </w:p>
    <w:p w14:paraId="3EE56769" w14:textId="77777777" w:rsidR="00D90C2E" w:rsidRDefault="00D90C2E" w:rsidP="00D90C2E">
      <w:pPr>
        <w:ind w:right="237"/>
        <w:jc w:val="both"/>
        <w:rPr>
          <w:color w:val="000000" w:themeColor="text1"/>
          <w:sz w:val="24"/>
          <w:szCs w:val="24"/>
        </w:rPr>
      </w:pPr>
    </w:p>
    <w:p w14:paraId="01BD0675" w14:textId="77777777" w:rsidR="00D90C2E" w:rsidRDefault="00D90C2E" w:rsidP="00D90C2E">
      <w:pPr>
        <w:ind w:right="237"/>
        <w:jc w:val="both"/>
        <w:rPr>
          <w:color w:val="000000" w:themeColor="text1"/>
          <w:sz w:val="24"/>
          <w:szCs w:val="24"/>
        </w:rPr>
      </w:pPr>
      <w:bookmarkStart w:id="0" w:name="_Hlk148547307"/>
      <w:r>
        <w:rPr>
          <w:color w:val="000000" w:themeColor="text1"/>
          <w:sz w:val="24"/>
          <w:szCs w:val="24"/>
        </w:rPr>
        <w:lastRenderedPageBreak/>
        <w:t xml:space="preserve">Due to there now being two incidents whereby individuals have been targeted </w:t>
      </w:r>
      <w:proofErr w:type="gramStart"/>
      <w:r>
        <w:rPr>
          <w:color w:val="000000" w:themeColor="text1"/>
          <w:sz w:val="24"/>
          <w:szCs w:val="24"/>
        </w:rPr>
        <w:t>as a result of</w:t>
      </w:r>
      <w:proofErr w:type="gramEnd"/>
      <w:r>
        <w:rPr>
          <w:color w:val="000000" w:themeColor="text1"/>
          <w:sz w:val="24"/>
          <w:szCs w:val="24"/>
        </w:rPr>
        <w:t xml:space="preserve"> assisting police, I now had to consider the final stage of Borton’s model “now what?”. I did this by </w:t>
      </w:r>
      <w:r w:rsidRPr="00826A06">
        <w:rPr>
          <w:color w:val="000000" w:themeColor="text1"/>
          <w:sz w:val="24"/>
          <w:szCs w:val="24"/>
        </w:rPr>
        <w:t>identifying</w:t>
      </w:r>
      <w:r>
        <w:rPr>
          <w:b/>
          <w:bCs/>
          <w:color w:val="000000" w:themeColor="text1"/>
          <w:sz w:val="24"/>
          <w:szCs w:val="24"/>
        </w:rPr>
        <w:t xml:space="preserve"> </w:t>
      </w:r>
      <w:r>
        <w:rPr>
          <w:color w:val="000000" w:themeColor="text1"/>
          <w:sz w:val="24"/>
          <w:szCs w:val="24"/>
        </w:rPr>
        <w:t>means</w:t>
      </w:r>
      <w:r w:rsidRPr="00B616DC">
        <w:rPr>
          <w:color w:val="000000" w:themeColor="text1"/>
          <w:sz w:val="24"/>
          <w:szCs w:val="24"/>
        </w:rPr>
        <w:t xml:space="preserve"> to disrupt or prevent future criminal activity </w:t>
      </w:r>
      <w:r>
        <w:rPr>
          <w:color w:val="000000" w:themeColor="text1"/>
          <w:sz w:val="24"/>
          <w:szCs w:val="24"/>
        </w:rPr>
        <w:t xml:space="preserve">(CoP, 2013) as well as implementing a range of interventions to promote community engagement. </w:t>
      </w:r>
    </w:p>
    <w:p w14:paraId="4BAD6BC7" w14:textId="77777777" w:rsidR="00D90C2E" w:rsidRDefault="00D90C2E" w:rsidP="00D90C2E">
      <w:pPr>
        <w:ind w:right="237"/>
        <w:jc w:val="both"/>
        <w:rPr>
          <w:color w:val="000000" w:themeColor="text1"/>
          <w:sz w:val="24"/>
          <w:szCs w:val="24"/>
        </w:rPr>
      </w:pPr>
    </w:p>
    <w:p w14:paraId="570C90C1" w14:textId="77777777" w:rsidR="00D90C2E" w:rsidRDefault="00D90C2E" w:rsidP="00D90C2E">
      <w:pPr>
        <w:ind w:right="237"/>
        <w:jc w:val="both"/>
        <w:rPr>
          <w:color w:val="000000" w:themeColor="text1"/>
          <w:sz w:val="24"/>
          <w:szCs w:val="24"/>
        </w:rPr>
      </w:pPr>
      <w:r>
        <w:rPr>
          <w:color w:val="000000" w:themeColor="text1"/>
          <w:sz w:val="24"/>
          <w:szCs w:val="24"/>
        </w:rPr>
        <w:t xml:space="preserve">Whilst still at scene, I used my work-issued radio to speak with my Inspector. I debriefed him with the circumstances and informed him about the link to the recent stabbing incident. I highlighted the likelihood of a further incident occurring and expressed how upon speaking to the community and listening to their concerns, I believed that immediate police intervention was required. I inquired whether he would consider imposing a dispersal order to which he advised that he </w:t>
      </w:r>
      <w:proofErr w:type="gramStart"/>
      <w:r>
        <w:rPr>
          <w:color w:val="000000" w:themeColor="text1"/>
          <w:sz w:val="24"/>
          <w:szCs w:val="24"/>
        </w:rPr>
        <w:t>would review</w:t>
      </w:r>
      <w:proofErr w:type="gramEnd"/>
      <w:r>
        <w:rPr>
          <w:color w:val="000000" w:themeColor="text1"/>
          <w:sz w:val="24"/>
          <w:szCs w:val="24"/>
        </w:rPr>
        <w:t xml:space="preserve"> the linked incidents before getting back to me. </w:t>
      </w:r>
    </w:p>
    <w:p w14:paraId="181A1654" w14:textId="77777777" w:rsidR="00D90C2E" w:rsidRDefault="00D90C2E" w:rsidP="00D90C2E">
      <w:pPr>
        <w:ind w:right="237"/>
        <w:jc w:val="both"/>
        <w:rPr>
          <w:color w:val="000000" w:themeColor="text1"/>
          <w:sz w:val="24"/>
          <w:szCs w:val="24"/>
        </w:rPr>
      </w:pPr>
    </w:p>
    <w:p w14:paraId="3BD762AB" w14:textId="77777777" w:rsidR="00D90C2E" w:rsidRDefault="00D90C2E" w:rsidP="00D90C2E">
      <w:pPr>
        <w:ind w:right="237"/>
        <w:jc w:val="both"/>
        <w:rPr>
          <w:color w:val="000000" w:themeColor="text1"/>
          <w:sz w:val="24"/>
          <w:szCs w:val="24"/>
        </w:rPr>
      </w:pPr>
      <w:r>
        <w:rPr>
          <w:color w:val="000000" w:themeColor="text1"/>
          <w:sz w:val="24"/>
          <w:szCs w:val="24"/>
        </w:rPr>
        <w:t>A short while later, I received further contact from my Inspector, who advised that he would authorise the dispersal order under Section 34 of the Anti-Social Behaviour, Crime and Policing Act 2014. Having this dispersal order in place therefore enabled officers under Section 35 of this Act to “direct a person who has committed, or is likely to commit, anti-social behaviour to leave a specified area and not return for a specified period of up to 48 hours” (Legislation.gov.uk, 2014).</w:t>
      </w:r>
    </w:p>
    <w:bookmarkEnd w:id="0"/>
    <w:p w14:paraId="50F0FEE8" w14:textId="77777777" w:rsidR="00D90C2E" w:rsidRDefault="00D90C2E" w:rsidP="00D90C2E">
      <w:pPr>
        <w:ind w:right="237"/>
        <w:jc w:val="both"/>
        <w:rPr>
          <w:color w:val="000000" w:themeColor="text1"/>
          <w:sz w:val="24"/>
          <w:szCs w:val="24"/>
        </w:rPr>
      </w:pPr>
    </w:p>
    <w:p w14:paraId="486FDA61" w14:textId="77777777" w:rsidR="00D90C2E" w:rsidRDefault="00D90C2E" w:rsidP="00D90C2E">
      <w:pPr>
        <w:ind w:right="237"/>
        <w:jc w:val="both"/>
        <w:rPr>
          <w:color w:val="000000" w:themeColor="text1"/>
          <w:sz w:val="24"/>
          <w:szCs w:val="24"/>
        </w:rPr>
      </w:pPr>
      <w:r>
        <w:rPr>
          <w:color w:val="000000" w:themeColor="text1"/>
          <w:sz w:val="24"/>
          <w:szCs w:val="24"/>
        </w:rPr>
        <w:t xml:space="preserve">I then used my work-issued </w:t>
      </w:r>
      <w:r w:rsidRPr="00BC2A2A">
        <w:rPr>
          <w:color w:val="000000" w:themeColor="text1"/>
          <w:sz w:val="24"/>
          <w:szCs w:val="24"/>
        </w:rPr>
        <w:t xml:space="preserve">radio to contact the </w:t>
      </w:r>
      <w:r>
        <w:rPr>
          <w:color w:val="000000" w:themeColor="text1"/>
          <w:sz w:val="24"/>
          <w:szCs w:val="24"/>
        </w:rPr>
        <w:t>control room</w:t>
      </w:r>
      <w:r w:rsidRPr="00BC2A2A">
        <w:rPr>
          <w:color w:val="000000" w:themeColor="text1"/>
          <w:sz w:val="24"/>
          <w:szCs w:val="24"/>
        </w:rPr>
        <w:t>.</w:t>
      </w:r>
      <w:r>
        <w:rPr>
          <w:color w:val="000000" w:themeColor="text1"/>
          <w:sz w:val="24"/>
          <w:szCs w:val="24"/>
        </w:rPr>
        <w:t xml:space="preserve"> I asked </w:t>
      </w:r>
      <w:r w:rsidRPr="00BC2A2A">
        <w:rPr>
          <w:color w:val="000000" w:themeColor="text1"/>
          <w:sz w:val="24"/>
          <w:szCs w:val="24"/>
        </w:rPr>
        <w:t xml:space="preserve">for a patrol strategy to be created on Control Works which is </w:t>
      </w:r>
      <w:r>
        <w:rPr>
          <w:color w:val="000000" w:themeColor="text1"/>
          <w:sz w:val="24"/>
          <w:szCs w:val="24"/>
        </w:rPr>
        <w:t xml:space="preserve">used as </w:t>
      </w:r>
      <w:r w:rsidRPr="00BC2A2A">
        <w:rPr>
          <w:color w:val="000000" w:themeColor="text1"/>
          <w:sz w:val="24"/>
          <w:szCs w:val="24"/>
        </w:rPr>
        <w:t>an “integrated platform to manage public safety contact and incident response” (Capita, p.2).</w:t>
      </w:r>
      <w:r>
        <w:rPr>
          <w:color w:val="000000" w:themeColor="text1"/>
          <w:sz w:val="24"/>
          <w:szCs w:val="24"/>
        </w:rPr>
        <w:t xml:space="preserve"> I specifically requested for two hourly patrols to be conducted at the incident location to act as a focused deterrent in the area with the </w:t>
      </w:r>
      <w:proofErr w:type="gramStart"/>
      <w:r>
        <w:rPr>
          <w:color w:val="000000" w:themeColor="text1"/>
          <w:sz w:val="24"/>
          <w:szCs w:val="24"/>
        </w:rPr>
        <w:t>main focus</w:t>
      </w:r>
      <w:proofErr w:type="gramEnd"/>
      <w:r>
        <w:rPr>
          <w:color w:val="000000" w:themeColor="text1"/>
          <w:sz w:val="24"/>
          <w:szCs w:val="24"/>
        </w:rPr>
        <w:t xml:space="preserve"> of keeping the community safe.</w:t>
      </w:r>
    </w:p>
    <w:p w14:paraId="06199BC0" w14:textId="77777777" w:rsidR="00D90C2E" w:rsidRDefault="00D90C2E" w:rsidP="00D90C2E">
      <w:pPr>
        <w:ind w:right="237"/>
        <w:jc w:val="both"/>
        <w:rPr>
          <w:color w:val="000000" w:themeColor="text1"/>
          <w:sz w:val="24"/>
          <w:szCs w:val="24"/>
        </w:rPr>
      </w:pPr>
    </w:p>
    <w:p w14:paraId="1F78C66E" w14:textId="77777777" w:rsidR="00D90C2E" w:rsidRPr="001C008D" w:rsidRDefault="00D90C2E" w:rsidP="00D90C2E">
      <w:pPr>
        <w:ind w:right="237"/>
        <w:jc w:val="both"/>
        <w:rPr>
          <w:b/>
          <w:bCs/>
          <w:color w:val="000000" w:themeColor="text1"/>
          <w:sz w:val="24"/>
          <w:szCs w:val="24"/>
        </w:rPr>
      </w:pPr>
      <w:r>
        <w:rPr>
          <w:color w:val="000000" w:themeColor="text1"/>
          <w:sz w:val="24"/>
          <w:szCs w:val="24"/>
        </w:rPr>
        <w:t xml:space="preserve">With authorisation from my Inspector, I then spoke with the Communications and Media Team as they co-ordinate all social media content that gets shared with the public. Suler (2016) highlights how trust from the public is a major issue for social media communications and it is therefore vital for the police to have </w:t>
      </w:r>
      <w:r w:rsidRPr="00AB43ED">
        <w:rPr>
          <w:color w:val="000000" w:themeColor="text1"/>
          <w:sz w:val="24"/>
          <w:szCs w:val="24"/>
        </w:rPr>
        <w:t xml:space="preserve">a successful working relationship </w:t>
      </w:r>
      <w:r>
        <w:rPr>
          <w:color w:val="000000" w:themeColor="text1"/>
          <w:sz w:val="24"/>
          <w:szCs w:val="24"/>
        </w:rPr>
        <w:t xml:space="preserve">with the communities that they serve. </w:t>
      </w:r>
      <w:r>
        <w:rPr>
          <w:sz w:val="24"/>
          <w:szCs w:val="24"/>
        </w:rPr>
        <w:t xml:space="preserve">As a result, I wanted to ensure that the community were kept informed with the progress of the investigation as by “being fair, respectful, open and transparent in communications, this can in turn motivate the public to cooperate with the police” (CoP, 2022). Fielding (2023) further highlights that social media is key for </w:t>
      </w:r>
      <w:r w:rsidRPr="000E7A2E">
        <w:rPr>
          <w:color w:val="000000" w:themeColor="text1"/>
          <w:sz w:val="24"/>
          <w:szCs w:val="24"/>
        </w:rPr>
        <w:t>building</w:t>
      </w:r>
      <w:r w:rsidRPr="002F3122">
        <w:rPr>
          <w:b/>
          <w:bCs/>
          <w:color w:val="000000" w:themeColor="text1"/>
          <w:sz w:val="24"/>
          <w:szCs w:val="24"/>
        </w:rPr>
        <w:t xml:space="preserve"> </w:t>
      </w:r>
      <w:r>
        <w:rPr>
          <w:color w:val="000000" w:themeColor="text1"/>
          <w:sz w:val="24"/>
          <w:szCs w:val="24"/>
        </w:rPr>
        <w:t xml:space="preserve">community </w:t>
      </w:r>
      <w:r w:rsidRPr="000E7A2E">
        <w:rPr>
          <w:color w:val="000000" w:themeColor="text1"/>
          <w:sz w:val="24"/>
          <w:szCs w:val="24"/>
        </w:rPr>
        <w:t>engagement</w:t>
      </w:r>
      <w:r w:rsidRPr="002F3122">
        <w:rPr>
          <w:b/>
          <w:bCs/>
          <w:color w:val="000000" w:themeColor="text1"/>
          <w:sz w:val="24"/>
          <w:szCs w:val="24"/>
        </w:rPr>
        <w:t xml:space="preserve"> </w:t>
      </w:r>
      <w:r w:rsidRPr="000E7A2E">
        <w:rPr>
          <w:color w:val="000000" w:themeColor="text1"/>
          <w:sz w:val="24"/>
          <w:szCs w:val="24"/>
        </w:rPr>
        <w:t>and the quality of these encounters is a prime contributor to increasing the public’s confidence and meeting their expectations.</w:t>
      </w:r>
    </w:p>
    <w:p w14:paraId="77612DD8" w14:textId="77777777" w:rsidR="00D90C2E" w:rsidRDefault="00D90C2E" w:rsidP="00D90C2E">
      <w:pPr>
        <w:ind w:right="237"/>
        <w:jc w:val="both"/>
        <w:rPr>
          <w:color w:val="000000" w:themeColor="text1"/>
          <w:sz w:val="24"/>
          <w:szCs w:val="24"/>
        </w:rPr>
      </w:pPr>
    </w:p>
    <w:p w14:paraId="6628A709" w14:textId="77777777" w:rsidR="00D90C2E" w:rsidRDefault="00D90C2E" w:rsidP="00D90C2E">
      <w:pPr>
        <w:ind w:right="237"/>
        <w:jc w:val="both"/>
        <w:rPr>
          <w:color w:val="000000" w:themeColor="text1"/>
          <w:sz w:val="24"/>
          <w:szCs w:val="24"/>
        </w:rPr>
      </w:pPr>
      <w:r>
        <w:rPr>
          <w:color w:val="000000" w:themeColor="text1"/>
          <w:sz w:val="24"/>
          <w:szCs w:val="24"/>
        </w:rPr>
        <w:t>Following this incident, a greater emphasis was placed on proactive policing included the utilisation of stop search powers. While stop search remains a subject of controversy, recent times have shown a revival in the use of stop and search powers as a response to the increasing rates of crime</w:t>
      </w:r>
      <w:r>
        <w:rPr>
          <w:b/>
          <w:bCs/>
          <w:color w:val="000000" w:themeColor="text1"/>
          <w:sz w:val="24"/>
          <w:szCs w:val="24"/>
        </w:rPr>
        <w:t xml:space="preserve"> </w:t>
      </w:r>
      <w:r>
        <w:rPr>
          <w:color w:val="000000" w:themeColor="text1"/>
          <w:sz w:val="24"/>
          <w:szCs w:val="24"/>
        </w:rPr>
        <w:t>(Nickolls and Allen, 2022). Officers are however, expected to adopt a balanced approach to ensure these powers are utilised correctly</w:t>
      </w:r>
      <w:r>
        <w:rPr>
          <w:b/>
          <w:bCs/>
          <w:color w:val="000000" w:themeColor="text1"/>
          <w:sz w:val="24"/>
          <w:szCs w:val="24"/>
        </w:rPr>
        <w:t xml:space="preserve"> </w:t>
      </w:r>
      <w:r>
        <w:rPr>
          <w:color w:val="000000" w:themeColor="text1"/>
          <w:sz w:val="24"/>
          <w:szCs w:val="24"/>
        </w:rPr>
        <w:t xml:space="preserve">(Spooner and Cooper, 2023). Section 1 of the Police and Criminal Evidence Act 1984 allows officers to detain any person in any place which the public has access if he or she has reasonable grounds for suspecting that stolen or prohibited articles will be found, any prohibited fireworks as well as any bladed or sharply pointed articles (Legislation.gov.uk, 2023). </w:t>
      </w:r>
    </w:p>
    <w:p w14:paraId="409CEFF1" w14:textId="77777777" w:rsidR="00D90C2E" w:rsidRDefault="00D90C2E" w:rsidP="00D90C2E">
      <w:pPr>
        <w:ind w:right="237"/>
        <w:jc w:val="both"/>
        <w:rPr>
          <w:color w:val="000000" w:themeColor="text1"/>
          <w:sz w:val="24"/>
          <w:szCs w:val="24"/>
        </w:rPr>
      </w:pPr>
    </w:p>
    <w:p w14:paraId="5FADCB10" w14:textId="77777777" w:rsidR="00D90C2E" w:rsidRDefault="00D90C2E" w:rsidP="00D90C2E">
      <w:pPr>
        <w:ind w:right="237"/>
        <w:jc w:val="both"/>
        <w:rPr>
          <w:color w:val="000000" w:themeColor="text1"/>
          <w:sz w:val="24"/>
          <w:szCs w:val="24"/>
        </w:rPr>
      </w:pPr>
      <w:r w:rsidRPr="002F1BD9">
        <w:rPr>
          <w:color w:val="000000" w:themeColor="text1"/>
          <w:sz w:val="24"/>
          <w:szCs w:val="24"/>
        </w:rPr>
        <w:lastRenderedPageBreak/>
        <w:t>It must be recognised that stop and search, when utilised correctly</w:t>
      </w:r>
      <w:r>
        <w:rPr>
          <w:b/>
          <w:bCs/>
          <w:color w:val="000000" w:themeColor="text1"/>
          <w:sz w:val="24"/>
          <w:szCs w:val="24"/>
        </w:rPr>
        <w:t xml:space="preserve">, </w:t>
      </w:r>
      <w:r w:rsidRPr="00913EA0">
        <w:rPr>
          <w:bCs/>
          <w:color w:val="000000" w:themeColor="text1"/>
          <w:sz w:val="24"/>
          <w:szCs w:val="24"/>
        </w:rPr>
        <w:t xml:space="preserve">is </w:t>
      </w:r>
      <w:r>
        <w:rPr>
          <w:bCs/>
          <w:color w:val="000000" w:themeColor="text1"/>
          <w:sz w:val="24"/>
          <w:szCs w:val="24"/>
        </w:rPr>
        <w:t xml:space="preserve">regarded </w:t>
      </w:r>
      <w:r w:rsidRPr="00913EA0">
        <w:rPr>
          <w:bCs/>
          <w:color w:val="000000" w:themeColor="text1"/>
          <w:sz w:val="24"/>
          <w:szCs w:val="24"/>
        </w:rPr>
        <w:t>a</w:t>
      </w:r>
      <w:r>
        <w:rPr>
          <w:bCs/>
          <w:color w:val="000000" w:themeColor="text1"/>
          <w:sz w:val="24"/>
          <w:szCs w:val="24"/>
        </w:rPr>
        <w:t>s a</w:t>
      </w:r>
      <w:r w:rsidRPr="00913EA0">
        <w:rPr>
          <w:bCs/>
          <w:color w:val="000000" w:themeColor="text1"/>
          <w:sz w:val="24"/>
          <w:szCs w:val="24"/>
        </w:rPr>
        <w:t xml:space="preserve"> powerful tool</w:t>
      </w:r>
      <w:r w:rsidRPr="00913EA0">
        <w:rPr>
          <w:color w:val="000000" w:themeColor="text1"/>
          <w:sz w:val="24"/>
          <w:szCs w:val="24"/>
        </w:rPr>
        <w:t>. I</w:t>
      </w:r>
      <w:r>
        <w:rPr>
          <w:color w:val="000000" w:themeColor="text1"/>
          <w:sz w:val="24"/>
          <w:szCs w:val="24"/>
        </w:rPr>
        <w:t xml:space="preserve"> therefore set myself a target, to be more proactive, particularly in the area where the incident occurred. I believed that showing a more visible presence with the patrol strategy and dispersal power in place, would serve as a </w:t>
      </w:r>
      <w:r w:rsidRPr="00913EA0">
        <w:rPr>
          <w:color w:val="000000" w:themeColor="text1"/>
          <w:sz w:val="24"/>
          <w:szCs w:val="24"/>
        </w:rPr>
        <w:t>deterrent by increasing the perceived risk of detection</w:t>
      </w:r>
      <w:r>
        <w:rPr>
          <w:b/>
          <w:bCs/>
          <w:color w:val="000000" w:themeColor="text1"/>
          <w:sz w:val="24"/>
          <w:szCs w:val="24"/>
        </w:rPr>
        <w:t xml:space="preserve"> </w:t>
      </w:r>
      <w:r>
        <w:rPr>
          <w:color w:val="000000" w:themeColor="text1"/>
          <w:sz w:val="24"/>
          <w:szCs w:val="24"/>
        </w:rPr>
        <w:t>(McNeill and Wheller, 2019). The collaborative efforts between my colleagues and I resulted in a successful outcome, including the confiscation of several bladed articles being confiscated as well as locating and seizing controlled substances.</w:t>
      </w:r>
    </w:p>
    <w:p w14:paraId="29540ED6" w14:textId="77777777" w:rsidR="00D90C2E" w:rsidRDefault="00D90C2E" w:rsidP="00D90C2E">
      <w:pPr>
        <w:ind w:right="237"/>
        <w:jc w:val="both"/>
        <w:rPr>
          <w:color w:val="000000" w:themeColor="text1"/>
          <w:sz w:val="24"/>
          <w:szCs w:val="24"/>
        </w:rPr>
      </w:pPr>
    </w:p>
    <w:p w14:paraId="18CA0268" w14:textId="77777777" w:rsidR="00D90C2E" w:rsidRDefault="00D90C2E" w:rsidP="00D90C2E">
      <w:pPr>
        <w:ind w:right="237"/>
        <w:jc w:val="both"/>
        <w:rPr>
          <w:color w:val="000000" w:themeColor="text1"/>
          <w:sz w:val="24"/>
          <w:szCs w:val="24"/>
        </w:rPr>
      </w:pPr>
      <w:r>
        <w:rPr>
          <w:color w:val="000000" w:themeColor="text1"/>
          <w:sz w:val="24"/>
          <w:szCs w:val="24"/>
        </w:rPr>
        <w:t>In relation to the actions mentioned above, the neighbouring properties were revisited a couple of weeks later with a follow-up survey. This was undertaken to determine whether the interventions had effectively addressed the issues. Upon speaking with the residents, they confirmed that no further incidents had occurred. They emphasised their sense of reassurance, attributed to being kept informed of the progress through social media and having a heightened visibility of officers in the community. Consequently, they now express their willingness to come forward and assist in the investigation to ensure justice for all parties involved.</w:t>
      </w:r>
    </w:p>
    <w:p w14:paraId="18CB2162" w14:textId="77777777" w:rsidR="00D90C2E" w:rsidRDefault="00D90C2E" w:rsidP="00D90C2E">
      <w:pPr>
        <w:ind w:right="237"/>
        <w:jc w:val="both"/>
        <w:rPr>
          <w:color w:val="000000" w:themeColor="text1"/>
          <w:sz w:val="24"/>
          <w:szCs w:val="24"/>
        </w:rPr>
      </w:pPr>
    </w:p>
    <w:p w14:paraId="43CC58A9" w14:textId="77777777" w:rsidR="00D90C2E" w:rsidRPr="004420DB" w:rsidRDefault="00D90C2E" w:rsidP="00D90C2E">
      <w:pPr>
        <w:pStyle w:val="PlainText"/>
        <w:rPr>
          <w:rFonts w:ascii="Arial" w:hAnsi="Arial" w:cs="Arial"/>
          <w:sz w:val="24"/>
          <w:szCs w:val="24"/>
        </w:rPr>
      </w:pPr>
      <w:r w:rsidRPr="004420DB">
        <w:rPr>
          <w:rFonts w:ascii="Arial" w:hAnsi="Arial" w:cs="Arial"/>
          <w:sz w:val="24"/>
          <w:szCs w:val="24"/>
        </w:rPr>
        <w:t xml:space="preserve">In conclusion, the success of any community engagement efforts in addressing various issues within a community is inherently tied to the quality of police-community relations. As </w:t>
      </w:r>
      <w:r>
        <w:rPr>
          <w:rFonts w:ascii="Arial" w:hAnsi="Arial" w:cs="Arial"/>
          <w:sz w:val="24"/>
          <w:szCs w:val="24"/>
        </w:rPr>
        <w:t xml:space="preserve">I have </w:t>
      </w:r>
      <w:r w:rsidRPr="004420DB">
        <w:rPr>
          <w:rFonts w:ascii="Arial" w:hAnsi="Arial" w:cs="Arial"/>
          <w:sz w:val="24"/>
          <w:szCs w:val="24"/>
        </w:rPr>
        <w:t xml:space="preserve">critically evaluated the interventions employed, it becomes evident that maintaining open lines of communication and trust between </w:t>
      </w:r>
      <w:r>
        <w:rPr>
          <w:rFonts w:ascii="Arial" w:hAnsi="Arial" w:cs="Arial"/>
          <w:sz w:val="24"/>
          <w:szCs w:val="24"/>
        </w:rPr>
        <w:t xml:space="preserve">the police </w:t>
      </w:r>
      <w:r w:rsidRPr="004420DB">
        <w:rPr>
          <w:rFonts w:ascii="Arial" w:hAnsi="Arial" w:cs="Arial"/>
          <w:sz w:val="24"/>
          <w:szCs w:val="24"/>
        </w:rPr>
        <w:t xml:space="preserve">and the </w:t>
      </w:r>
      <w:r>
        <w:rPr>
          <w:rFonts w:ascii="Arial" w:hAnsi="Arial" w:cs="Arial"/>
          <w:sz w:val="24"/>
          <w:szCs w:val="24"/>
        </w:rPr>
        <w:t>communities they serve</w:t>
      </w:r>
      <w:r w:rsidRPr="004420DB">
        <w:rPr>
          <w:rFonts w:ascii="Arial" w:hAnsi="Arial" w:cs="Arial"/>
          <w:sz w:val="24"/>
          <w:szCs w:val="24"/>
        </w:rPr>
        <w:t xml:space="preserve"> is paramount. When community members are well-informed, they exhibit a greater willingness to actively participate in resolving issues. This phenomenon underscores the pivotal role of transparency and trust in fostering community engagement. </w:t>
      </w:r>
    </w:p>
    <w:p w14:paraId="11721DBE" w14:textId="77777777" w:rsidR="00D90C2E" w:rsidRPr="004420DB" w:rsidRDefault="00D90C2E" w:rsidP="00D90C2E">
      <w:pPr>
        <w:pStyle w:val="PlainText"/>
        <w:rPr>
          <w:rFonts w:ascii="Arial" w:hAnsi="Arial" w:cs="Arial"/>
          <w:sz w:val="24"/>
          <w:szCs w:val="24"/>
        </w:rPr>
      </w:pPr>
    </w:p>
    <w:p w14:paraId="61EBCD66" w14:textId="77777777" w:rsidR="00D90C2E" w:rsidRPr="004420DB" w:rsidRDefault="00D90C2E" w:rsidP="00D90C2E">
      <w:pPr>
        <w:pStyle w:val="PlainText"/>
        <w:rPr>
          <w:rFonts w:ascii="Arial" w:hAnsi="Arial" w:cs="Arial"/>
          <w:sz w:val="24"/>
          <w:szCs w:val="24"/>
        </w:rPr>
      </w:pPr>
      <w:r w:rsidRPr="004420DB">
        <w:rPr>
          <w:rFonts w:ascii="Arial" w:hAnsi="Arial" w:cs="Arial"/>
          <w:sz w:val="24"/>
          <w:szCs w:val="24"/>
        </w:rPr>
        <w:t>T</w:t>
      </w:r>
      <w:r>
        <w:rPr>
          <w:rFonts w:ascii="Arial" w:hAnsi="Arial" w:cs="Arial"/>
          <w:sz w:val="24"/>
          <w:szCs w:val="24"/>
        </w:rPr>
        <w:t>his assignment has highlighted</w:t>
      </w:r>
      <w:r w:rsidRPr="004420DB">
        <w:rPr>
          <w:rFonts w:ascii="Arial" w:hAnsi="Arial" w:cs="Arial"/>
          <w:sz w:val="24"/>
          <w:szCs w:val="24"/>
        </w:rPr>
        <w:t xml:space="preserve"> three key strategies that have proven effective: dispersal orders, media interaction, and stop searches. These interventions, when implemented within the context of strong police-community relations, have the potential to yield positive outcomes. Dispersal orders help maintain public safety; media interaction ensures that information is disseminated to the community and stop searches target specific issues. When executed with sensitivity and respect, these strategies can contribute to community engagement.</w:t>
      </w:r>
    </w:p>
    <w:p w14:paraId="2E33B7EB" w14:textId="77777777" w:rsidR="00D90C2E" w:rsidRPr="004420DB" w:rsidRDefault="00D90C2E" w:rsidP="00D90C2E">
      <w:pPr>
        <w:pStyle w:val="PlainText"/>
        <w:rPr>
          <w:rFonts w:ascii="Arial" w:hAnsi="Arial" w:cs="Arial"/>
          <w:sz w:val="24"/>
          <w:szCs w:val="24"/>
        </w:rPr>
      </w:pPr>
    </w:p>
    <w:p w14:paraId="11238180" w14:textId="77777777" w:rsidR="00D90C2E" w:rsidRPr="004420DB" w:rsidRDefault="00D90C2E" w:rsidP="00D90C2E">
      <w:pPr>
        <w:pStyle w:val="PlainText"/>
        <w:rPr>
          <w:rFonts w:ascii="Arial" w:hAnsi="Arial" w:cs="Arial"/>
          <w:sz w:val="24"/>
          <w:szCs w:val="24"/>
        </w:rPr>
      </w:pPr>
      <w:r w:rsidRPr="004420DB">
        <w:rPr>
          <w:rFonts w:ascii="Arial" w:hAnsi="Arial" w:cs="Arial"/>
          <w:sz w:val="24"/>
          <w:szCs w:val="24"/>
        </w:rPr>
        <w:t xml:space="preserve">In essence, the importance of police-community relations cannot be overstated. By building trust and actively involving the community in the decision-making process, </w:t>
      </w:r>
      <w:r>
        <w:rPr>
          <w:rFonts w:ascii="Arial" w:hAnsi="Arial" w:cs="Arial"/>
          <w:sz w:val="24"/>
          <w:szCs w:val="24"/>
        </w:rPr>
        <w:t xml:space="preserve">the police </w:t>
      </w:r>
      <w:r w:rsidRPr="004420DB">
        <w:rPr>
          <w:rFonts w:ascii="Arial" w:hAnsi="Arial" w:cs="Arial"/>
          <w:sz w:val="24"/>
          <w:szCs w:val="24"/>
        </w:rPr>
        <w:t>can cultivate a sense of ownership and responsibility within the community. This, in turn, promotes community engagement, making it a critical factor in resolving issues and creating sa</w:t>
      </w:r>
      <w:r>
        <w:rPr>
          <w:rFonts w:ascii="Arial" w:hAnsi="Arial" w:cs="Arial"/>
          <w:sz w:val="24"/>
          <w:szCs w:val="24"/>
        </w:rPr>
        <w:t>fer communities</w:t>
      </w:r>
      <w:r w:rsidRPr="004420DB">
        <w:rPr>
          <w:rFonts w:ascii="Arial" w:hAnsi="Arial" w:cs="Arial"/>
          <w:sz w:val="24"/>
          <w:szCs w:val="24"/>
        </w:rPr>
        <w:t>.</w:t>
      </w:r>
    </w:p>
    <w:p w14:paraId="34D2E0C0" w14:textId="77777777" w:rsidR="00D90C2E" w:rsidRPr="00E676F7" w:rsidRDefault="00D90C2E" w:rsidP="0FF883D4">
      <w:pPr>
        <w:ind w:right="237"/>
        <w:jc w:val="both"/>
        <w:rPr>
          <w:b/>
          <w:bCs/>
          <w:color w:val="000000" w:themeColor="text1"/>
          <w:sz w:val="24"/>
          <w:szCs w:val="24"/>
        </w:rPr>
      </w:pPr>
    </w:p>
    <w:p w14:paraId="6D3BB349" w14:textId="77777777" w:rsidR="00D90C2E" w:rsidRPr="00B13DA3" w:rsidRDefault="00D90C2E" w:rsidP="00D90C2E">
      <w:pPr>
        <w:overflowPunct/>
        <w:autoSpaceDE/>
        <w:autoSpaceDN/>
        <w:adjustRightInd/>
        <w:textAlignment w:val="auto"/>
        <w:rPr>
          <w:b/>
          <w:bCs/>
          <w:sz w:val="24"/>
          <w:szCs w:val="24"/>
        </w:rPr>
      </w:pPr>
      <w:r w:rsidRPr="00B13DA3">
        <w:rPr>
          <w:b/>
          <w:bCs/>
          <w:sz w:val="24"/>
          <w:szCs w:val="24"/>
        </w:rPr>
        <w:t>Word count – 2200</w:t>
      </w: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511F2D2C" w14:textId="77777777" w:rsidR="00D6783F" w:rsidRDefault="00D6783F" w:rsidP="5CE196A1">
      <w:pPr>
        <w:rPr>
          <w:b/>
          <w:bCs/>
          <w:color w:val="000000" w:themeColor="text1"/>
          <w:sz w:val="24"/>
          <w:szCs w:val="24"/>
        </w:rPr>
      </w:pPr>
    </w:p>
    <w:p w14:paraId="1ADEFAE5" w14:textId="1C1AF469"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79F3147" w:rsidR="0FF883D4" w:rsidRDefault="5CE196A1" w:rsidP="5CE196A1">
      <w:r w:rsidRPr="5CE196A1">
        <w:rPr>
          <w:rFonts w:eastAsia="Arial"/>
          <w:b/>
          <w:bCs/>
          <w:color w:val="000000" w:themeColor="text1"/>
          <w:sz w:val="24"/>
          <w:szCs w:val="24"/>
        </w:rPr>
        <w:t xml:space="preserve">Signed: </w:t>
      </w:r>
      <w:proofErr w:type="spellStart"/>
      <w:proofErr w:type="gramStart"/>
      <w:r w:rsidR="00D1607F" w:rsidRPr="00D1607F">
        <w:rPr>
          <w:rFonts w:ascii="Lucida Handwriting" w:eastAsia="Arial" w:hAnsi="Lucida Handwriting"/>
          <w:color w:val="000000" w:themeColor="text1"/>
          <w:sz w:val="24"/>
          <w:szCs w:val="24"/>
        </w:rPr>
        <w:t>A.Griffiths</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1964282E" w:rsidR="0FF883D4" w:rsidRPr="00D1607F" w:rsidRDefault="5CE196A1" w:rsidP="5CE196A1">
      <w:pPr>
        <w:rPr>
          <w:rFonts w:ascii="Lucida Handwriting" w:hAnsi="Lucida Handwriting"/>
        </w:rPr>
      </w:pPr>
      <w:r w:rsidRPr="5CE196A1">
        <w:rPr>
          <w:rFonts w:eastAsia="Arial"/>
          <w:b/>
          <w:bCs/>
          <w:color w:val="000000" w:themeColor="text1"/>
          <w:sz w:val="24"/>
          <w:szCs w:val="24"/>
        </w:rPr>
        <w:t>Date:</w:t>
      </w:r>
      <w:r w:rsidR="00D1607F">
        <w:rPr>
          <w:rFonts w:eastAsia="Arial"/>
          <w:b/>
          <w:bCs/>
          <w:color w:val="000000" w:themeColor="text1"/>
          <w:sz w:val="24"/>
          <w:szCs w:val="24"/>
        </w:rPr>
        <w:t xml:space="preserve"> </w:t>
      </w:r>
      <w:r w:rsidR="00D1607F" w:rsidRPr="00D1607F">
        <w:rPr>
          <w:rFonts w:ascii="Lucida Handwriting" w:eastAsia="Arial" w:hAnsi="Lucida Handwriting"/>
          <w:color w:val="000000" w:themeColor="text1"/>
          <w:sz w:val="24"/>
          <w:szCs w:val="24"/>
        </w:rPr>
        <w:t>29/10/2023</w:t>
      </w:r>
    </w:p>
    <w:p w14:paraId="6C9C626B" w14:textId="77777777" w:rsidR="00622094" w:rsidRDefault="00622094" w:rsidP="00EA28F1">
      <w:pPr>
        <w:keepNext/>
        <w:spacing w:before="240" w:after="60"/>
        <w:ind w:right="237"/>
        <w:jc w:val="both"/>
        <w:rPr>
          <w:b/>
          <w:sz w:val="24"/>
          <w:szCs w:val="24"/>
        </w:rPr>
      </w:pPr>
    </w:p>
    <w:p w14:paraId="0BDA2534" w14:textId="77777777" w:rsidR="00FD3A3F" w:rsidRDefault="00FD3A3F" w:rsidP="00EA28F1">
      <w:pPr>
        <w:keepNext/>
        <w:spacing w:before="240" w:after="60"/>
        <w:ind w:right="237"/>
        <w:jc w:val="both"/>
        <w:rPr>
          <w:b/>
          <w:sz w:val="24"/>
          <w:szCs w:val="24"/>
        </w:rPr>
      </w:pPr>
    </w:p>
    <w:p w14:paraId="7459E97D" w14:textId="77777777" w:rsidR="00FD3A3F" w:rsidRDefault="00FD3A3F" w:rsidP="00EA28F1">
      <w:pPr>
        <w:keepNext/>
        <w:spacing w:before="240" w:after="60"/>
        <w:ind w:right="237"/>
        <w:jc w:val="both"/>
        <w:rPr>
          <w:b/>
          <w:sz w:val="24"/>
          <w:szCs w:val="24"/>
        </w:rPr>
      </w:pPr>
    </w:p>
    <w:p w14:paraId="3BB453AF" w14:textId="77777777" w:rsidR="00FD3A3F" w:rsidRDefault="00FD3A3F" w:rsidP="00EA28F1">
      <w:pPr>
        <w:keepNext/>
        <w:spacing w:before="240" w:after="60"/>
        <w:ind w:right="237"/>
        <w:jc w:val="both"/>
        <w:rPr>
          <w:b/>
          <w:sz w:val="24"/>
          <w:szCs w:val="24"/>
        </w:rPr>
      </w:pPr>
    </w:p>
    <w:p w14:paraId="31310662" w14:textId="77777777" w:rsidR="00FD3A3F" w:rsidRDefault="00FD3A3F" w:rsidP="00EA28F1">
      <w:pPr>
        <w:keepNext/>
        <w:spacing w:before="240" w:after="60"/>
        <w:ind w:right="237"/>
        <w:jc w:val="both"/>
        <w:rPr>
          <w:b/>
          <w:sz w:val="24"/>
          <w:szCs w:val="24"/>
        </w:rPr>
      </w:pPr>
    </w:p>
    <w:p w14:paraId="53DC2D2E" w14:textId="77777777" w:rsidR="00FD3A3F" w:rsidRDefault="00FD3A3F" w:rsidP="00EA28F1">
      <w:pPr>
        <w:keepNext/>
        <w:spacing w:before="240" w:after="60"/>
        <w:ind w:right="237"/>
        <w:jc w:val="both"/>
        <w:rPr>
          <w:b/>
          <w:sz w:val="24"/>
          <w:szCs w:val="24"/>
        </w:rPr>
      </w:pPr>
    </w:p>
    <w:p w14:paraId="5A6BCD6F" w14:textId="77777777" w:rsidR="00FD3A3F" w:rsidRDefault="00FD3A3F" w:rsidP="00EA28F1">
      <w:pPr>
        <w:keepNext/>
        <w:spacing w:before="240" w:after="60"/>
        <w:ind w:right="237"/>
        <w:jc w:val="both"/>
        <w:rPr>
          <w:b/>
          <w:sz w:val="24"/>
          <w:szCs w:val="24"/>
        </w:rPr>
      </w:pPr>
    </w:p>
    <w:p w14:paraId="5D537C3F" w14:textId="77777777" w:rsidR="00FD3A3F" w:rsidRDefault="00FD3A3F" w:rsidP="00EA28F1">
      <w:pPr>
        <w:keepNext/>
        <w:spacing w:before="240" w:after="60"/>
        <w:ind w:right="237"/>
        <w:jc w:val="both"/>
        <w:rPr>
          <w:b/>
          <w:sz w:val="24"/>
          <w:szCs w:val="24"/>
        </w:rPr>
      </w:pPr>
    </w:p>
    <w:p w14:paraId="31BFC7EE" w14:textId="77777777" w:rsidR="00FD3A3F" w:rsidRDefault="00FD3A3F" w:rsidP="00EA28F1">
      <w:pPr>
        <w:keepNext/>
        <w:spacing w:before="240" w:after="60"/>
        <w:ind w:right="237"/>
        <w:jc w:val="both"/>
        <w:rPr>
          <w:b/>
          <w:sz w:val="24"/>
          <w:szCs w:val="24"/>
        </w:rPr>
      </w:pPr>
    </w:p>
    <w:p w14:paraId="49F77AE0" w14:textId="77777777" w:rsidR="00FD3A3F" w:rsidRDefault="00FD3A3F" w:rsidP="00EA28F1">
      <w:pPr>
        <w:keepNext/>
        <w:spacing w:before="240" w:after="60"/>
        <w:ind w:right="237"/>
        <w:jc w:val="both"/>
        <w:rPr>
          <w:b/>
          <w:sz w:val="24"/>
          <w:szCs w:val="24"/>
        </w:rPr>
      </w:pPr>
    </w:p>
    <w:p w14:paraId="2BA24AC2" w14:textId="77777777" w:rsidR="00FD3A3F" w:rsidRDefault="00FD3A3F" w:rsidP="00EA28F1">
      <w:pPr>
        <w:keepNext/>
        <w:spacing w:before="240" w:after="60"/>
        <w:ind w:right="237"/>
        <w:jc w:val="both"/>
        <w:rPr>
          <w:b/>
          <w:sz w:val="24"/>
          <w:szCs w:val="24"/>
        </w:rPr>
      </w:pPr>
    </w:p>
    <w:p w14:paraId="7B920949" w14:textId="77777777" w:rsidR="00FD3A3F" w:rsidRDefault="00FD3A3F" w:rsidP="00EA28F1">
      <w:pPr>
        <w:keepNext/>
        <w:spacing w:before="240" w:after="60"/>
        <w:ind w:right="237"/>
        <w:jc w:val="both"/>
        <w:rPr>
          <w:b/>
          <w:sz w:val="24"/>
          <w:szCs w:val="24"/>
        </w:rPr>
      </w:pPr>
    </w:p>
    <w:p w14:paraId="0AD1EE19"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719C8492"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60CA6557"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160A190A"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7692704B"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52423F7C"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2203A5A7"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14EA9B44"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21EA1A54"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143C72B7"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7F7B580C"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1B23646F" w14:textId="77777777" w:rsidR="00D6783F" w:rsidRDefault="00D6783F" w:rsidP="00E21EC6">
      <w:pPr>
        <w:pStyle w:val="paragraph"/>
        <w:spacing w:before="0" w:beforeAutospacing="0" w:after="0" w:afterAutospacing="0"/>
        <w:textAlignment w:val="baseline"/>
        <w:rPr>
          <w:rStyle w:val="eop"/>
          <w:rFonts w:ascii="Arial" w:hAnsi="Arial" w:cs="Arial"/>
          <w:color w:val="000000" w:themeColor="text1"/>
        </w:rPr>
      </w:pPr>
    </w:p>
    <w:p w14:paraId="708C6637"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3453893F"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35C8F47B"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3D6CFE9A"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609731F7"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02C9D836" w14:textId="17317D0E" w:rsidR="00FD3A3F" w:rsidRPr="00FD3A3F" w:rsidRDefault="00FD3A3F" w:rsidP="00E21EC6">
      <w:pPr>
        <w:pStyle w:val="paragraph"/>
        <w:spacing w:before="0" w:beforeAutospacing="0" w:after="0" w:afterAutospacing="0"/>
        <w:textAlignment w:val="baseline"/>
        <w:rPr>
          <w:rStyle w:val="eop"/>
          <w:rFonts w:ascii="Arial" w:hAnsi="Arial" w:cs="Arial"/>
          <w:b/>
          <w:bCs/>
          <w:color w:val="000000" w:themeColor="text1"/>
        </w:rPr>
      </w:pPr>
      <w:r w:rsidRPr="00FD3A3F">
        <w:rPr>
          <w:rStyle w:val="eop"/>
          <w:rFonts w:ascii="Arial" w:hAnsi="Arial" w:cs="Arial"/>
          <w:b/>
          <w:bCs/>
          <w:color w:val="000000" w:themeColor="text1"/>
        </w:rPr>
        <w:lastRenderedPageBreak/>
        <w:t>Bibliography</w:t>
      </w:r>
    </w:p>
    <w:p w14:paraId="76207810" w14:textId="77777777" w:rsidR="00FD3A3F" w:rsidRDefault="00FD3A3F" w:rsidP="00E21EC6">
      <w:pPr>
        <w:pStyle w:val="paragraph"/>
        <w:spacing w:before="0" w:beforeAutospacing="0" w:after="0" w:afterAutospacing="0"/>
        <w:textAlignment w:val="baseline"/>
        <w:rPr>
          <w:rStyle w:val="eop"/>
          <w:rFonts w:ascii="Arial" w:hAnsi="Arial" w:cs="Arial"/>
          <w:color w:val="000000" w:themeColor="text1"/>
        </w:rPr>
      </w:pPr>
    </w:p>
    <w:p w14:paraId="2DBE5E86" w14:textId="307AE7EF" w:rsidR="00E21EC6" w:rsidRDefault="00E21EC6" w:rsidP="00E21EC6">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Bonnie, R. and Wallace, R. (2003) </w:t>
      </w:r>
      <w:r>
        <w:rPr>
          <w:rStyle w:val="eop"/>
          <w:rFonts w:ascii="Arial" w:hAnsi="Arial" w:cs="Arial"/>
          <w:i/>
          <w:iCs/>
          <w:color w:val="000000" w:themeColor="text1"/>
        </w:rPr>
        <w:t xml:space="preserve">Elder Mistreatment: Abuse, Neglect, and Exploitation in an Aging America. </w:t>
      </w:r>
      <w:r>
        <w:rPr>
          <w:rStyle w:val="eop"/>
          <w:rFonts w:ascii="Arial" w:hAnsi="Arial" w:cs="Arial"/>
          <w:color w:val="000000" w:themeColor="text1"/>
        </w:rPr>
        <w:t>Washington DC: National Academic Press.</w:t>
      </w:r>
    </w:p>
    <w:p w14:paraId="7024F325" w14:textId="77777777" w:rsidR="002A6FBF" w:rsidRDefault="002A6FBF" w:rsidP="00E21EC6">
      <w:pPr>
        <w:pStyle w:val="paragraph"/>
        <w:spacing w:before="0" w:beforeAutospacing="0" w:after="0" w:afterAutospacing="0"/>
        <w:textAlignment w:val="baseline"/>
        <w:rPr>
          <w:rStyle w:val="eop"/>
          <w:rFonts w:ascii="Arial" w:hAnsi="Arial" w:cs="Arial"/>
          <w:color w:val="000000" w:themeColor="text1"/>
        </w:rPr>
      </w:pPr>
    </w:p>
    <w:p w14:paraId="6FB75DD2" w14:textId="77777777" w:rsidR="002A6FBF" w:rsidRDefault="002A6FBF" w:rsidP="002A6FBF">
      <w:pPr>
        <w:ind w:right="237"/>
        <w:jc w:val="both"/>
        <w:rPr>
          <w:color w:val="000000" w:themeColor="text1"/>
          <w:sz w:val="24"/>
          <w:szCs w:val="24"/>
        </w:rPr>
      </w:pPr>
      <w:r>
        <w:rPr>
          <w:color w:val="000000" w:themeColor="text1"/>
          <w:sz w:val="24"/>
          <w:szCs w:val="24"/>
        </w:rPr>
        <w:t xml:space="preserve">Borton, T. (1970) </w:t>
      </w:r>
      <w:r>
        <w:rPr>
          <w:i/>
          <w:iCs/>
          <w:color w:val="000000" w:themeColor="text1"/>
          <w:sz w:val="24"/>
          <w:szCs w:val="24"/>
        </w:rPr>
        <w:t xml:space="preserve">Reach, Touch and Teach. </w:t>
      </w:r>
      <w:r>
        <w:rPr>
          <w:color w:val="000000" w:themeColor="text1"/>
          <w:sz w:val="24"/>
          <w:szCs w:val="24"/>
        </w:rPr>
        <w:t>New York: McGraw-Hill.</w:t>
      </w:r>
    </w:p>
    <w:p w14:paraId="7B3D16C3" w14:textId="77777777" w:rsidR="00E21EC6" w:rsidRDefault="00E21EC6" w:rsidP="00E21EC6">
      <w:pPr>
        <w:pStyle w:val="paragraph"/>
        <w:spacing w:before="0" w:beforeAutospacing="0" w:after="0" w:afterAutospacing="0"/>
        <w:textAlignment w:val="baseline"/>
        <w:rPr>
          <w:rStyle w:val="eop"/>
          <w:rFonts w:ascii="Arial" w:hAnsi="Arial" w:cs="Arial"/>
          <w:color w:val="000000" w:themeColor="text1"/>
        </w:rPr>
      </w:pPr>
    </w:p>
    <w:p w14:paraId="719F401B" w14:textId="77777777" w:rsidR="00E21EC6" w:rsidRDefault="00E21EC6" w:rsidP="00E21EC6">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Boud, D., Keogh, R. and Walker, D. (1985) </w:t>
      </w:r>
      <w:r>
        <w:rPr>
          <w:rStyle w:val="eop"/>
          <w:rFonts w:ascii="Arial" w:hAnsi="Arial" w:cs="Arial"/>
          <w:i/>
          <w:iCs/>
          <w:color w:val="000000" w:themeColor="text1"/>
        </w:rPr>
        <w:t xml:space="preserve">Reflection: Turning Experience into Learning. </w:t>
      </w:r>
      <w:r>
        <w:rPr>
          <w:rStyle w:val="eop"/>
          <w:rFonts w:ascii="Arial" w:hAnsi="Arial" w:cs="Arial"/>
          <w:color w:val="000000" w:themeColor="text1"/>
        </w:rPr>
        <w:t>Oxon: Routledge.</w:t>
      </w:r>
    </w:p>
    <w:p w14:paraId="03978625" w14:textId="77777777" w:rsidR="001F5B9C" w:rsidRDefault="001F5B9C" w:rsidP="00E21EC6">
      <w:pPr>
        <w:pStyle w:val="paragraph"/>
        <w:spacing w:before="0" w:beforeAutospacing="0" w:after="0" w:afterAutospacing="0"/>
        <w:textAlignment w:val="baseline"/>
        <w:rPr>
          <w:rStyle w:val="eop"/>
          <w:rFonts w:ascii="Arial" w:hAnsi="Arial" w:cs="Arial"/>
          <w:color w:val="000000" w:themeColor="text1"/>
        </w:rPr>
      </w:pPr>
    </w:p>
    <w:p w14:paraId="509CFD06" w14:textId="4E9BE81B" w:rsidR="001F5B9C" w:rsidRPr="001F5B9C" w:rsidRDefault="001F5B9C" w:rsidP="00E21EC6">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Bradbury, S. and Feist, A. (2005) </w:t>
      </w:r>
      <w:r>
        <w:rPr>
          <w:rStyle w:val="eop"/>
          <w:rFonts w:ascii="Arial" w:hAnsi="Arial" w:cs="Arial"/>
          <w:i/>
          <w:iCs/>
          <w:color w:val="000000" w:themeColor="text1"/>
        </w:rPr>
        <w:t>The Use of Forensic Science in Volume Crime Investigations</w:t>
      </w:r>
      <w:r w:rsidRPr="001F5B9C">
        <w:rPr>
          <w:rStyle w:val="eop"/>
          <w:rFonts w:ascii="Arial" w:hAnsi="Arial" w:cs="Arial"/>
          <w:i/>
          <w:iCs/>
          <w:color w:val="000000" w:themeColor="text1"/>
        </w:rPr>
        <w:t xml:space="preserve">: A Review of the Research Literature. </w:t>
      </w:r>
      <w:r w:rsidRPr="001F5B9C">
        <w:rPr>
          <w:rStyle w:val="eop"/>
          <w:rFonts w:ascii="Arial" w:hAnsi="Arial" w:cs="Arial"/>
          <w:color w:val="000000" w:themeColor="text1"/>
        </w:rPr>
        <w:t xml:space="preserve">[online]. Available at: </w:t>
      </w:r>
      <w:hyperlink r:id="rId12" w:history="1">
        <w:r w:rsidRPr="001F5B9C">
          <w:rPr>
            <w:rStyle w:val="Hyperlink"/>
            <w:rFonts w:ascii="Arial" w:hAnsi="Arial" w:cs="Arial"/>
          </w:rPr>
          <w:t>The use of forensic science in volume crime investigations: a review of the research literature (publishing.service.gov.uk)</w:t>
        </w:r>
      </w:hyperlink>
      <w:r w:rsidRPr="001F5B9C">
        <w:rPr>
          <w:rFonts w:ascii="Arial" w:hAnsi="Arial" w:cs="Arial"/>
        </w:rPr>
        <w:t xml:space="preserve"> (Accessed: </w:t>
      </w:r>
      <w:r w:rsidR="00616F4D">
        <w:rPr>
          <w:rFonts w:ascii="Arial" w:hAnsi="Arial" w:cs="Arial"/>
        </w:rPr>
        <w:t>4</w:t>
      </w:r>
      <w:r w:rsidRPr="001F5B9C">
        <w:rPr>
          <w:rFonts w:ascii="Arial" w:hAnsi="Arial" w:cs="Arial"/>
          <w:vertAlign w:val="superscript"/>
        </w:rPr>
        <w:t>th</w:t>
      </w:r>
      <w:r w:rsidRPr="001F5B9C">
        <w:rPr>
          <w:rFonts w:ascii="Arial" w:hAnsi="Arial" w:cs="Arial"/>
        </w:rPr>
        <w:t xml:space="preserve"> October 2023).</w:t>
      </w:r>
    </w:p>
    <w:p w14:paraId="45523474" w14:textId="77777777" w:rsidR="002A6FBF" w:rsidRDefault="002A6FBF" w:rsidP="00E21EC6">
      <w:pPr>
        <w:pStyle w:val="paragraph"/>
        <w:spacing w:before="0" w:beforeAutospacing="0" w:after="0" w:afterAutospacing="0"/>
        <w:textAlignment w:val="baseline"/>
        <w:rPr>
          <w:rStyle w:val="eop"/>
          <w:rFonts w:ascii="Arial" w:hAnsi="Arial" w:cs="Arial"/>
          <w:color w:val="000000" w:themeColor="text1"/>
        </w:rPr>
      </w:pPr>
    </w:p>
    <w:p w14:paraId="5BE75177" w14:textId="3196500D" w:rsidR="002A6FBF" w:rsidRPr="002A6FBF" w:rsidRDefault="002A6FBF" w:rsidP="002A6FBF">
      <w:pPr>
        <w:ind w:right="237"/>
        <w:jc w:val="both"/>
        <w:rPr>
          <w:color w:val="000000" w:themeColor="text1"/>
          <w:sz w:val="24"/>
          <w:szCs w:val="24"/>
        </w:rPr>
      </w:pPr>
      <w:r>
        <w:rPr>
          <w:color w:val="000000" w:themeColor="text1"/>
          <w:sz w:val="24"/>
          <w:szCs w:val="24"/>
        </w:rPr>
        <w:t xml:space="preserve">Capita. (2023) </w:t>
      </w:r>
      <w:r w:rsidRPr="00D11CF7">
        <w:rPr>
          <w:i/>
          <w:iCs/>
          <w:color w:val="000000" w:themeColor="text1"/>
          <w:sz w:val="24"/>
          <w:szCs w:val="24"/>
        </w:rPr>
        <w:t xml:space="preserve">Strategic, Innovative and Integrated Public Safety Technology for Contact Centres and Control Rooms. </w:t>
      </w:r>
      <w:r w:rsidRPr="00D11CF7">
        <w:rPr>
          <w:color w:val="000000" w:themeColor="text1"/>
          <w:sz w:val="24"/>
          <w:szCs w:val="24"/>
        </w:rPr>
        <w:t>Wiltshire: Capita Secure Solutions and Services.</w:t>
      </w:r>
    </w:p>
    <w:p w14:paraId="121298BB" w14:textId="77777777" w:rsidR="002A6FBF" w:rsidRDefault="00E21EC6" w:rsidP="002A6FBF">
      <w:pPr>
        <w:pStyle w:val="paragraph"/>
        <w:spacing w:before="240" w:beforeAutospacing="0" w:after="0" w:afterAutospacing="0"/>
        <w:rPr>
          <w:rStyle w:val="eop"/>
          <w:rFonts w:ascii="Arial" w:hAnsi="Arial" w:cs="Arial"/>
          <w:color w:val="000000" w:themeColor="text1"/>
        </w:rPr>
      </w:pPr>
      <w:r>
        <w:rPr>
          <w:rStyle w:val="eop"/>
          <w:rFonts w:ascii="Arial" w:hAnsi="Arial" w:cs="Arial"/>
          <w:color w:val="000000" w:themeColor="text1"/>
        </w:rPr>
        <w:t xml:space="preserve">Carlson, E. (2006) ‘Phishing for elderly Victims: As the Elderly Migrate to the Internet Fraudulent </w:t>
      </w:r>
      <w:r w:rsidRPr="002A6FBF">
        <w:rPr>
          <w:rStyle w:val="eop"/>
          <w:rFonts w:ascii="Arial" w:hAnsi="Arial" w:cs="Arial"/>
          <w:color w:val="000000" w:themeColor="text1"/>
        </w:rPr>
        <w:t xml:space="preserve">Schemes Targeting Them Follow’ </w:t>
      </w:r>
      <w:r w:rsidRPr="002A6FBF">
        <w:rPr>
          <w:rStyle w:val="eop"/>
          <w:rFonts w:ascii="Arial" w:hAnsi="Arial" w:cs="Arial"/>
          <w:i/>
          <w:iCs/>
          <w:color w:val="000000" w:themeColor="text1"/>
        </w:rPr>
        <w:t xml:space="preserve">Elder Law Journal. </w:t>
      </w:r>
      <w:r w:rsidRPr="002A6FBF">
        <w:rPr>
          <w:rStyle w:val="eop"/>
          <w:rFonts w:ascii="Arial" w:hAnsi="Arial" w:cs="Arial"/>
          <w:color w:val="000000" w:themeColor="text1"/>
        </w:rPr>
        <w:t>14(1) pp.423-452.</w:t>
      </w:r>
    </w:p>
    <w:p w14:paraId="79A48412" w14:textId="1CE61427" w:rsidR="00C50C2D" w:rsidRPr="00C50C2D" w:rsidRDefault="00C50C2D" w:rsidP="002A6FBF">
      <w:pPr>
        <w:pStyle w:val="paragraph"/>
        <w:spacing w:before="240" w:beforeAutospacing="0" w:after="0" w:afterAutospacing="0"/>
        <w:rPr>
          <w:rStyle w:val="eop"/>
          <w:rFonts w:ascii="Arial" w:hAnsi="Arial" w:cs="Arial"/>
          <w:color w:val="000000" w:themeColor="text1"/>
        </w:rPr>
      </w:pPr>
      <w:r>
        <w:rPr>
          <w:rStyle w:val="eop"/>
          <w:rFonts w:ascii="Arial" w:hAnsi="Arial" w:cs="Arial"/>
          <w:color w:val="000000" w:themeColor="text1"/>
        </w:rPr>
        <w:t xml:space="preserve">Chen, E. (2009) </w:t>
      </w:r>
      <w:r>
        <w:rPr>
          <w:rStyle w:val="eop"/>
          <w:rFonts w:ascii="Arial" w:hAnsi="Arial" w:cs="Arial"/>
          <w:i/>
          <w:iCs/>
          <w:color w:val="000000" w:themeColor="text1"/>
        </w:rPr>
        <w:t xml:space="preserve">Victim and Witness Intimidation. </w:t>
      </w:r>
      <w:r>
        <w:rPr>
          <w:rStyle w:val="eop"/>
          <w:rFonts w:ascii="Arial" w:hAnsi="Arial" w:cs="Arial"/>
          <w:color w:val="000000" w:themeColor="text1"/>
        </w:rPr>
        <w:t>Thousand Oaks: Sage Publications.</w:t>
      </w:r>
    </w:p>
    <w:p w14:paraId="52F1F24A" w14:textId="45A9FA57" w:rsidR="002A6FBF" w:rsidRPr="002A6FBF" w:rsidRDefault="002A6FBF" w:rsidP="002A6FBF">
      <w:pPr>
        <w:pStyle w:val="paragraph"/>
        <w:spacing w:before="240" w:beforeAutospacing="0" w:after="0" w:afterAutospacing="0"/>
        <w:rPr>
          <w:rStyle w:val="eop"/>
          <w:rFonts w:ascii="Arial" w:hAnsi="Arial" w:cs="Arial"/>
          <w:color w:val="000000" w:themeColor="text1"/>
        </w:rPr>
      </w:pPr>
      <w:r w:rsidRPr="002A6FBF">
        <w:rPr>
          <w:rFonts w:ascii="Arial" w:hAnsi="Arial" w:cs="Arial"/>
          <w:color w:val="000000" w:themeColor="text1"/>
        </w:rPr>
        <w:t xml:space="preserve">College of Policing. (2022) </w:t>
      </w:r>
      <w:r w:rsidRPr="002A6FBF">
        <w:rPr>
          <w:rFonts w:ascii="Arial" w:hAnsi="Arial" w:cs="Arial"/>
          <w:i/>
          <w:iCs/>
          <w:color w:val="000000" w:themeColor="text1"/>
        </w:rPr>
        <w:t xml:space="preserve">Media Relations. </w:t>
      </w:r>
      <w:r w:rsidRPr="002A6FBF">
        <w:rPr>
          <w:rFonts w:ascii="Arial" w:hAnsi="Arial" w:cs="Arial"/>
          <w:color w:val="000000" w:themeColor="text1"/>
        </w:rPr>
        <w:t xml:space="preserve">[online]. Available at: </w:t>
      </w:r>
      <w:hyperlink r:id="rId13" w:history="1">
        <w:r w:rsidRPr="002A6FBF">
          <w:rPr>
            <w:rStyle w:val="Hyperlink"/>
            <w:rFonts w:ascii="Arial" w:hAnsi="Arial" w:cs="Arial"/>
          </w:rPr>
          <w:t>Media relations | College of Policing</w:t>
        </w:r>
      </w:hyperlink>
      <w:r w:rsidRPr="002A6FBF">
        <w:rPr>
          <w:rFonts w:ascii="Arial" w:hAnsi="Arial" w:cs="Arial"/>
        </w:rPr>
        <w:t xml:space="preserve"> (Accessed: </w:t>
      </w:r>
      <w:r w:rsidR="007D6A1E">
        <w:rPr>
          <w:rFonts w:ascii="Arial" w:hAnsi="Arial" w:cs="Arial"/>
        </w:rPr>
        <w:t>8</w:t>
      </w:r>
      <w:r w:rsidRPr="002A6FBF">
        <w:rPr>
          <w:rFonts w:ascii="Arial" w:hAnsi="Arial" w:cs="Arial"/>
          <w:vertAlign w:val="superscript"/>
        </w:rPr>
        <w:t>th</w:t>
      </w:r>
      <w:r w:rsidRPr="002A6FBF">
        <w:rPr>
          <w:rFonts w:ascii="Arial" w:hAnsi="Arial" w:cs="Arial"/>
        </w:rPr>
        <w:t xml:space="preserve"> </w:t>
      </w:r>
      <w:r w:rsidR="007D6A1E">
        <w:rPr>
          <w:rFonts w:ascii="Arial" w:hAnsi="Arial" w:cs="Arial"/>
        </w:rPr>
        <w:t>August</w:t>
      </w:r>
      <w:r w:rsidRPr="002A6FBF">
        <w:rPr>
          <w:rFonts w:ascii="Arial" w:hAnsi="Arial" w:cs="Arial"/>
        </w:rPr>
        <w:t xml:space="preserve"> 2023).</w:t>
      </w:r>
    </w:p>
    <w:p w14:paraId="6615A674" w14:textId="538DD89D" w:rsidR="002A6FBF" w:rsidRPr="002A6FBF" w:rsidRDefault="00E21EC6" w:rsidP="002A6FBF">
      <w:pPr>
        <w:pStyle w:val="paragraph"/>
        <w:spacing w:before="240" w:beforeAutospacing="0" w:after="0" w:afterAutospacing="0"/>
        <w:rPr>
          <w:rFonts w:ascii="Arial" w:hAnsi="Arial" w:cs="Arial"/>
        </w:rPr>
      </w:pPr>
      <w:r w:rsidRPr="00D06D7C">
        <w:rPr>
          <w:rStyle w:val="eop"/>
          <w:rFonts w:ascii="Arial" w:hAnsi="Arial" w:cs="Arial"/>
          <w:color w:val="000000" w:themeColor="text1"/>
        </w:rPr>
        <w:t xml:space="preserve">College of Policing. (2021) </w:t>
      </w:r>
      <w:r w:rsidRPr="00D06D7C">
        <w:rPr>
          <w:rStyle w:val="eop"/>
          <w:rFonts w:ascii="Arial" w:hAnsi="Arial" w:cs="Arial"/>
          <w:i/>
          <w:iCs/>
          <w:color w:val="000000" w:themeColor="text1"/>
        </w:rPr>
        <w:t xml:space="preserve">Introduction to Vulnerability-Related Risk. </w:t>
      </w:r>
      <w:r w:rsidRPr="00D06D7C">
        <w:rPr>
          <w:rStyle w:val="eop"/>
          <w:rFonts w:ascii="Arial" w:hAnsi="Arial" w:cs="Arial"/>
          <w:color w:val="000000" w:themeColor="text1"/>
        </w:rPr>
        <w:t xml:space="preserve">[online]. </w:t>
      </w:r>
      <w:r w:rsidRPr="002A6FBF">
        <w:rPr>
          <w:rStyle w:val="eop"/>
          <w:rFonts w:ascii="Arial" w:hAnsi="Arial" w:cs="Arial"/>
          <w:color w:val="000000" w:themeColor="text1"/>
        </w:rPr>
        <w:t xml:space="preserve">Available at: </w:t>
      </w:r>
      <w:hyperlink r:id="rId14" w:history="1">
        <w:r w:rsidRPr="002A6FBF">
          <w:rPr>
            <w:rStyle w:val="Hyperlink"/>
            <w:rFonts w:ascii="Arial" w:hAnsi="Arial" w:cs="Arial"/>
          </w:rPr>
          <w:t>Introduction to vulnerability-related risk | College of Policing</w:t>
        </w:r>
      </w:hyperlink>
      <w:r w:rsidRPr="002A6FBF">
        <w:rPr>
          <w:rFonts w:ascii="Arial" w:hAnsi="Arial" w:cs="Arial"/>
        </w:rPr>
        <w:t xml:space="preserve"> (Accessed: </w:t>
      </w:r>
      <w:r w:rsidR="007D6A1E">
        <w:rPr>
          <w:rFonts w:ascii="Arial" w:hAnsi="Arial" w:cs="Arial"/>
        </w:rPr>
        <w:t>8</w:t>
      </w:r>
      <w:r w:rsidR="007D6A1E" w:rsidRPr="007D6A1E">
        <w:rPr>
          <w:rFonts w:ascii="Arial" w:hAnsi="Arial" w:cs="Arial"/>
          <w:vertAlign w:val="superscript"/>
        </w:rPr>
        <w:t>th</w:t>
      </w:r>
      <w:r w:rsidR="007D6A1E">
        <w:rPr>
          <w:rFonts w:ascii="Arial" w:hAnsi="Arial" w:cs="Arial"/>
        </w:rPr>
        <w:t xml:space="preserve"> August</w:t>
      </w:r>
      <w:r w:rsidRPr="002A6FBF">
        <w:rPr>
          <w:rFonts w:ascii="Arial" w:hAnsi="Arial" w:cs="Arial"/>
        </w:rPr>
        <w:t xml:space="preserve"> 2023</w:t>
      </w:r>
      <w:r w:rsidR="007D6A1E">
        <w:rPr>
          <w:rFonts w:ascii="Arial" w:hAnsi="Arial" w:cs="Arial"/>
        </w:rPr>
        <w:t>)</w:t>
      </w:r>
      <w:r w:rsidRPr="002A6FBF">
        <w:rPr>
          <w:rFonts w:ascii="Arial" w:hAnsi="Arial" w:cs="Arial"/>
        </w:rPr>
        <w:t>.</w:t>
      </w:r>
    </w:p>
    <w:p w14:paraId="1C2F1E12" w14:textId="7661B8B2" w:rsidR="002A6FBF" w:rsidRPr="002A6FBF" w:rsidRDefault="002A6FBF" w:rsidP="002A6FBF">
      <w:pPr>
        <w:pStyle w:val="paragraph"/>
        <w:spacing w:before="240" w:beforeAutospacing="0" w:after="0" w:afterAutospacing="0"/>
        <w:rPr>
          <w:rStyle w:val="eop"/>
          <w:rFonts w:ascii="Arial" w:hAnsi="Arial" w:cs="Arial"/>
        </w:rPr>
      </w:pPr>
      <w:r w:rsidRPr="002A6FBF">
        <w:rPr>
          <w:rFonts w:ascii="Arial" w:hAnsi="Arial" w:cs="Arial"/>
          <w:color w:val="000000" w:themeColor="text1"/>
        </w:rPr>
        <w:t xml:space="preserve">College of Policing. (2013) </w:t>
      </w:r>
      <w:r w:rsidRPr="002A6FBF">
        <w:rPr>
          <w:rFonts w:ascii="Arial" w:hAnsi="Arial" w:cs="Arial"/>
          <w:i/>
          <w:iCs/>
          <w:color w:val="000000" w:themeColor="text1"/>
        </w:rPr>
        <w:t xml:space="preserve">Investigative Process. </w:t>
      </w:r>
      <w:r w:rsidRPr="002A6FBF">
        <w:rPr>
          <w:rFonts w:ascii="Arial" w:hAnsi="Arial" w:cs="Arial"/>
          <w:color w:val="000000" w:themeColor="text1"/>
        </w:rPr>
        <w:t xml:space="preserve">[online]. Available at: </w:t>
      </w:r>
      <w:hyperlink r:id="rId15" w:history="1">
        <w:r w:rsidRPr="002A6FBF">
          <w:rPr>
            <w:rStyle w:val="Hyperlink"/>
            <w:rFonts w:ascii="Arial" w:hAnsi="Arial" w:cs="Arial"/>
          </w:rPr>
          <w:t>Investigation process | College of Policing</w:t>
        </w:r>
      </w:hyperlink>
      <w:r w:rsidRPr="002A6FBF">
        <w:rPr>
          <w:rFonts w:ascii="Arial" w:hAnsi="Arial" w:cs="Arial"/>
        </w:rPr>
        <w:t xml:space="preserve"> (Accessed: </w:t>
      </w:r>
      <w:r w:rsidR="007D6A1E">
        <w:rPr>
          <w:rFonts w:ascii="Arial" w:hAnsi="Arial" w:cs="Arial"/>
        </w:rPr>
        <w:t>6</w:t>
      </w:r>
      <w:r w:rsidRPr="002A6FBF">
        <w:rPr>
          <w:rFonts w:ascii="Arial" w:hAnsi="Arial" w:cs="Arial"/>
          <w:vertAlign w:val="superscript"/>
        </w:rPr>
        <w:t>th</w:t>
      </w:r>
      <w:r w:rsidRPr="002A6FBF">
        <w:rPr>
          <w:rFonts w:ascii="Arial" w:hAnsi="Arial" w:cs="Arial"/>
        </w:rPr>
        <w:t xml:space="preserve"> October 2023).</w:t>
      </w:r>
    </w:p>
    <w:p w14:paraId="626FAF38" w14:textId="77777777" w:rsidR="00E21EC6" w:rsidRDefault="00E21EC6" w:rsidP="00E21EC6">
      <w:pPr>
        <w:pStyle w:val="paragraph"/>
        <w:spacing w:before="0" w:beforeAutospacing="0" w:after="0" w:afterAutospacing="0"/>
        <w:rPr>
          <w:rStyle w:val="eop"/>
          <w:rFonts w:ascii="Arial" w:hAnsi="Arial" w:cs="Arial"/>
          <w:color w:val="000000" w:themeColor="text1"/>
        </w:rPr>
      </w:pPr>
    </w:p>
    <w:p w14:paraId="71A1E15D" w14:textId="662D80A2" w:rsidR="00E21EC6" w:rsidRPr="00EF5A84" w:rsidRDefault="00E21EC6" w:rsidP="00E21EC6">
      <w:pPr>
        <w:pStyle w:val="paragraph"/>
        <w:spacing w:before="0" w:beforeAutospacing="0" w:after="0" w:afterAutospacing="0"/>
        <w:rPr>
          <w:rFonts w:ascii="Arial" w:hAnsi="Arial" w:cs="Arial"/>
        </w:rPr>
      </w:pPr>
      <w:r w:rsidRPr="00EF5A84">
        <w:rPr>
          <w:rStyle w:val="eop"/>
          <w:rFonts w:ascii="Arial" w:hAnsi="Arial" w:cs="Arial"/>
          <w:color w:val="000000" w:themeColor="text1"/>
        </w:rPr>
        <w:t xml:space="preserve">Crown Prosecution Service. (2022) </w:t>
      </w:r>
      <w:r w:rsidRPr="00EF5A84">
        <w:rPr>
          <w:rStyle w:val="eop"/>
          <w:rFonts w:ascii="Arial" w:hAnsi="Arial" w:cs="Arial"/>
          <w:i/>
          <w:iCs/>
          <w:color w:val="000000" w:themeColor="text1"/>
        </w:rPr>
        <w:t xml:space="preserve">Theft Act Offences. </w:t>
      </w:r>
      <w:r w:rsidRPr="00EF5A84">
        <w:rPr>
          <w:rStyle w:val="eop"/>
          <w:rFonts w:ascii="Arial" w:hAnsi="Arial" w:cs="Arial"/>
          <w:color w:val="000000" w:themeColor="text1"/>
        </w:rPr>
        <w:t xml:space="preserve">[online]. Available at: </w:t>
      </w:r>
      <w:hyperlink r:id="rId16" w:history="1">
        <w:r w:rsidRPr="00EF5A84">
          <w:rPr>
            <w:rStyle w:val="Hyperlink"/>
            <w:rFonts w:ascii="Arial" w:hAnsi="Arial" w:cs="Arial"/>
          </w:rPr>
          <w:t>Theft Act Offences | The Crown Prosecution Service (cps.gov.uk)</w:t>
        </w:r>
      </w:hyperlink>
      <w:r w:rsidRPr="00EF5A84">
        <w:rPr>
          <w:rFonts w:ascii="Arial" w:hAnsi="Arial" w:cs="Arial"/>
        </w:rPr>
        <w:t xml:space="preserve"> (Accessed: </w:t>
      </w:r>
      <w:r w:rsidR="007D6A1E">
        <w:rPr>
          <w:rFonts w:ascii="Arial" w:hAnsi="Arial" w:cs="Arial"/>
        </w:rPr>
        <w:t>2</w:t>
      </w:r>
      <w:r w:rsidR="007D6A1E" w:rsidRPr="007D6A1E">
        <w:rPr>
          <w:rFonts w:ascii="Arial" w:hAnsi="Arial" w:cs="Arial"/>
          <w:vertAlign w:val="superscript"/>
        </w:rPr>
        <w:t>nd</w:t>
      </w:r>
      <w:r w:rsidRPr="00EF5A84">
        <w:rPr>
          <w:rFonts w:ascii="Arial" w:hAnsi="Arial" w:cs="Arial"/>
        </w:rPr>
        <w:t xml:space="preserve"> October 2023).</w:t>
      </w:r>
    </w:p>
    <w:p w14:paraId="6A4FADCF" w14:textId="77777777" w:rsidR="00E21EC6" w:rsidRPr="00EF5A84" w:rsidRDefault="00E21EC6" w:rsidP="00E21EC6">
      <w:pPr>
        <w:pStyle w:val="paragraph"/>
        <w:spacing w:before="0" w:beforeAutospacing="0" w:after="0" w:afterAutospacing="0"/>
        <w:rPr>
          <w:rFonts w:ascii="Arial" w:hAnsi="Arial" w:cs="Arial"/>
        </w:rPr>
      </w:pPr>
    </w:p>
    <w:p w14:paraId="0DCBD650" w14:textId="798CC43C" w:rsidR="00E21EC6" w:rsidRDefault="00E21EC6" w:rsidP="00E21EC6">
      <w:pPr>
        <w:pStyle w:val="paragraph"/>
        <w:spacing w:before="0" w:beforeAutospacing="0" w:after="0" w:afterAutospacing="0"/>
        <w:rPr>
          <w:rFonts w:ascii="Arial" w:hAnsi="Arial" w:cs="Arial"/>
        </w:rPr>
      </w:pPr>
      <w:r w:rsidRPr="00EF5A84">
        <w:rPr>
          <w:rFonts w:ascii="Arial" w:hAnsi="Arial" w:cs="Arial"/>
        </w:rPr>
        <w:t xml:space="preserve">Crown Prosecution Service. (2019) </w:t>
      </w:r>
      <w:r w:rsidRPr="00EF5A84">
        <w:rPr>
          <w:rFonts w:ascii="Arial" w:hAnsi="Arial" w:cs="Arial"/>
          <w:i/>
          <w:iCs/>
        </w:rPr>
        <w:t xml:space="preserve">Fraud Act 2006. </w:t>
      </w:r>
      <w:r w:rsidRPr="00EF5A84">
        <w:rPr>
          <w:rFonts w:ascii="Arial" w:hAnsi="Arial" w:cs="Arial"/>
        </w:rPr>
        <w:t xml:space="preserve">[online]. Available at: </w:t>
      </w:r>
      <w:hyperlink r:id="rId17" w:history="1">
        <w:r w:rsidRPr="00EF5A84">
          <w:rPr>
            <w:rStyle w:val="Hyperlink"/>
            <w:rFonts w:ascii="Arial" w:hAnsi="Arial" w:cs="Arial"/>
          </w:rPr>
          <w:t>Fraud Act 2006, The | The Crown Prosecution Service (cps.gov.uk)</w:t>
        </w:r>
      </w:hyperlink>
      <w:r w:rsidRPr="00EF5A84">
        <w:rPr>
          <w:rFonts w:ascii="Arial" w:hAnsi="Arial" w:cs="Arial"/>
        </w:rPr>
        <w:t xml:space="preserve"> (Accessed: </w:t>
      </w:r>
      <w:r w:rsidR="007D6A1E">
        <w:rPr>
          <w:rFonts w:ascii="Arial" w:hAnsi="Arial" w:cs="Arial"/>
        </w:rPr>
        <w:t>2</w:t>
      </w:r>
      <w:r w:rsidR="007D6A1E" w:rsidRPr="007D6A1E">
        <w:rPr>
          <w:rFonts w:ascii="Arial" w:hAnsi="Arial" w:cs="Arial"/>
          <w:vertAlign w:val="superscript"/>
        </w:rPr>
        <w:t>nd</w:t>
      </w:r>
      <w:r w:rsidRPr="00EF5A84">
        <w:rPr>
          <w:rFonts w:ascii="Arial" w:hAnsi="Arial" w:cs="Arial"/>
        </w:rPr>
        <w:t xml:space="preserve"> October 2023).</w:t>
      </w:r>
    </w:p>
    <w:p w14:paraId="34C5C0F1" w14:textId="77777777" w:rsidR="008E4038" w:rsidRDefault="008E4038" w:rsidP="00E21EC6">
      <w:pPr>
        <w:pStyle w:val="paragraph"/>
        <w:spacing w:before="0" w:beforeAutospacing="0" w:after="0" w:afterAutospacing="0"/>
        <w:rPr>
          <w:rFonts w:ascii="Arial" w:hAnsi="Arial" w:cs="Arial"/>
        </w:rPr>
      </w:pPr>
    </w:p>
    <w:p w14:paraId="6C5182FE" w14:textId="0A17B2B5" w:rsidR="008E4038" w:rsidRPr="008E4038" w:rsidRDefault="008E4038" w:rsidP="008E4038">
      <w:pPr>
        <w:ind w:right="237"/>
        <w:jc w:val="both"/>
        <w:rPr>
          <w:sz w:val="24"/>
          <w:szCs w:val="24"/>
        </w:rPr>
      </w:pPr>
      <w:r>
        <w:rPr>
          <w:sz w:val="24"/>
          <w:szCs w:val="24"/>
        </w:rPr>
        <w:t xml:space="preserve">Fielding, N. (2023) ‘Police Communications and Social Media’. </w:t>
      </w:r>
      <w:r>
        <w:rPr>
          <w:i/>
          <w:iCs/>
          <w:sz w:val="24"/>
          <w:szCs w:val="24"/>
        </w:rPr>
        <w:t xml:space="preserve">European Journal of Criminology. </w:t>
      </w:r>
      <w:r>
        <w:rPr>
          <w:sz w:val="24"/>
          <w:szCs w:val="24"/>
        </w:rPr>
        <w:t>20(1) pp.316-334.</w:t>
      </w:r>
    </w:p>
    <w:p w14:paraId="5FE9750E" w14:textId="77777777" w:rsidR="00E21EC6" w:rsidRPr="0009778C" w:rsidRDefault="00E21EC6" w:rsidP="00E21EC6">
      <w:pPr>
        <w:pStyle w:val="paragraph"/>
        <w:spacing w:before="0" w:beforeAutospacing="0" w:after="0" w:afterAutospacing="0"/>
        <w:rPr>
          <w:rFonts w:ascii="Arial" w:hAnsi="Arial" w:cs="Arial"/>
        </w:rPr>
      </w:pPr>
    </w:p>
    <w:p w14:paraId="1A3C8A8E" w14:textId="3B97E04D" w:rsidR="00E21EC6" w:rsidRPr="0009778C" w:rsidRDefault="00E21EC6" w:rsidP="00E21EC6">
      <w:pPr>
        <w:pStyle w:val="paragraph"/>
        <w:spacing w:before="0" w:beforeAutospacing="0" w:after="0" w:afterAutospacing="0"/>
        <w:rPr>
          <w:rFonts w:ascii="Arial" w:hAnsi="Arial" w:cs="Arial"/>
        </w:rPr>
      </w:pPr>
      <w:r w:rsidRPr="0009778C">
        <w:rPr>
          <w:rFonts w:ascii="Arial" w:hAnsi="Arial" w:cs="Arial"/>
          <w:bCs/>
        </w:rPr>
        <w:t xml:space="preserve">His Majesty’s Inspectorate of Constabulary and Fire &amp; Rescue Services. (2023) </w:t>
      </w:r>
      <w:r w:rsidRPr="0009778C">
        <w:rPr>
          <w:rFonts w:ascii="Arial" w:hAnsi="Arial" w:cs="Arial"/>
          <w:bCs/>
          <w:i/>
          <w:iCs/>
        </w:rPr>
        <w:t xml:space="preserve">Public Protection Notice (PPN) </w:t>
      </w:r>
      <w:r w:rsidRPr="0009778C">
        <w:rPr>
          <w:rFonts w:ascii="Arial" w:hAnsi="Arial" w:cs="Arial"/>
          <w:bCs/>
        </w:rPr>
        <w:t xml:space="preserve">[online]. Available at: </w:t>
      </w:r>
      <w:hyperlink r:id="rId18" w:history="1">
        <w:r w:rsidRPr="0009778C">
          <w:rPr>
            <w:rFonts w:ascii="Arial" w:hAnsi="Arial" w:cs="Arial"/>
            <w:color w:val="0000FF"/>
            <w:u w:val="single"/>
            <w:lang w:eastAsia="en-GB"/>
          </w:rPr>
          <w:t>Public protection notice (PPN) - His Majesty’s Inspectorate of Constabulary and Fire &amp; Rescue Services (justiceinspectorates.gov.uk)</w:t>
        </w:r>
      </w:hyperlink>
      <w:r w:rsidRPr="0009778C">
        <w:rPr>
          <w:rFonts w:ascii="Arial" w:hAnsi="Arial" w:cs="Arial"/>
          <w:color w:val="000000"/>
          <w:lang w:eastAsia="en-GB"/>
        </w:rPr>
        <w:t xml:space="preserve"> (Accessed: </w:t>
      </w:r>
      <w:r w:rsidR="007D6A1E">
        <w:rPr>
          <w:rFonts w:ascii="Arial" w:hAnsi="Arial" w:cs="Arial"/>
          <w:color w:val="000000"/>
          <w:lang w:eastAsia="en-GB"/>
        </w:rPr>
        <w:t>4</w:t>
      </w:r>
      <w:r w:rsidRPr="0009778C">
        <w:rPr>
          <w:rFonts w:ascii="Arial" w:hAnsi="Arial" w:cs="Arial"/>
          <w:color w:val="000000"/>
          <w:lang w:eastAsia="en-GB"/>
        </w:rPr>
        <w:t>th October 2023).</w:t>
      </w:r>
    </w:p>
    <w:p w14:paraId="1F9C35B7" w14:textId="77777777" w:rsidR="00E21EC6" w:rsidRDefault="00E21EC6" w:rsidP="00E21EC6">
      <w:pPr>
        <w:pStyle w:val="paragraph"/>
        <w:spacing w:before="0" w:beforeAutospacing="0" w:after="0" w:afterAutospacing="0"/>
        <w:rPr>
          <w:rFonts w:ascii="Arial" w:hAnsi="Arial" w:cs="Arial"/>
        </w:rPr>
      </w:pPr>
    </w:p>
    <w:p w14:paraId="46C575F0" w14:textId="77777777" w:rsidR="00E21EC6" w:rsidRDefault="00E21EC6" w:rsidP="00E21EC6">
      <w:pPr>
        <w:ind w:right="107"/>
        <w:jc w:val="both"/>
        <w:rPr>
          <w:bCs/>
          <w:sz w:val="24"/>
          <w:szCs w:val="24"/>
        </w:rPr>
      </w:pPr>
      <w:r>
        <w:rPr>
          <w:bCs/>
          <w:sz w:val="24"/>
          <w:szCs w:val="24"/>
        </w:rPr>
        <w:lastRenderedPageBreak/>
        <w:t xml:space="preserve">His Majesty’s Inspectorate of Constabulary and Fire &amp; Rescue Services. (2015) </w:t>
      </w:r>
      <w:r>
        <w:rPr>
          <w:bCs/>
          <w:i/>
          <w:iCs/>
          <w:sz w:val="24"/>
          <w:szCs w:val="24"/>
        </w:rPr>
        <w:t xml:space="preserve">PEEL: Police Effectiveness 2015 (Vulnerability). </w:t>
      </w:r>
      <w:r>
        <w:rPr>
          <w:bCs/>
          <w:sz w:val="24"/>
          <w:szCs w:val="24"/>
        </w:rPr>
        <w:t xml:space="preserve">London: HMICFRS. </w:t>
      </w:r>
    </w:p>
    <w:p w14:paraId="23F30DB1" w14:textId="77777777" w:rsidR="008E4038" w:rsidRDefault="008E4038" w:rsidP="00E21EC6">
      <w:pPr>
        <w:ind w:right="107"/>
        <w:jc w:val="both"/>
        <w:rPr>
          <w:bCs/>
          <w:sz w:val="24"/>
          <w:szCs w:val="24"/>
        </w:rPr>
      </w:pPr>
    </w:p>
    <w:p w14:paraId="10A1AFC3" w14:textId="32DF9CD0" w:rsidR="008E4038" w:rsidRPr="008E4038" w:rsidRDefault="008E4038" w:rsidP="008E4038">
      <w:pPr>
        <w:pStyle w:val="paragraph"/>
        <w:spacing w:before="0" w:beforeAutospacing="0" w:after="0" w:afterAutospacing="0"/>
        <w:rPr>
          <w:rFonts w:ascii="Arial" w:hAnsi="Arial" w:cs="Arial"/>
        </w:rPr>
      </w:pPr>
      <w:proofErr w:type="spellStart"/>
      <w:r>
        <w:rPr>
          <w:rFonts w:ascii="Arial" w:hAnsi="Arial" w:cs="Arial"/>
        </w:rPr>
        <w:t>Kleemans</w:t>
      </w:r>
      <w:proofErr w:type="spellEnd"/>
      <w:r>
        <w:rPr>
          <w:rFonts w:ascii="Arial" w:hAnsi="Arial" w:cs="Arial"/>
        </w:rPr>
        <w:t xml:space="preserve">, E. (2001) ‘Repeat Burglary </w:t>
      </w:r>
      <w:proofErr w:type="spellStart"/>
      <w:r>
        <w:rPr>
          <w:rFonts w:ascii="Arial" w:hAnsi="Arial" w:cs="Arial"/>
        </w:rPr>
        <w:t>Vicimisation</w:t>
      </w:r>
      <w:proofErr w:type="spellEnd"/>
      <w:r>
        <w:rPr>
          <w:rFonts w:ascii="Arial" w:hAnsi="Arial" w:cs="Arial"/>
        </w:rPr>
        <w:t xml:space="preserve">: Results of Empirical Research’ </w:t>
      </w:r>
      <w:r>
        <w:rPr>
          <w:rFonts w:ascii="Arial" w:hAnsi="Arial" w:cs="Arial"/>
          <w:i/>
          <w:iCs/>
        </w:rPr>
        <w:t xml:space="preserve">Crime Prevention Studies. </w:t>
      </w:r>
      <w:r>
        <w:rPr>
          <w:rFonts w:ascii="Arial" w:hAnsi="Arial" w:cs="Arial"/>
        </w:rPr>
        <w:t>12(1) pp.53-68.</w:t>
      </w:r>
    </w:p>
    <w:p w14:paraId="683D0C7E" w14:textId="77777777" w:rsidR="008E4038" w:rsidRDefault="008E4038" w:rsidP="00E21EC6">
      <w:pPr>
        <w:ind w:right="107"/>
        <w:jc w:val="both"/>
        <w:rPr>
          <w:bCs/>
          <w:sz w:val="24"/>
          <w:szCs w:val="24"/>
        </w:rPr>
      </w:pPr>
    </w:p>
    <w:p w14:paraId="271D4CEE" w14:textId="113910C3" w:rsidR="008E4038" w:rsidRDefault="008E4038" w:rsidP="008E4038">
      <w:pPr>
        <w:ind w:right="237"/>
        <w:jc w:val="both"/>
        <w:rPr>
          <w:sz w:val="24"/>
          <w:szCs w:val="24"/>
        </w:rPr>
      </w:pPr>
      <w:r w:rsidRPr="00F92BD6">
        <w:rPr>
          <w:color w:val="000000" w:themeColor="text1"/>
          <w:sz w:val="24"/>
          <w:szCs w:val="24"/>
        </w:rPr>
        <w:t>Legislation.gov.uk</w:t>
      </w:r>
      <w:r>
        <w:rPr>
          <w:color w:val="000000" w:themeColor="text1"/>
          <w:sz w:val="24"/>
          <w:szCs w:val="24"/>
        </w:rPr>
        <w:t>.</w:t>
      </w:r>
      <w:r w:rsidRPr="00F92BD6">
        <w:rPr>
          <w:color w:val="000000" w:themeColor="text1"/>
          <w:sz w:val="24"/>
          <w:szCs w:val="24"/>
        </w:rPr>
        <w:t xml:space="preserve"> (2023) </w:t>
      </w:r>
      <w:r w:rsidRPr="00F92BD6">
        <w:rPr>
          <w:i/>
          <w:iCs/>
          <w:color w:val="000000" w:themeColor="text1"/>
          <w:sz w:val="24"/>
          <w:szCs w:val="24"/>
        </w:rPr>
        <w:t xml:space="preserve">Police and Criminal Evidence Act 1984 – Section 1. </w:t>
      </w:r>
      <w:r w:rsidRPr="00F92BD6">
        <w:rPr>
          <w:color w:val="000000" w:themeColor="text1"/>
          <w:sz w:val="24"/>
          <w:szCs w:val="24"/>
        </w:rPr>
        <w:t xml:space="preserve">[online]. Available at: </w:t>
      </w:r>
      <w:hyperlink r:id="rId19" w:history="1">
        <w:r w:rsidRPr="00F92BD6">
          <w:rPr>
            <w:rStyle w:val="Hyperlink"/>
            <w:sz w:val="24"/>
            <w:szCs w:val="24"/>
          </w:rPr>
          <w:t>Police and Criminal Evidence Act 1984 (legislation.gov.uk)</w:t>
        </w:r>
      </w:hyperlink>
      <w:r w:rsidRPr="00F92BD6">
        <w:rPr>
          <w:sz w:val="24"/>
          <w:szCs w:val="24"/>
        </w:rPr>
        <w:t xml:space="preserve"> (Accessed: </w:t>
      </w:r>
      <w:r w:rsidR="007D6A1E">
        <w:rPr>
          <w:sz w:val="24"/>
          <w:szCs w:val="24"/>
        </w:rPr>
        <w:t>12</w:t>
      </w:r>
      <w:r w:rsidRPr="00F92BD6">
        <w:rPr>
          <w:sz w:val="24"/>
          <w:szCs w:val="24"/>
          <w:vertAlign w:val="superscript"/>
        </w:rPr>
        <w:t>th</w:t>
      </w:r>
      <w:r w:rsidRPr="00F92BD6">
        <w:rPr>
          <w:sz w:val="24"/>
          <w:szCs w:val="24"/>
        </w:rPr>
        <w:t xml:space="preserve"> </w:t>
      </w:r>
      <w:r w:rsidR="007D6A1E">
        <w:rPr>
          <w:sz w:val="24"/>
          <w:szCs w:val="24"/>
        </w:rPr>
        <w:t>August</w:t>
      </w:r>
      <w:r w:rsidRPr="00F92BD6">
        <w:rPr>
          <w:sz w:val="24"/>
          <w:szCs w:val="24"/>
        </w:rPr>
        <w:t xml:space="preserve"> 2023).</w:t>
      </w:r>
    </w:p>
    <w:p w14:paraId="2A1D070D" w14:textId="77777777" w:rsidR="008E4038" w:rsidRDefault="008E4038" w:rsidP="008E4038">
      <w:pPr>
        <w:ind w:right="237"/>
        <w:jc w:val="both"/>
        <w:rPr>
          <w:sz w:val="24"/>
          <w:szCs w:val="24"/>
        </w:rPr>
      </w:pPr>
    </w:p>
    <w:p w14:paraId="36A4473A" w14:textId="4E79B4D4" w:rsidR="008E4038" w:rsidRPr="006B3AC5" w:rsidRDefault="008E4038" w:rsidP="008E4038">
      <w:pPr>
        <w:ind w:right="237"/>
        <w:jc w:val="both"/>
        <w:rPr>
          <w:sz w:val="24"/>
          <w:szCs w:val="24"/>
        </w:rPr>
      </w:pPr>
      <w:r>
        <w:rPr>
          <w:sz w:val="24"/>
          <w:szCs w:val="24"/>
        </w:rPr>
        <w:t xml:space="preserve">Legislation.gov.uk. </w:t>
      </w:r>
      <w:r w:rsidRPr="006B3AC5">
        <w:rPr>
          <w:sz w:val="24"/>
          <w:szCs w:val="24"/>
        </w:rPr>
        <w:t xml:space="preserve">(2014) </w:t>
      </w:r>
      <w:r w:rsidRPr="006B3AC5">
        <w:rPr>
          <w:i/>
          <w:iCs/>
          <w:sz w:val="24"/>
          <w:szCs w:val="24"/>
        </w:rPr>
        <w:t xml:space="preserve">Anti-Social Behaviour, Crime and Policing Act 2014 – Section 34 &amp; 35. </w:t>
      </w:r>
      <w:r w:rsidRPr="006B3AC5">
        <w:rPr>
          <w:sz w:val="24"/>
          <w:szCs w:val="24"/>
        </w:rPr>
        <w:t xml:space="preserve">[online]. Available at: </w:t>
      </w:r>
      <w:hyperlink r:id="rId20" w:history="1">
        <w:r w:rsidRPr="006B3AC5">
          <w:rPr>
            <w:rStyle w:val="Hyperlink"/>
            <w:sz w:val="24"/>
            <w:szCs w:val="24"/>
          </w:rPr>
          <w:t>Anti-social Behaviour, Crime and Policing Act 2014 (legislation.gov.uk)</w:t>
        </w:r>
      </w:hyperlink>
      <w:r w:rsidRPr="006B3AC5">
        <w:rPr>
          <w:sz w:val="24"/>
          <w:szCs w:val="24"/>
        </w:rPr>
        <w:t xml:space="preserve"> (Accessed: </w:t>
      </w:r>
      <w:r w:rsidR="007D6A1E">
        <w:rPr>
          <w:sz w:val="24"/>
          <w:szCs w:val="24"/>
        </w:rPr>
        <w:t>18</w:t>
      </w:r>
      <w:r w:rsidRPr="006B3AC5">
        <w:rPr>
          <w:sz w:val="24"/>
          <w:szCs w:val="24"/>
          <w:vertAlign w:val="superscript"/>
        </w:rPr>
        <w:t>th</w:t>
      </w:r>
      <w:r w:rsidRPr="006B3AC5">
        <w:rPr>
          <w:sz w:val="24"/>
          <w:szCs w:val="24"/>
        </w:rPr>
        <w:t xml:space="preserve"> </w:t>
      </w:r>
      <w:r w:rsidR="007D6A1E">
        <w:rPr>
          <w:sz w:val="24"/>
          <w:szCs w:val="24"/>
        </w:rPr>
        <w:t>August</w:t>
      </w:r>
      <w:r w:rsidRPr="006B3AC5">
        <w:rPr>
          <w:sz w:val="24"/>
          <w:szCs w:val="24"/>
        </w:rPr>
        <w:t xml:space="preserve"> 2023).</w:t>
      </w:r>
    </w:p>
    <w:p w14:paraId="574D5D2D" w14:textId="77777777" w:rsidR="008E4038" w:rsidRDefault="008E4038" w:rsidP="008E4038">
      <w:pPr>
        <w:ind w:right="237"/>
        <w:jc w:val="both"/>
        <w:rPr>
          <w:sz w:val="24"/>
          <w:szCs w:val="24"/>
        </w:rPr>
      </w:pPr>
    </w:p>
    <w:p w14:paraId="09F56B2D" w14:textId="580A6141" w:rsidR="008E4038" w:rsidRPr="008E4038" w:rsidRDefault="008E4038" w:rsidP="008E4038">
      <w:pPr>
        <w:ind w:right="237"/>
        <w:jc w:val="both"/>
        <w:rPr>
          <w:sz w:val="24"/>
          <w:szCs w:val="24"/>
        </w:rPr>
      </w:pPr>
      <w:r>
        <w:rPr>
          <w:sz w:val="24"/>
          <w:szCs w:val="24"/>
        </w:rPr>
        <w:t xml:space="preserve">Legislation.gov.uk. (2013) </w:t>
      </w:r>
      <w:r>
        <w:rPr>
          <w:i/>
          <w:iCs/>
          <w:sz w:val="24"/>
          <w:szCs w:val="24"/>
        </w:rPr>
        <w:t xml:space="preserve">Police and Criminal Evidence Act 1984 – Section 32b. </w:t>
      </w:r>
      <w:r>
        <w:rPr>
          <w:sz w:val="24"/>
          <w:szCs w:val="24"/>
        </w:rPr>
        <w:t>[online</w:t>
      </w:r>
      <w:r w:rsidRPr="001D79FE">
        <w:rPr>
          <w:sz w:val="24"/>
          <w:szCs w:val="24"/>
        </w:rPr>
        <w:t xml:space="preserve">]. Available at: </w:t>
      </w:r>
      <w:hyperlink r:id="rId21" w:history="1">
        <w:r w:rsidRPr="001D79FE">
          <w:rPr>
            <w:rStyle w:val="Hyperlink"/>
            <w:sz w:val="24"/>
            <w:szCs w:val="24"/>
          </w:rPr>
          <w:t>Police and Criminal Evidence Act 1984 (legislation.gov.uk)</w:t>
        </w:r>
      </w:hyperlink>
      <w:r w:rsidRPr="001D79FE">
        <w:rPr>
          <w:sz w:val="24"/>
          <w:szCs w:val="24"/>
        </w:rPr>
        <w:t xml:space="preserve"> (Accessed: </w:t>
      </w:r>
      <w:r w:rsidR="007D6A1E">
        <w:rPr>
          <w:sz w:val="24"/>
          <w:szCs w:val="24"/>
        </w:rPr>
        <w:t>18</w:t>
      </w:r>
      <w:r w:rsidRPr="001D79FE">
        <w:rPr>
          <w:sz w:val="24"/>
          <w:szCs w:val="24"/>
          <w:vertAlign w:val="superscript"/>
        </w:rPr>
        <w:t>th</w:t>
      </w:r>
      <w:r w:rsidRPr="001D79FE">
        <w:rPr>
          <w:sz w:val="24"/>
          <w:szCs w:val="24"/>
        </w:rPr>
        <w:t xml:space="preserve"> </w:t>
      </w:r>
      <w:r w:rsidR="007D6A1E">
        <w:rPr>
          <w:sz w:val="24"/>
          <w:szCs w:val="24"/>
        </w:rPr>
        <w:t>August</w:t>
      </w:r>
      <w:r w:rsidRPr="001D79FE">
        <w:rPr>
          <w:sz w:val="24"/>
          <w:szCs w:val="24"/>
        </w:rPr>
        <w:t xml:space="preserve"> 2023).</w:t>
      </w:r>
    </w:p>
    <w:p w14:paraId="204A4477" w14:textId="77777777" w:rsidR="00E21EC6" w:rsidRDefault="00E21EC6" w:rsidP="00E21EC6">
      <w:pPr>
        <w:pStyle w:val="paragraph"/>
        <w:spacing w:before="0" w:beforeAutospacing="0" w:after="0" w:afterAutospacing="0"/>
        <w:rPr>
          <w:rFonts w:ascii="Arial" w:hAnsi="Arial" w:cs="Arial"/>
        </w:rPr>
      </w:pPr>
    </w:p>
    <w:p w14:paraId="5C315F9F" w14:textId="77777777" w:rsidR="00E21EC6" w:rsidRPr="00A137FB" w:rsidRDefault="00E21EC6" w:rsidP="00E21EC6">
      <w:pPr>
        <w:pStyle w:val="paragraph"/>
        <w:spacing w:before="0" w:beforeAutospacing="0" w:after="0" w:afterAutospacing="0"/>
        <w:rPr>
          <w:rFonts w:ascii="Arial" w:hAnsi="Arial" w:cs="Arial"/>
        </w:rPr>
      </w:pPr>
      <w:r>
        <w:rPr>
          <w:rFonts w:ascii="Arial" w:hAnsi="Arial" w:cs="Arial"/>
        </w:rPr>
        <w:t xml:space="preserve">Logan, T. and Walker, R. (2021) ‘The Gender Safety Gap: Examining the Impact of Victimisation History, Perceived Risk, and Personal Control’ </w:t>
      </w:r>
      <w:r>
        <w:rPr>
          <w:rFonts w:ascii="Arial" w:hAnsi="Arial" w:cs="Arial"/>
          <w:i/>
          <w:iCs/>
        </w:rPr>
        <w:t xml:space="preserve">Journal of Interpersonal Violence. </w:t>
      </w:r>
      <w:r>
        <w:rPr>
          <w:rFonts w:ascii="Arial" w:hAnsi="Arial" w:cs="Arial"/>
        </w:rPr>
        <w:t>36(2) pp.603-631.</w:t>
      </w:r>
    </w:p>
    <w:p w14:paraId="20A9D1B4" w14:textId="77777777" w:rsidR="00E21EC6" w:rsidRDefault="00E21EC6" w:rsidP="00E21EC6">
      <w:pPr>
        <w:overflowPunct/>
        <w:autoSpaceDE/>
        <w:autoSpaceDN/>
        <w:adjustRightInd/>
        <w:textAlignment w:val="auto"/>
        <w:rPr>
          <w:sz w:val="24"/>
          <w:szCs w:val="24"/>
        </w:rPr>
      </w:pPr>
    </w:p>
    <w:p w14:paraId="2DDE9B4B" w14:textId="77777777" w:rsidR="00E21EC6" w:rsidRDefault="00E21EC6" w:rsidP="00E21EC6">
      <w:pPr>
        <w:overflowPunct/>
        <w:autoSpaceDE/>
        <w:autoSpaceDN/>
        <w:adjustRightInd/>
        <w:textAlignment w:val="auto"/>
        <w:rPr>
          <w:sz w:val="24"/>
          <w:szCs w:val="24"/>
        </w:rPr>
      </w:pPr>
      <w:r>
        <w:rPr>
          <w:sz w:val="24"/>
          <w:szCs w:val="24"/>
        </w:rPr>
        <w:t xml:space="preserve">Mawby, R. (2013) </w:t>
      </w:r>
      <w:r>
        <w:rPr>
          <w:i/>
          <w:iCs/>
          <w:sz w:val="24"/>
          <w:szCs w:val="24"/>
        </w:rPr>
        <w:t xml:space="preserve">Burglary: Crime and Society Series. </w:t>
      </w:r>
      <w:r>
        <w:rPr>
          <w:sz w:val="24"/>
          <w:szCs w:val="24"/>
        </w:rPr>
        <w:t>Oxon: Routledge.</w:t>
      </w:r>
    </w:p>
    <w:p w14:paraId="057DB7EF" w14:textId="77777777" w:rsidR="00AA5571" w:rsidRDefault="00AA5571" w:rsidP="00E21EC6">
      <w:pPr>
        <w:overflowPunct/>
        <w:autoSpaceDE/>
        <w:autoSpaceDN/>
        <w:adjustRightInd/>
        <w:textAlignment w:val="auto"/>
        <w:rPr>
          <w:sz w:val="24"/>
          <w:szCs w:val="24"/>
        </w:rPr>
      </w:pPr>
    </w:p>
    <w:p w14:paraId="55DAFCC9" w14:textId="1691D8A6" w:rsidR="00AA5571" w:rsidRPr="001D2732" w:rsidRDefault="00AA5571" w:rsidP="00AA5571">
      <w:pPr>
        <w:ind w:right="237"/>
        <w:jc w:val="both"/>
        <w:rPr>
          <w:sz w:val="24"/>
          <w:szCs w:val="24"/>
        </w:rPr>
      </w:pPr>
      <w:r>
        <w:rPr>
          <w:sz w:val="24"/>
          <w:szCs w:val="24"/>
        </w:rPr>
        <w:t xml:space="preserve">McNeill, </w:t>
      </w:r>
      <w:r w:rsidRPr="00475B30">
        <w:rPr>
          <w:sz w:val="24"/>
          <w:szCs w:val="24"/>
        </w:rPr>
        <w:t xml:space="preserve">A. and Wheller, L. (2019) </w:t>
      </w:r>
      <w:r w:rsidRPr="00475B30">
        <w:rPr>
          <w:i/>
          <w:iCs/>
          <w:sz w:val="24"/>
          <w:szCs w:val="24"/>
        </w:rPr>
        <w:t xml:space="preserve">Developing Interventions to Reduce Knife Crime. </w:t>
      </w:r>
      <w:r w:rsidRPr="00475B30">
        <w:rPr>
          <w:sz w:val="24"/>
          <w:szCs w:val="24"/>
        </w:rPr>
        <w:t xml:space="preserve">[online]. Available at: </w:t>
      </w:r>
      <w:hyperlink r:id="rId22" w:history="1">
        <w:r w:rsidRPr="00475B30">
          <w:rPr>
            <w:rStyle w:val="Hyperlink"/>
            <w:sz w:val="24"/>
            <w:szCs w:val="24"/>
          </w:rPr>
          <w:t>Interventions to reduce knife crime | College of Policing</w:t>
        </w:r>
      </w:hyperlink>
      <w:r w:rsidRPr="00475B30">
        <w:rPr>
          <w:sz w:val="24"/>
          <w:szCs w:val="24"/>
        </w:rPr>
        <w:t xml:space="preserve"> (Accessed: </w:t>
      </w:r>
      <w:r w:rsidR="007D6A1E">
        <w:rPr>
          <w:sz w:val="24"/>
          <w:szCs w:val="24"/>
        </w:rPr>
        <w:t>9</w:t>
      </w:r>
      <w:r w:rsidRPr="00475B30">
        <w:rPr>
          <w:sz w:val="24"/>
          <w:szCs w:val="24"/>
          <w:vertAlign w:val="superscript"/>
        </w:rPr>
        <w:t>th</w:t>
      </w:r>
      <w:r w:rsidRPr="00475B30">
        <w:rPr>
          <w:sz w:val="24"/>
          <w:szCs w:val="24"/>
        </w:rPr>
        <w:t xml:space="preserve"> </w:t>
      </w:r>
      <w:r w:rsidR="007D6A1E">
        <w:rPr>
          <w:sz w:val="24"/>
          <w:szCs w:val="24"/>
        </w:rPr>
        <w:t>September</w:t>
      </w:r>
      <w:r w:rsidRPr="00475B30">
        <w:rPr>
          <w:sz w:val="24"/>
          <w:szCs w:val="24"/>
        </w:rPr>
        <w:t xml:space="preserve"> 2023).</w:t>
      </w:r>
    </w:p>
    <w:p w14:paraId="4FF848DD" w14:textId="77777777" w:rsidR="00E21EC6" w:rsidRPr="003370B4" w:rsidRDefault="00E21EC6" w:rsidP="00E21EC6">
      <w:pPr>
        <w:pStyle w:val="paragraph"/>
        <w:spacing w:before="0" w:beforeAutospacing="0" w:after="0" w:afterAutospacing="0"/>
        <w:rPr>
          <w:rFonts w:ascii="Arial" w:hAnsi="Arial" w:cs="Arial"/>
        </w:rPr>
      </w:pPr>
    </w:p>
    <w:p w14:paraId="03101E1B" w14:textId="77777777" w:rsidR="00E21EC6" w:rsidRDefault="00E21EC6" w:rsidP="00E21EC6">
      <w:pPr>
        <w:pStyle w:val="paragraph"/>
        <w:spacing w:before="0" w:beforeAutospacing="0" w:after="0" w:afterAutospacing="0"/>
        <w:rPr>
          <w:rFonts w:ascii="Arial" w:hAnsi="Arial" w:cs="Arial"/>
        </w:rPr>
      </w:pPr>
      <w:r w:rsidRPr="003370B4">
        <w:rPr>
          <w:rFonts w:ascii="Arial" w:hAnsi="Arial" w:cs="Arial"/>
        </w:rPr>
        <w:t>National Police Chief’s Council</w:t>
      </w:r>
      <w:r>
        <w:rPr>
          <w:rFonts w:ascii="Arial" w:hAnsi="Arial" w:cs="Arial"/>
        </w:rPr>
        <w:t>.</w:t>
      </w:r>
      <w:r w:rsidRPr="003370B4">
        <w:rPr>
          <w:rFonts w:ascii="Arial" w:hAnsi="Arial" w:cs="Arial"/>
        </w:rPr>
        <w:t xml:space="preserve"> (2022)</w:t>
      </w:r>
      <w:r>
        <w:rPr>
          <w:rFonts w:ascii="Arial" w:hAnsi="Arial" w:cs="Arial"/>
        </w:rPr>
        <w:t xml:space="preserve"> </w:t>
      </w:r>
      <w:r>
        <w:rPr>
          <w:rFonts w:ascii="Arial" w:hAnsi="Arial" w:cs="Arial"/>
          <w:i/>
          <w:iCs/>
        </w:rPr>
        <w:t xml:space="preserve">National Vulnerability Action Plan (NVAP) Revised 2020-2022 V2. </w:t>
      </w:r>
      <w:r>
        <w:rPr>
          <w:rFonts w:ascii="Arial" w:hAnsi="Arial" w:cs="Arial"/>
        </w:rPr>
        <w:t>UK: NPCC.</w:t>
      </w:r>
    </w:p>
    <w:p w14:paraId="3D4F0AD8" w14:textId="77777777" w:rsidR="00AA5571" w:rsidRDefault="00AA5571" w:rsidP="00E21EC6">
      <w:pPr>
        <w:pStyle w:val="paragraph"/>
        <w:spacing w:before="0" w:beforeAutospacing="0" w:after="0" w:afterAutospacing="0"/>
        <w:rPr>
          <w:rFonts w:ascii="Arial" w:hAnsi="Arial" w:cs="Arial"/>
        </w:rPr>
      </w:pPr>
    </w:p>
    <w:p w14:paraId="26046654" w14:textId="7F452907" w:rsidR="00AA5571" w:rsidRPr="00AA5571" w:rsidRDefault="00AA5571" w:rsidP="00AA5571">
      <w:pPr>
        <w:ind w:right="237"/>
        <w:jc w:val="both"/>
        <w:rPr>
          <w:sz w:val="24"/>
          <w:szCs w:val="24"/>
        </w:rPr>
      </w:pPr>
      <w:r>
        <w:rPr>
          <w:sz w:val="24"/>
          <w:szCs w:val="24"/>
        </w:rPr>
        <w:t xml:space="preserve">Nickolls, L and Allen, G. (2022) </w:t>
      </w:r>
      <w:r>
        <w:rPr>
          <w:i/>
          <w:iCs/>
          <w:sz w:val="24"/>
          <w:szCs w:val="24"/>
        </w:rPr>
        <w:t xml:space="preserve">Police Powers: Stop and Search. </w:t>
      </w:r>
      <w:r>
        <w:rPr>
          <w:sz w:val="24"/>
          <w:szCs w:val="24"/>
        </w:rPr>
        <w:t>London: House of Commons Library.</w:t>
      </w:r>
    </w:p>
    <w:p w14:paraId="1C5FA0CB" w14:textId="77777777" w:rsidR="00E21EC6" w:rsidRDefault="00E21EC6" w:rsidP="00E21EC6">
      <w:pPr>
        <w:pStyle w:val="paragraph"/>
        <w:spacing w:before="0" w:beforeAutospacing="0" w:after="0" w:afterAutospacing="0"/>
        <w:rPr>
          <w:rFonts w:ascii="Arial" w:hAnsi="Arial" w:cs="Arial"/>
        </w:rPr>
      </w:pPr>
    </w:p>
    <w:p w14:paraId="1BA83AF5" w14:textId="77777777" w:rsidR="00E21EC6" w:rsidRPr="00CD704D" w:rsidRDefault="00E21EC6" w:rsidP="00E21EC6">
      <w:pPr>
        <w:pStyle w:val="paragraph"/>
        <w:spacing w:before="0" w:beforeAutospacing="0" w:after="0" w:afterAutospacing="0"/>
        <w:rPr>
          <w:rFonts w:ascii="Arial" w:hAnsi="Arial" w:cs="Arial"/>
        </w:rPr>
      </w:pPr>
      <w:r>
        <w:rPr>
          <w:rFonts w:ascii="Arial" w:hAnsi="Arial" w:cs="Arial"/>
        </w:rPr>
        <w:t xml:space="preserve">Newton, A., Rogerson, M. and Hirschfield, A. (2008) ‘Relating Target Hardening to Burglary Risk’ </w:t>
      </w:r>
      <w:r>
        <w:rPr>
          <w:rFonts w:ascii="Arial" w:hAnsi="Arial" w:cs="Arial"/>
          <w:i/>
          <w:iCs/>
        </w:rPr>
        <w:t xml:space="preserve">British Society of Criminology. </w:t>
      </w:r>
      <w:r>
        <w:rPr>
          <w:rFonts w:ascii="Arial" w:hAnsi="Arial" w:cs="Arial"/>
        </w:rPr>
        <w:t>8(2) pp.153-174.</w:t>
      </w:r>
    </w:p>
    <w:p w14:paraId="1FEA7DC1" w14:textId="77777777" w:rsidR="00E21EC6" w:rsidRDefault="00E21EC6" w:rsidP="00E21EC6">
      <w:pPr>
        <w:pStyle w:val="paragraph"/>
        <w:spacing w:before="0" w:beforeAutospacing="0" w:after="0" w:afterAutospacing="0"/>
        <w:rPr>
          <w:rFonts w:ascii="Arial" w:hAnsi="Arial" w:cs="Arial"/>
        </w:rPr>
      </w:pPr>
    </w:p>
    <w:p w14:paraId="01E72A29" w14:textId="4D0218DE" w:rsidR="00E21EC6" w:rsidRDefault="00E21EC6" w:rsidP="00E21EC6">
      <w:pPr>
        <w:pStyle w:val="paragraph"/>
        <w:spacing w:before="0" w:beforeAutospacing="0" w:after="0" w:afterAutospacing="0"/>
        <w:rPr>
          <w:rFonts w:ascii="Arial" w:hAnsi="Arial" w:cs="Arial"/>
        </w:rPr>
      </w:pPr>
      <w:r>
        <w:rPr>
          <w:rFonts w:ascii="Arial" w:hAnsi="Arial" w:cs="Arial"/>
        </w:rPr>
        <w:t xml:space="preserve">Office for National Statistics. (2019) </w:t>
      </w:r>
      <w:r>
        <w:rPr>
          <w:rFonts w:ascii="Arial" w:hAnsi="Arial" w:cs="Arial"/>
          <w:i/>
          <w:iCs/>
        </w:rPr>
        <w:t xml:space="preserve">The Nature of Violent Crime in England and Wales: </w:t>
      </w:r>
      <w:r w:rsidRPr="00561548">
        <w:rPr>
          <w:rFonts w:ascii="Arial" w:hAnsi="Arial" w:cs="Arial"/>
          <w:i/>
          <w:iCs/>
        </w:rPr>
        <w:t xml:space="preserve">Year ending March 2018. </w:t>
      </w:r>
      <w:r w:rsidRPr="00561548">
        <w:rPr>
          <w:rFonts w:ascii="Arial" w:hAnsi="Arial" w:cs="Arial"/>
        </w:rPr>
        <w:t xml:space="preserve">[online]. Available at: </w:t>
      </w:r>
      <w:hyperlink r:id="rId23" w:history="1">
        <w:r w:rsidRPr="00561548">
          <w:rPr>
            <w:rStyle w:val="Hyperlink"/>
            <w:rFonts w:ascii="Arial" w:hAnsi="Arial" w:cs="Arial"/>
          </w:rPr>
          <w:t>The nature of violent crime in England and Wales - Office for National Statistics (ons.gov.uk)</w:t>
        </w:r>
      </w:hyperlink>
      <w:r w:rsidRPr="00561548">
        <w:rPr>
          <w:rFonts w:ascii="Arial" w:hAnsi="Arial" w:cs="Arial"/>
        </w:rPr>
        <w:t xml:space="preserve"> (Accessed: </w:t>
      </w:r>
      <w:r w:rsidR="007D6A1E">
        <w:rPr>
          <w:rFonts w:ascii="Arial" w:hAnsi="Arial" w:cs="Arial"/>
        </w:rPr>
        <w:t>15</w:t>
      </w:r>
      <w:r w:rsidRPr="00561548">
        <w:rPr>
          <w:rFonts w:ascii="Arial" w:hAnsi="Arial" w:cs="Arial"/>
          <w:vertAlign w:val="superscript"/>
        </w:rPr>
        <w:t>th</w:t>
      </w:r>
      <w:r w:rsidRPr="00561548">
        <w:rPr>
          <w:rFonts w:ascii="Arial" w:hAnsi="Arial" w:cs="Arial"/>
        </w:rPr>
        <w:t xml:space="preserve"> </w:t>
      </w:r>
      <w:r w:rsidR="007D6A1E">
        <w:rPr>
          <w:rFonts w:ascii="Arial" w:hAnsi="Arial" w:cs="Arial"/>
        </w:rPr>
        <w:t>September</w:t>
      </w:r>
      <w:r w:rsidRPr="00561548">
        <w:rPr>
          <w:rFonts w:ascii="Arial" w:hAnsi="Arial" w:cs="Arial"/>
        </w:rPr>
        <w:t xml:space="preserve"> 2023).</w:t>
      </w:r>
    </w:p>
    <w:p w14:paraId="1C492098" w14:textId="77777777" w:rsidR="00E21EC6" w:rsidRDefault="00E21EC6" w:rsidP="00E21EC6">
      <w:pPr>
        <w:pStyle w:val="paragraph"/>
        <w:spacing w:before="0" w:beforeAutospacing="0" w:after="0" w:afterAutospacing="0"/>
        <w:rPr>
          <w:rFonts w:ascii="Arial" w:hAnsi="Arial" w:cs="Arial"/>
        </w:rPr>
      </w:pPr>
    </w:p>
    <w:p w14:paraId="3C741574" w14:textId="77777777" w:rsidR="00E21EC6" w:rsidRPr="00D57A04" w:rsidRDefault="00E21EC6" w:rsidP="00E21EC6">
      <w:pPr>
        <w:pStyle w:val="paragraph"/>
        <w:spacing w:before="0" w:beforeAutospacing="0" w:after="0" w:afterAutospacing="0"/>
        <w:rPr>
          <w:rFonts w:ascii="Arial" w:hAnsi="Arial" w:cs="Arial"/>
        </w:rPr>
      </w:pPr>
      <w:r>
        <w:rPr>
          <w:rFonts w:ascii="Arial" w:hAnsi="Arial" w:cs="Arial"/>
        </w:rPr>
        <w:t xml:space="preserve">Payne, B. (2011) </w:t>
      </w:r>
      <w:r>
        <w:rPr>
          <w:rFonts w:ascii="Arial" w:hAnsi="Arial" w:cs="Arial"/>
          <w:i/>
          <w:iCs/>
        </w:rPr>
        <w:t xml:space="preserve">Crime and Elder Abuse: An Integrated Perspective. </w:t>
      </w:r>
      <w:r>
        <w:rPr>
          <w:rFonts w:ascii="Arial" w:hAnsi="Arial" w:cs="Arial"/>
        </w:rPr>
        <w:t>Springfield: C Thomas Publisher Ltd.</w:t>
      </w:r>
    </w:p>
    <w:p w14:paraId="4C67D064" w14:textId="77777777" w:rsidR="00E21EC6" w:rsidRDefault="00E21EC6" w:rsidP="00E21EC6">
      <w:pPr>
        <w:pStyle w:val="paragraph"/>
        <w:spacing w:before="0" w:beforeAutospacing="0" w:after="0" w:afterAutospacing="0"/>
        <w:rPr>
          <w:rFonts w:ascii="Arial" w:hAnsi="Arial" w:cs="Arial"/>
        </w:rPr>
      </w:pPr>
    </w:p>
    <w:p w14:paraId="45B27095" w14:textId="77777777" w:rsidR="00E21EC6" w:rsidRPr="00D57A04" w:rsidRDefault="00E21EC6" w:rsidP="00E21EC6">
      <w:pPr>
        <w:pStyle w:val="paragraph"/>
        <w:spacing w:before="0" w:beforeAutospacing="0" w:after="0" w:afterAutospacing="0"/>
        <w:rPr>
          <w:rFonts w:ascii="Arial" w:hAnsi="Arial" w:cs="Arial"/>
        </w:rPr>
      </w:pPr>
      <w:r>
        <w:rPr>
          <w:rFonts w:ascii="Arial" w:hAnsi="Arial" w:cs="Arial"/>
        </w:rPr>
        <w:t xml:space="preserve">Payne, B. and Gainey, R. (2009) </w:t>
      </w:r>
      <w:r>
        <w:rPr>
          <w:rFonts w:ascii="Arial" w:hAnsi="Arial" w:cs="Arial"/>
          <w:i/>
          <w:iCs/>
        </w:rPr>
        <w:t xml:space="preserve">Family Violence and Criminal Justice: A Life-course Approach. </w:t>
      </w:r>
      <w:r>
        <w:rPr>
          <w:rFonts w:ascii="Arial" w:hAnsi="Arial" w:cs="Arial"/>
        </w:rPr>
        <w:t>New York: Routledge.</w:t>
      </w:r>
    </w:p>
    <w:p w14:paraId="6995DF50" w14:textId="77777777" w:rsidR="00E21EC6" w:rsidRDefault="00E21EC6" w:rsidP="00E21EC6">
      <w:pPr>
        <w:pStyle w:val="paragraph"/>
        <w:spacing w:before="0" w:beforeAutospacing="0" w:after="0" w:afterAutospacing="0"/>
        <w:rPr>
          <w:rFonts w:ascii="Arial" w:hAnsi="Arial" w:cs="Arial"/>
        </w:rPr>
      </w:pPr>
    </w:p>
    <w:p w14:paraId="35A50270" w14:textId="77777777" w:rsidR="00E21EC6" w:rsidRDefault="00E21EC6" w:rsidP="00E21EC6">
      <w:pPr>
        <w:pStyle w:val="paragraph"/>
        <w:spacing w:before="0" w:beforeAutospacing="0" w:after="0" w:afterAutospacing="0"/>
        <w:rPr>
          <w:rFonts w:ascii="Arial" w:hAnsi="Arial" w:cs="Arial"/>
        </w:rPr>
      </w:pPr>
      <w:r>
        <w:rPr>
          <w:rFonts w:ascii="Arial" w:hAnsi="Arial" w:cs="Arial"/>
        </w:rPr>
        <w:t xml:space="preserve">Scharf, T., Phillipson, C., Smith, A. and Kingston, P. (2002) </w:t>
      </w:r>
      <w:r>
        <w:rPr>
          <w:rFonts w:ascii="Arial" w:hAnsi="Arial" w:cs="Arial"/>
          <w:i/>
          <w:iCs/>
        </w:rPr>
        <w:t xml:space="preserve">Growing Older in Socially Deprived Areas: Social Exclusion in Later Life. </w:t>
      </w:r>
      <w:r>
        <w:rPr>
          <w:rFonts w:ascii="Arial" w:hAnsi="Arial" w:cs="Arial"/>
        </w:rPr>
        <w:t>London: Help the Aged.</w:t>
      </w:r>
    </w:p>
    <w:p w14:paraId="165B5EA1" w14:textId="77777777" w:rsidR="00E21EC6" w:rsidRDefault="00E21EC6" w:rsidP="00E21EC6">
      <w:pPr>
        <w:pStyle w:val="paragraph"/>
        <w:spacing w:before="0" w:beforeAutospacing="0" w:after="0" w:afterAutospacing="0"/>
        <w:rPr>
          <w:rFonts w:ascii="Arial" w:hAnsi="Arial" w:cs="Arial"/>
        </w:rPr>
      </w:pPr>
    </w:p>
    <w:p w14:paraId="672EB0F9" w14:textId="4C8642BB" w:rsidR="00AA5571" w:rsidRDefault="00E21EC6" w:rsidP="00E21EC6">
      <w:pPr>
        <w:pStyle w:val="paragraph"/>
        <w:spacing w:before="0" w:beforeAutospacing="0" w:after="0" w:afterAutospacing="0"/>
        <w:rPr>
          <w:rFonts w:ascii="Arial" w:hAnsi="Arial" w:cs="Arial"/>
        </w:rPr>
      </w:pPr>
      <w:r w:rsidRPr="00CB29D3">
        <w:rPr>
          <w:rFonts w:ascii="Arial" w:hAnsi="Arial" w:cs="Arial"/>
        </w:rPr>
        <w:t xml:space="preserve">South Wales Police. (2023) </w:t>
      </w:r>
      <w:r w:rsidRPr="00CB29D3">
        <w:rPr>
          <w:rFonts w:ascii="Arial" w:hAnsi="Arial" w:cs="Arial"/>
          <w:i/>
          <w:iCs/>
        </w:rPr>
        <w:t xml:space="preserve">Operation Sentinel. </w:t>
      </w:r>
      <w:r w:rsidRPr="00CB29D3">
        <w:rPr>
          <w:rFonts w:ascii="Arial" w:hAnsi="Arial" w:cs="Arial"/>
        </w:rPr>
        <w:t xml:space="preserve">[online]. Available at: </w:t>
      </w:r>
      <w:hyperlink r:id="rId24" w:history="1">
        <w:r w:rsidRPr="00CB29D3">
          <w:rPr>
            <w:rStyle w:val="Hyperlink"/>
            <w:rFonts w:ascii="Arial" w:hAnsi="Arial" w:cs="Arial"/>
          </w:rPr>
          <w:t>Op Sentinel (police.int)</w:t>
        </w:r>
      </w:hyperlink>
      <w:r w:rsidRPr="00CB29D3">
        <w:rPr>
          <w:rFonts w:ascii="Arial" w:hAnsi="Arial" w:cs="Arial"/>
        </w:rPr>
        <w:t xml:space="preserve"> (Accessed: </w:t>
      </w:r>
      <w:r w:rsidR="007D6A1E">
        <w:rPr>
          <w:rFonts w:ascii="Arial" w:hAnsi="Arial" w:cs="Arial"/>
        </w:rPr>
        <w:t>20</w:t>
      </w:r>
      <w:r w:rsidRPr="00CB29D3">
        <w:rPr>
          <w:rFonts w:ascii="Arial" w:hAnsi="Arial" w:cs="Arial"/>
          <w:vertAlign w:val="superscript"/>
        </w:rPr>
        <w:t>th</w:t>
      </w:r>
      <w:r w:rsidRPr="00CB29D3">
        <w:rPr>
          <w:rFonts w:ascii="Arial" w:hAnsi="Arial" w:cs="Arial"/>
        </w:rPr>
        <w:t xml:space="preserve"> </w:t>
      </w:r>
      <w:r w:rsidR="007D6A1E">
        <w:rPr>
          <w:rFonts w:ascii="Arial" w:hAnsi="Arial" w:cs="Arial"/>
        </w:rPr>
        <w:t>September</w:t>
      </w:r>
      <w:r w:rsidRPr="00CB29D3">
        <w:rPr>
          <w:rFonts w:ascii="Arial" w:hAnsi="Arial" w:cs="Arial"/>
        </w:rPr>
        <w:t xml:space="preserve"> 2023).</w:t>
      </w:r>
    </w:p>
    <w:p w14:paraId="124C72D0" w14:textId="77777777" w:rsidR="00E21EC6" w:rsidRDefault="00E21EC6" w:rsidP="00E21EC6">
      <w:pPr>
        <w:pStyle w:val="paragraph"/>
        <w:spacing w:before="0" w:beforeAutospacing="0" w:after="0" w:afterAutospacing="0"/>
        <w:rPr>
          <w:rFonts w:ascii="Arial" w:hAnsi="Arial" w:cs="Arial"/>
        </w:rPr>
      </w:pPr>
    </w:p>
    <w:p w14:paraId="19DD47EB" w14:textId="6EDE9273" w:rsidR="00E21EC6" w:rsidRDefault="00E21EC6" w:rsidP="00E21EC6">
      <w:pPr>
        <w:pStyle w:val="paragraph"/>
        <w:spacing w:before="0" w:beforeAutospacing="0" w:after="0" w:afterAutospacing="0"/>
        <w:rPr>
          <w:rFonts w:ascii="Arial" w:hAnsi="Arial" w:cs="Arial"/>
        </w:rPr>
      </w:pPr>
      <w:r>
        <w:rPr>
          <w:rFonts w:ascii="Arial" w:hAnsi="Arial" w:cs="Arial"/>
        </w:rPr>
        <w:t xml:space="preserve">South Wales </w:t>
      </w:r>
      <w:r w:rsidRPr="0037188B">
        <w:rPr>
          <w:rFonts w:ascii="Arial" w:hAnsi="Arial" w:cs="Arial"/>
        </w:rPr>
        <w:t xml:space="preserve">Victim Focus. (2023) </w:t>
      </w:r>
      <w:r w:rsidRPr="0037188B">
        <w:rPr>
          <w:rFonts w:ascii="Arial" w:hAnsi="Arial" w:cs="Arial"/>
          <w:i/>
          <w:iCs/>
        </w:rPr>
        <w:t xml:space="preserve">Who We Are. </w:t>
      </w:r>
      <w:r w:rsidRPr="0037188B">
        <w:rPr>
          <w:rFonts w:ascii="Arial" w:hAnsi="Arial" w:cs="Arial"/>
        </w:rPr>
        <w:t xml:space="preserve">[online]. Available at: </w:t>
      </w:r>
      <w:hyperlink r:id="rId25" w:history="1">
        <w:r w:rsidRPr="0037188B">
          <w:rPr>
            <w:rStyle w:val="Hyperlink"/>
            <w:rFonts w:ascii="Arial" w:hAnsi="Arial" w:cs="Arial"/>
          </w:rPr>
          <w:t>Who we are - South Wales Victim Focus</w:t>
        </w:r>
      </w:hyperlink>
      <w:r w:rsidRPr="0037188B">
        <w:rPr>
          <w:rFonts w:ascii="Arial" w:hAnsi="Arial" w:cs="Arial"/>
        </w:rPr>
        <w:t xml:space="preserve"> (Accessed: </w:t>
      </w:r>
      <w:r w:rsidR="007D6A1E">
        <w:rPr>
          <w:rFonts w:ascii="Arial" w:hAnsi="Arial" w:cs="Arial"/>
        </w:rPr>
        <w:t>2</w:t>
      </w:r>
      <w:r w:rsidRPr="0037188B">
        <w:rPr>
          <w:rFonts w:ascii="Arial" w:hAnsi="Arial" w:cs="Arial"/>
        </w:rPr>
        <w:t>0</w:t>
      </w:r>
      <w:r w:rsidRPr="0037188B">
        <w:rPr>
          <w:rFonts w:ascii="Arial" w:hAnsi="Arial" w:cs="Arial"/>
          <w:vertAlign w:val="superscript"/>
        </w:rPr>
        <w:t>th</w:t>
      </w:r>
      <w:r w:rsidRPr="0037188B">
        <w:rPr>
          <w:rFonts w:ascii="Arial" w:hAnsi="Arial" w:cs="Arial"/>
        </w:rPr>
        <w:t xml:space="preserve"> </w:t>
      </w:r>
      <w:r w:rsidR="007D6A1E">
        <w:rPr>
          <w:rFonts w:ascii="Arial" w:hAnsi="Arial" w:cs="Arial"/>
        </w:rPr>
        <w:t>September</w:t>
      </w:r>
      <w:r w:rsidRPr="0037188B">
        <w:rPr>
          <w:rFonts w:ascii="Arial" w:hAnsi="Arial" w:cs="Arial"/>
        </w:rPr>
        <w:t xml:space="preserve"> 2023).</w:t>
      </w:r>
    </w:p>
    <w:p w14:paraId="0B8C6DB5" w14:textId="77777777" w:rsidR="00AA5571" w:rsidRDefault="00AA5571" w:rsidP="00AA5571">
      <w:pPr>
        <w:keepNext/>
        <w:spacing w:before="240" w:after="60"/>
        <w:ind w:right="237"/>
        <w:jc w:val="both"/>
        <w:rPr>
          <w:sz w:val="24"/>
          <w:szCs w:val="24"/>
        </w:rPr>
      </w:pPr>
      <w:r>
        <w:rPr>
          <w:sz w:val="24"/>
          <w:szCs w:val="24"/>
        </w:rPr>
        <w:t xml:space="preserve">Spooner, E. and Cooper, B. (2023) </w:t>
      </w:r>
      <w:r>
        <w:rPr>
          <w:i/>
          <w:iCs/>
          <w:sz w:val="24"/>
          <w:szCs w:val="24"/>
        </w:rPr>
        <w:t xml:space="preserve">Dilemmas and Decision Making in Policing. </w:t>
      </w:r>
      <w:r>
        <w:rPr>
          <w:sz w:val="24"/>
          <w:szCs w:val="24"/>
        </w:rPr>
        <w:t>St Albans: Critical Publishing Ltd.</w:t>
      </w:r>
    </w:p>
    <w:p w14:paraId="77A9706A" w14:textId="77777777" w:rsidR="00AA5571" w:rsidRDefault="00AA5571" w:rsidP="00AA5571">
      <w:pPr>
        <w:keepNext/>
        <w:spacing w:before="240" w:after="60"/>
        <w:ind w:right="237"/>
        <w:jc w:val="both"/>
        <w:rPr>
          <w:sz w:val="24"/>
          <w:szCs w:val="24"/>
        </w:rPr>
      </w:pPr>
      <w:r>
        <w:rPr>
          <w:sz w:val="24"/>
          <w:szCs w:val="24"/>
        </w:rPr>
        <w:t xml:space="preserve">Suler, J. (2016) </w:t>
      </w:r>
      <w:r>
        <w:rPr>
          <w:i/>
          <w:iCs/>
          <w:sz w:val="24"/>
          <w:szCs w:val="24"/>
        </w:rPr>
        <w:t xml:space="preserve">Psychology of the Digital Age. </w:t>
      </w:r>
      <w:r>
        <w:rPr>
          <w:sz w:val="24"/>
          <w:szCs w:val="24"/>
        </w:rPr>
        <w:t>USA: Cambridge University Press.</w:t>
      </w:r>
    </w:p>
    <w:p w14:paraId="591CB83E" w14:textId="77777777" w:rsidR="00E21EC6" w:rsidRDefault="00E21EC6" w:rsidP="00E21EC6">
      <w:pPr>
        <w:pStyle w:val="paragraph"/>
        <w:spacing w:before="0" w:beforeAutospacing="0" w:after="0" w:afterAutospacing="0"/>
        <w:rPr>
          <w:rFonts w:ascii="Arial" w:hAnsi="Arial" w:cs="Arial"/>
        </w:rPr>
      </w:pPr>
    </w:p>
    <w:p w14:paraId="3DD5135E" w14:textId="77777777" w:rsidR="00E21EC6" w:rsidRDefault="00E21EC6" w:rsidP="00E21EC6">
      <w:pPr>
        <w:pStyle w:val="paragraph"/>
        <w:spacing w:before="0" w:beforeAutospacing="0" w:after="0" w:afterAutospacing="0"/>
        <w:rPr>
          <w:rFonts w:ascii="Arial" w:hAnsi="Arial" w:cs="Arial"/>
        </w:rPr>
      </w:pPr>
      <w:r>
        <w:rPr>
          <w:rFonts w:ascii="Arial" w:hAnsi="Arial" w:cs="Arial"/>
        </w:rPr>
        <w:t>Tapp, S. (</w:t>
      </w:r>
      <w:r w:rsidRPr="005B2544">
        <w:rPr>
          <w:rFonts w:ascii="Arial" w:hAnsi="Arial" w:cs="Arial"/>
        </w:rPr>
        <w:t xml:space="preserve">2018) </w:t>
      </w:r>
      <w:r>
        <w:rPr>
          <w:rFonts w:ascii="Arial" w:hAnsi="Arial" w:cs="Arial"/>
        </w:rPr>
        <w:t>‘</w:t>
      </w:r>
      <w:r w:rsidRPr="005B2544">
        <w:rPr>
          <w:rFonts w:ascii="Arial" w:hAnsi="Arial" w:cs="Arial"/>
        </w:rPr>
        <w:t>Elder Victimisation and Routine Activities: An Examination of the Predictors of Fraud and Burglary for those Age 60 and Older</w:t>
      </w:r>
      <w:r>
        <w:rPr>
          <w:rFonts w:ascii="Arial" w:hAnsi="Arial" w:cs="Arial"/>
        </w:rPr>
        <w:t xml:space="preserve">’ </w:t>
      </w:r>
      <w:r>
        <w:rPr>
          <w:rFonts w:ascii="Arial" w:hAnsi="Arial" w:cs="Arial"/>
          <w:i/>
          <w:iCs/>
        </w:rPr>
        <w:t xml:space="preserve">Criminal Justice. </w:t>
      </w:r>
      <w:r>
        <w:rPr>
          <w:rFonts w:ascii="Arial" w:hAnsi="Arial" w:cs="Arial"/>
        </w:rPr>
        <w:t>11(1) pp.1-141.</w:t>
      </w:r>
    </w:p>
    <w:p w14:paraId="03C5D13A" w14:textId="77777777" w:rsidR="00AA5571" w:rsidRPr="00613458" w:rsidRDefault="00AA5571" w:rsidP="00AA5571">
      <w:pPr>
        <w:keepNext/>
        <w:spacing w:before="240" w:after="60"/>
        <w:ind w:right="237"/>
        <w:jc w:val="both"/>
        <w:rPr>
          <w:b/>
          <w:bCs/>
          <w:sz w:val="24"/>
          <w:szCs w:val="24"/>
        </w:rPr>
      </w:pPr>
      <w:r>
        <w:rPr>
          <w:sz w:val="24"/>
          <w:szCs w:val="24"/>
        </w:rPr>
        <w:t xml:space="preserve">University of </w:t>
      </w:r>
      <w:r w:rsidRPr="00613458">
        <w:rPr>
          <w:sz w:val="24"/>
          <w:szCs w:val="24"/>
        </w:rPr>
        <w:t xml:space="preserve">Birmingham. (2016) </w:t>
      </w:r>
      <w:r w:rsidRPr="00613458">
        <w:rPr>
          <w:i/>
          <w:iCs/>
          <w:sz w:val="24"/>
          <w:szCs w:val="24"/>
        </w:rPr>
        <w:t xml:space="preserve">The Key Challenges Facing UK Policing Today. </w:t>
      </w:r>
      <w:r w:rsidRPr="00613458">
        <w:rPr>
          <w:sz w:val="24"/>
          <w:szCs w:val="24"/>
        </w:rPr>
        <w:t xml:space="preserve">[online]. Available at: </w:t>
      </w:r>
      <w:hyperlink r:id="rId26" w:history="1">
        <w:r w:rsidRPr="00613458">
          <w:rPr>
            <w:rStyle w:val="Hyperlink"/>
            <w:sz w:val="24"/>
            <w:szCs w:val="24"/>
          </w:rPr>
          <w:t>The key challenges facing UK policing today - University of Birmingham</w:t>
        </w:r>
      </w:hyperlink>
      <w:r w:rsidRPr="00613458">
        <w:rPr>
          <w:sz w:val="24"/>
          <w:szCs w:val="24"/>
        </w:rPr>
        <w:t xml:space="preserve"> (Accessed: 10</w:t>
      </w:r>
      <w:r w:rsidRPr="00613458">
        <w:rPr>
          <w:sz w:val="24"/>
          <w:szCs w:val="24"/>
          <w:vertAlign w:val="superscript"/>
        </w:rPr>
        <w:t>th</w:t>
      </w:r>
      <w:r w:rsidRPr="00613458">
        <w:rPr>
          <w:sz w:val="24"/>
          <w:szCs w:val="24"/>
        </w:rPr>
        <w:t xml:space="preserve"> October 2023).</w:t>
      </w:r>
    </w:p>
    <w:p w14:paraId="56F84063" w14:textId="77777777" w:rsidR="00AA5571" w:rsidRDefault="00AA5571" w:rsidP="00AA5571">
      <w:pPr>
        <w:ind w:right="237"/>
        <w:jc w:val="both"/>
        <w:rPr>
          <w:sz w:val="24"/>
          <w:szCs w:val="24"/>
        </w:rPr>
      </w:pPr>
    </w:p>
    <w:p w14:paraId="0CCAF726" w14:textId="77777777" w:rsidR="00AA5571" w:rsidRPr="004B2860" w:rsidRDefault="00AA5571" w:rsidP="00AA5571">
      <w:pPr>
        <w:ind w:right="237"/>
        <w:jc w:val="both"/>
        <w:rPr>
          <w:color w:val="000000" w:themeColor="text1"/>
          <w:sz w:val="24"/>
          <w:szCs w:val="24"/>
        </w:rPr>
      </w:pPr>
      <w:r>
        <w:rPr>
          <w:sz w:val="24"/>
          <w:szCs w:val="24"/>
        </w:rPr>
        <w:t xml:space="preserve">Youth Justice Board. (2023) </w:t>
      </w:r>
      <w:r>
        <w:rPr>
          <w:i/>
          <w:iCs/>
          <w:sz w:val="24"/>
          <w:szCs w:val="24"/>
        </w:rPr>
        <w:t xml:space="preserve">Youth </w:t>
      </w:r>
      <w:r w:rsidRPr="004B2860">
        <w:rPr>
          <w:i/>
          <w:iCs/>
          <w:sz w:val="24"/>
          <w:szCs w:val="24"/>
        </w:rPr>
        <w:t xml:space="preserve">Justice Statistics 2021/22. </w:t>
      </w:r>
      <w:r w:rsidRPr="004B2860">
        <w:rPr>
          <w:sz w:val="24"/>
          <w:szCs w:val="24"/>
        </w:rPr>
        <w:t xml:space="preserve">[online]. Available at: </w:t>
      </w:r>
      <w:hyperlink r:id="rId27" w:history="1">
        <w:r w:rsidRPr="004B2860">
          <w:rPr>
            <w:rStyle w:val="Hyperlink"/>
            <w:sz w:val="24"/>
            <w:szCs w:val="24"/>
          </w:rPr>
          <w:t>Youth_Justice_Statistics_2021-22.pdf (publishing.service.gov.uk)</w:t>
        </w:r>
      </w:hyperlink>
      <w:r w:rsidRPr="004B2860">
        <w:rPr>
          <w:sz w:val="24"/>
          <w:szCs w:val="24"/>
        </w:rPr>
        <w:t xml:space="preserve"> (Accessed: 10</w:t>
      </w:r>
      <w:r w:rsidRPr="004B2860">
        <w:rPr>
          <w:sz w:val="24"/>
          <w:szCs w:val="24"/>
          <w:vertAlign w:val="superscript"/>
        </w:rPr>
        <w:t>th</w:t>
      </w:r>
      <w:r w:rsidRPr="004B2860">
        <w:rPr>
          <w:sz w:val="24"/>
          <w:szCs w:val="24"/>
        </w:rPr>
        <w:t xml:space="preserve"> October 2023).</w:t>
      </w:r>
    </w:p>
    <w:p w14:paraId="1E0D6AC5" w14:textId="77777777" w:rsidR="00AA5571" w:rsidRDefault="00AA5571" w:rsidP="00E21EC6">
      <w:pPr>
        <w:pStyle w:val="paragraph"/>
        <w:spacing w:before="0" w:beforeAutospacing="0" w:after="0" w:afterAutospacing="0"/>
        <w:rPr>
          <w:rFonts w:ascii="Arial" w:hAnsi="Arial" w:cs="Arial"/>
        </w:rPr>
      </w:pPr>
    </w:p>
    <w:p w14:paraId="1603E03E" w14:textId="77777777" w:rsidR="00E21EC6" w:rsidRDefault="00E21EC6" w:rsidP="00EA28F1">
      <w:pPr>
        <w:keepNext/>
        <w:spacing w:before="240" w:after="60"/>
        <w:ind w:right="237"/>
        <w:jc w:val="both"/>
      </w:pPr>
    </w:p>
    <w:sectPr w:rsidR="00E21EC6" w:rsidSect="0022001B">
      <w:footerReference w:type="default" r:id="rId28"/>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6887E" w14:textId="77777777" w:rsidR="00856F3A" w:rsidRDefault="00856F3A">
      <w:r>
        <w:separator/>
      </w:r>
    </w:p>
  </w:endnote>
  <w:endnote w:type="continuationSeparator" w:id="0">
    <w:p w14:paraId="503E68DA" w14:textId="77777777" w:rsidR="00856F3A" w:rsidRDefault="0085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1B4B6" w14:textId="77777777" w:rsidR="00856F3A" w:rsidRDefault="00856F3A">
      <w:r>
        <w:separator/>
      </w:r>
    </w:p>
  </w:footnote>
  <w:footnote w:type="continuationSeparator" w:id="0">
    <w:p w14:paraId="790A94CF" w14:textId="77777777" w:rsidR="00856F3A" w:rsidRDefault="00856F3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D5B634DC"/>
    <w:lvl w:ilvl="0" w:tplc="378A39AE">
      <w:start w:val="1"/>
      <w:numFmt w:val="decimal"/>
      <w:lvlText w:val="%1."/>
      <w:lvlJc w:val="left"/>
      <w:pPr>
        <w:ind w:left="720" w:hanging="360"/>
      </w:pPr>
    </w:lvl>
    <w:lvl w:ilvl="1" w:tplc="3F6C68F8">
      <w:start w:val="1"/>
      <w:numFmt w:val="lowerLetter"/>
      <w:lvlText w:val="%2."/>
      <w:lvlJc w:val="left"/>
      <w:pPr>
        <w:ind w:left="1440" w:hanging="360"/>
      </w:pPr>
    </w:lvl>
    <w:lvl w:ilvl="2" w:tplc="5CA6C1BA">
      <w:start w:val="1"/>
      <w:numFmt w:val="lowerRoman"/>
      <w:lvlText w:val="%3."/>
      <w:lvlJc w:val="right"/>
      <w:pPr>
        <w:ind w:left="2160" w:hanging="180"/>
      </w:pPr>
    </w:lvl>
    <w:lvl w:ilvl="3" w:tplc="74541C42">
      <w:start w:val="1"/>
      <w:numFmt w:val="decimal"/>
      <w:lvlText w:val="%4."/>
      <w:lvlJc w:val="left"/>
      <w:pPr>
        <w:ind w:left="2880" w:hanging="360"/>
      </w:pPr>
    </w:lvl>
    <w:lvl w:ilvl="4" w:tplc="4F049F78">
      <w:start w:val="1"/>
      <w:numFmt w:val="lowerLetter"/>
      <w:lvlText w:val="%5."/>
      <w:lvlJc w:val="left"/>
      <w:pPr>
        <w:ind w:left="3600" w:hanging="360"/>
      </w:pPr>
    </w:lvl>
    <w:lvl w:ilvl="5" w:tplc="3B904B70">
      <w:start w:val="1"/>
      <w:numFmt w:val="lowerRoman"/>
      <w:lvlText w:val="%6."/>
      <w:lvlJc w:val="right"/>
      <w:pPr>
        <w:ind w:left="4320" w:hanging="180"/>
      </w:pPr>
    </w:lvl>
    <w:lvl w:ilvl="6" w:tplc="86F60BEE">
      <w:start w:val="1"/>
      <w:numFmt w:val="decimal"/>
      <w:lvlText w:val="%7."/>
      <w:lvlJc w:val="left"/>
      <w:pPr>
        <w:ind w:left="5040" w:hanging="360"/>
      </w:pPr>
    </w:lvl>
    <w:lvl w:ilvl="7" w:tplc="F3F0D966">
      <w:start w:val="1"/>
      <w:numFmt w:val="lowerLetter"/>
      <w:lvlText w:val="%8."/>
      <w:lvlJc w:val="left"/>
      <w:pPr>
        <w:ind w:left="5760" w:hanging="360"/>
      </w:pPr>
    </w:lvl>
    <w:lvl w:ilvl="8" w:tplc="D5FE062C">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3A4A1D4"/>
    <w:lvl w:ilvl="0" w:tplc="AEFA5480">
      <w:start w:val="1"/>
      <w:numFmt w:val="decimal"/>
      <w:lvlText w:val="%1."/>
      <w:lvlJc w:val="left"/>
      <w:pPr>
        <w:ind w:left="720" w:hanging="360"/>
      </w:pPr>
    </w:lvl>
    <w:lvl w:ilvl="1" w:tplc="480206A2">
      <w:start w:val="1"/>
      <w:numFmt w:val="decimal"/>
      <w:lvlText w:val="%2."/>
      <w:lvlJc w:val="left"/>
      <w:pPr>
        <w:ind w:left="1440" w:hanging="360"/>
      </w:pPr>
    </w:lvl>
    <w:lvl w:ilvl="2" w:tplc="D682DF7C">
      <w:start w:val="1"/>
      <w:numFmt w:val="lowerRoman"/>
      <w:lvlText w:val="%3."/>
      <w:lvlJc w:val="right"/>
      <w:pPr>
        <w:ind w:left="2160" w:hanging="180"/>
      </w:pPr>
    </w:lvl>
    <w:lvl w:ilvl="3" w:tplc="312E27F6">
      <w:start w:val="1"/>
      <w:numFmt w:val="decimal"/>
      <w:lvlText w:val="%4."/>
      <w:lvlJc w:val="left"/>
      <w:pPr>
        <w:ind w:left="2880" w:hanging="360"/>
      </w:pPr>
    </w:lvl>
    <w:lvl w:ilvl="4" w:tplc="61406518">
      <w:start w:val="1"/>
      <w:numFmt w:val="lowerLetter"/>
      <w:lvlText w:val="%5."/>
      <w:lvlJc w:val="left"/>
      <w:pPr>
        <w:ind w:left="3600" w:hanging="360"/>
      </w:pPr>
    </w:lvl>
    <w:lvl w:ilvl="5" w:tplc="AB30F5E6">
      <w:start w:val="1"/>
      <w:numFmt w:val="lowerRoman"/>
      <w:lvlText w:val="%6."/>
      <w:lvlJc w:val="right"/>
      <w:pPr>
        <w:ind w:left="4320" w:hanging="180"/>
      </w:pPr>
    </w:lvl>
    <w:lvl w:ilvl="6" w:tplc="FA0A00EE">
      <w:start w:val="1"/>
      <w:numFmt w:val="decimal"/>
      <w:lvlText w:val="%7."/>
      <w:lvlJc w:val="left"/>
      <w:pPr>
        <w:ind w:left="5040" w:hanging="360"/>
      </w:pPr>
    </w:lvl>
    <w:lvl w:ilvl="7" w:tplc="FDF64FD0">
      <w:start w:val="1"/>
      <w:numFmt w:val="lowerLetter"/>
      <w:lvlText w:val="%8."/>
      <w:lvlJc w:val="left"/>
      <w:pPr>
        <w:ind w:left="5760" w:hanging="360"/>
      </w:pPr>
    </w:lvl>
    <w:lvl w:ilvl="8" w:tplc="536255E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8927486">
    <w:abstractNumId w:val="47"/>
  </w:num>
  <w:num w:numId="2" w16cid:durableId="1855071457">
    <w:abstractNumId w:val="10"/>
  </w:num>
  <w:num w:numId="3" w16cid:durableId="1551769748">
    <w:abstractNumId w:val="1"/>
    <w:lvlOverride w:ilvl="0">
      <w:lvl w:ilvl="0">
        <w:start w:val="1"/>
        <w:numFmt w:val="bullet"/>
        <w:lvlText w:val=""/>
        <w:lvlJc w:val="left"/>
        <w:pPr>
          <w:ind w:left="720" w:hanging="360"/>
        </w:pPr>
        <w:rPr>
          <w:rFonts w:ascii="Symbol" w:hAnsi="Symbol" w:hint="default"/>
        </w:rPr>
      </w:lvl>
    </w:lvlOverride>
  </w:num>
  <w:num w:numId="4" w16cid:durableId="946162821">
    <w:abstractNumId w:val="22"/>
  </w:num>
  <w:num w:numId="5" w16cid:durableId="167596353">
    <w:abstractNumId w:val="44"/>
  </w:num>
  <w:num w:numId="6" w16cid:durableId="1301960088">
    <w:abstractNumId w:val="46"/>
  </w:num>
  <w:num w:numId="7" w16cid:durableId="857548412">
    <w:abstractNumId w:val="34"/>
  </w:num>
  <w:num w:numId="8" w16cid:durableId="1061636988">
    <w:abstractNumId w:val="32"/>
  </w:num>
  <w:num w:numId="9" w16cid:durableId="1479490863">
    <w:abstractNumId w:val="29"/>
  </w:num>
  <w:num w:numId="10" w16cid:durableId="1564288141">
    <w:abstractNumId w:val="30"/>
  </w:num>
  <w:num w:numId="11" w16cid:durableId="14575998">
    <w:abstractNumId w:val="9"/>
  </w:num>
  <w:num w:numId="12" w16cid:durableId="1686131038">
    <w:abstractNumId w:val="33"/>
  </w:num>
  <w:num w:numId="13" w16cid:durableId="1699433100">
    <w:abstractNumId w:val="17"/>
  </w:num>
  <w:num w:numId="14" w16cid:durableId="1307079380">
    <w:abstractNumId w:val="16"/>
  </w:num>
  <w:num w:numId="15" w16cid:durableId="308365426">
    <w:abstractNumId w:val="26"/>
  </w:num>
  <w:num w:numId="16" w16cid:durableId="1910995329">
    <w:abstractNumId w:val="7"/>
  </w:num>
  <w:num w:numId="17" w16cid:durableId="512496543">
    <w:abstractNumId w:val="25"/>
  </w:num>
  <w:num w:numId="18" w16cid:durableId="2001536025">
    <w:abstractNumId w:val="15"/>
  </w:num>
  <w:num w:numId="19" w16cid:durableId="2130933619">
    <w:abstractNumId w:val="13"/>
  </w:num>
  <w:num w:numId="20" w16cid:durableId="19280777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3627195">
    <w:abstractNumId w:val="23"/>
  </w:num>
  <w:num w:numId="22" w16cid:durableId="1165895544">
    <w:abstractNumId w:val="18"/>
  </w:num>
  <w:num w:numId="23" w16cid:durableId="1538271069">
    <w:abstractNumId w:val="14"/>
  </w:num>
  <w:num w:numId="24" w16cid:durableId="1502548716">
    <w:abstractNumId w:val="11"/>
  </w:num>
  <w:num w:numId="25" w16cid:durableId="947740783">
    <w:abstractNumId w:val="27"/>
  </w:num>
  <w:num w:numId="26" w16cid:durableId="1483738734">
    <w:abstractNumId w:val="19"/>
  </w:num>
  <w:num w:numId="27" w16cid:durableId="118690980">
    <w:abstractNumId w:val="40"/>
  </w:num>
  <w:num w:numId="28" w16cid:durableId="1631206131">
    <w:abstractNumId w:val="35"/>
  </w:num>
  <w:num w:numId="29" w16cid:durableId="350377305">
    <w:abstractNumId w:val="39"/>
  </w:num>
  <w:num w:numId="30" w16cid:durableId="312102566">
    <w:abstractNumId w:val="20"/>
  </w:num>
  <w:num w:numId="31" w16cid:durableId="1375273681">
    <w:abstractNumId w:val="42"/>
  </w:num>
  <w:num w:numId="32" w16cid:durableId="1067534472">
    <w:abstractNumId w:val="31"/>
  </w:num>
  <w:num w:numId="33" w16cid:durableId="917404479">
    <w:abstractNumId w:val="12"/>
  </w:num>
  <w:num w:numId="34" w16cid:durableId="717897018">
    <w:abstractNumId w:val="43"/>
  </w:num>
  <w:num w:numId="35" w16cid:durableId="803161474">
    <w:abstractNumId w:val="38"/>
  </w:num>
  <w:num w:numId="36" w16cid:durableId="1842158147">
    <w:abstractNumId w:val="4"/>
  </w:num>
  <w:num w:numId="37" w16cid:durableId="122159374">
    <w:abstractNumId w:val="45"/>
  </w:num>
  <w:num w:numId="38" w16cid:durableId="1284652196">
    <w:abstractNumId w:val="41"/>
  </w:num>
  <w:num w:numId="39" w16cid:durableId="1451582417">
    <w:abstractNumId w:val="36"/>
  </w:num>
  <w:num w:numId="40" w16cid:durableId="2020234479">
    <w:abstractNumId w:val="37"/>
  </w:num>
  <w:num w:numId="41" w16cid:durableId="2075659141">
    <w:abstractNumId w:val="3"/>
  </w:num>
  <w:num w:numId="42" w16cid:durableId="1762408138">
    <w:abstractNumId w:val="5"/>
  </w:num>
  <w:num w:numId="43" w16cid:durableId="1911303871">
    <w:abstractNumId w:val="24"/>
  </w:num>
  <w:num w:numId="44" w16cid:durableId="1024861296">
    <w:abstractNumId w:val="6"/>
  </w:num>
  <w:num w:numId="45" w16cid:durableId="875577717">
    <w:abstractNumId w:val="2"/>
  </w:num>
  <w:num w:numId="46" w16cid:durableId="2029792865">
    <w:abstractNumId w:val="0"/>
  </w:num>
  <w:num w:numId="47" w16cid:durableId="1332636249">
    <w:abstractNumId w:val="21"/>
  </w:num>
  <w:num w:numId="48" w16cid:durableId="1346713608">
    <w:abstractNumId w:val="28"/>
  </w:num>
  <w:num w:numId="49" w16cid:durableId="141408993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298B"/>
    <w:rsid w:val="001E6FAD"/>
    <w:rsid w:val="001E7592"/>
    <w:rsid w:val="001F3878"/>
    <w:rsid w:val="001F4552"/>
    <w:rsid w:val="001F5B9C"/>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6FBF"/>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3791A"/>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0C77"/>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8755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2779"/>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3AA"/>
    <w:rsid w:val="005C1567"/>
    <w:rsid w:val="005C6CE5"/>
    <w:rsid w:val="005C76DE"/>
    <w:rsid w:val="005D3F07"/>
    <w:rsid w:val="005D583E"/>
    <w:rsid w:val="005E13EA"/>
    <w:rsid w:val="005E53BD"/>
    <w:rsid w:val="00606E27"/>
    <w:rsid w:val="006108C9"/>
    <w:rsid w:val="00615C7E"/>
    <w:rsid w:val="00616F4D"/>
    <w:rsid w:val="0062158D"/>
    <w:rsid w:val="00622094"/>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A1E"/>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6F3A"/>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4038"/>
    <w:rsid w:val="008F22BD"/>
    <w:rsid w:val="009079BD"/>
    <w:rsid w:val="00912BD9"/>
    <w:rsid w:val="00916CFB"/>
    <w:rsid w:val="00920E5B"/>
    <w:rsid w:val="009249F8"/>
    <w:rsid w:val="00926436"/>
    <w:rsid w:val="0093018C"/>
    <w:rsid w:val="00932CCA"/>
    <w:rsid w:val="009544C0"/>
    <w:rsid w:val="00954FA4"/>
    <w:rsid w:val="00956AE9"/>
    <w:rsid w:val="00964CC6"/>
    <w:rsid w:val="00965ECE"/>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4C03"/>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5571"/>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3DA3"/>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0C2D"/>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607F"/>
    <w:rsid w:val="00D22C8F"/>
    <w:rsid w:val="00D33491"/>
    <w:rsid w:val="00D44F8E"/>
    <w:rsid w:val="00D44FD0"/>
    <w:rsid w:val="00D5733C"/>
    <w:rsid w:val="00D607EF"/>
    <w:rsid w:val="00D60F88"/>
    <w:rsid w:val="00D625E7"/>
    <w:rsid w:val="00D646BD"/>
    <w:rsid w:val="00D6783F"/>
    <w:rsid w:val="00D70239"/>
    <w:rsid w:val="00D71201"/>
    <w:rsid w:val="00D720C7"/>
    <w:rsid w:val="00D77A04"/>
    <w:rsid w:val="00D81D06"/>
    <w:rsid w:val="00D8652C"/>
    <w:rsid w:val="00D876E6"/>
    <w:rsid w:val="00D90C2E"/>
    <w:rsid w:val="00DA1025"/>
    <w:rsid w:val="00DA22EC"/>
    <w:rsid w:val="00DA5860"/>
    <w:rsid w:val="00DB2767"/>
    <w:rsid w:val="00DB2CD3"/>
    <w:rsid w:val="00DC4729"/>
    <w:rsid w:val="00DE556F"/>
    <w:rsid w:val="00E03B6D"/>
    <w:rsid w:val="00E0649E"/>
    <w:rsid w:val="00E17160"/>
    <w:rsid w:val="00E21EC6"/>
    <w:rsid w:val="00E35BEC"/>
    <w:rsid w:val="00E50821"/>
    <w:rsid w:val="00E50EF8"/>
    <w:rsid w:val="00E511F9"/>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3FB8"/>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A3F"/>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B13D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PlainText">
    <w:name w:val="Plain Text"/>
    <w:basedOn w:val="Normal"/>
    <w:link w:val="PlainTextChar"/>
    <w:uiPriority w:val="99"/>
    <w:semiHidden/>
    <w:unhideWhenUsed/>
    <w:rsid w:val="00D90C2E"/>
    <w:pPr>
      <w:overflowPunct/>
      <w:autoSpaceDE/>
      <w:autoSpaceDN/>
      <w:adjustRightInd/>
      <w:textAlignment w:val="auto"/>
    </w:pPr>
    <w:rPr>
      <w:rFonts w:ascii="Calibri" w:eastAsiaTheme="minorHAns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D90C2E"/>
    <w:rPr>
      <w:rFonts w:ascii="Calibri" w:eastAsiaTheme="minorHAnsi" w:hAnsi="Calibri" w:cstheme="minorBidi"/>
      <w:kern w:val="2"/>
      <w:sz w:val="22"/>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app/engagement-and-communication/media-relations" TargetMode="External"/><Relationship Id="rId18" Type="http://schemas.openxmlformats.org/officeDocument/2006/relationships/hyperlink" Target="https://hmicfrs.justiceinspectorates.gov.uk/glossary/public-protection-notice/" TargetMode="External"/><Relationship Id="rId26" Type="http://schemas.openxmlformats.org/officeDocument/2006/relationships/hyperlink" Target="https://www.birmingham.ac.uk/news-archive/2016/the-key-challenges-facing-uk-policing-today-1" TargetMode="External"/><Relationship Id="rId3" Type="http://schemas.openxmlformats.org/officeDocument/2006/relationships/customXml" Target="../customXml/item3.xml"/><Relationship Id="rId21" Type="http://schemas.openxmlformats.org/officeDocument/2006/relationships/hyperlink" Target="https://www.legislation.gov.uk/ukpga/1984/60/section/32" TargetMode="External"/><Relationship Id="rId7" Type="http://schemas.openxmlformats.org/officeDocument/2006/relationships/settings" Target="settings.xml"/><Relationship Id="rId12" Type="http://schemas.openxmlformats.org/officeDocument/2006/relationships/hyperlink" Target="https://assets.publishing.service.gov.uk/media/5a7ad567e5274a34770e76f6/hoor4305.pdf" TargetMode="External"/><Relationship Id="rId17" Type="http://schemas.openxmlformats.org/officeDocument/2006/relationships/hyperlink" Target="https://www.cps.gov.uk/legal-guidance/fraud-act-2006" TargetMode="External"/><Relationship Id="rId25" Type="http://schemas.openxmlformats.org/officeDocument/2006/relationships/hyperlink" Target="https://www.southwalesvictimfocus.org.uk/about-us/who-we-are/" TargetMode="External"/><Relationship Id="rId2" Type="http://schemas.openxmlformats.org/officeDocument/2006/relationships/customXml" Target="../customXml/item2.xml"/><Relationship Id="rId16" Type="http://schemas.openxmlformats.org/officeDocument/2006/relationships/hyperlink" Target="https://www.cps.gov.uk/legal-guidance/theft-act-offences" TargetMode="External"/><Relationship Id="rId20" Type="http://schemas.openxmlformats.org/officeDocument/2006/relationships/hyperlink" Target="https://www.legislation.gov.uk/ukpga/2014/12/part/3/enacted?view=pla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ob.swp-rest.police.int/sorce/beacon/?pageid=opsentinel" TargetMode="External"/><Relationship Id="rId5" Type="http://schemas.openxmlformats.org/officeDocument/2006/relationships/numbering" Target="numbering.xml"/><Relationship Id="rId15" Type="http://schemas.openxmlformats.org/officeDocument/2006/relationships/hyperlink" Target="https://www.college.police.uk/app/investigation/investigation-process" TargetMode="External"/><Relationship Id="rId23" Type="http://schemas.openxmlformats.org/officeDocument/2006/relationships/hyperlink" Target="https://www.ons.gov.uk/peoplepopulationandcommunity/crimeandjustice/articles/thenatureofviolentcrimeinenglandandwales/yearendingmarch2018/previous/v1"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egislation.gov.uk/ukpga/1984/60/section/1"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guidance/vulnerability-related-risks/introduction-vulnerability-related-risk" TargetMode="External"/><Relationship Id="rId22" Type="http://schemas.openxmlformats.org/officeDocument/2006/relationships/hyperlink" Target="https://www.college.police.uk/guidance/knife-crime-evidence-briefing/interventions-reduce-knife-crime" TargetMode="External"/><Relationship Id="rId27" Type="http://schemas.openxmlformats.org/officeDocument/2006/relationships/hyperlink" Target="https://assets.publishing.service.gov.uk/government/uploads/system/uploads/attachment_data/file/1131414/Youth_Justice_Statistics_2021-2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5641</Words>
  <Characters>32154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Griffiths,Amy swp8243</cp:lastModifiedBy>
  <cp:revision>24</cp:revision>
  <cp:lastPrinted>2014-08-26T08:55:00Z</cp:lastPrinted>
  <dcterms:created xsi:type="dcterms:W3CDTF">2023-10-29T23:12:00Z</dcterms:created>
  <dcterms:modified xsi:type="dcterms:W3CDTF">2023-10-30T21:51:00Z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2023-10-29T22:56:59Z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481441e3-9fbb-4411-87bd-c054594fa858</vt:lpwstr>
  </property>
  <property fmtid="{D5CDD505-2E9C-101B-9397-08002B2CF9AE}" pid="9" name="MSIP_Label_66cf8fe5-b7b7-4df7-b38d-1c61ac2f6639_ContentBits">
    <vt:lpwstr>0</vt:lpwstr>
  </property>
</Properties>
</file>