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11F829" w14:textId="77777777" w:rsidR="00793959" w:rsidRPr="002D6905" w:rsidRDefault="00793959" w:rsidP="00793959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2D6905">
        <w:rPr>
          <w:rFonts w:ascii="Times New Roman" w:hAnsi="Times New Roman" w:cs="Times New Roman"/>
          <w:b/>
          <w:sz w:val="32"/>
          <w:szCs w:val="32"/>
        </w:rPr>
        <w:t>Module Name: International Meetings Management for the Hotel Industry</w:t>
      </w:r>
    </w:p>
    <w:p w14:paraId="216A1AA2" w14:textId="489884BE" w:rsidR="00793959" w:rsidRPr="002D6905" w:rsidRDefault="00793959" w:rsidP="00793959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2D6905">
        <w:rPr>
          <w:rFonts w:ascii="Times New Roman" w:hAnsi="Times New Roman" w:cs="Times New Roman"/>
          <w:b/>
          <w:sz w:val="32"/>
          <w:szCs w:val="32"/>
        </w:rPr>
        <w:t>Module Code: BMIH6007</w:t>
      </w:r>
    </w:p>
    <w:p w14:paraId="1E294B6F" w14:textId="313FB612" w:rsidR="00793959" w:rsidRPr="002D6905" w:rsidRDefault="00793959" w:rsidP="00793959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743894B9" w14:textId="39AE6249" w:rsidR="00793959" w:rsidRPr="002D6905" w:rsidRDefault="00793959" w:rsidP="00793959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71FD65B4" w14:textId="2133ACC5" w:rsidR="00793959" w:rsidRPr="002D6905" w:rsidRDefault="00793959" w:rsidP="00793959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5677B724" w14:textId="49B9B50C" w:rsidR="00793959" w:rsidRPr="002D6905" w:rsidRDefault="00793959" w:rsidP="00793959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74636672" w14:textId="245E227F" w:rsidR="00793959" w:rsidRPr="002D6905" w:rsidRDefault="00793959" w:rsidP="00793959">
      <w:pPr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4A5E1803" w14:textId="6922FCBE" w:rsidR="00793959" w:rsidRPr="002D6905" w:rsidRDefault="004B2AEE" w:rsidP="00793959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2D6905">
        <w:rPr>
          <w:rFonts w:ascii="Times New Roman" w:hAnsi="Times New Roman" w:cs="Times New Roman"/>
          <w:b/>
          <w:sz w:val="32"/>
          <w:szCs w:val="32"/>
          <w:lang w:val="en-US"/>
        </w:rPr>
        <w:t xml:space="preserve">Training workshops/ Development  </w:t>
      </w:r>
      <w:proofErr w:type="spellStart"/>
      <w:r w:rsidRPr="002D6905">
        <w:rPr>
          <w:rFonts w:ascii="Times New Roman" w:hAnsi="Times New Roman" w:cs="Times New Roman"/>
          <w:b/>
          <w:sz w:val="32"/>
          <w:szCs w:val="32"/>
          <w:lang w:val="en-US"/>
        </w:rPr>
        <w:t>Programmes</w:t>
      </w:r>
      <w:proofErr w:type="spellEnd"/>
      <w:r w:rsidRPr="002D6905">
        <w:rPr>
          <w:rFonts w:ascii="Times New Roman" w:hAnsi="Times New Roman" w:cs="Times New Roman"/>
          <w:b/>
          <w:sz w:val="32"/>
          <w:szCs w:val="32"/>
          <w:lang w:val="en-US"/>
        </w:rPr>
        <w:t xml:space="preserve"> </w:t>
      </w:r>
      <w:r w:rsidR="00790082" w:rsidRPr="002D6905">
        <w:rPr>
          <w:rFonts w:ascii="Times New Roman" w:hAnsi="Times New Roman" w:cs="Times New Roman"/>
          <w:b/>
          <w:sz w:val="32"/>
          <w:szCs w:val="32"/>
          <w:lang w:val="en-US"/>
        </w:rPr>
        <w:t>concerning</w:t>
      </w:r>
      <w:r w:rsidRPr="002D6905">
        <w:rPr>
          <w:rFonts w:ascii="Times New Roman" w:hAnsi="Times New Roman" w:cs="Times New Roman"/>
          <w:b/>
          <w:sz w:val="32"/>
          <w:szCs w:val="32"/>
          <w:lang w:val="en-US"/>
        </w:rPr>
        <w:t xml:space="preserve"> E</w:t>
      </w:r>
      <w:r w:rsidR="002D6905" w:rsidRPr="002D6905">
        <w:rPr>
          <w:rFonts w:ascii="Times New Roman" w:hAnsi="Times New Roman" w:cs="Times New Roman"/>
          <w:b/>
          <w:sz w:val="32"/>
          <w:szCs w:val="32"/>
          <w:lang w:val="en-US"/>
        </w:rPr>
        <w:t xml:space="preserve">quality, </w:t>
      </w:r>
      <w:r w:rsidRPr="002D6905">
        <w:rPr>
          <w:rFonts w:ascii="Times New Roman" w:hAnsi="Times New Roman" w:cs="Times New Roman"/>
          <w:b/>
          <w:sz w:val="32"/>
          <w:szCs w:val="32"/>
          <w:lang w:val="en-US"/>
        </w:rPr>
        <w:t>D</w:t>
      </w:r>
      <w:r w:rsidR="002D6905" w:rsidRPr="002D6905">
        <w:rPr>
          <w:rFonts w:ascii="Times New Roman" w:hAnsi="Times New Roman" w:cs="Times New Roman"/>
          <w:b/>
          <w:sz w:val="32"/>
          <w:szCs w:val="32"/>
          <w:lang w:val="en-US"/>
        </w:rPr>
        <w:t xml:space="preserve">iversity, and </w:t>
      </w:r>
      <w:r w:rsidRPr="002D6905">
        <w:rPr>
          <w:rFonts w:ascii="Times New Roman" w:hAnsi="Times New Roman" w:cs="Times New Roman"/>
          <w:b/>
          <w:sz w:val="32"/>
          <w:szCs w:val="32"/>
          <w:lang w:val="en-US"/>
        </w:rPr>
        <w:t>I</w:t>
      </w:r>
      <w:r w:rsidR="002D6905" w:rsidRPr="002D6905">
        <w:rPr>
          <w:rFonts w:ascii="Times New Roman" w:hAnsi="Times New Roman" w:cs="Times New Roman"/>
          <w:b/>
          <w:sz w:val="32"/>
          <w:szCs w:val="32"/>
          <w:lang w:val="en-US"/>
        </w:rPr>
        <w:t>nclusion</w:t>
      </w:r>
    </w:p>
    <w:p w14:paraId="4694C386" w14:textId="0EDB8FF3" w:rsidR="00793959" w:rsidRPr="002D6905" w:rsidRDefault="004B2AEE" w:rsidP="00793959">
      <w:pPr>
        <w:jc w:val="center"/>
        <w:rPr>
          <w:rFonts w:ascii="Times New Roman" w:hAnsi="Times New Roman" w:cs="Times New Roman"/>
          <w:b/>
          <w:sz w:val="40"/>
          <w:szCs w:val="40"/>
        </w:rPr>
      </w:pPr>
      <w:r w:rsidRPr="002D6905">
        <w:rPr>
          <w:rFonts w:ascii="Times New Roman" w:hAnsi="Times New Roman" w:cs="Times New Roman"/>
          <w:b/>
          <w:sz w:val="40"/>
          <w:szCs w:val="40"/>
          <w:lang w:val="en-US"/>
        </w:rPr>
        <w:t>‘Empower and Evolve’ focusing on Gender Equality</w:t>
      </w:r>
      <w:r w:rsidRPr="002D6905">
        <w:rPr>
          <w:rFonts w:ascii="Times New Roman" w:hAnsi="Times New Roman" w:cs="Times New Roman"/>
          <w:b/>
          <w:sz w:val="40"/>
          <w:szCs w:val="40"/>
        </w:rPr>
        <w:t xml:space="preserve"> </w:t>
      </w:r>
      <w:r w:rsidR="001C6555" w:rsidRPr="002D6905">
        <w:rPr>
          <w:rFonts w:ascii="Times New Roman" w:hAnsi="Times New Roman" w:cs="Times New Roman"/>
          <w:b/>
          <w:sz w:val="40"/>
          <w:szCs w:val="40"/>
        </w:rPr>
        <w:t>within Emirates</w:t>
      </w:r>
      <w:r w:rsidR="00793959" w:rsidRPr="002D6905">
        <w:rPr>
          <w:rFonts w:ascii="Times New Roman" w:hAnsi="Times New Roman" w:cs="Times New Roman"/>
          <w:b/>
          <w:sz w:val="40"/>
          <w:szCs w:val="40"/>
        </w:rPr>
        <w:t xml:space="preserve"> </w:t>
      </w:r>
      <w:r w:rsidR="001C6555" w:rsidRPr="002D6905">
        <w:rPr>
          <w:rFonts w:ascii="Times New Roman" w:hAnsi="Times New Roman" w:cs="Times New Roman"/>
          <w:b/>
          <w:sz w:val="40"/>
          <w:szCs w:val="40"/>
        </w:rPr>
        <w:t>Hotel Industry</w:t>
      </w:r>
      <w:r w:rsidR="00793959" w:rsidRPr="002D6905">
        <w:rPr>
          <w:rFonts w:ascii="Times New Roman" w:hAnsi="Times New Roman" w:cs="Times New Roman"/>
          <w:b/>
          <w:sz w:val="40"/>
          <w:szCs w:val="40"/>
        </w:rPr>
        <w:t>– Conference</w:t>
      </w:r>
      <w:r w:rsidRPr="002D6905">
        <w:rPr>
          <w:rFonts w:ascii="Times New Roman" w:hAnsi="Times New Roman" w:cs="Times New Roman"/>
          <w:b/>
          <w:sz w:val="40"/>
          <w:szCs w:val="40"/>
        </w:rPr>
        <w:t xml:space="preserve"> meeting</w:t>
      </w:r>
    </w:p>
    <w:p w14:paraId="7E77D9C3" w14:textId="56EA1B9A" w:rsidR="00793959" w:rsidRPr="002D6905" w:rsidRDefault="00793959" w:rsidP="00793959">
      <w:pPr>
        <w:jc w:val="center"/>
        <w:rPr>
          <w:rFonts w:ascii="Times New Roman" w:hAnsi="Times New Roman" w:cs="Times New Roman"/>
          <w:b/>
          <w:sz w:val="40"/>
          <w:szCs w:val="40"/>
        </w:rPr>
      </w:pPr>
    </w:p>
    <w:p w14:paraId="6E31D642" w14:textId="28F138A2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4916710C" w14:textId="7CFBBD29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6094CBFF" w14:textId="77777777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4FCCD63D" w14:textId="4762EA73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38C91E70" w14:textId="16A16E4E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4A1161FB" w14:textId="17E8A424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52EDB745" w14:textId="049CA2C5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081D04BC" w14:textId="77777777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4347E9E3" w14:textId="38E47226" w:rsidR="00793959" w:rsidRPr="002D6905" w:rsidRDefault="00793959" w:rsidP="00793959">
      <w:pPr>
        <w:rPr>
          <w:rFonts w:ascii="Times New Roman" w:hAnsi="Times New Roman" w:cs="Times New Roman"/>
          <w:b/>
          <w:sz w:val="24"/>
          <w:szCs w:val="24"/>
        </w:rPr>
      </w:pPr>
    </w:p>
    <w:p w14:paraId="03AB1833" w14:textId="2169F777" w:rsidR="00793959" w:rsidRPr="002D6905" w:rsidRDefault="00793959" w:rsidP="00793959">
      <w:pPr>
        <w:rPr>
          <w:rFonts w:ascii="Times New Roman" w:hAnsi="Times New Roman" w:cs="Times New Roman"/>
          <w:b/>
          <w:sz w:val="28"/>
          <w:szCs w:val="28"/>
        </w:rPr>
      </w:pPr>
      <w:r w:rsidRPr="002D6905">
        <w:rPr>
          <w:rFonts w:ascii="Times New Roman" w:hAnsi="Times New Roman" w:cs="Times New Roman"/>
          <w:b/>
          <w:sz w:val="28"/>
          <w:szCs w:val="28"/>
        </w:rPr>
        <w:t>Student name: Mihaela Suruianu</w:t>
      </w:r>
    </w:p>
    <w:p w14:paraId="79476618" w14:textId="0E3AD645" w:rsidR="00793959" w:rsidRPr="002D6905" w:rsidRDefault="00793959" w:rsidP="00793959">
      <w:pPr>
        <w:rPr>
          <w:rFonts w:ascii="Times New Roman" w:hAnsi="Times New Roman" w:cs="Times New Roman"/>
          <w:b/>
          <w:sz w:val="28"/>
          <w:szCs w:val="28"/>
        </w:rPr>
      </w:pPr>
      <w:r w:rsidRPr="002D6905">
        <w:rPr>
          <w:rFonts w:ascii="Times New Roman" w:hAnsi="Times New Roman" w:cs="Times New Roman"/>
          <w:b/>
          <w:sz w:val="28"/>
          <w:szCs w:val="28"/>
        </w:rPr>
        <w:t>Student ID: 2226557</w:t>
      </w:r>
    </w:p>
    <w:p w14:paraId="15BA5E4C" w14:textId="13536D7F" w:rsidR="00793959" w:rsidRPr="002D6905" w:rsidRDefault="00793959" w:rsidP="00793959">
      <w:pPr>
        <w:rPr>
          <w:rFonts w:ascii="Times New Roman" w:hAnsi="Times New Roman" w:cs="Times New Roman"/>
          <w:b/>
          <w:sz w:val="28"/>
          <w:szCs w:val="28"/>
        </w:rPr>
      </w:pPr>
      <w:r w:rsidRPr="002D6905">
        <w:rPr>
          <w:rFonts w:ascii="Times New Roman" w:hAnsi="Times New Roman" w:cs="Times New Roman"/>
          <w:b/>
          <w:sz w:val="28"/>
          <w:szCs w:val="28"/>
        </w:rPr>
        <w:t xml:space="preserve">Lecturer name: Kathryn </w:t>
      </w:r>
      <w:r w:rsidR="00790082" w:rsidRPr="002D6905">
        <w:rPr>
          <w:rFonts w:ascii="Times New Roman" w:hAnsi="Times New Roman" w:cs="Times New Roman"/>
          <w:b/>
          <w:sz w:val="28"/>
          <w:szCs w:val="28"/>
        </w:rPr>
        <w:t>Flynn</w:t>
      </w:r>
    </w:p>
    <w:p w14:paraId="606C4C33" w14:textId="77777777" w:rsidR="00793959" w:rsidRPr="00793959" w:rsidRDefault="00793959" w:rsidP="00793959">
      <w:pPr>
        <w:rPr>
          <w:rFonts w:ascii="Arial" w:hAnsi="Arial" w:cs="Arial"/>
          <w:b/>
          <w:sz w:val="28"/>
          <w:szCs w:val="28"/>
        </w:rPr>
      </w:pPr>
    </w:p>
    <w:p w14:paraId="667A138B" w14:textId="6B04955E" w:rsidR="00667096" w:rsidRPr="00790082" w:rsidRDefault="004B2AEE" w:rsidP="0079395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790082">
        <w:rPr>
          <w:rFonts w:ascii="Arial" w:hAnsi="Arial" w:cs="Arial"/>
          <w:b/>
          <w:bCs/>
          <w:sz w:val="24"/>
          <w:szCs w:val="24"/>
        </w:rPr>
        <w:lastRenderedPageBreak/>
        <w:t>AI acknowledgement</w:t>
      </w:r>
    </w:p>
    <w:p w14:paraId="0C5FB95B" w14:textId="38D4533A" w:rsidR="004B2AEE" w:rsidRPr="002D6905" w:rsidRDefault="004B2AEE" w:rsidP="00793959">
      <w:pPr>
        <w:jc w:val="both"/>
        <w:rPr>
          <w:rFonts w:ascii="Times New Roman" w:hAnsi="Times New Roman" w:cs="Times New Roman"/>
          <w:sz w:val="24"/>
          <w:szCs w:val="24"/>
        </w:rPr>
      </w:pPr>
      <w:r w:rsidRPr="002D6905">
        <w:rPr>
          <w:rFonts w:ascii="Times New Roman" w:hAnsi="Times New Roman" w:cs="Times New Roman"/>
          <w:sz w:val="24"/>
          <w:szCs w:val="24"/>
        </w:rPr>
        <w:t xml:space="preserve">I acknowledge </w:t>
      </w:r>
      <w:r w:rsidR="00790082" w:rsidRPr="002D6905">
        <w:rPr>
          <w:rFonts w:ascii="Times New Roman" w:hAnsi="Times New Roman" w:cs="Times New Roman"/>
          <w:sz w:val="24"/>
          <w:szCs w:val="24"/>
        </w:rPr>
        <w:t>using Grammarly (</w:t>
      </w:r>
      <w:hyperlink r:id="rId5" w:history="1">
        <w:r w:rsidR="00790082" w:rsidRPr="00DE3EDA">
          <w:rPr>
            <w:rStyle w:val="Hyperlink"/>
            <w:rFonts w:ascii="Times New Roman" w:hAnsi="Times New Roman" w:cs="Times New Roman"/>
            <w:sz w:val="24"/>
            <w:szCs w:val="24"/>
          </w:rPr>
          <w:t>http://www.grammarly.com</w:t>
        </w:r>
      </w:hyperlink>
      <w:r w:rsidR="00790082" w:rsidRPr="002D6905">
        <w:rPr>
          <w:rFonts w:ascii="Times New Roman" w:hAnsi="Times New Roman" w:cs="Times New Roman"/>
          <w:sz w:val="24"/>
          <w:szCs w:val="24"/>
        </w:rPr>
        <w:t xml:space="preserve">) daily when working on my assignment. I used the </w:t>
      </w:r>
      <w:r w:rsidRPr="002D6905">
        <w:rPr>
          <w:rFonts w:ascii="Times New Roman" w:hAnsi="Times New Roman" w:cs="Times New Roman"/>
          <w:sz w:val="24"/>
          <w:szCs w:val="24"/>
        </w:rPr>
        <w:t xml:space="preserve">prompt: Please check the following text for </w:t>
      </w:r>
      <w:r w:rsidR="00790082" w:rsidRPr="002D6905">
        <w:rPr>
          <w:rFonts w:ascii="Times New Roman" w:hAnsi="Times New Roman" w:cs="Times New Roman"/>
          <w:sz w:val="24"/>
          <w:szCs w:val="24"/>
        </w:rPr>
        <w:t xml:space="preserve">readability and grammar. </w:t>
      </w:r>
    </w:p>
    <w:p w14:paraId="4C80911B" w14:textId="36596F11" w:rsidR="00790082" w:rsidRPr="002D6905" w:rsidRDefault="00790082" w:rsidP="00793959">
      <w:pPr>
        <w:jc w:val="both"/>
        <w:rPr>
          <w:rFonts w:ascii="Times New Roman" w:hAnsi="Times New Roman" w:cs="Times New Roman"/>
          <w:sz w:val="24"/>
          <w:szCs w:val="24"/>
        </w:rPr>
      </w:pPr>
      <w:r w:rsidRPr="002D6905">
        <w:rPr>
          <w:rFonts w:ascii="Times New Roman" w:hAnsi="Times New Roman" w:cs="Times New Roman"/>
          <w:sz w:val="24"/>
          <w:szCs w:val="24"/>
        </w:rPr>
        <w:t xml:space="preserve">I confirm that I have not presented any AI-generated text as my own work. I confirm that I have copies of my drafts, notes, and other resources I used before and after using AI tools, which I may be asked to provide in evidence. </w:t>
      </w:r>
    </w:p>
    <w:p w14:paraId="2006BD70" w14:textId="3D9E387F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79EA2C8F" w14:textId="27BC74A5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3D399D0" w14:textId="67C0790E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5DF10CA3" w14:textId="037EC167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0CE4D62" w14:textId="757B6E95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1B4E3CFF" w14:textId="2386C7A6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4A5E9F3" w14:textId="6C0CBD0E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FBDC19D" w14:textId="6DB983DE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104C1B4" w14:textId="2E87D927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2CA280F1" w14:textId="71395F5F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10CC273" w14:textId="218C8C79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27F5B781" w14:textId="188D9686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AD4512C" w14:textId="0E3ACB32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091F836" w14:textId="7AEBE82F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7375899" w14:textId="314EBED3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4FB64F1" w14:textId="2B5C458C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0DE4D717" w14:textId="1F1C4EEC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1C0C64BD" w14:textId="2281788F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5BFACDE1" w14:textId="3FB918F7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AFF889C" w14:textId="78288A15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646376C" w14:textId="0EC90460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50B99E0E" w14:textId="7BF16E5A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782368C7" w14:textId="0177A4B1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65F5BA4B" w14:textId="1EF8BE98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7B48903" w14:textId="73F90FFA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34E6EC7F" w14:textId="1A0B9596" w:rsidR="005B469D" w:rsidRDefault="005B469D" w:rsidP="00793959">
      <w:pPr>
        <w:jc w:val="both"/>
        <w:rPr>
          <w:rFonts w:ascii="Arial" w:hAnsi="Arial" w:cs="Arial"/>
          <w:sz w:val="24"/>
          <w:szCs w:val="24"/>
        </w:rPr>
      </w:pPr>
    </w:p>
    <w:p w14:paraId="49765FFA" w14:textId="120F7B47" w:rsidR="005B469D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76F91481" wp14:editId="41A8084A">
            <wp:extent cx="5731510" cy="323977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9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6F55F1" w14:textId="4692E0FC" w:rsidR="001E42C8" w:rsidRDefault="001E72B0" w:rsidP="00793959">
      <w:pPr>
        <w:jc w:val="both"/>
        <w:rPr>
          <w:rFonts w:ascii="Arial" w:hAnsi="Arial" w:cs="Arial"/>
          <w:sz w:val="24"/>
          <w:szCs w:val="24"/>
        </w:rPr>
      </w:pPr>
      <w:r w:rsidRPr="001E72B0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BCDF84B" wp14:editId="079CAC4E">
            <wp:extent cx="5731510" cy="3196590"/>
            <wp:effectExtent l="0" t="0" r="2540" b="381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6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5A004B" w14:textId="4684ACFF" w:rsidR="001E42C8" w:rsidRDefault="001E72B0" w:rsidP="00793959">
      <w:pPr>
        <w:jc w:val="both"/>
        <w:rPr>
          <w:rFonts w:ascii="Arial" w:hAnsi="Arial" w:cs="Arial"/>
          <w:sz w:val="24"/>
          <w:szCs w:val="24"/>
        </w:rPr>
      </w:pPr>
      <w:r w:rsidRPr="001E72B0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AED923E" wp14:editId="28B0459B">
            <wp:extent cx="5731510" cy="3219450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033BE" w14:textId="5FFA0F60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2DB0D12" wp14:editId="4CEC131F">
            <wp:extent cx="5731510" cy="3236595"/>
            <wp:effectExtent l="0" t="0" r="254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6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CBF4D" w14:textId="4755CB40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F9212FF" wp14:editId="6EF8515A">
            <wp:extent cx="5731510" cy="3192145"/>
            <wp:effectExtent l="0" t="0" r="2540" b="825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34345" w14:textId="4815A8F3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1C227AF1" wp14:editId="4FA6ABB2">
            <wp:extent cx="5731510" cy="320421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4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FF5197" w14:textId="362882DC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34A2DFB1" wp14:editId="4C1A824F">
            <wp:extent cx="5731510" cy="3212465"/>
            <wp:effectExtent l="0" t="0" r="254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0F5E2" w14:textId="07D71389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F2B65AE" wp14:editId="2869C466">
            <wp:extent cx="5731510" cy="3195320"/>
            <wp:effectExtent l="0" t="0" r="2540" b="508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5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51D26" w14:textId="414DF4BD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6969767" wp14:editId="79BF773A">
            <wp:extent cx="5731510" cy="32226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B2DC7C" w14:textId="5677F71C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A089510" wp14:editId="727D92DC">
            <wp:extent cx="5731510" cy="3194685"/>
            <wp:effectExtent l="0" t="0" r="254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4FCA4F" w14:textId="7D867257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E04005C" wp14:editId="17BE6070">
            <wp:extent cx="5731510" cy="3212465"/>
            <wp:effectExtent l="0" t="0" r="2540" b="698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D62A7" w14:textId="413CA42B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64B92EF" wp14:editId="658BDA25">
            <wp:extent cx="5731510" cy="3230245"/>
            <wp:effectExtent l="0" t="0" r="2540" b="825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0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2E095" w14:textId="78E8CDCB" w:rsidR="001E42C8" w:rsidRDefault="001E42C8" w:rsidP="00793959">
      <w:pPr>
        <w:jc w:val="both"/>
        <w:rPr>
          <w:rFonts w:ascii="Arial" w:hAnsi="Arial" w:cs="Arial"/>
          <w:sz w:val="24"/>
          <w:szCs w:val="24"/>
        </w:rPr>
      </w:pPr>
      <w:r w:rsidRPr="001E42C8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7B11757D" wp14:editId="1DE5187A">
            <wp:extent cx="5731510" cy="323850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BDDE8" w14:textId="70DD08EF" w:rsidR="001E42C8" w:rsidRDefault="00B046C9" w:rsidP="00793959">
      <w:pPr>
        <w:jc w:val="both"/>
        <w:rPr>
          <w:rFonts w:ascii="Arial" w:hAnsi="Arial" w:cs="Arial"/>
          <w:sz w:val="24"/>
          <w:szCs w:val="24"/>
        </w:rPr>
      </w:pPr>
      <w:r w:rsidRPr="00B046C9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99BC600" wp14:editId="0470A7AB">
            <wp:extent cx="5731510" cy="3218815"/>
            <wp:effectExtent l="0" t="0" r="2540" b="63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ACB368" w14:textId="44899E94" w:rsidR="00B046C9" w:rsidRDefault="00B046C9" w:rsidP="00793959">
      <w:pPr>
        <w:jc w:val="both"/>
        <w:rPr>
          <w:rFonts w:ascii="Arial" w:hAnsi="Arial" w:cs="Arial"/>
          <w:sz w:val="24"/>
          <w:szCs w:val="24"/>
        </w:rPr>
      </w:pPr>
      <w:r w:rsidRPr="00B046C9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16C66647" wp14:editId="0C60EFC7">
            <wp:extent cx="5731510" cy="324104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1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56AAE" w14:textId="55B6997D" w:rsidR="00DE3EDA" w:rsidRPr="00DE3EDA" w:rsidRDefault="00DE3EDA" w:rsidP="0079395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DE3EDA">
        <w:rPr>
          <w:rFonts w:ascii="Arial" w:hAnsi="Arial" w:cs="Arial"/>
          <w:b/>
          <w:bCs/>
          <w:sz w:val="24"/>
          <w:szCs w:val="24"/>
        </w:rPr>
        <w:t xml:space="preserve">References List </w:t>
      </w:r>
    </w:p>
    <w:p w14:paraId="3610F159" w14:textId="0B58F55E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D6905">
        <w:rPr>
          <w:rFonts w:ascii="Arial" w:hAnsi="Arial" w:cs="Arial"/>
          <w:sz w:val="24"/>
          <w:szCs w:val="24"/>
        </w:rPr>
        <w:t>Bladen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C., Kennell, J., Abson, E. and Wilde, N.,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2022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>Events management: An introduction</w:t>
      </w:r>
      <w:r w:rsidRPr="002D6905">
        <w:rPr>
          <w:rFonts w:ascii="Arial" w:hAnsi="Arial" w:cs="Arial"/>
          <w:sz w:val="24"/>
          <w:szCs w:val="24"/>
        </w:rPr>
        <w:t>. Routledge.</w:t>
      </w:r>
    </w:p>
    <w:p w14:paraId="4307AEEF" w14:textId="12EF594E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Bowdin, G.A., Allen, J., Harris, R., Jago, L., O'Toole, W. and McDonnell, I.,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>Events management</w:t>
      </w:r>
      <w:r w:rsidRPr="002D6905">
        <w:rPr>
          <w:rFonts w:ascii="Arial" w:hAnsi="Arial" w:cs="Arial"/>
          <w:sz w:val="24"/>
          <w:szCs w:val="24"/>
        </w:rPr>
        <w:t>. Routledge.</w:t>
      </w:r>
    </w:p>
    <w:p w14:paraId="18CEEB3B" w14:textId="401434A5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Bowdin, G.A., Allen, J., Harris, R., Jago, L., O'Toole, W. and McDonnell, I.,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2023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>Events management</w:t>
      </w:r>
      <w:r w:rsidRPr="002D6905">
        <w:rPr>
          <w:rFonts w:ascii="Arial" w:hAnsi="Arial" w:cs="Arial"/>
          <w:sz w:val="24"/>
          <w:szCs w:val="24"/>
        </w:rPr>
        <w:t>. Routledge.</w:t>
      </w:r>
    </w:p>
    <w:p w14:paraId="5522F932" w14:textId="4EFC1E74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Emirates.,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2020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>Habtoor Grand Resort, Autograph Collection | Hotels | Emirates United States</w:t>
      </w:r>
      <w:r w:rsidRPr="002D6905">
        <w:rPr>
          <w:rFonts w:ascii="Arial" w:hAnsi="Arial" w:cs="Arial"/>
          <w:sz w:val="24"/>
          <w:szCs w:val="24"/>
        </w:rPr>
        <w:t>. [online]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21" w:history="1">
        <w:r w:rsidRPr="002D6905">
          <w:rPr>
            <w:rStyle w:val="Hyperlink"/>
            <w:rFonts w:ascii="Arial" w:hAnsi="Arial" w:cs="Arial"/>
            <w:sz w:val="24"/>
            <w:szCs w:val="24"/>
          </w:rPr>
          <w:t>https://www.emirates.com/us/english/dubai-experience/hotels/14992/habtoor-grand-resort- utograph-collection/#:~:text=Ideally%20located%20on%20Dubai's%20pristine,Collection 20spread%20across%203%20hectares%20</w:t>
        </w:r>
      </w:hyperlink>
      <w:r w:rsidRPr="002D690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Accessed 30 Jan. 2025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>.</w:t>
      </w:r>
    </w:p>
    <w:p w14:paraId="39BEC6EF" w14:textId="7AB7074F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Emirates.,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>The Emirates Group celebrates Women’s Day 2024</w:t>
      </w:r>
      <w:r w:rsidRPr="002D6905">
        <w:rPr>
          <w:rFonts w:ascii="Arial" w:hAnsi="Arial" w:cs="Arial"/>
          <w:sz w:val="24"/>
          <w:szCs w:val="24"/>
        </w:rPr>
        <w:t xml:space="preserve">. [online] The Emirates Group celebrates Women’s Day 2024. Available at: </w:t>
      </w:r>
      <w:hyperlink r:id="rId22" w:history="1">
        <w:r w:rsidRPr="002D6905">
          <w:rPr>
            <w:rStyle w:val="Hyperlink"/>
            <w:rFonts w:ascii="Arial" w:hAnsi="Arial" w:cs="Arial"/>
            <w:sz w:val="24"/>
            <w:szCs w:val="24"/>
          </w:rPr>
          <w:t xml:space="preserve">https://www.emirates.com/media-centre/women-power-and-empowerment-take-centre-stag -at-the-emirates-group/#:~:text=The%20Emirates%20Group's%20gender%20balance,are% 0free%20of%20gender%20bias </w:t>
        </w:r>
      </w:hyperlink>
      <w:r w:rsidRPr="002D690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Accessed 30 Jan. 2025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>.</w:t>
      </w:r>
    </w:p>
    <w:p w14:paraId="66E29B82" w14:textId="5271B3C6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Eventbrite.,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 xml:space="preserve">Equity, Diversity and Inclusion (EDI) </w:t>
      </w:r>
      <w:proofErr w:type="spellStart"/>
      <w:r w:rsidRPr="002D6905">
        <w:rPr>
          <w:rFonts w:ascii="Arial" w:hAnsi="Arial" w:cs="Arial"/>
          <w:i/>
          <w:sz w:val="24"/>
          <w:szCs w:val="24"/>
        </w:rPr>
        <w:t>UnConference</w:t>
      </w:r>
      <w:proofErr w:type="spellEnd"/>
      <w:r w:rsidRPr="002D6905">
        <w:rPr>
          <w:rFonts w:ascii="Arial" w:hAnsi="Arial" w:cs="Arial"/>
          <w:i/>
          <w:sz w:val="24"/>
          <w:szCs w:val="24"/>
        </w:rPr>
        <w:t xml:space="preserve"> 2024</w:t>
      </w:r>
      <w:r w:rsidRPr="002D6905">
        <w:rPr>
          <w:rFonts w:ascii="Arial" w:hAnsi="Arial" w:cs="Arial"/>
          <w:sz w:val="24"/>
          <w:szCs w:val="24"/>
        </w:rPr>
        <w:t xml:space="preserve">. [online] Available at: </w:t>
      </w:r>
      <w:hyperlink r:id="rId23" w:history="1">
        <w:r w:rsidRPr="002D6905">
          <w:rPr>
            <w:rStyle w:val="Hyperlink"/>
            <w:rFonts w:ascii="Arial" w:hAnsi="Arial" w:cs="Arial"/>
            <w:sz w:val="24"/>
            <w:szCs w:val="24"/>
          </w:rPr>
          <w:t>https://www.eventbrite.com/e/equity-diversity-and-inclusion-edi-unconference-2024-tickets 964323376177</w:t>
        </w:r>
      </w:hyperlink>
      <w:r w:rsidRPr="002D690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Accessed 30 Jan. 2025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>.</w:t>
      </w:r>
    </w:p>
    <w:p w14:paraId="1E74BE85" w14:textId="05DDAFAD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Graziano, E.A., </w:t>
      </w:r>
      <w:proofErr w:type="spellStart"/>
      <w:r w:rsidRPr="002D6905">
        <w:rPr>
          <w:rFonts w:ascii="Arial" w:hAnsi="Arial" w:cs="Arial"/>
          <w:sz w:val="24"/>
          <w:szCs w:val="24"/>
        </w:rPr>
        <w:t>Fattobene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L., </w:t>
      </w:r>
      <w:proofErr w:type="spellStart"/>
      <w:r w:rsidRPr="002D6905">
        <w:rPr>
          <w:rFonts w:ascii="Arial" w:hAnsi="Arial" w:cs="Arial"/>
          <w:sz w:val="24"/>
          <w:szCs w:val="24"/>
        </w:rPr>
        <w:t>Giovando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G. and </w:t>
      </w:r>
      <w:proofErr w:type="spellStart"/>
      <w:r w:rsidRPr="002D6905">
        <w:rPr>
          <w:rFonts w:ascii="Arial" w:hAnsi="Arial" w:cs="Arial"/>
          <w:sz w:val="24"/>
          <w:szCs w:val="24"/>
        </w:rPr>
        <w:t>Pellicelli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A.,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Contacts on LinkedIn: equity crowdfunding platforms' networks and creators' innovation performance. </w:t>
      </w:r>
      <w:r w:rsidRPr="002D6905">
        <w:rPr>
          <w:rFonts w:ascii="Arial" w:hAnsi="Arial" w:cs="Arial"/>
          <w:i/>
          <w:sz w:val="24"/>
          <w:szCs w:val="24"/>
        </w:rPr>
        <w:t>European Journal of Innovation Management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27</w:t>
      </w:r>
      <w:r w:rsidRPr="002D6905">
        <w:rPr>
          <w:rFonts w:ascii="Arial" w:hAnsi="Arial" w:cs="Arial"/>
          <w:sz w:val="24"/>
          <w:szCs w:val="24"/>
        </w:rPr>
        <w:t>(7), pp.2351-2372.</w:t>
      </w:r>
    </w:p>
    <w:p w14:paraId="7FBDA431" w14:textId="3187AD03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lastRenderedPageBreak/>
        <w:t>Hesketh, A. and Williams, J.B.</w:t>
      </w:r>
      <w:r w:rsidR="0098226D">
        <w:rPr>
          <w:rFonts w:ascii="Arial" w:hAnsi="Arial" w:cs="Arial"/>
          <w:sz w:val="24"/>
          <w:szCs w:val="24"/>
        </w:rPr>
        <w:t>,</w:t>
      </w:r>
      <w:r w:rsidRPr="002D690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Public policy on gender equality in the United Arab Emirates: a critical appraisal. </w:t>
      </w:r>
      <w:r w:rsidRPr="002D6905">
        <w:rPr>
          <w:rFonts w:ascii="Arial" w:hAnsi="Arial" w:cs="Arial"/>
          <w:i/>
          <w:sz w:val="24"/>
          <w:szCs w:val="24"/>
        </w:rPr>
        <w:t>International Journal of Sustainable Society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13</w:t>
      </w:r>
      <w:r w:rsidRPr="002D6905">
        <w:rPr>
          <w:rFonts w:ascii="Arial" w:hAnsi="Arial" w:cs="Arial"/>
          <w:sz w:val="24"/>
          <w:szCs w:val="24"/>
        </w:rPr>
        <w:t>(4), pp.254-272.</w:t>
      </w:r>
    </w:p>
    <w:p w14:paraId="2950EEA1" w14:textId="3D051093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>Iyer, S.S., Roy, S., Jacob, S., Sasidhar, V. and Agrawal, A.</w:t>
      </w:r>
      <w:r w:rsidR="0098226D">
        <w:rPr>
          <w:rFonts w:ascii="Arial" w:hAnsi="Arial" w:cs="Arial"/>
          <w:sz w:val="24"/>
          <w:szCs w:val="24"/>
        </w:rPr>
        <w:t>,</w:t>
      </w:r>
      <w:r w:rsidRPr="002D690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Creating a Gender-Equal Organisation: Headway. </w:t>
      </w:r>
      <w:r w:rsidRPr="002D6905">
        <w:rPr>
          <w:rFonts w:ascii="Arial" w:hAnsi="Arial" w:cs="Arial"/>
          <w:i/>
          <w:sz w:val="24"/>
          <w:szCs w:val="24"/>
        </w:rPr>
        <w:t>NHRD Network Journal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14</w:t>
      </w:r>
      <w:r w:rsidRPr="002D6905">
        <w:rPr>
          <w:rFonts w:ascii="Arial" w:hAnsi="Arial" w:cs="Arial"/>
          <w:sz w:val="24"/>
          <w:szCs w:val="24"/>
        </w:rPr>
        <w:t>(3), pp.317-319.</w:t>
      </w:r>
    </w:p>
    <w:p w14:paraId="20DF4FA9" w14:textId="2AC45000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Jensen, J.A., and Smith, D.K.,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Gender Equity in Sponsor Decision-Making: A Quantitative Investigation of Sponsor Retention for Women's Sport Sponsorship. </w:t>
      </w:r>
      <w:r w:rsidRPr="002D6905">
        <w:rPr>
          <w:rFonts w:ascii="Arial" w:hAnsi="Arial" w:cs="Arial"/>
          <w:i/>
          <w:sz w:val="24"/>
          <w:szCs w:val="24"/>
        </w:rPr>
        <w:t>Sport Marketing Quarterly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33</w:t>
      </w:r>
      <w:r w:rsidRPr="002D6905">
        <w:rPr>
          <w:rFonts w:ascii="Arial" w:hAnsi="Arial" w:cs="Arial"/>
          <w:sz w:val="24"/>
          <w:szCs w:val="24"/>
        </w:rPr>
        <w:t>(1), pp.16-31.</w:t>
      </w:r>
    </w:p>
    <w:p w14:paraId="31FFD093" w14:textId="072D1237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McFadden, C.,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2024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>Equality, Diversity and Inclusion in the Workplace: International Contexts, Policies and Practices</w:t>
      </w:r>
      <w:r w:rsidRPr="002D6905">
        <w:rPr>
          <w:rFonts w:ascii="Arial" w:hAnsi="Arial" w:cs="Arial"/>
          <w:sz w:val="24"/>
          <w:szCs w:val="24"/>
        </w:rPr>
        <w:t>. Kogan Page Publishers.</w:t>
      </w:r>
    </w:p>
    <w:p w14:paraId="3DF16A80" w14:textId="6699ED3D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Mora, E., Vila-Lopez, N. and Küster-Boluda, I., </w:t>
      </w:r>
      <w:r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2021</w:t>
      </w:r>
      <w:r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Segmenting the audience of a cause-related marketing viral campaign. </w:t>
      </w:r>
      <w:r w:rsidRPr="002D6905">
        <w:rPr>
          <w:rFonts w:ascii="Arial" w:hAnsi="Arial" w:cs="Arial"/>
          <w:i/>
          <w:sz w:val="24"/>
          <w:szCs w:val="24"/>
        </w:rPr>
        <w:t>International Journal of Information Management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59</w:t>
      </w:r>
      <w:r w:rsidRPr="002D6905">
        <w:rPr>
          <w:rFonts w:ascii="Arial" w:hAnsi="Arial" w:cs="Arial"/>
          <w:sz w:val="24"/>
          <w:szCs w:val="24"/>
        </w:rPr>
        <w:t>, p.102296.</w:t>
      </w:r>
    </w:p>
    <w:p w14:paraId="718F74D5" w14:textId="06839B7F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D6905">
        <w:rPr>
          <w:rFonts w:ascii="Arial" w:hAnsi="Arial" w:cs="Arial"/>
          <w:sz w:val="24"/>
          <w:szCs w:val="24"/>
        </w:rPr>
        <w:t>Omorogbe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P.E., </w:t>
      </w:r>
      <w:r w:rsidR="0098226D"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2023</w:t>
      </w:r>
      <w:r w:rsidR="0098226D"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>. Improving Digital Marketing Strategy: The Impact of Digital Analytics.</w:t>
      </w:r>
    </w:p>
    <w:p w14:paraId="27820265" w14:textId="18EBA6CB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D6905">
        <w:rPr>
          <w:rFonts w:ascii="Arial" w:hAnsi="Arial" w:cs="Arial"/>
          <w:sz w:val="24"/>
          <w:szCs w:val="24"/>
        </w:rPr>
        <w:t>Owalla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B., </w:t>
      </w:r>
      <w:proofErr w:type="spellStart"/>
      <w:r w:rsidRPr="002D6905">
        <w:rPr>
          <w:rFonts w:ascii="Arial" w:hAnsi="Arial" w:cs="Arial"/>
          <w:sz w:val="24"/>
          <w:szCs w:val="24"/>
        </w:rPr>
        <w:t>Vorley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T., Coogan, T., Smith, H.L. and Wing, K., </w:t>
      </w:r>
      <w:r w:rsidR="0098226D"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2021</w:t>
      </w:r>
      <w:r w:rsidR="0098226D"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Absent or overlooked? Promoting diversity among entrepreneurs with public support needs. </w:t>
      </w:r>
      <w:r w:rsidRPr="002D6905">
        <w:rPr>
          <w:rFonts w:ascii="Arial" w:hAnsi="Arial" w:cs="Arial"/>
          <w:i/>
          <w:sz w:val="24"/>
          <w:szCs w:val="24"/>
        </w:rPr>
        <w:t>International Journal of Entrepreneurial Venturing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13</w:t>
      </w:r>
      <w:r w:rsidRPr="002D6905">
        <w:rPr>
          <w:rFonts w:ascii="Arial" w:hAnsi="Arial" w:cs="Arial"/>
          <w:sz w:val="24"/>
          <w:szCs w:val="24"/>
        </w:rPr>
        <w:t>(3), pp.231-261.</w:t>
      </w:r>
    </w:p>
    <w:p w14:paraId="41A2AFA3" w14:textId="477C6EE5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2D6905">
        <w:rPr>
          <w:rFonts w:ascii="Arial" w:hAnsi="Arial" w:cs="Arial"/>
          <w:sz w:val="24"/>
          <w:szCs w:val="24"/>
        </w:rPr>
        <w:t>Polinkevych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O., </w:t>
      </w:r>
      <w:proofErr w:type="spellStart"/>
      <w:r w:rsidRPr="002D6905">
        <w:rPr>
          <w:rFonts w:ascii="Arial" w:hAnsi="Arial" w:cs="Arial"/>
          <w:sz w:val="24"/>
          <w:szCs w:val="24"/>
        </w:rPr>
        <w:t>Khovrak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I., </w:t>
      </w:r>
      <w:proofErr w:type="spellStart"/>
      <w:r w:rsidRPr="002D6905">
        <w:rPr>
          <w:rFonts w:ascii="Arial" w:hAnsi="Arial" w:cs="Arial"/>
          <w:sz w:val="24"/>
          <w:szCs w:val="24"/>
        </w:rPr>
        <w:t>Trynchuk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V., </w:t>
      </w:r>
      <w:proofErr w:type="spellStart"/>
      <w:r w:rsidRPr="002D6905">
        <w:rPr>
          <w:rFonts w:ascii="Arial" w:hAnsi="Arial" w:cs="Arial"/>
          <w:sz w:val="24"/>
          <w:szCs w:val="24"/>
        </w:rPr>
        <w:t>Klapkiv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Y. and Volynets, I., </w:t>
      </w:r>
      <w:r w:rsidR="0098226D"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2021</w:t>
      </w:r>
      <w:r w:rsidR="0098226D"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Business risk management in times of crises and pandemics. </w:t>
      </w:r>
      <w:r w:rsidRPr="002D6905">
        <w:rPr>
          <w:rFonts w:ascii="Arial" w:hAnsi="Arial" w:cs="Arial"/>
          <w:i/>
          <w:sz w:val="24"/>
          <w:szCs w:val="24"/>
        </w:rPr>
        <w:t>Montenegrin Journal of Economics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17</w:t>
      </w:r>
      <w:r w:rsidRPr="002D6905">
        <w:rPr>
          <w:rFonts w:ascii="Arial" w:hAnsi="Arial" w:cs="Arial"/>
          <w:sz w:val="24"/>
          <w:szCs w:val="24"/>
        </w:rPr>
        <w:t>(3), pp.99-110.</w:t>
      </w:r>
    </w:p>
    <w:p w14:paraId="1938DCFB" w14:textId="0CF95062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Rahaman, S., </w:t>
      </w:r>
      <w:proofErr w:type="spellStart"/>
      <w:r w:rsidRPr="002D6905">
        <w:rPr>
          <w:rFonts w:ascii="Arial" w:hAnsi="Arial" w:cs="Arial"/>
          <w:sz w:val="24"/>
          <w:szCs w:val="24"/>
        </w:rPr>
        <w:t>Piramanayagam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S., More, B. and Fitzsimmons, J.R., </w:t>
      </w:r>
      <w:r w:rsidR="0098226D"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2024</w:t>
      </w:r>
      <w:r w:rsidR="0098226D"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Diversity, Equity, and Inclusion Management in the Arab Hospitality Industry. In </w:t>
      </w:r>
      <w:r w:rsidRPr="002D6905">
        <w:rPr>
          <w:rFonts w:ascii="Arial" w:hAnsi="Arial" w:cs="Arial"/>
          <w:i/>
          <w:sz w:val="24"/>
          <w:szCs w:val="24"/>
        </w:rPr>
        <w:t>The Routledge Handbook of Diversity, Equity, and Inclusion Management in the Hospitality Industry</w:t>
      </w:r>
      <w:r w:rsidRPr="002D6905">
        <w:rPr>
          <w:rFonts w:ascii="Arial" w:hAnsi="Arial" w:cs="Arial"/>
          <w:sz w:val="24"/>
          <w:szCs w:val="24"/>
        </w:rPr>
        <w:t xml:space="preserve"> (pp. 309-318). Routledge.</w:t>
      </w:r>
    </w:p>
    <w:p w14:paraId="358237B7" w14:textId="72CCCBB9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Rogers, T. and Wynn-Moylan, P., </w:t>
      </w:r>
      <w:r w:rsidR="0098226D"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2022</w:t>
      </w:r>
      <w:r w:rsidR="0098226D"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>Conferences and conventions: A global industry</w:t>
      </w:r>
      <w:r w:rsidRPr="002D6905">
        <w:rPr>
          <w:rFonts w:ascii="Arial" w:hAnsi="Arial" w:cs="Arial"/>
          <w:sz w:val="24"/>
          <w:szCs w:val="24"/>
        </w:rPr>
        <w:t>. Routledge.</w:t>
      </w:r>
    </w:p>
    <w:p w14:paraId="5FA0399A" w14:textId="4AB82BF8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Rogers, T. and Wynn-Moylan, P., </w:t>
      </w:r>
      <w:r w:rsidR="0098226D"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2022</w:t>
      </w:r>
      <w:r w:rsidR="0098226D"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</w:t>
      </w:r>
      <w:r w:rsidRPr="002D6905">
        <w:rPr>
          <w:rFonts w:ascii="Arial" w:hAnsi="Arial" w:cs="Arial"/>
          <w:i/>
          <w:sz w:val="24"/>
          <w:szCs w:val="24"/>
        </w:rPr>
        <w:t>Conferences and conventions: A global industry</w:t>
      </w:r>
      <w:r w:rsidRPr="002D6905">
        <w:rPr>
          <w:rFonts w:ascii="Arial" w:hAnsi="Arial" w:cs="Arial"/>
          <w:sz w:val="24"/>
          <w:szCs w:val="24"/>
        </w:rPr>
        <w:t>. Routledge.</w:t>
      </w:r>
    </w:p>
    <w:p w14:paraId="20CEA5C9" w14:textId="1E4C31D6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 xml:space="preserve">Setiawan, R., Wibisono, D. and </w:t>
      </w:r>
      <w:proofErr w:type="spellStart"/>
      <w:r w:rsidRPr="002D6905">
        <w:rPr>
          <w:rFonts w:ascii="Arial" w:hAnsi="Arial" w:cs="Arial"/>
          <w:sz w:val="24"/>
          <w:szCs w:val="24"/>
        </w:rPr>
        <w:t>Purwanegara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M.S., </w:t>
      </w:r>
      <w:r w:rsidR="0098226D"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2022</w:t>
      </w:r>
      <w:r w:rsidR="0098226D"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 xml:space="preserve">. Defining event marketing as engagement-driven marketing communication. </w:t>
      </w:r>
      <w:r w:rsidRPr="002D6905">
        <w:rPr>
          <w:rFonts w:ascii="Arial" w:hAnsi="Arial" w:cs="Arial"/>
          <w:i/>
          <w:sz w:val="24"/>
          <w:szCs w:val="24"/>
        </w:rPr>
        <w:t xml:space="preserve">Gadjah </w:t>
      </w:r>
      <w:proofErr w:type="spellStart"/>
      <w:r w:rsidRPr="002D6905">
        <w:rPr>
          <w:rFonts w:ascii="Arial" w:hAnsi="Arial" w:cs="Arial"/>
          <w:i/>
          <w:sz w:val="24"/>
          <w:szCs w:val="24"/>
        </w:rPr>
        <w:t>Mada</w:t>
      </w:r>
      <w:proofErr w:type="spellEnd"/>
      <w:r w:rsidRPr="002D6905">
        <w:rPr>
          <w:rFonts w:ascii="Arial" w:hAnsi="Arial" w:cs="Arial"/>
          <w:i/>
          <w:sz w:val="24"/>
          <w:szCs w:val="24"/>
        </w:rPr>
        <w:t xml:space="preserve"> International Journal of Business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24</w:t>
      </w:r>
      <w:r w:rsidRPr="002D6905">
        <w:rPr>
          <w:rFonts w:ascii="Arial" w:hAnsi="Arial" w:cs="Arial"/>
          <w:sz w:val="24"/>
          <w:szCs w:val="24"/>
        </w:rPr>
        <w:t>(2), pp.151-177.</w:t>
      </w:r>
    </w:p>
    <w:p w14:paraId="32BAC585" w14:textId="3CAF70D0" w:rsidR="002D6905" w:rsidRPr="002D6905" w:rsidRDefault="002D6905" w:rsidP="002D6905">
      <w:pPr>
        <w:jc w:val="both"/>
        <w:rPr>
          <w:rFonts w:ascii="Arial" w:hAnsi="Arial" w:cs="Arial"/>
          <w:sz w:val="24"/>
          <w:szCs w:val="24"/>
        </w:rPr>
      </w:pPr>
      <w:r w:rsidRPr="002D6905">
        <w:rPr>
          <w:rFonts w:ascii="Arial" w:hAnsi="Arial" w:cs="Arial"/>
          <w:sz w:val="24"/>
          <w:szCs w:val="24"/>
        </w:rPr>
        <w:t>Vogel, R., Göbel, M., Grewe</w:t>
      </w:r>
      <w:r w:rsidRPr="002D6905">
        <w:rPr>
          <w:rFonts w:ascii="Cambria Math" w:hAnsi="Cambria Math" w:cs="Cambria Math"/>
          <w:sz w:val="24"/>
          <w:szCs w:val="24"/>
        </w:rPr>
        <w:t>‐</w:t>
      </w:r>
      <w:proofErr w:type="spellStart"/>
      <w:r w:rsidRPr="002D6905">
        <w:rPr>
          <w:rFonts w:ascii="Arial" w:hAnsi="Arial" w:cs="Arial"/>
          <w:sz w:val="24"/>
          <w:szCs w:val="24"/>
        </w:rPr>
        <w:t>Salfeld</w:t>
      </w:r>
      <w:proofErr w:type="spellEnd"/>
      <w:r w:rsidRPr="002D6905">
        <w:rPr>
          <w:rFonts w:ascii="Arial" w:hAnsi="Arial" w:cs="Arial"/>
          <w:sz w:val="24"/>
          <w:szCs w:val="24"/>
        </w:rPr>
        <w:t xml:space="preserve">, M., Herbert, B., Matsuo, Y. and Weber, C., </w:t>
      </w:r>
      <w:r w:rsidR="0098226D">
        <w:rPr>
          <w:rFonts w:ascii="Arial" w:hAnsi="Arial" w:cs="Arial"/>
          <w:sz w:val="24"/>
          <w:szCs w:val="24"/>
        </w:rPr>
        <w:t>(</w:t>
      </w:r>
      <w:r w:rsidRPr="002D6905">
        <w:rPr>
          <w:rFonts w:ascii="Arial" w:hAnsi="Arial" w:cs="Arial"/>
          <w:sz w:val="24"/>
          <w:szCs w:val="24"/>
        </w:rPr>
        <w:t>2022</w:t>
      </w:r>
      <w:r w:rsidR="0098226D">
        <w:rPr>
          <w:rFonts w:ascii="Arial" w:hAnsi="Arial" w:cs="Arial"/>
          <w:sz w:val="24"/>
          <w:szCs w:val="24"/>
        </w:rPr>
        <w:t>)</w:t>
      </w:r>
      <w:r w:rsidRPr="002D6905">
        <w:rPr>
          <w:rFonts w:ascii="Arial" w:hAnsi="Arial" w:cs="Arial"/>
          <w:sz w:val="24"/>
          <w:szCs w:val="24"/>
        </w:rPr>
        <w:t>. Cross</w:t>
      </w:r>
      <w:r w:rsidRPr="002D6905">
        <w:rPr>
          <w:rFonts w:ascii="Cambria Math" w:hAnsi="Cambria Math" w:cs="Cambria Math"/>
          <w:sz w:val="24"/>
          <w:szCs w:val="24"/>
        </w:rPr>
        <w:t>‐</w:t>
      </w:r>
      <w:r w:rsidRPr="002D6905">
        <w:rPr>
          <w:rFonts w:ascii="Arial" w:hAnsi="Arial" w:cs="Arial"/>
          <w:sz w:val="24"/>
          <w:szCs w:val="24"/>
        </w:rPr>
        <w:t xml:space="preserve">sector partnerships: Mapping the field and advancing an institutional approach. </w:t>
      </w:r>
      <w:r w:rsidRPr="002D6905">
        <w:rPr>
          <w:rFonts w:ascii="Arial" w:hAnsi="Arial" w:cs="Arial"/>
          <w:i/>
          <w:sz w:val="24"/>
          <w:szCs w:val="24"/>
        </w:rPr>
        <w:t>International Journal of Management Reviews</w:t>
      </w:r>
      <w:r w:rsidRPr="002D6905">
        <w:rPr>
          <w:rFonts w:ascii="Arial" w:hAnsi="Arial" w:cs="Arial"/>
          <w:sz w:val="24"/>
          <w:szCs w:val="24"/>
        </w:rPr>
        <w:t xml:space="preserve">, </w:t>
      </w:r>
      <w:r w:rsidRPr="002D6905">
        <w:rPr>
          <w:rFonts w:ascii="Arial" w:hAnsi="Arial" w:cs="Arial"/>
          <w:i/>
          <w:sz w:val="24"/>
          <w:szCs w:val="24"/>
        </w:rPr>
        <w:t>24</w:t>
      </w:r>
      <w:r w:rsidRPr="002D6905">
        <w:rPr>
          <w:rFonts w:ascii="Arial" w:hAnsi="Arial" w:cs="Arial"/>
          <w:sz w:val="24"/>
          <w:szCs w:val="24"/>
        </w:rPr>
        <w:t>(3), pp.394-414.</w:t>
      </w:r>
    </w:p>
    <w:p w14:paraId="330ED3B4" w14:textId="5ADC610D" w:rsidR="002D6905" w:rsidRDefault="002D6905" w:rsidP="00793959">
      <w:pPr>
        <w:jc w:val="both"/>
        <w:rPr>
          <w:rFonts w:ascii="Arial" w:hAnsi="Arial" w:cs="Arial"/>
          <w:sz w:val="24"/>
          <w:szCs w:val="24"/>
        </w:rPr>
      </w:pPr>
    </w:p>
    <w:p w14:paraId="5384268F" w14:textId="77777777" w:rsidR="002D6905" w:rsidRPr="00793959" w:rsidRDefault="002D6905" w:rsidP="00793959">
      <w:pPr>
        <w:jc w:val="both"/>
        <w:rPr>
          <w:rFonts w:ascii="Arial" w:hAnsi="Arial" w:cs="Arial"/>
          <w:sz w:val="24"/>
          <w:szCs w:val="24"/>
        </w:rPr>
      </w:pPr>
    </w:p>
    <w:sectPr w:rsidR="002D6905" w:rsidRPr="007939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8C1B27"/>
    <w:multiLevelType w:val="multilevel"/>
    <w:tmpl w:val="9CF03510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20596280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6F3F"/>
    <w:rsid w:val="001C6555"/>
    <w:rsid w:val="001E42C8"/>
    <w:rsid w:val="001E72B0"/>
    <w:rsid w:val="002D6905"/>
    <w:rsid w:val="002E6542"/>
    <w:rsid w:val="003D6ED5"/>
    <w:rsid w:val="004B2AEE"/>
    <w:rsid w:val="005B469D"/>
    <w:rsid w:val="005F786A"/>
    <w:rsid w:val="00612376"/>
    <w:rsid w:val="00667096"/>
    <w:rsid w:val="007346D0"/>
    <w:rsid w:val="007560C2"/>
    <w:rsid w:val="00790082"/>
    <w:rsid w:val="00793959"/>
    <w:rsid w:val="0098226D"/>
    <w:rsid w:val="009B206C"/>
    <w:rsid w:val="009C7C1B"/>
    <w:rsid w:val="00A8644B"/>
    <w:rsid w:val="00B046C9"/>
    <w:rsid w:val="00C32FF6"/>
    <w:rsid w:val="00DE3EDA"/>
    <w:rsid w:val="00E96F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571E815"/>
  <w15:chartTrackingRefBased/>
  <w15:docId w15:val="{AEBC72F5-05BF-4626-A057-167B067526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32F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FF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D690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172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settings" Target="settings.xml"/><Relationship Id="rId21" Type="http://schemas.openxmlformats.org/officeDocument/2006/relationships/hyperlink" Target="https://www.emirates.com/us/english/dubai-experience/hotels/14992/habtoor-grand-resort-%20utograph-collection/%23:~:text=Ideally%20located%20on%20Dubai's%20pristine,Collection%2020spread%20across%203%20hectares%20%20" TargetMode="Externa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fontTable" Target="fontTable.xml"/><Relationship Id="rId5" Type="http://schemas.openxmlformats.org/officeDocument/2006/relationships/hyperlink" Target="http://www.grammarly.com" TargetMode="External"/><Relationship Id="rId15" Type="http://schemas.openxmlformats.org/officeDocument/2006/relationships/image" Target="media/image10.png"/><Relationship Id="rId23" Type="http://schemas.openxmlformats.org/officeDocument/2006/relationships/hyperlink" Target="https://www.eventbrite.com/e/equity-diversity-and-inclusion-edi-unconference-2024-tickets%20964323376177%20" TargetMode="Externa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www.emirates.com/media-centre/women-power-and-empowerment-take-centre-stag%20-at-the-emirates-group/%23:~:text=The%20Emirates%20Group's%20gender%20balance,are%25%200free%20of%20gender%20bias%20%2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11</Pages>
  <Words>793</Words>
  <Characters>4523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suruianu</dc:creator>
  <cp:keywords/>
  <dc:description/>
  <cp:lastModifiedBy>mihaela suruianu</cp:lastModifiedBy>
  <cp:revision>14</cp:revision>
  <dcterms:created xsi:type="dcterms:W3CDTF">2025-01-26T00:58:00Z</dcterms:created>
  <dcterms:modified xsi:type="dcterms:W3CDTF">2025-02-07T19:13:00Z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44b757a3155817b93d764343d71c6108b55b866c4863cd3dd0453c45c88bc46a</vt:lpwstr>
  </property>
</Properties>
</file>