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1696B" w14:textId="77777777" w:rsidR="00E4736C" w:rsidRDefault="00E4736C" w:rsidP="00E4736C">
      <w:pPr>
        <w:spacing w:line="480" w:lineRule="auto"/>
        <w:jc w:val="center"/>
        <w:rPr>
          <w:b/>
          <w:bCs/>
          <w:sz w:val="36"/>
          <w:szCs w:val="36"/>
        </w:rPr>
      </w:pPr>
      <w:r>
        <w:rPr>
          <w:noProof/>
        </w:rPr>
        <w:drawing>
          <wp:inline distT="0" distB="0" distL="0" distR="0" wp14:anchorId="69FFB2AA" wp14:editId="117613C7">
            <wp:extent cx="4552950" cy="1973580"/>
            <wp:effectExtent l="0" t="0" r="0" b="762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552950" cy="1973580"/>
                    </a:xfrm>
                    <a:prstGeom prst="rect">
                      <a:avLst/>
                    </a:prstGeom>
                  </pic:spPr>
                </pic:pic>
              </a:graphicData>
            </a:graphic>
          </wp:inline>
        </w:drawing>
      </w:r>
    </w:p>
    <w:p w14:paraId="2465F521" w14:textId="77777777" w:rsidR="00E4736C" w:rsidRPr="00462B38" w:rsidRDefault="00E4736C" w:rsidP="00E4736C">
      <w:pPr>
        <w:jc w:val="center"/>
        <w:rPr>
          <w:b/>
          <w:bCs/>
          <w:sz w:val="40"/>
          <w:szCs w:val="40"/>
        </w:rPr>
      </w:pPr>
      <w:r w:rsidRPr="006D6CE8">
        <w:rPr>
          <w:b/>
          <w:bCs/>
          <w:sz w:val="40"/>
          <w:szCs w:val="40"/>
        </w:rPr>
        <w:t>BA (Hons) Leadership and Management Skills for the Workplace</w:t>
      </w:r>
    </w:p>
    <w:p w14:paraId="7679C2DC" w14:textId="3B28B107" w:rsidR="00E4736C" w:rsidRPr="006D6CE8" w:rsidRDefault="00E4736C" w:rsidP="00E4736C">
      <w:pPr>
        <w:jc w:val="center"/>
        <w:rPr>
          <w:sz w:val="40"/>
          <w:szCs w:val="40"/>
        </w:rPr>
      </w:pPr>
      <w:r w:rsidRPr="006D6CE8">
        <w:rPr>
          <w:sz w:val="40"/>
          <w:szCs w:val="40"/>
        </w:rPr>
        <w:t xml:space="preserve"> </w:t>
      </w:r>
      <w:r>
        <w:rPr>
          <w:b/>
          <w:bCs/>
          <w:sz w:val="40"/>
          <w:szCs w:val="40"/>
        </w:rPr>
        <w:t>DESIGN THINKING AND INNOVATION</w:t>
      </w:r>
      <w:r w:rsidRPr="006D6CE8">
        <w:rPr>
          <w:b/>
          <w:bCs/>
          <w:sz w:val="40"/>
          <w:szCs w:val="40"/>
        </w:rPr>
        <w:t xml:space="preserve"> (</w:t>
      </w:r>
      <w:r>
        <w:rPr>
          <w:b/>
          <w:bCs/>
          <w:sz w:val="40"/>
          <w:szCs w:val="40"/>
        </w:rPr>
        <w:t>LCLM600</w:t>
      </w:r>
      <w:r>
        <w:rPr>
          <w:b/>
          <w:bCs/>
          <w:sz w:val="40"/>
          <w:szCs w:val="40"/>
        </w:rPr>
        <w:t>2</w:t>
      </w:r>
      <w:r w:rsidRPr="006D6CE8">
        <w:rPr>
          <w:b/>
          <w:bCs/>
          <w:sz w:val="40"/>
          <w:szCs w:val="40"/>
        </w:rPr>
        <w:t>)</w:t>
      </w:r>
    </w:p>
    <w:p w14:paraId="383563E3" w14:textId="77777777" w:rsidR="00E4736C" w:rsidRPr="006D6CE8" w:rsidRDefault="00E4736C" w:rsidP="00E4736C">
      <w:pPr>
        <w:jc w:val="center"/>
        <w:rPr>
          <w:sz w:val="40"/>
          <w:szCs w:val="40"/>
        </w:rPr>
      </w:pPr>
      <w:r w:rsidRPr="006D6CE8">
        <w:rPr>
          <w:b/>
          <w:bCs/>
          <w:sz w:val="40"/>
          <w:szCs w:val="40"/>
        </w:rPr>
        <w:t>Student Name: Andrei Silviu Popina</w:t>
      </w:r>
    </w:p>
    <w:p w14:paraId="7345DFF1" w14:textId="77777777" w:rsidR="00E4736C" w:rsidRPr="006D6CE8" w:rsidRDefault="00E4736C" w:rsidP="00E4736C">
      <w:pPr>
        <w:jc w:val="center"/>
        <w:rPr>
          <w:b/>
          <w:bCs/>
          <w:sz w:val="40"/>
          <w:szCs w:val="40"/>
        </w:rPr>
      </w:pPr>
      <w:r w:rsidRPr="006D6CE8">
        <w:rPr>
          <w:b/>
          <w:bCs/>
          <w:sz w:val="40"/>
          <w:szCs w:val="40"/>
        </w:rPr>
        <w:t>Student number: 2332738</w:t>
      </w:r>
    </w:p>
    <w:p w14:paraId="5AAD10A4" w14:textId="015025DE" w:rsidR="00E4736C" w:rsidRDefault="00E4736C" w:rsidP="00E4736C">
      <w:pPr>
        <w:jc w:val="center"/>
        <w:rPr>
          <w:b/>
          <w:bCs/>
          <w:sz w:val="40"/>
          <w:szCs w:val="40"/>
        </w:rPr>
      </w:pPr>
      <w:r w:rsidRPr="006D6CE8">
        <w:rPr>
          <w:b/>
          <w:bCs/>
          <w:sz w:val="40"/>
          <w:szCs w:val="40"/>
        </w:rPr>
        <w:t xml:space="preserve">Lecturer Name: </w:t>
      </w:r>
      <w:r>
        <w:rPr>
          <w:b/>
          <w:bCs/>
          <w:sz w:val="40"/>
          <w:szCs w:val="40"/>
        </w:rPr>
        <w:t xml:space="preserve">Dr. </w:t>
      </w:r>
      <w:proofErr w:type="spellStart"/>
      <w:r>
        <w:rPr>
          <w:b/>
          <w:bCs/>
          <w:sz w:val="40"/>
          <w:szCs w:val="40"/>
        </w:rPr>
        <w:t>Rexon</w:t>
      </w:r>
      <w:proofErr w:type="spellEnd"/>
      <w:r>
        <w:rPr>
          <w:b/>
          <w:bCs/>
          <w:sz w:val="40"/>
          <w:szCs w:val="40"/>
        </w:rPr>
        <w:t xml:space="preserve"> </w:t>
      </w:r>
      <w:proofErr w:type="spellStart"/>
      <w:r>
        <w:rPr>
          <w:b/>
          <w:bCs/>
          <w:sz w:val="40"/>
          <w:szCs w:val="40"/>
        </w:rPr>
        <w:t>Nting</w:t>
      </w:r>
      <w:proofErr w:type="spellEnd"/>
    </w:p>
    <w:p w14:paraId="3C645997" w14:textId="0D00E281" w:rsidR="00E4736C" w:rsidRPr="000B0BD9" w:rsidRDefault="00E4736C" w:rsidP="00E4736C">
      <w:pPr>
        <w:jc w:val="center"/>
        <w:rPr>
          <w:b/>
          <w:bCs/>
          <w:sz w:val="40"/>
          <w:szCs w:val="40"/>
        </w:rPr>
      </w:pPr>
      <w:r w:rsidRPr="006D6CE8">
        <w:rPr>
          <w:b/>
          <w:bCs/>
          <w:sz w:val="40"/>
          <w:szCs w:val="40"/>
        </w:rPr>
        <w:t xml:space="preserve">Submission Deadline: </w:t>
      </w:r>
      <w:r w:rsidR="006669A1">
        <w:rPr>
          <w:b/>
          <w:bCs/>
          <w:sz w:val="40"/>
          <w:szCs w:val="40"/>
        </w:rPr>
        <w:t>21</w:t>
      </w:r>
      <w:r w:rsidRPr="006D6CE8">
        <w:rPr>
          <w:b/>
          <w:bCs/>
          <w:sz w:val="40"/>
          <w:szCs w:val="40"/>
        </w:rPr>
        <w:t>.</w:t>
      </w:r>
      <w:r>
        <w:rPr>
          <w:b/>
          <w:bCs/>
          <w:sz w:val="40"/>
          <w:szCs w:val="40"/>
        </w:rPr>
        <w:t>08</w:t>
      </w:r>
      <w:r w:rsidRPr="006D6CE8">
        <w:rPr>
          <w:b/>
          <w:bCs/>
          <w:sz w:val="40"/>
          <w:szCs w:val="40"/>
        </w:rPr>
        <w:t>.202</w:t>
      </w:r>
      <w:r>
        <w:rPr>
          <w:b/>
          <w:bCs/>
          <w:sz w:val="40"/>
          <w:szCs w:val="40"/>
        </w:rPr>
        <w:t>6</w:t>
      </w:r>
      <w:r w:rsidRPr="00462B38">
        <w:rPr>
          <w:b/>
          <w:bCs/>
          <w:sz w:val="32"/>
          <w:szCs w:val="32"/>
        </w:rPr>
        <w:t xml:space="preserve"> </w:t>
      </w:r>
    </w:p>
    <w:p w14:paraId="70CDD2EA" w14:textId="77777777" w:rsidR="00E4736C" w:rsidRDefault="00E4736C" w:rsidP="00E4736C"/>
    <w:p w14:paraId="64FAE956" w14:textId="40E24F4F" w:rsidR="00E503AB" w:rsidRPr="00E4736C" w:rsidRDefault="00E4736C" w:rsidP="00E4736C">
      <w:pPr>
        <w:spacing w:after="240"/>
        <w:jc w:val="center"/>
        <w:rPr>
          <w:rFonts w:ascii="Times New Roman" w:hAnsi="Times New Roman" w:cs="Times New Roman"/>
          <w:sz w:val="32"/>
          <w:szCs w:val="32"/>
        </w:rPr>
      </w:pPr>
      <w:r w:rsidRPr="000B0BD9">
        <w:rPr>
          <w:rFonts w:ascii="Times New Roman" w:hAnsi="Times New Roman" w:cs="Times New Roman"/>
          <w:b/>
          <w:bCs/>
          <w:sz w:val="32"/>
          <w:szCs w:val="32"/>
        </w:rPr>
        <w:t>Assignment Title: Individual Report</w:t>
      </w:r>
    </w:p>
    <w:p w14:paraId="08D67664" w14:textId="77777777" w:rsidR="00E503AB" w:rsidRPr="00E503AB" w:rsidRDefault="00E503AB" w:rsidP="00E503AB">
      <w:pPr>
        <w:spacing w:after="120"/>
        <w:jc w:val="center"/>
        <w:rPr>
          <w:rFonts w:ascii="Times New Roman" w:hAnsi="Times New Roman" w:cs="Times New Roman"/>
        </w:rPr>
      </w:pPr>
      <w:r w:rsidRPr="00E503AB">
        <w:rPr>
          <w:rFonts w:ascii="Times New Roman" w:hAnsi="Times New Roman" w:cs="Times New Roman"/>
          <w:b/>
          <w:bCs/>
          <w:sz w:val="34"/>
          <w:szCs w:val="34"/>
        </w:rPr>
        <w:t>Design Thinking and Innovation through Digital Transformation</w:t>
      </w:r>
    </w:p>
    <w:p w14:paraId="5FC628BB" w14:textId="421430AF" w:rsidR="00E503AB" w:rsidRPr="00E503AB" w:rsidRDefault="00E503AB" w:rsidP="00E4736C">
      <w:pPr>
        <w:spacing w:after="120"/>
        <w:rPr>
          <w:rFonts w:ascii="Times New Roman" w:hAnsi="Times New Roman" w:cs="Times New Roman"/>
        </w:rPr>
      </w:pPr>
    </w:p>
    <w:p w14:paraId="007A99B0" w14:textId="77777777" w:rsidR="00C42DF0" w:rsidRDefault="00C42DF0" w:rsidP="00C42DF0">
      <w:pPr>
        <w:rPr>
          <w:rFonts w:ascii="Times New Roman" w:hAnsi="Times New Roman" w:cs="Times New Roman"/>
        </w:rPr>
      </w:pPr>
    </w:p>
    <w:p w14:paraId="37186F9A" w14:textId="640BDA54" w:rsidR="006669A1" w:rsidRDefault="006669A1" w:rsidP="006669A1">
      <w:pPr>
        <w:pStyle w:val="Heading1"/>
      </w:pPr>
      <w:r>
        <w:t xml:space="preserve">Word count: </w:t>
      </w:r>
      <w:r>
        <w:t>4275</w:t>
      </w:r>
    </w:p>
    <w:p w14:paraId="12B2A886" w14:textId="22A548C0" w:rsidR="00E4736C" w:rsidRDefault="00E4736C" w:rsidP="00C42DF0">
      <w:pPr>
        <w:rPr>
          <w:rFonts w:ascii="Times New Roman" w:hAnsi="Times New Roman" w:cs="Times New Roman"/>
        </w:rPr>
      </w:pPr>
    </w:p>
    <w:p w14:paraId="44071184" w14:textId="77777777" w:rsidR="00E4736C" w:rsidRDefault="00E4736C" w:rsidP="00C42DF0">
      <w:pPr>
        <w:rPr>
          <w:rFonts w:ascii="Times New Roman" w:hAnsi="Times New Roman" w:cs="Times New Roman"/>
        </w:rPr>
      </w:pPr>
    </w:p>
    <w:p w14:paraId="1F3B8574" w14:textId="77777777" w:rsidR="00E4736C" w:rsidRDefault="00E4736C" w:rsidP="00C42DF0">
      <w:pPr>
        <w:rPr>
          <w:rFonts w:ascii="Times New Roman" w:hAnsi="Times New Roman" w:cs="Times New Roman"/>
        </w:rPr>
      </w:pPr>
    </w:p>
    <w:p w14:paraId="2055B377" w14:textId="77777777" w:rsidR="00E4736C" w:rsidRDefault="00E4736C" w:rsidP="00C42DF0">
      <w:pPr>
        <w:rPr>
          <w:rFonts w:ascii="Times New Roman" w:hAnsi="Times New Roman" w:cs="Times New Roman"/>
        </w:rPr>
      </w:pPr>
    </w:p>
    <w:sdt>
      <w:sdtPr>
        <w:rPr>
          <w:rFonts w:ascii="Arial" w:eastAsia="Arial" w:hAnsi="Arial" w:cs="Arial"/>
          <w:color w:val="auto"/>
          <w:sz w:val="22"/>
          <w:szCs w:val="22"/>
          <w:lang w:val="en-GB" w:eastAsia="en-GB"/>
        </w:rPr>
        <w:id w:val="-160085029"/>
        <w:docPartObj>
          <w:docPartGallery w:val="Table of Contents"/>
          <w:docPartUnique/>
        </w:docPartObj>
      </w:sdtPr>
      <w:sdtEndPr>
        <w:rPr>
          <w:b/>
          <w:bCs/>
          <w:noProof/>
        </w:rPr>
      </w:sdtEndPr>
      <w:sdtContent>
        <w:p w14:paraId="784B355A" w14:textId="0A3A577D" w:rsidR="00C42DF0" w:rsidRDefault="00C42DF0">
          <w:pPr>
            <w:pStyle w:val="TOCHeading"/>
          </w:pPr>
          <w:r>
            <w:t>Contents</w:t>
          </w:r>
        </w:p>
        <w:p w14:paraId="7206A4CB" w14:textId="33AB20B7" w:rsidR="00C42DF0" w:rsidRDefault="00C42DF0">
          <w:pPr>
            <w:pStyle w:val="TOC1"/>
            <w:tabs>
              <w:tab w:val="right" w:leader="dot" w:pos="9016"/>
            </w:tabs>
            <w:rPr>
              <w:noProof/>
            </w:rPr>
          </w:pPr>
          <w:r>
            <w:fldChar w:fldCharType="begin"/>
          </w:r>
          <w:r>
            <w:instrText xml:space="preserve"> TOC \o "1-3" \h \z \u </w:instrText>
          </w:r>
          <w:r>
            <w:fldChar w:fldCharType="separate"/>
          </w:r>
          <w:hyperlink w:anchor="_Toc236869503" w:history="1">
            <w:r w:rsidRPr="006339F7">
              <w:rPr>
                <w:rStyle w:val="Hyperlink"/>
                <w:rFonts w:cs="Times New Roman"/>
                <w:bCs/>
                <w:noProof/>
              </w:rPr>
              <w:t>1.0 Introduction</w:t>
            </w:r>
            <w:r>
              <w:rPr>
                <w:noProof/>
                <w:webHidden/>
              </w:rPr>
              <w:tab/>
            </w:r>
            <w:r w:rsidR="00E866E1">
              <w:rPr>
                <w:noProof/>
                <w:webHidden/>
              </w:rPr>
              <w:t>3</w:t>
            </w:r>
          </w:hyperlink>
        </w:p>
        <w:p w14:paraId="03ECFB62" w14:textId="3F0B698A" w:rsidR="00C42DF0" w:rsidRDefault="00C42DF0">
          <w:pPr>
            <w:pStyle w:val="TOC1"/>
            <w:tabs>
              <w:tab w:val="right" w:leader="dot" w:pos="9016"/>
            </w:tabs>
            <w:rPr>
              <w:noProof/>
            </w:rPr>
          </w:pPr>
          <w:hyperlink w:anchor="_Toc236869504" w:history="1">
            <w:r w:rsidRPr="006339F7">
              <w:rPr>
                <w:rStyle w:val="Hyperlink"/>
                <w:rFonts w:cs="Times New Roman"/>
                <w:bCs/>
                <w:noProof/>
              </w:rPr>
              <w:t>2.0 Task 1: Opportunity Areas in the UK Market through a Design Thinking Lens</w:t>
            </w:r>
            <w:r>
              <w:rPr>
                <w:noProof/>
                <w:webHidden/>
              </w:rPr>
              <w:tab/>
            </w:r>
            <w:r w:rsidR="00E866E1">
              <w:rPr>
                <w:noProof/>
                <w:webHidden/>
              </w:rPr>
              <w:t>3</w:t>
            </w:r>
          </w:hyperlink>
        </w:p>
        <w:p w14:paraId="357486FD" w14:textId="3A1E9DB4" w:rsidR="00C42DF0" w:rsidRDefault="00C42DF0">
          <w:pPr>
            <w:pStyle w:val="TOC2"/>
            <w:tabs>
              <w:tab w:val="right" w:leader="dot" w:pos="9016"/>
            </w:tabs>
            <w:rPr>
              <w:noProof/>
            </w:rPr>
          </w:pPr>
          <w:hyperlink w:anchor="_Toc236869505" w:history="1">
            <w:r w:rsidRPr="006339F7">
              <w:rPr>
                <w:rStyle w:val="Hyperlink"/>
                <w:rFonts w:cs="Times New Roman"/>
                <w:bCs/>
                <w:noProof/>
              </w:rPr>
              <w:t>2.1 Design Thinking as an Analytical Lens for Opportunity Discovery</w:t>
            </w:r>
            <w:r>
              <w:rPr>
                <w:noProof/>
                <w:webHidden/>
              </w:rPr>
              <w:tab/>
            </w:r>
            <w:r w:rsidR="00E866E1">
              <w:rPr>
                <w:noProof/>
                <w:webHidden/>
              </w:rPr>
              <w:t>3</w:t>
            </w:r>
          </w:hyperlink>
        </w:p>
        <w:p w14:paraId="526B6E14" w14:textId="3BE3E069" w:rsidR="00C42DF0" w:rsidRDefault="00C42DF0">
          <w:pPr>
            <w:pStyle w:val="TOC2"/>
            <w:tabs>
              <w:tab w:val="right" w:leader="dot" w:pos="9016"/>
            </w:tabs>
            <w:rPr>
              <w:noProof/>
            </w:rPr>
          </w:pPr>
          <w:hyperlink w:anchor="_Toc236869506" w:history="1">
            <w:r w:rsidRPr="006339F7">
              <w:rPr>
                <w:rStyle w:val="Hyperlink"/>
                <w:rFonts w:cs="Times New Roman"/>
                <w:bCs/>
                <w:noProof/>
              </w:rPr>
              <w:t>2.2 User Pain Points</w:t>
            </w:r>
            <w:r>
              <w:rPr>
                <w:noProof/>
                <w:webHidden/>
              </w:rPr>
              <w:tab/>
            </w:r>
            <w:r w:rsidR="00E866E1">
              <w:rPr>
                <w:noProof/>
                <w:webHidden/>
              </w:rPr>
              <w:t>5</w:t>
            </w:r>
          </w:hyperlink>
        </w:p>
        <w:p w14:paraId="7E6ACAC1" w14:textId="11EFB966" w:rsidR="00C42DF0" w:rsidRDefault="00C42DF0">
          <w:pPr>
            <w:pStyle w:val="TOC2"/>
            <w:tabs>
              <w:tab w:val="right" w:leader="dot" w:pos="9016"/>
            </w:tabs>
            <w:rPr>
              <w:noProof/>
            </w:rPr>
          </w:pPr>
          <w:hyperlink w:anchor="_Toc236869507" w:history="1">
            <w:r w:rsidRPr="006339F7">
              <w:rPr>
                <w:rStyle w:val="Hyperlink"/>
                <w:rFonts w:cs="Times New Roman"/>
                <w:bCs/>
                <w:noProof/>
              </w:rPr>
              <w:t>2.3 Market Gaps</w:t>
            </w:r>
            <w:r>
              <w:rPr>
                <w:noProof/>
                <w:webHidden/>
              </w:rPr>
              <w:tab/>
            </w:r>
            <w:r w:rsidR="00E866E1">
              <w:rPr>
                <w:noProof/>
                <w:webHidden/>
              </w:rPr>
              <w:t>5</w:t>
            </w:r>
          </w:hyperlink>
        </w:p>
        <w:p w14:paraId="61F157FB" w14:textId="34B1B25F" w:rsidR="00C42DF0" w:rsidRDefault="00C42DF0">
          <w:pPr>
            <w:pStyle w:val="TOC2"/>
            <w:tabs>
              <w:tab w:val="right" w:leader="dot" w:pos="9016"/>
            </w:tabs>
            <w:rPr>
              <w:noProof/>
            </w:rPr>
          </w:pPr>
          <w:hyperlink w:anchor="_Toc236869508" w:history="1">
            <w:r w:rsidRPr="006339F7">
              <w:rPr>
                <w:rStyle w:val="Hyperlink"/>
                <w:rFonts w:cs="Times New Roman"/>
                <w:bCs/>
                <w:noProof/>
              </w:rPr>
              <w:t>2.4 Technological Enablers</w:t>
            </w:r>
            <w:r>
              <w:rPr>
                <w:noProof/>
                <w:webHidden/>
              </w:rPr>
              <w:tab/>
            </w:r>
            <w:r w:rsidR="00E866E1">
              <w:rPr>
                <w:noProof/>
                <w:webHidden/>
              </w:rPr>
              <w:t>6</w:t>
            </w:r>
          </w:hyperlink>
        </w:p>
        <w:p w14:paraId="02C91A6B" w14:textId="0ACCCE3F" w:rsidR="00C42DF0" w:rsidRDefault="00C42DF0">
          <w:pPr>
            <w:pStyle w:val="TOC2"/>
            <w:tabs>
              <w:tab w:val="right" w:leader="dot" w:pos="9016"/>
            </w:tabs>
            <w:rPr>
              <w:noProof/>
            </w:rPr>
          </w:pPr>
          <w:hyperlink w:anchor="_Toc236869509" w:history="1">
            <w:r w:rsidRPr="006339F7">
              <w:rPr>
                <w:rStyle w:val="Hyperlink"/>
                <w:rFonts w:cs="Times New Roman"/>
                <w:bCs/>
                <w:noProof/>
              </w:rPr>
              <w:t>2.5 Scalability and Sustainability Potential</w:t>
            </w:r>
            <w:r>
              <w:rPr>
                <w:noProof/>
                <w:webHidden/>
              </w:rPr>
              <w:tab/>
            </w:r>
            <w:r w:rsidR="00E866E1">
              <w:rPr>
                <w:noProof/>
                <w:webHidden/>
              </w:rPr>
              <w:t>7</w:t>
            </w:r>
          </w:hyperlink>
        </w:p>
        <w:p w14:paraId="7807335D" w14:textId="1F97AE79" w:rsidR="00C42DF0" w:rsidRDefault="00C42DF0">
          <w:pPr>
            <w:pStyle w:val="TOC2"/>
            <w:tabs>
              <w:tab w:val="right" w:leader="dot" w:pos="9016"/>
            </w:tabs>
            <w:rPr>
              <w:noProof/>
            </w:rPr>
          </w:pPr>
          <w:hyperlink w:anchor="_Toc236869510" w:history="1">
            <w:r w:rsidRPr="006339F7">
              <w:rPr>
                <w:rStyle w:val="Hyperlink"/>
                <w:rFonts w:cs="Times New Roman"/>
                <w:bCs/>
                <w:noProof/>
              </w:rPr>
              <w:t>2.6 Justification of Priority Opportunities</w:t>
            </w:r>
            <w:r>
              <w:rPr>
                <w:noProof/>
                <w:webHidden/>
              </w:rPr>
              <w:tab/>
            </w:r>
            <w:r w:rsidR="00E866E1">
              <w:rPr>
                <w:noProof/>
                <w:webHidden/>
              </w:rPr>
              <w:t>7</w:t>
            </w:r>
          </w:hyperlink>
        </w:p>
        <w:p w14:paraId="474A7557" w14:textId="26036169" w:rsidR="00C42DF0" w:rsidRDefault="00C42DF0">
          <w:pPr>
            <w:pStyle w:val="TOC1"/>
            <w:tabs>
              <w:tab w:val="right" w:leader="dot" w:pos="9016"/>
            </w:tabs>
            <w:rPr>
              <w:noProof/>
            </w:rPr>
          </w:pPr>
          <w:hyperlink w:anchor="_Toc236869511" w:history="1">
            <w:r w:rsidRPr="006339F7">
              <w:rPr>
                <w:rStyle w:val="Hyperlink"/>
                <w:rFonts w:cs="Times New Roman"/>
                <w:bCs/>
                <w:noProof/>
              </w:rPr>
              <w:t>3.0 Task 2: Applying Design Thinking to a New Venture Concept</w:t>
            </w:r>
            <w:r>
              <w:rPr>
                <w:noProof/>
                <w:webHidden/>
              </w:rPr>
              <w:tab/>
            </w:r>
            <w:r w:rsidR="00E866E1">
              <w:rPr>
                <w:noProof/>
                <w:webHidden/>
              </w:rPr>
              <w:t>8</w:t>
            </w:r>
          </w:hyperlink>
        </w:p>
        <w:p w14:paraId="0E84736F" w14:textId="6564C858" w:rsidR="00C42DF0" w:rsidRDefault="00C42DF0">
          <w:pPr>
            <w:pStyle w:val="TOC2"/>
            <w:tabs>
              <w:tab w:val="right" w:leader="dot" w:pos="9016"/>
            </w:tabs>
            <w:rPr>
              <w:noProof/>
            </w:rPr>
          </w:pPr>
          <w:hyperlink w:anchor="_Toc236869512" w:history="1">
            <w:r w:rsidRPr="006339F7">
              <w:rPr>
                <w:rStyle w:val="Hyperlink"/>
                <w:rFonts w:cs="Times New Roman"/>
                <w:bCs/>
                <w:noProof/>
              </w:rPr>
              <w:t>3.1 Empathise</w:t>
            </w:r>
            <w:r>
              <w:rPr>
                <w:noProof/>
                <w:webHidden/>
              </w:rPr>
              <w:tab/>
            </w:r>
            <w:r w:rsidR="00E866E1">
              <w:rPr>
                <w:noProof/>
                <w:webHidden/>
              </w:rPr>
              <w:t>9</w:t>
            </w:r>
          </w:hyperlink>
        </w:p>
        <w:p w14:paraId="0A4D2139" w14:textId="0D9A9A0C" w:rsidR="00C42DF0" w:rsidRDefault="00C42DF0">
          <w:pPr>
            <w:pStyle w:val="TOC2"/>
            <w:tabs>
              <w:tab w:val="right" w:leader="dot" w:pos="9016"/>
            </w:tabs>
            <w:rPr>
              <w:noProof/>
            </w:rPr>
          </w:pPr>
          <w:hyperlink w:anchor="_Toc236869513" w:history="1">
            <w:r w:rsidRPr="006339F7">
              <w:rPr>
                <w:rStyle w:val="Hyperlink"/>
                <w:rFonts w:cs="Times New Roman"/>
                <w:bCs/>
                <w:noProof/>
              </w:rPr>
              <w:t>3.2 Define</w:t>
            </w:r>
            <w:r>
              <w:rPr>
                <w:noProof/>
                <w:webHidden/>
              </w:rPr>
              <w:tab/>
            </w:r>
            <w:r w:rsidR="00E866E1">
              <w:rPr>
                <w:noProof/>
                <w:webHidden/>
              </w:rPr>
              <w:t>9</w:t>
            </w:r>
          </w:hyperlink>
        </w:p>
        <w:p w14:paraId="4C004E84" w14:textId="0CD5B1BE" w:rsidR="00C42DF0" w:rsidRDefault="00C42DF0">
          <w:pPr>
            <w:pStyle w:val="TOC2"/>
            <w:tabs>
              <w:tab w:val="right" w:leader="dot" w:pos="9016"/>
            </w:tabs>
            <w:rPr>
              <w:noProof/>
            </w:rPr>
          </w:pPr>
          <w:hyperlink w:anchor="_Toc236869514" w:history="1">
            <w:r w:rsidRPr="006339F7">
              <w:rPr>
                <w:rStyle w:val="Hyperlink"/>
                <w:rFonts w:cs="Times New Roman"/>
                <w:bCs/>
                <w:noProof/>
              </w:rPr>
              <w:t>3.3 Ideate</w:t>
            </w:r>
            <w:r>
              <w:rPr>
                <w:noProof/>
                <w:webHidden/>
              </w:rPr>
              <w:tab/>
            </w:r>
            <w:r w:rsidR="00E866E1">
              <w:rPr>
                <w:noProof/>
                <w:webHidden/>
              </w:rPr>
              <w:t>10</w:t>
            </w:r>
          </w:hyperlink>
        </w:p>
        <w:p w14:paraId="42D0EA61" w14:textId="4862FA9E" w:rsidR="00C42DF0" w:rsidRDefault="00C42DF0">
          <w:pPr>
            <w:pStyle w:val="TOC2"/>
            <w:tabs>
              <w:tab w:val="right" w:leader="dot" w:pos="9016"/>
            </w:tabs>
            <w:rPr>
              <w:noProof/>
            </w:rPr>
          </w:pPr>
          <w:hyperlink w:anchor="_Toc236869515" w:history="1">
            <w:r w:rsidRPr="006339F7">
              <w:rPr>
                <w:rStyle w:val="Hyperlink"/>
                <w:rFonts w:cs="Times New Roman"/>
                <w:bCs/>
                <w:noProof/>
              </w:rPr>
              <w:t>3.4 Prototype: Minimum Viable Product</w:t>
            </w:r>
            <w:r>
              <w:rPr>
                <w:noProof/>
                <w:webHidden/>
              </w:rPr>
              <w:tab/>
            </w:r>
            <w:r w:rsidR="00E866E1">
              <w:rPr>
                <w:noProof/>
                <w:webHidden/>
              </w:rPr>
              <w:t>11</w:t>
            </w:r>
          </w:hyperlink>
        </w:p>
        <w:p w14:paraId="63BC6F91" w14:textId="7842DC4C" w:rsidR="00C42DF0" w:rsidRDefault="00C42DF0">
          <w:pPr>
            <w:pStyle w:val="TOC2"/>
            <w:tabs>
              <w:tab w:val="right" w:leader="dot" w:pos="9016"/>
            </w:tabs>
            <w:rPr>
              <w:noProof/>
            </w:rPr>
          </w:pPr>
          <w:hyperlink w:anchor="_Toc236869516" w:history="1">
            <w:r w:rsidRPr="006339F7">
              <w:rPr>
                <w:rStyle w:val="Hyperlink"/>
                <w:rFonts w:cs="Times New Roman"/>
                <w:bCs/>
                <w:noProof/>
              </w:rPr>
              <w:t>3.5 Test and Refine</w:t>
            </w:r>
            <w:r>
              <w:rPr>
                <w:noProof/>
                <w:webHidden/>
              </w:rPr>
              <w:tab/>
            </w:r>
            <w:r w:rsidR="00E866E1">
              <w:rPr>
                <w:noProof/>
                <w:webHidden/>
              </w:rPr>
              <w:t>12</w:t>
            </w:r>
          </w:hyperlink>
        </w:p>
        <w:p w14:paraId="4F10EFD5" w14:textId="232C7588" w:rsidR="00C42DF0" w:rsidRDefault="00C42DF0">
          <w:pPr>
            <w:pStyle w:val="TOC1"/>
            <w:tabs>
              <w:tab w:val="right" w:leader="dot" w:pos="9016"/>
            </w:tabs>
            <w:rPr>
              <w:noProof/>
            </w:rPr>
          </w:pPr>
          <w:hyperlink w:anchor="_Toc236869517" w:history="1">
            <w:r w:rsidRPr="006339F7">
              <w:rPr>
                <w:rStyle w:val="Hyperlink"/>
                <w:rFonts w:cs="Times New Roman"/>
                <w:bCs/>
                <w:noProof/>
              </w:rPr>
              <w:t>4.0 Conclusion</w:t>
            </w:r>
            <w:r>
              <w:rPr>
                <w:noProof/>
                <w:webHidden/>
              </w:rPr>
              <w:tab/>
            </w:r>
            <w:r w:rsidR="00E866E1">
              <w:rPr>
                <w:noProof/>
                <w:webHidden/>
              </w:rPr>
              <w:t>14</w:t>
            </w:r>
          </w:hyperlink>
        </w:p>
        <w:p w14:paraId="57CD9645" w14:textId="28D24D4A" w:rsidR="00C42DF0" w:rsidRDefault="00C42DF0">
          <w:pPr>
            <w:pStyle w:val="TOC1"/>
            <w:tabs>
              <w:tab w:val="right" w:leader="dot" w:pos="9016"/>
            </w:tabs>
            <w:rPr>
              <w:noProof/>
            </w:rPr>
          </w:pPr>
          <w:hyperlink w:anchor="_Toc236869518" w:history="1">
            <w:r w:rsidRPr="006339F7">
              <w:rPr>
                <w:rStyle w:val="Hyperlink"/>
                <w:rFonts w:cs="Times New Roman"/>
                <w:bCs/>
                <w:noProof/>
              </w:rPr>
              <w:t>References</w:t>
            </w:r>
            <w:r>
              <w:rPr>
                <w:noProof/>
                <w:webHidden/>
              </w:rPr>
              <w:tab/>
            </w:r>
            <w:r w:rsidR="00E866E1">
              <w:rPr>
                <w:noProof/>
                <w:webHidden/>
              </w:rPr>
              <w:t>15</w:t>
            </w:r>
          </w:hyperlink>
        </w:p>
        <w:p w14:paraId="784AB3EE" w14:textId="5521BC1C" w:rsidR="00C42DF0" w:rsidRDefault="00C42DF0">
          <w:r>
            <w:rPr>
              <w:b/>
              <w:bCs/>
              <w:noProof/>
            </w:rPr>
            <w:fldChar w:fldCharType="end"/>
          </w:r>
        </w:p>
      </w:sdtContent>
    </w:sdt>
    <w:p w14:paraId="5B5C28F8" w14:textId="77777777" w:rsidR="00C42DF0" w:rsidRDefault="00C42DF0" w:rsidP="00C42DF0">
      <w:pPr>
        <w:rPr>
          <w:rFonts w:ascii="Times New Roman" w:hAnsi="Times New Roman" w:cs="Times New Roman"/>
        </w:rPr>
      </w:pPr>
    </w:p>
    <w:p w14:paraId="0EDF3A4F" w14:textId="77777777" w:rsidR="00C42DF0" w:rsidRDefault="00C42DF0" w:rsidP="00C42DF0">
      <w:pPr>
        <w:rPr>
          <w:rFonts w:ascii="Times New Roman" w:hAnsi="Times New Roman" w:cs="Times New Roman"/>
        </w:rPr>
      </w:pPr>
    </w:p>
    <w:p w14:paraId="599E6FDD" w14:textId="77777777" w:rsidR="00C42DF0" w:rsidRDefault="00C42DF0" w:rsidP="00C42DF0">
      <w:pPr>
        <w:rPr>
          <w:rFonts w:ascii="Times New Roman" w:hAnsi="Times New Roman" w:cs="Times New Roman"/>
        </w:rPr>
      </w:pPr>
    </w:p>
    <w:p w14:paraId="509C08D5" w14:textId="77777777" w:rsidR="00C42DF0" w:rsidRDefault="00C42DF0" w:rsidP="00C42DF0">
      <w:pPr>
        <w:rPr>
          <w:rFonts w:ascii="Times New Roman" w:hAnsi="Times New Roman" w:cs="Times New Roman"/>
        </w:rPr>
      </w:pPr>
    </w:p>
    <w:p w14:paraId="1B3AD9C0" w14:textId="77777777" w:rsidR="00C42DF0" w:rsidRDefault="00C42DF0" w:rsidP="00C42DF0">
      <w:pPr>
        <w:rPr>
          <w:rFonts w:ascii="Times New Roman" w:hAnsi="Times New Roman" w:cs="Times New Roman"/>
        </w:rPr>
      </w:pPr>
    </w:p>
    <w:p w14:paraId="4A68FF2B" w14:textId="77777777" w:rsidR="00C42DF0" w:rsidRDefault="00C42DF0" w:rsidP="00C42DF0">
      <w:pPr>
        <w:rPr>
          <w:rFonts w:ascii="Times New Roman" w:hAnsi="Times New Roman" w:cs="Times New Roman"/>
        </w:rPr>
      </w:pPr>
    </w:p>
    <w:p w14:paraId="5939D775" w14:textId="77777777" w:rsidR="00C42DF0" w:rsidRDefault="00C42DF0" w:rsidP="00C42DF0">
      <w:pPr>
        <w:rPr>
          <w:rFonts w:ascii="Times New Roman" w:hAnsi="Times New Roman" w:cs="Times New Roman"/>
        </w:rPr>
      </w:pPr>
    </w:p>
    <w:p w14:paraId="5BF4749A" w14:textId="77777777" w:rsidR="00C42DF0" w:rsidRDefault="00C42DF0" w:rsidP="00C42DF0">
      <w:pPr>
        <w:rPr>
          <w:rFonts w:ascii="Times New Roman" w:hAnsi="Times New Roman" w:cs="Times New Roman"/>
        </w:rPr>
      </w:pPr>
    </w:p>
    <w:p w14:paraId="4927349C" w14:textId="77777777" w:rsidR="00C42DF0" w:rsidRDefault="00C42DF0" w:rsidP="00C42DF0">
      <w:pPr>
        <w:rPr>
          <w:rFonts w:ascii="Times New Roman" w:hAnsi="Times New Roman" w:cs="Times New Roman"/>
        </w:rPr>
      </w:pPr>
    </w:p>
    <w:p w14:paraId="4928CF5D" w14:textId="77777777" w:rsidR="00C42DF0" w:rsidRDefault="00C42DF0" w:rsidP="00C42DF0">
      <w:pPr>
        <w:rPr>
          <w:rFonts w:ascii="Times New Roman" w:hAnsi="Times New Roman" w:cs="Times New Roman"/>
        </w:rPr>
      </w:pPr>
    </w:p>
    <w:p w14:paraId="6FB344BB" w14:textId="77777777" w:rsidR="00C42DF0" w:rsidRDefault="00C42DF0" w:rsidP="00C42DF0">
      <w:pPr>
        <w:rPr>
          <w:rFonts w:ascii="Times New Roman" w:hAnsi="Times New Roman" w:cs="Times New Roman"/>
        </w:rPr>
      </w:pPr>
    </w:p>
    <w:p w14:paraId="3CE18257" w14:textId="77777777" w:rsidR="00C42DF0" w:rsidRDefault="00C42DF0" w:rsidP="00C42DF0">
      <w:pPr>
        <w:rPr>
          <w:rFonts w:ascii="Times New Roman" w:hAnsi="Times New Roman" w:cs="Times New Roman"/>
        </w:rPr>
      </w:pPr>
    </w:p>
    <w:p w14:paraId="7F6EE1B9" w14:textId="77777777" w:rsidR="00C42DF0" w:rsidRPr="00E17413" w:rsidRDefault="00C42DF0" w:rsidP="00C42DF0">
      <w:pPr>
        <w:pStyle w:val="Heading1"/>
        <w:spacing w:before="240" w:after="180"/>
        <w:rPr>
          <w:rFonts w:cs="Times New Roman"/>
          <w:color w:val="auto"/>
        </w:rPr>
      </w:pPr>
      <w:bookmarkStart w:id="0" w:name="_Toc236869503"/>
      <w:r w:rsidRPr="00E17413">
        <w:rPr>
          <w:rFonts w:eastAsia="Arial" w:cs="Times New Roman"/>
          <w:bCs/>
          <w:color w:val="auto"/>
          <w:sz w:val="32"/>
          <w:szCs w:val="32"/>
        </w:rPr>
        <w:lastRenderedPageBreak/>
        <w:t>1.0 Introduction</w:t>
      </w:r>
      <w:bookmarkEnd w:id="0"/>
    </w:p>
    <w:p w14:paraId="4D347479"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Digital commerce has revolutionized how small and medium sized businesses interact with their customers, manage their supply chains and plan their everyday customer interaction in the UK. These markets, which had a strong reliance on in-store sales, are now part of a platform economy, and independent retailers, service providers and micro-producers are increasingly being attracted to the same digital economy that hitherto has catered only to large urban brands. This trend is indicative of a larger shift towards digital tactics for survival among SMEs, as posited by </w:t>
      </w:r>
      <w:proofErr w:type="spellStart"/>
      <w:r w:rsidRPr="00C42DF0">
        <w:rPr>
          <w:rFonts w:ascii="Times New Roman" w:hAnsi="Times New Roman" w:cs="Times New Roman"/>
          <w:sz w:val="24"/>
          <w:szCs w:val="24"/>
        </w:rPr>
        <w:t>Mishrif</w:t>
      </w:r>
      <w:proofErr w:type="spellEnd"/>
      <w:r w:rsidRPr="00C42DF0">
        <w:rPr>
          <w:rFonts w:ascii="Times New Roman" w:hAnsi="Times New Roman" w:cs="Times New Roman"/>
          <w:sz w:val="24"/>
          <w:szCs w:val="24"/>
        </w:rPr>
        <w:t xml:space="preserve"> and Khan (2023). Today, cloud, mobile commerce and low-end analytics tools put sophisticated capabilities at the fingertips of smaller companies, and the pandemic has proven to be a permanent enabler for these activities.</w:t>
      </w:r>
    </w:p>
    <w:p w14:paraId="70652DF4"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It is based on the 5-stage Design Thinking process (Empathise, Define, Ideate, Prototype and Test) that has been widely promoted by the Stanford </w:t>
      </w:r>
      <w:proofErr w:type="spellStart"/>
      <w:proofErr w:type="gramStart"/>
      <w:r w:rsidRPr="00C42DF0">
        <w:rPr>
          <w:rFonts w:ascii="Times New Roman" w:hAnsi="Times New Roman" w:cs="Times New Roman"/>
          <w:sz w:val="24"/>
          <w:szCs w:val="24"/>
        </w:rPr>
        <w:t>d.school</w:t>
      </w:r>
      <w:proofErr w:type="spellEnd"/>
      <w:proofErr w:type="gramEnd"/>
      <w:r w:rsidRPr="00C42DF0">
        <w:rPr>
          <w:rFonts w:ascii="Times New Roman" w:hAnsi="Times New Roman" w:cs="Times New Roman"/>
          <w:sz w:val="24"/>
          <w:szCs w:val="24"/>
        </w:rPr>
        <w:t xml:space="preserve"> tradition, and that has developed in modern innovation scholarship. The framework is here interpreted as a way of thinking about the assessment scenario and not as a set of steps to follow. Task 1 will map user pains, search gaps, technological enablers and potential for scalability and sustainability to identify the most promising opportunity areas for innovation and new ventures in the United Kingdom. Task 2 then builds upon a problem statement to formulate a specific venture concept and ultimately a minimum viable product (MVP) and a process of testing and iteration, as proposed by </w:t>
      </w:r>
      <w:proofErr w:type="spellStart"/>
      <w:r w:rsidRPr="00C42DF0">
        <w:rPr>
          <w:rFonts w:ascii="Times New Roman" w:hAnsi="Times New Roman" w:cs="Times New Roman"/>
          <w:sz w:val="24"/>
          <w:szCs w:val="24"/>
        </w:rPr>
        <w:t>Jaskyte</w:t>
      </w:r>
      <w:proofErr w:type="spellEnd"/>
      <w:r w:rsidRPr="00C42DF0">
        <w:rPr>
          <w:rFonts w:ascii="Times New Roman" w:hAnsi="Times New Roman" w:cs="Times New Roman"/>
          <w:sz w:val="24"/>
          <w:szCs w:val="24"/>
        </w:rPr>
        <w:t xml:space="preserve"> and Liedtka (2022).</w:t>
      </w:r>
    </w:p>
    <w:p w14:paraId="72F2E70E" w14:textId="77777777" w:rsidR="00C42DF0" w:rsidRPr="00E17413" w:rsidRDefault="00C42DF0" w:rsidP="00C42DF0">
      <w:pPr>
        <w:pStyle w:val="Heading1"/>
        <w:spacing w:before="240" w:after="180"/>
        <w:rPr>
          <w:rFonts w:cs="Times New Roman"/>
          <w:color w:val="auto"/>
        </w:rPr>
      </w:pPr>
      <w:bookmarkStart w:id="1" w:name="_Toc236869504"/>
      <w:r w:rsidRPr="00E17413">
        <w:rPr>
          <w:rFonts w:eastAsia="Arial" w:cs="Times New Roman"/>
          <w:bCs/>
          <w:color w:val="auto"/>
          <w:sz w:val="32"/>
          <w:szCs w:val="32"/>
        </w:rPr>
        <w:t>2.0 Task 1: Opportunity Areas in the UK Market through a Design Thinking Lens</w:t>
      </w:r>
      <w:bookmarkEnd w:id="1"/>
    </w:p>
    <w:p w14:paraId="6B970316" w14:textId="77777777" w:rsidR="00C42DF0" w:rsidRPr="00E17413" w:rsidRDefault="00C42DF0" w:rsidP="00C42DF0">
      <w:pPr>
        <w:pStyle w:val="Heading2"/>
        <w:spacing w:before="200" w:after="140"/>
        <w:rPr>
          <w:rFonts w:cs="Times New Roman"/>
          <w:color w:val="auto"/>
        </w:rPr>
      </w:pPr>
      <w:bookmarkStart w:id="2" w:name="_Toc236869505"/>
      <w:r w:rsidRPr="00E17413">
        <w:rPr>
          <w:rFonts w:eastAsia="Arial" w:cs="Times New Roman"/>
          <w:bCs/>
          <w:color w:val="auto"/>
          <w:sz w:val="26"/>
        </w:rPr>
        <w:t>2.1 Design Thinking as an Analytical Lens for Opportunity Discovery</w:t>
      </w:r>
      <w:bookmarkEnd w:id="2"/>
    </w:p>
    <w:p w14:paraId="3D7C50DA"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Design Thinking is a human-centred approach to innovation that is best understood as a combination of empathy, abductive reasoning, iterative experimentation and visual thinking. It is not about optimising in the frame, but about reframing things to be able to see new solution spaces. </w:t>
      </w:r>
      <w:proofErr w:type="spellStart"/>
      <w:r w:rsidRPr="00C42DF0">
        <w:rPr>
          <w:rFonts w:ascii="Times New Roman" w:hAnsi="Times New Roman" w:cs="Times New Roman"/>
          <w:sz w:val="24"/>
          <w:szCs w:val="24"/>
        </w:rPr>
        <w:t>Magistretti</w:t>
      </w:r>
      <w:proofErr w:type="spellEnd"/>
      <w:r w:rsidRPr="00C42DF0">
        <w:rPr>
          <w:rFonts w:ascii="Times New Roman" w:hAnsi="Times New Roman" w:cs="Times New Roman"/>
          <w:sz w:val="24"/>
          <w:szCs w:val="24"/>
        </w:rPr>
        <w:t xml:space="preserve"> et al. (2022) conceptualize it as a dynamic capability for innovation because its unique </w:t>
      </w:r>
      <w:proofErr w:type="gramStart"/>
      <w:r w:rsidRPr="00C42DF0">
        <w:rPr>
          <w:rFonts w:ascii="Times New Roman" w:hAnsi="Times New Roman" w:cs="Times New Roman"/>
          <w:sz w:val="24"/>
          <w:szCs w:val="24"/>
        </w:rPr>
        <w:t>value added</w:t>
      </w:r>
      <w:proofErr w:type="gramEnd"/>
      <w:r w:rsidRPr="00C42DF0">
        <w:rPr>
          <w:rFonts w:ascii="Times New Roman" w:hAnsi="Times New Roman" w:cs="Times New Roman"/>
          <w:sz w:val="24"/>
          <w:szCs w:val="24"/>
        </w:rPr>
        <w:t xml:space="preserve"> lies on how it connects with organisational renewal on the micro level of routines. The framework forces an entrepreneur to identify innovation space in the lived frictions of a particular group of stakeholders, and not from the supposedly average user. This mindset is helpful for discovering opportunities in a rapidly evolving digital economy when viewed through the lens of the assessment brief.</w:t>
      </w:r>
    </w:p>
    <w:p w14:paraId="6536A2BF"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lastRenderedPageBreak/>
        <w:t xml:space="preserve">The Design Thinking lens can also support balancing the three canonical elements of desirability, feasibility and viability. Desirability is about </w:t>
      </w:r>
      <w:proofErr w:type="gramStart"/>
      <w:r w:rsidRPr="00C42DF0">
        <w:rPr>
          <w:rFonts w:ascii="Times New Roman" w:hAnsi="Times New Roman" w:cs="Times New Roman"/>
          <w:sz w:val="24"/>
          <w:szCs w:val="24"/>
        </w:rPr>
        <w:t>whether or not</w:t>
      </w:r>
      <w:proofErr w:type="gramEnd"/>
      <w:r w:rsidRPr="00C42DF0">
        <w:rPr>
          <w:rFonts w:ascii="Times New Roman" w:hAnsi="Times New Roman" w:cs="Times New Roman"/>
          <w:sz w:val="24"/>
          <w:szCs w:val="24"/>
        </w:rPr>
        <w:t xml:space="preserve"> an opportunity addresses a real user pain point, feasibility about </w:t>
      </w:r>
      <w:proofErr w:type="gramStart"/>
      <w:r w:rsidRPr="00C42DF0">
        <w:rPr>
          <w:rFonts w:ascii="Times New Roman" w:hAnsi="Times New Roman" w:cs="Times New Roman"/>
          <w:sz w:val="24"/>
          <w:szCs w:val="24"/>
        </w:rPr>
        <w:t>whether or not</w:t>
      </w:r>
      <w:proofErr w:type="gramEnd"/>
      <w:r w:rsidRPr="00C42DF0">
        <w:rPr>
          <w:rFonts w:ascii="Times New Roman" w:hAnsi="Times New Roman" w:cs="Times New Roman"/>
          <w:sz w:val="24"/>
          <w:szCs w:val="24"/>
        </w:rPr>
        <w:t xml:space="preserve"> current technology / organisational capability is able to support an opportunity, and viability about whether a sustainable business model can be built around an opportunity. The three-part lens ensures analysts have multiple views held in tension with each other, and it helps them avoid getting too early on board with “cool” but unsubstantiated ideas. Entrepreneurial designers that alternate between these three lenses are likely to create an entrepreneurial venture that lasts, but not just gets started (Klenner et al., 2022). The assessment scenario, with this lens, identifies six broad opportunity areas, which will be explored in the rest of Task 1 using the four dimensions requested in the brief. Table 1 provides a summary of the above opportunity areas that are discussed and are later depicted in Figure 1.</w:t>
      </w:r>
    </w:p>
    <w:tbl>
      <w:tblPr>
        <w:tblStyle w:val="TableGrid"/>
        <w:tblW w:w="9600" w:type="dxa"/>
        <w:tblLook w:val="04A0" w:firstRow="1" w:lastRow="0" w:firstColumn="1" w:lastColumn="0" w:noHBand="0" w:noVBand="1"/>
      </w:tblPr>
      <w:tblGrid>
        <w:gridCol w:w="2400"/>
        <w:gridCol w:w="2400"/>
        <w:gridCol w:w="2400"/>
        <w:gridCol w:w="2400"/>
      </w:tblGrid>
      <w:tr w:rsidR="00C42DF0" w:rsidRPr="00C42DF0" w14:paraId="689045ED" w14:textId="77777777" w:rsidTr="00C42DF0">
        <w:tc>
          <w:tcPr>
            <w:tcW w:w="2400" w:type="dxa"/>
          </w:tcPr>
          <w:p w14:paraId="3ED23FED"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b/>
                <w:bCs/>
                <w:color w:val="000000" w:themeColor="text1"/>
                <w:sz w:val="24"/>
                <w:szCs w:val="24"/>
              </w:rPr>
              <w:t>Opportunity area</w:t>
            </w:r>
          </w:p>
        </w:tc>
        <w:tc>
          <w:tcPr>
            <w:tcW w:w="2400" w:type="dxa"/>
          </w:tcPr>
          <w:p w14:paraId="22EB3733"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b/>
                <w:bCs/>
                <w:color w:val="000000" w:themeColor="text1"/>
                <w:sz w:val="24"/>
                <w:szCs w:val="24"/>
              </w:rPr>
              <w:t>User pain resolved</w:t>
            </w:r>
          </w:p>
        </w:tc>
        <w:tc>
          <w:tcPr>
            <w:tcW w:w="2400" w:type="dxa"/>
          </w:tcPr>
          <w:p w14:paraId="34B159AC"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b/>
                <w:bCs/>
                <w:color w:val="000000" w:themeColor="text1"/>
                <w:sz w:val="24"/>
                <w:szCs w:val="24"/>
              </w:rPr>
              <w:t>Key enabler</w:t>
            </w:r>
          </w:p>
        </w:tc>
        <w:tc>
          <w:tcPr>
            <w:tcW w:w="2400" w:type="dxa"/>
          </w:tcPr>
          <w:p w14:paraId="12C9F387"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b/>
                <w:bCs/>
                <w:color w:val="000000" w:themeColor="text1"/>
                <w:sz w:val="24"/>
                <w:szCs w:val="24"/>
              </w:rPr>
              <w:t>Scalability signal</w:t>
            </w:r>
          </w:p>
        </w:tc>
      </w:tr>
      <w:tr w:rsidR="00C42DF0" w:rsidRPr="00C42DF0" w14:paraId="2A7EE1F1" w14:textId="77777777" w:rsidTr="00C42DF0">
        <w:tc>
          <w:tcPr>
            <w:tcW w:w="2400" w:type="dxa"/>
          </w:tcPr>
          <w:p w14:paraId="01D784AC"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Integrated SME digital operations platform</w:t>
            </w:r>
          </w:p>
        </w:tc>
        <w:tc>
          <w:tcPr>
            <w:tcW w:w="2400" w:type="dxa"/>
          </w:tcPr>
          <w:p w14:paraId="4409595B"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Fragmented tooling across payments, bookings and delivery</w:t>
            </w:r>
          </w:p>
        </w:tc>
        <w:tc>
          <w:tcPr>
            <w:tcW w:w="2400" w:type="dxa"/>
          </w:tcPr>
          <w:p w14:paraId="35B5CB9B"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Mobile-first cloud APIs and open banking</w:t>
            </w:r>
          </w:p>
        </w:tc>
        <w:tc>
          <w:tcPr>
            <w:tcW w:w="2400" w:type="dxa"/>
          </w:tcPr>
          <w:p w14:paraId="1A50D818"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Modular design and multi-tenant SaaS economics</w:t>
            </w:r>
          </w:p>
        </w:tc>
      </w:tr>
      <w:tr w:rsidR="00C42DF0" w:rsidRPr="00C42DF0" w14:paraId="1F5E1127" w14:textId="77777777" w:rsidTr="00C42DF0">
        <w:tc>
          <w:tcPr>
            <w:tcW w:w="2400" w:type="dxa"/>
          </w:tcPr>
          <w:p w14:paraId="60AEB07E"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Rural last-mile parcel micro-hubs</w:t>
            </w:r>
          </w:p>
        </w:tc>
        <w:tc>
          <w:tcPr>
            <w:tcW w:w="2400" w:type="dxa"/>
          </w:tcPr>
          <w:p w14:paraId="28B5B8BA"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Missed deliveries and long return journeys in rural areas</w:t>
            </w:r>
          </w:p>
        </w:tc>
        <w:tc>
          <w:tcPr>
            <w:tcW w:w="2400" w:type="dxa"/>
          </w:tcPr>
          <w:p w14:paraId="5E7C8113"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Crowd-sourced logistics and route optimisation</w:t>
            </w:r>
          </w:p>
        </w:tc>
        <w:tc>
          <w:tcPr>
            <w:tcW w:w="2400" w:type="dxa"/>
          </w:tcPr>
          <w:p w14:paraId="69709702"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Replicable hub model across postcodes</w:t>
            </w:r>
          </w:p>
        </w:tc>
      </w:tr>
      <w:tr w:rsidR="00C42DF0" w:rsidRPr="00C42DF0" w14:paraId="13778A8C" w14:textId="77777777" w:rsidTr="00C42DF0">
        <w:tc>
          <w:tcPr>
            <w:tcW w:w="2400" w:type="dxa"/>
          </w:tcPr>
          <w:p w14:paraId="76C4CE72"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Hyperlocal social commerce enablement</w:t>
            </w:r>
          </w:p>
        </w:tc>
        <w:tc>
          <w:tcPr>
            <w:tcW w:w="2400" w:type="dxa"/>
          </w:tcPr>
          <w:p w14:paraId="7730DDFA"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Independent traders lacking discoverability</w:t>
            </w:r>
          </w:p>
        </w:tc>
        <w:tc>
          <w:tcPr>
            <w:tcW w:w="2400" w:type="dxa"/>
          </w:tcPr>
          <w:p w14:paraId="28C0B5AF"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Social platform integrations and messaging APIs</w:t>
            </w:r>
          </w:p>
        </w:tc>
        <w:tc>
          <w:tcPr>
            <w:tcW w:w="2400" w:type="dxa"/>
          </w:tcPr>
          <w:p w14:paraId="0406C9C7"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Network effects around community demand</w:t>
            </w:r>
          </w:p>
        </w:tc>
      </w:tr>
      <w:tr w:rsidR="00C42DF0" w:rsidRPr="00C42DF0" w14:paraId="07330452" w14:textId="77777777" w:rsidTr="00C42DF0">
        <w:tc>
          <w:tcPr>
            <w:tcW w:w="2400" w:type="dxa"/>
          </w:tcPr>
          <w:p w14:paraId="6C0AD9A0"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Unified digital payment aggregator</w:t>
            </w:r>
          </w:p>
        </w:tc>
        <w:tc>
          <w:tcPr>
            <w:tcW w:w="2400" w:type="dxa"/>
          </w:tcPr>
          <w:p w14:paraId="774BB4E0"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High card fees and settlement delays for micro-merchants</w:t>
            </w:r>
          </w:p>
        </w:tc>
        <w:tc>
          <w:tcPr>
            <w:tcW w:w="2400" w:type="dxa"/>
          </w:tcPr>
          <w:p w14:paraId="2E66E8FE"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Open banking, QR standards and account-to-account rails</w:t>
            </w:r>
          </w:p>
        </w:tc>
        <w:tc>
          <w:tcPr>
            <w:tcW w:w="2400" w:type="dxa"/>
          </w:tcPr>
          <w:p w14:paraId="3D05163D"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Low marginal cost per additional merchant</w:t>
            </w:r>
          </w:p>
        </w:tc>
      </w:tr>
      <w:tr w:rsidR="00C42DF0" w:rsidRPr="00C42DF0" w14:paraId="24F92391" w14:textId="77777777" w:rsidTr="00C42DF0">
        <w:tc>
          <w:tcPr>
            <w:tcW w:w="2400" w:type="dxa"/>
          </w:tcPr>
          <w:p w14:paraId="4B396F51"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Retail inventory and CRM software</w:t>
            </w:r>
          </w:p>
        </w:tc>
        <w:tc>
          <w:tcPr>
            <w:tcW w:w="2400" w:type="dxa"/>
          </w:tcPr>
          <w:p w14:paraId="757052BC"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Weak visibility over stock and customer histories</w:t>
            </w:r>
          </w:p>
        </w:tc>
        <w:tc>
          <w:tcPr>
            <w:tcW w:w="2400" w:type="dxa"/>
          </w:tcPr>
          <w:p w14:paraId="7122EE1B"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Affordable SaaS and lightweight analytics</w:t>
            </w:r>
          </w:p>
        </w:tc>
        <w:tc>
          <w:tcPr>
            <w:tcW w:w="2400" w:type="dxa"/>
          </w:tcPr>
          <w:p w14:paraId="64156CBB"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Standardised feature set across sectors</w:t>
            </w:r>
          </w:p>
        </w:tc>
      </w:tr>
      <w:tr w:rsidR="00C42DF0" w:rsidRPr="00C42DF0" w14:paraId="187F4195" w14:textId="77777777" w:rsidTr="00C42DF0">
        <w:tc>
          <w:tcPr>
            <w:tcW w:w="2400" w:type="dxa"/>
          </w:tcPr>
          <w:p w14:paraId="04D63F28"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Sustainable delivery routing platform</w:t>
            </w:r>
          </w:p>
        </w:tc>
        <w:tc>
          <w:tcPr>
            <w:tcW w:w="2400" w:type="dxa"/>
          </w:tcPr>
          <w:p w14:paraId="2A418DF7"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Rising delivery emissions and cost pressure</w:t>
            </w:r>
          </w:p>
        </w:tc>
        <w:tc>
          <w:tcPr>
            <w:tcW w:w="2400" w:type="dxa"/>
          </w:tcPr>
          <w:p w14:paraId="2FF00B8E"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AI routing, electric vehicles and consolidated deliveries</w:t>
            </w:r>
          </w:p>
        </w:tc>
        <w:tc>
          <w:tcPr>
            <w:tcW w:w="2400" w:type="dxa"/>
          </w:tcPr>
          <w:p w14:paraId="26F823B9" w14:textId="77777777" w:rsidR="00C42DF0" w:rsidRPr="00C42DF0" w:rsidRDefault="00C42DF0" w:rsidP="00132B5B">
            <w:pPr>
              <w:spacing w:after="40" w:line="300" w:lineRule="auto"/>
              <w:rPr>
                <w:rFonts w:ascii="Times New Roman" w:hAnsi="Times New Roman" w:cs="Times New Roman"/>
                <w:color w:val="000000" w:themeColor="text1"/>
                <w:sz w:val="24"/>
                <w:szCs w:val="24"/>
              </w:rPr>
            </w:pPr>
            <w:r w:rsidRPr="00C42DF0">
              <w:rPr>
                <w:rFonts w:ascii="Times New Roman" w:hAnsi="Times New Roman" w:cs="Times New Roman"/>
                <w:color w:val="000000" w:themeColor="text1"/>
                <w:sz w:val="24"/>
                <w:szCs w:val="24"/>
              </w:rPr>
              <w:t>Alignment with net-zero regulatory trajectory</w:t>
            </w:r>
          </w:p>
        </w:tc>
      </w:tr>
    </w:tbl>
    <w:p w14:paraId="6503AEA5" w14:textId="77777777" w:rsidR="00C42DF0" w:rsidRPr="00C42DF0" w:rsidRDefault="00C42DF0" w:rsidP="00C42DF0">
      <w:pPr>
        <w:spacing w:after="120"/>
        <w:jc w:val="center"/>
        <w:rPr>
          <w:rFonts w:ascii="Times New Roman" w:hAnsi="Times New Roman" w:cs="Times New Roman"/>
          <w:sz w:val="24"/>
          <w:szCs w:val="24"/>
        </w:rPr>
      </w:pPr>
      <w:r w:rsidRPr="00C42DF0">
        <w:rPr>
          <w:rFonts w:ascii="Times New Roman" w:hAnsi="Times New Roman" w:cs="Times New Roman"/>
          <w:i/>
          <w:iCs/>
          <w:sz w:val="24"/>
          <w:szCs w:val="24"/>
        </w:rPr>
        <w:t>Table 1: Overview of opportunity areas in the UK digital transformation landscape.</w:t>
      </w:r>
    </w:p>
    <w:p w14:paraId="594FCEA6" w14:textId="77777777" w:rsidR="00C42DF0" w:rsidRPr="00E17413" w:rsidRDefault="00C42DF0" w:rsidP="00C42DF0">
      <w:pPr>
        <w:pStyle w:val="Heading2"/>
        <w:spacing w:before="200" w:after="140"/>
        <w:rPr>
          <w:rFonts w:cs="Times New Roman"/>
          <w:color w:val="auto"/>
        </w:rPr>
      </w:pPr>
      <w:bookmarkStart w:id="3" w:name="_Toc236869506"/>
      <w:r w:rsidRPr="00E17413">
        <w:rPr>
          <w:rFonts w:eastAsia="Arial" w:cs="Times New Roman"/>
          <w:bCs/>
          <w:color w:val="auto"/>
          <w:sz w:val="26"/>
        </w:rPr>
        <w:lastRenderedPageBreak/>
        <w:t>2.2 User Pain Points</w:t>
      </w:r>
      <w:bookmarkEnd w:id="3"/>
    </w:p>
    <w:p w14:paraId="19BE281E"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three key areas of pain points arising from the scenario fall on small merchants, suburban and rural consumers and last-mile delivery partners. Retailers flag an ongoing problem in disconnecting the various tools on the Web used for payments, bookings, marketing and keeping track of stock. Beyond this, many owners seem to experience a sense of feeling overwhelmed by the technology rather than empowered by it – as evidenced recently by </w:t>
      </w:r>
      <w:proofErr w:type="spellStart"/>
      <w:r w:rsidRPr="00C42DF0">
        <w:rPr>
          <w:rFonts w:ascii="Times New Roman" w:hAnsi="Times New Roman" w:cs="Times New Roman"/>
          <w:sz w:val="24"/>
          <w:szCs w:val="24"/>
        </w:rPr>
        <w:t>Hiziroglu</w:t>
      </w:r>
      <w:proofErr w:type="spellEnd"/>
      <w:r w:rsidRPr="00C42DF0">
        <w:rPr>
          <w:rFonts w:ascii="Times New Roman" w:hAnsi="Times New Roman" w:cs="Times New Roman"/>
          <w:sz w:val="24"/>
          <w:szCs w:val="24"/>
        </w:rPr>
        <w:t xml:space="preserve"> et al. (2024)'s research on SME digital transformation. Even for a micro-business, the consumer wants an easy online cruise to a checkout — and anything related to the payment process, delivery transparency or returns will soon lead to a cart that's left behind and lost return sales. </w:t>
      </w:r>
      <w:proofErr w:type="gramStart"/>
      <w:r w:rsidRPr="00C42DF0">
        <w:rPr>
          <w:rFonts w:ascii="Times New Roman" w:hAnsi="Times New Roman" w:cs="Times New Roman"/>
          <w:sz w:val="24"/>
          <w:szCs w:val="24"/>
        </w:rPr>
        <w:t>All of</w:t>
      </w:r>
      <w:proofErr w:type="gramEnd"/>
      <w:r w:rsidRPr="00C42DF0">
        <w:rPr>
          <w:rFonts w:ascii="Times New Roman" w:hAnsi="Times New Roman" w:cs="Times New Roman"/>
          <w:sz w:val="24"/>
          <w:szCs w:val="24"/>
        </w:rPr>
        <w:t xml:space="preserve"> these hassles can result in a cognitive cost that eventually offsets the perceived monetary gains of an "all-digital" future, which is where user-centred discovery can help provide analytical value.</w:t>
      </w:r>
    </w:p>
    <w:p w14:paraId="2F15C431"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The physical infrastructure that is used for receiving parcels in rural areas is not as developed as in metropolitan areas, compounding the pain points faced by rural consumers. The Last-Mile Delivery: The Future Unpacked survey released by DS Smith (2025) found that failure rates for delivery in hard-to-reach postcodes are a persistent challenge in the operation of deliveries. Much of the burden falls on delivery partners themselves, as gig-economy couriers are also often the ones who spend uncompensated time on futile redelivery attempts for authentication codes or on unproductive journeys to complete a single delivery. Such free touches only make margins in the industry even tighter. In the Design Thinking context, these frictions aren't just pain-in-the-neck, but rather indicators of unmet need for a solution that reduces the cost, time and cognitive load.</w:t>
      </w:r>
    </w:p>
    <w:p w14:paraId="326CC8A6" w14:textId="77777777" w:rsidR="00C42DF0" w:rsidRPr="00E17413" w:rsidRDefault="00C42DF0" w:rsidP="00C42DF0">
      <w:pPr>
        <w:pStyle w:val="Heading2"/>
        <w:spacing w:before="200" w:after="140"/>
        <w:rPr>
          <w:rFonts w:cs="Times New Roman"/>
          <w:color w:val="auto"/>
        </w:rPr>
      </w:pPr>
      <w:bookmarkStart w:id="4" w:name="_Toc236869507"/>
      <w:r w:rsidRPr="00E17413">
        <w:rPr>
          <w:rFonts w:eastAsia="Arial" w:cs="Times New Roman"/>
          <w:bCs/>
          <w:color w:val="auto"/>
          <w:sz w:val="26"/>
        </w:rPr>
        <w:t>2.3 Market Gaps</w:t>
      </w:r>
      <w:bookmarkEnd w:id="4"/>
    </w:p>
    <w:p w14:paraId="3424F1ED"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There are also </w:t>
      </w:r>
      <w:proofErr w:type="gramStart"/>
      <w:r w:rsidRPr="00C42DF0">
        <w:rPr>
          <w:rFonts w:ascii="Times New Roman" w:hAnsi="Times New Roman" w:cs="Times New Roman"/>
          <w:sz w:val="24"/>
          <w:szCs w:val="24"/>
        </w:rPr>
        <w:t>a number of</w:t>
      </w:r>
      <w:proofErr w:type="gramEnd"/>
      <w:r w:rsidRPr="00C42DF0">
        <w:rPr>
          <w:rFonts w:ascii="Times New Roman" w:hAnsi="Times New Roman" w:cs="Times New Roman"/>
          <w:sz w:val="24"/>
          <w:szCs w:val="24"/>
        </w:rPr>
        <w:t xml:space="preserve"> market opportunities under the surface, which can lead to viable new businesses. The first gap is the lack of an affordable, integrated digital operations tool solution built for the small British companies, where most existing solutions are geared towards an enterprise customer with technology teams. The Department for Business and Trade Final Report on the SME Digital Adoption Taskforce (2025) verifies that there are many small businesses in Britain whose digital journey is often </w:t>
      </w:r>
      <w:proofErr w:type="spellStart"/>
      <w:r w:rsidRPr="00C42DF0">
        <w:rPr>
          <w:rFonts w:ascii="Times New Roman" w:hAnsi="Times New Roman" w:cs="Times New Roman"/>
          <w:sz w:val="24"/>
          <w:szCs w:val="24"/>
        </w:rPr>
        <w:t>overglorified</w:t>
      </w:r>
      <w:proofErr w:type="spellEnd"/>
      <w:r w:rsidRPr="00C42DF0">
        <w:rPr>
          <w:rFonts w:ascii="Times New Roman" w:hAnsi="Times New Roman" w:cs="Times New Roman"/>
          <w:sz w:val="24"/>
          <w:szCs w:val="24"/>
        </w:rPr>
        <w:t xml:space="preserve"> and where they have a gap between the aspiration and the action. Often existing tools are seen as costly, bloated, easy to adopt and a stubborn ceiling to the level of adoption can be meaningfully addressed by new ventures. One associated difficulty is the lack of utilising customer-relationship-management </w:t>
      </w:r>
      <w:r w:rsidRPr="00C42DF0">
        <w:rPr>
          <w:rFonts w:ascii="Times New Roman" w:hAnsi="Times New Roman" w:cs="Times New Roman"/>
          <w:sz w:val="24"/>
          <w:szCs w:val="24"/>
        </w:rPr>
        <w:lastRenderedPageBreak/>
        <w:t>and enterprise-resource-planning tools at micro-firms, thereby limiting the base for analysis to support growth.</w:t>
      </w:r>
    </w:p>
    <w:p w14:paraId="0861EA0B"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other gap is in last mile delivery in rural areas, where major carriers are focussed around major urban routes, leaving suburban and remote postcodes under-served. Understandably, many independent operators struggle to offer competitive rates and/or ensure delivery within deadlines, with Kaplan and Heaslip (2024) examining sustainable last-mile logistics models. The third gap is payments – with micro-merchants still paying disproportionately high fees for accepting cards and account-to-account rails available via open banking still not being packaged and made accessible for the corner-shop owner or the market trader to use. The fourth, less discussed, gap relates to the ability to find independent traders via social platforms and the fact that social shopfronts (e.g., Instagram or WhatsApp) create genuine transactional </w:t>
      </w:r>
      <w:proofErr w:type="gramStart"/>
      <w:r w:rsidRPr="00C42DF0">
        <w:rPr>
          <w:rFonts w:ascii="Times New Roman" w:hAnsi="Times New Roman" w:cs="Times New Roman"/>
          <w:sz w:val="24"/>
          <w:szCs w:val="24"/>
        </w:rPr>
        <w:t>demand, but</w:t>
      </w:r>
      <w:proofErr w:type="gramEnd"/>
      <w:r w:rsidRPr="00C42DF0">
        <w:rPr>
          <w:rFonts w:ascii="Times New Roman" w:hAnsi="Times New Roman" w:cs="Times New Roman"/>
          <w:sz w:val="24"/>
          <w:szCs w:val="24"/>
        </w:rPr>
        <w:t xml:space="preserve"> are not yet equipped with tools to translate social "head" into robust orders. Combined, these gaps suggest that the best opportunities involve bringing together previously siloed tasks and functions instead of introducing one new app for each new function into a software portfolio.</w:t>
      </w:r>
    </w:p>
    <w:p w14:paraId="18C0CBED" w14:textId="77777777" w:rsidR="00C42DF0" w:rsidRPr="00E17413" w:rsidRDefault="00C42DF0" w:rsidP="00C42DF0">
      <w:pPr>
        <w:pStyle w:val="Heading2"/>
        <w:spacing w:before="200" w:after="140"/>
        <w:rPr>
          <w:rFonts w:cs="Times New Roman"/>
          <w:color w:val="auto"/>
        </w:rPr>
      </w:pPr>
      <w:bookmarkStart w:id="5" w:name="_Toc236869508"/>
      <w:r w:rsidRPr="00E17413">
        <w:rPr>
          <w:rFonts w:eastAsia="Arial" w:cs="Times New Roman"/>
          <w:bCs/>
          <w:color w:val="auto"/>
          <w:sz w:val="26"/>
        </w:rPr>
        <w:t>2.4 Technological Enablers</w:t>
      </w:r>
      <w:bookmarkEnd w:id="5"/>
    </w:p>
    <w:p w14:paraId="02EC3CA1"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There has been a significant advancement in the last three years, with the technological enablers that will make these opportunities possible becoming more mature. Cloud-based software-as-a-service (SaaS) platforms can now enable thousands of ‘micro-merchants’ to be supported at low marginal cost, and open banking application programming interfaces (APIs) provide a regulated pathway to move money from account to account—without the need for a card network. This move to enabling infrastructure is correlated with tangible improvements in SME innovation capacity by the recent evidence provided by Trivedi and </w:t>
      </w:r>
      <w:proofErr w:type="spellStart"/>
      <w:r w:rsidRPr="00C42DF0">
        <w:rPr>
          <w:rFonts w:ascii="Times New Roman" w:hAnsi="Times New Roman" w:cs="Times New Roman"/>
          <w:sz w:val="24"/>
          <w:szCs w:val="24"/>
        </w:rPr>
        <w:t>Pistrui</w:t>
      </w:r>
      <w:proofErr w:type="spellEnd"/>
      <w:r w:rsidRPr="00C42DF0">
        <w:rPr>
          <w:rFonts w:ascii="Times New Roman" w:hAnsi="Times New Roman" w:cs="Times New Roman"/>
          <w:sz w:val="24"/>
          <w:szCs w:val="24"/>
        </w:rPr>
        <w:t xml:space="preserve"> (2024). AI is now part of the mainstream productivity and logistics and marketing tools, enabling small businesses to benefit from route optimisation, demand forecasting and content creation, once the preserve of big businesses. This maturing enabling infrastructure brings down the technical barrier to a new business and makes it more possible than two years ago to execute small-team operations successfully.</w:t>
      </w:r>
    </w:p>
    <w:p w14:paraId="3BDE8FDB"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Since 2023, full-fibre (FTTH) adoption has been steadily increasing in the United Kingdom, with the Connected Nations UK Report 2025 (Ofcom 2025) revealing over 87 per cent of premises are covered by gigabit-capable networks. This connectivity underpinning is a key enabler for cloud services and real-time delivery </w:t>
      </w:r>
      <w:proofErr w:type="gramStart"/>
      <w:r w:rsidRPr="00C42DF0">
        <w:rPr>
          <w:rFonts w:ascii="Times New Roman" w:hAnsi="Times New Roman" w:cs="Times New Roman"/>
          <w:sz w:val="24"/>
          <w:szCs w:val="24"/>
        </w:rPr>
        <w:t>coordination, and</w:t>
      </w:r>
      <w:proofErr w:type="gramEnd"/>
      <w:r w:rsidRPr="00C42DF0">
        <w:rPr>
          <w:rFonts w:ascii="Times New Roman" w:hAnsi="Times New Roman" w:cs="Times New Roman"/>
          <w:sz w:val="24"/>
          <w:szCs w:val="24"/>
        </w:rPr>
        <w:t xml:space="preserve"> represents an additional boost to the viability of enterprises and small businesses in rural and suburban areas compared </w:t>
      </w:r>
      <w:r w:rsidRPr="00C42DF0">
        <w:rPr>
          <w:rFonts w:ascii="Times New Roman" w:hAnsi="Times New Roman" w:cs="Times New Roman"/>
          <w:sz w:val="24"/>
          <w:szCs w:val="24"/>
        </w:rPr>
        <w:lastRenderedPageBreak/>
        <w:t>to 10 years ago. Mobile-first payments standards and QR-code acceptance are already mature, adding an extra level of technological readiness. They have got used to contactless and mobile payments and are more inclined to scan codes to make a purchase at stand-alone retailers and stalls. Crowd-sourced logistics platforms have also been able to show that non-professional couriers can be matched up and paid for in large enough numbers for last-mile delivery, when algorithms for matching up deliveries and pricing are robust enough.</w:t>
      </w:r>
    </w:p>
    <w:p w14:paraId="08093F21" w14:textId="77777777" w:rsidR="00C42DF0" w:rsidRPr="00E17413" w:rsidRDefault="00C42DF0" w:rsidP="00C42DF0">
      <w:pPr>
        <w:pStyle w:val="Heading2"/>
        <w:spacing w:before="200" w:after="140"/>
        <w:rPr>
          <w:rFonts w:cs="Times New Roman"/>
          <w:color w:val="auto"/>
        </w:rPr>
      </w:pPr>
      <w:bookmarkStart w:id="6" w:name="_Toc236869509"/>
      <w:r w:rsidRPr="00E17413">
        <w:rPr>
          <w:rFonts w:eastAsia="Arial" w:cs="Times New Roman"/>
          <w:bCs/>
          <w:color w:val="auto"/>
          <w:sz w:val="26"/>
        </w:rPr>
        <w:t>2.5 Scalability and Sustainability Potential</w:t>
      </w:r>
      <w:bookmarkEnd w:id="6"/>
    </w:p>
    <w:p w14:paraId="42DFA951"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Scalability of an opportunity is the ability for a solution to reach further across postcodes, sectors and merchant sizes and still not increase the operating cost proportionately. Additionally, it relies upon the improvement of unit economics with an increase in user numbers, as Kim and Jin (2024) link with the digitalisation of SMEs and dynamic-capability development. This is an area where multi-tenant software platforms and aggregators can excel as the cost of adding another micro merchant is low once the necessary platform has been created. Last mile logistics scores worse, as it is limited by their geographic density of demand, and the availability of couriers. Those limitations can be partially mitigated with a hub-and-spoke model that makes use of micro-hubs, local delivery agents and route optimisation—and is now increasingly viewed as the model for the sector's operations.</w:t>
      </w:r>
    </w:p>
    <w:p w14:paraId="196F7021"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Sustainability factors are also crucial: delivery emissions are not a side issue with the increasing levels of consumer demand and the United Kingdom's journey to net-zero. Circular design principles have become key enablers for sustainable business model innovation (</w:t>
      </w:r>
      <w:proofErr w:type="spellStart"/>
      <w:r w:rsidRPr="00C42DF0">
        <w:rPr>
          <w:rFonts w:ascii="Times New Roman" w:hAnsi="Times New Roman" w:cs="Times New Roman"/>
          <w:sz w:val="24"/>
          <w:szCs w:val="24"/>
        </w:rPr>
        <w:t>Bocken</w:t>
      </w:r>
      <w:proofErr w:type="spellEnd"/>
      <w:r w:rsidRPr="00C42DF0">
        <w:rPr>
          <w:rFonts w:ascii="Times New Roman" w:hAnsi="Times New Roman" w:cs="Times New Roman"/>
          <w:sz w:val="24"/>
          <w:szCs w:val="24"/>
        </w:rPr>
        <w:t xml:space="preserve"> et al., 2023) and this directly affects the way in which a new venture is designed from the ground-up. Combined shipping, eco-friendly methods and returnable packaging solutions can all be practical steps taken to make the venture more sustainable to these expectations. Circular thinking also </w:t>
      </w:r>
      <w:proofErr w:type="gramStart"/>
      <w:r w:rsidRPr="00C42DF0">
        <w:rPr>
          <w:rFonts w:ascii="Times New Roman" w:hAnsi="Times New Roman" w:cs="Times New Roman"/>
          <w:sz w:val="24"/>
          <w:szCs w:val="24"/>
        </w:rPr>
        <w:t>opens up</w:t>
      </w:r>
      <w:proofErr w:type="gramEnd"/>
      <w:r w:rsidRPr="00C42DF0">
        <w:rPr>
          <w:rFonts w:ascii="Times New Roman" w:hAnsi="Times New Roman" w:cs="Times New Roman"/>
          <w:sz w:val="24"/>
          <w:szCs w:val="24"/>
        </w:rPr>
        <w:t xml:space="preserve"> the possibility of creating retention mechanisms, where customers are given incentives to return packaging, delay orders or bundle orders within the same household. In combination, scalability and sustainability serve as a filter that </w:t>
      </w:r>
      <w:proofErr w:type="spellStart"/>
      <w:r w:rsidRPr="00C42DF0">
        <w:rPr>
          <w:rFonts w:ascii="Times New Roman" w:hAnsi="Times New Roman" w:cs="Times New Roman"/>
          <w:sz w:val="24"/>
          <w:szCs w:val="24"/>
        </w:rPr>
        <w:t>distills</w:t>
      </w:r>
      <w:proofErr w:type="spellEnd"/>
      <w:r w:rsidRPr="00C42DF0">
        <w:rPr>
          <w:rFonts w:ascii="Times New Roman" w:hAnsi="Times New Roman" w:cs="Times New Roman"/>
          <w:sz w:val="24"/>
          <w:szCs w:val="24"/>
        </w:rPr>
        <w:t xml:space="preserve"> economic and environmental sense out of businesses with only short-term legs.</w:t>
      </w:r>
    </w:p>
    <w:p w14:paraId="73EF4228" w14:textId="77777777" w:rsidR="00C42DF0" w:rsidRPr="00E17413" w:rsidRDefault="00C42DF0" w:rsidP="00C42DF0">
      <w:pPr>
        <w:pStyle w:val="Heading2"/>
        <w:spacing w:before="200" w:after="140"/>
        <w:rPr>
          <w:rFonts w:cs="Times New Roman"/>
          <w:color w:val="auto"/>
        </w:rPr>
      </w:pPr>
      <w:bookmarkStart w:id="7" w:name="_Toc236869510"/>
      <w:r w:rsidRPr="00E17413">
        <w:rPr>
          <w:rFonts w:eastAsia="Arial" w:cs="Times New Roman"/>
          <w:bCs/>
          <w:color w:val="auto"/>
          <w:sz w:val="26"/>
        </w:rPr>
        <w:t>2.6 Justification of Priority Opportunities</w:t>
      </w:r>
      <w:bookmarkEnd w:id="7"/>
    </w:p>
    <w:p w14:paraId="5F736E09"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These evaluations culminate in a prioritisation as described below and illustrated in Figure 1, that shows each opportunity in relation to market attractiveness and feasibility with the size of the bubble indicating the level of scalability potential. The ones that are most advanced </w:t>
      </w:r>
      <w:proofErr w:type="gramStart"/>
      <w:r w:rsidRPr="00C42DF0">
        <w:rPr>
          <w:rFonts w:ascii="Times New Roman" w:hAnsi="Times New Roman" w:cs="Times New Roman"/>
          <w:sz w:val="24"/>
          <w:szCs w:val="24"/>
        </w:rPr>
        <w:t>are located in</w:t>
      </w:r>
      <w:proofErr w:type="gramEnd"/>
      <w:r w:rsidRPr="00C42DF0">
        <w:rPr>
          <w:rFonts w:ascii="Times New Roman" w:hAnsi="Times New Roman" w:cs="Times New Roman"/>
          <w:sz w:val="24"/>
          <w:szCs w:val="24"/>
        </w:rPr>
        <w:t xml:space="preserve"> the top-right corner of the matrix, specifically the integrated SME digital operations </w:t>
      </w:r>
      <w:r w:rsidRPr="00C42DF0">
        <w:rPr>
          <w:rFonts w:ascii="Times New Roman" w:hAnsi="Times New Roman" w:cs="Times New Roman"/>
          <w:sz w:val="24"/>
          <w:szCs w:val="24"/>
        </w:rPr>
        <w:lastRenderedPageBreak/>
        <w:t>platform, the unified digital payment aggregator and the rural last-mile micro-hub concept. The technology adoption evidence collected across the UK as part of the recent OECD (2026) review indicates real potential for the SMEs to grow, if solutions are accessible and accessible, in terms of cost. Task 2 takes the top three chosen ideas and through the 5 steps of Design Thinking will develop one of them into a specific idea for a venture – the integrated digital operations platform for independent merchants.</w:t>
      </w:r>
    </w:p>
    <w:p w14:paraId="6A513C70"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 </w:t>
      </w:r>
    </w:p>
    <w:p w14:paraId="3A13B667" w14:textId="77777777" w:rsidR="00C42DF0" w:rsidRPr="00E17413" w:rsidRDefault="00C42DF0" w:rsidP="00C42DF0">
      <w:pPr>
        <w:spacing w:before="200" w:after="60" w:line="240" w:lineRule="auto"/>
        <w:jc w:val="center"/>
        <w:rPr>
          <w:rFonts w:ascii="Times New Roman" w:hAnsi="Times New Roman" w:cs="Times New Roman"/>
        </w:rPr>
      </w:pPr>
      <w:r w:rsidRPr="00E17413">
        <w:rPr>
          <w:rFonts w:ascii="Times New Roman" w:hAnsi="Times New Roman" w:cs="Times New Roman"/>
          <w:noProof/>
        </w:rPr>
        <w:drawing>
          <wp:inline distT="0" distB="0" distL="0" distR="0" wp14:anchorId="60EC884F" wp14:editId="3BC4BE31">
            <wp:extent cx="4191000" cy="2790825"/>
            <wp:effectExtent l="0" t="0" r="0" b="0"/>
            <wp:docPr id="1" name="Picture 1" descr="The image is a priority matrix for UK SME digital transformation opportunities, categorized by feasibility (technical, operational, and financial) and market attractiveness (demand strength and growth potential), with different initiatives like digital operations platforms, rural delivery hubs, and retail software ranked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image is a priority matrix for UK SME digital transformation opportunities, categorized by feasibility (technical, operational, and financial) and market attractiveness (demand strength and growth potential), with different initiatives like digital operations platforms, rural delivery hubs, and retail software ranked accordingly.&#10;&#10;AI-generated content may be incorrect."/>
                    <pic:cNvPicPr>
                      <a:picLocks noChangeAspect="1" noChangeArrowheads="1"/>
                    </pic:cNvPicPr>
                  </pic:nvPicPr>
                  <pic:blipFill>
                    <a:blip r:embed="rId8"/>
                    <a:srcRect/>
                    <a:stretch>
                      <a:fillRect/>
                    </a:stretch>
                  </pic:blipFill>
                  <pic:spPr bwMode="auto">
                    <a:xfrm>
                      <a:off x="0" y="0"/>
                      <a:ext cx="4191000" cy="2790825"/>
                    </a:xfrm>
                    <a:prstGeom prst="rect">
                      <a:avLst/>
                    </a:prstGeom>
                  </pic:spPr>
                </pic:pic>
              </a:graphicData>
            </a:graphic>
          </wp:inline>
        </w:drawing>
      </w:r>
    </w:p>
    <w:p w14:paraId="21495247" w14:textId="77777777" w:rsidR="00C42DF0" w:rsidRPr="00E17413" w:rsidRDefault="00C42DF0" w:rsidP="00C42DF0">
      <w:pPr>
        <w:spacing w:after="120"/>
        <w:jc w:val="center"/>
        <w:rPr>
          <w:rFonts w:ascii="Times New Roman" w:hAnsi="Times New Roman" w:cs="Times New Roman"/>
        </w:rPr>
      </w:pPr>
      <w:r w:rsidRPr="00E17413">
        <w:rPr>
          <w:rFonts w:ascii="Times New Roman" w:hAnsi="Times New Roman" w:cs="Times New Roman"/>
          <w:i/>
          <w:iCs/>
          <w:sz w:val="20"/>
          <w:szCs w:val="20"/>
        </w:rPr>
        <w:t>Figure 1: Opportunity prioritisation matrix — plotting six opportunity areas against market attractiveness, feasibility and scalability.</w:t>
      </w:r>
    </w:p>
    <w:p w14:paraId="14E644DD" w14:textId="77777777" w:rsidR="00C42DF0" w:rsidRPr="00E17413" w:rsidRDefault="00C42DF0" w:rsidP="00C42DF0">
      <w:pPr>
        <w:pStyle w:val="Heading1"/>
        <w:spacing w:before="240" w:after="180"/>
        <w:rPr>
          <w:rFonts w:cs="Times New Roman"/>
          <w:color w:val="auto"/>
        </w:rPr>
      </w:pPr>
      <w:bookmarkStart w:id="8" w:name="_Toc236869511"/>
      <w:r w:rsidRPr="00E17413">
        <w:rPr>
          <w:rFonts w:eastAsia="Arial" w:cs="Times New Roman"/>
          <w:bCs/>
          <w:color w:val="auto"/>
          <w:sz w:val="32"/>
          <w:szCs w:val="32"/>
        </w:rPr>
        <w:t>3.0 Task 2: Applying Design Thinking to a New Venture Concept</w:t>
      </w:r>
      <w:bookmarkEnd w:id="8"/>
    </w:p>
    <w:p w14:paraId="56DDBD76"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venture concept that emerged from Task 2 is a </w:t>
      </w:r>
      <w:proofErr w:type="gramStart"/>
      <w:r w:rsidRPr="00C42DF0">
        <w:rPr>
          <w:rFonts w:ascii="Times New Roman" w:hAnsi="Times New Roman" w:cs="Times New Roman"/>
          <w:sz w:val="24"/>
          <w:szCs w:val="24"/>
        </w:rPr>
        <w:t>digitally-enabled</w:t>
      </w:r>
      <w:proofErr w:type="gramEnd"/>
      <w:r w:rsidRPr="00C42DF0">
        <w:rPr>
          <w:rFonts w:ascii="Times New Roman" w:hAnsi="Times New Roman" w:cs="Times New Roman"/>
          <w:sz w:val="24"/>
          <w:szCs w:val="24"/>
        </w:rPr>
        <w:t xml:space="preserve"> operations platform called </w:t>
      </w:r>
      <w:proofErr w:type="spellStart"/>
      <w:r w:rsidRPr="00C42DF0">
        <w:rPr>
          <w:rFonts w:ascii="Times New Roman" w:hAnsi="Times New Roman" w:cs="Times New Roman"/>
          <w:sz w:val="24"/>
          <w:szCs w:val="24"/>
        </w:rPr>
        <w:t>MerchantMesh</w:t>
      </w:r>
      <w:proofErr w:type="spellEnd"/>
      <w:r w:rsidRPr="00C42DF0">
        <w:rPr>
          <w:rFonts w:ascii="Times New Roman" w:hAnsi="Times New Roman" w:cs="Times New Roman"/>
          <w:sz w:val="24"/>
          <w:szCs w:val="24"/>
        </w:rPr>
        <w:t xml:space="preserve"> which will be mobile-first. It is aimed at providing a centralised platform for payments, local delivery bookings, social commerce integration and more for independent merchants and service providers in the United Kingdom. Rather than a pipeline, the five stages of Design Thinking are used in the following sections to illustrate the iterative and non-sequential nature of the concept, while highlighting the importance of each stage. However, Liedtka and Locatelli (2023) warn that mechanical usage of the stages may jeopardize the value imparted by the framework and this is taken seriously in the design of the process below. This is depicted in Figure 2 which presents the overall logic and the role of test activity as an ongoing activity throughout all four other activities.</w:t>
      </w:r>
    </w:p>
    <w:p w14:paraId="52E2EB27" w14:textId="77777777" w:rsidR="00C42DF0" w:rsidRPr="00E17413" w:rsidRDefault="00C42DF0" w:rsidP="00C42DF0">
      <w:pPr>
        <w:pStyle w:val="Heading2"/>
        <w:spacing w:before="200" w:after="140"/>
        <w:rPr>
          <w:rFonts w:cs="Times New Roman"/>
          <w:color w:val="auto"/>
        </w:rPr>
      </w:pPr>
      <w:bookmarkStart w:id="9" w:name="_Toc236869512"/>
      <w:r w:rsidRPr="00E17413">
        <w:rPr>
          <w:rFonts w:eastAsia="Arial" w:cs="Times New Roman"/>
          <w:bCs/>
          <w:color w:val="auto"/>
          <w:sz w:val="26"/>
        </w:rPr>
        <w:lastRenderedPageBreak/>
        <w:t>3.1 Empathise</w:t>
      </w:r>
      <w:bookmarkEnd w:id="9"/>
    </w:p>
    <w:p w14:paraId="68C701C9"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Empathise stage starts by systematically surfacing user experience with three main user groups - independent merchants, their customers and their delivery partners. Around 30 micro-business owners from three London Boroughs and two market towns in the East Midlands would be interviewed, with many of these at their place of business and using a messaging-app diary study, as well as observational visits to their business premises. The specific aim would be to create empathy maps that would let us understand what these owners say, do, think and feel in a normal day's operation. Empathy work has been shown to lose value if it becomes a list of interview quotes as in the study of Carlgren and </w:t>
      </w:r>
      <w:proofErr w:type="spellStart"/>
      <w:r w:rsidRPr="00C42DF0">
        <w:rPr>
          <w:rFonts w:ascii="Times New Roman" w:hAnsi="Times New Roman" w:cs="Times New Roman"/>
          <w:sz w:val="24"/>
          <w:szCs w:val="24"/>
        </w:rPr>
        <w:t>BenMahmoud</w:t>
      </w:r>
      <w:proofErr w:type="spellEnd"/>
      <w:r w:rsidRPr="00C42DF0">
        <w:rPr>
          <w:rFonts w:ascii="Times New Roman" w:hAnsi="Times New Roman" w:cs="Times New Roman"/>
          <w:sz w:val="24"/>
          <w:szCs w:val="24"/>
        </w:rPr>
        <w:t xml:space="preserve">-Jouini (2022) on frictions when implementing DT. Specifically, what it does do is help designers to question their notions of the user and their objectives. The customers would be targeted through partner shops </w:t>
      </w:r>
      <w:proofErr w:type="gramStart"/>
      <w:r w:rsidRPr="00C42DF0">
        <w:rPr>
          <w:rFonts w:ascii="Times New Roman" w:hAnsi="Times New Roman" w:cs="Times New Roman"/>
          <w:sz w:val="24"/>
          <w:szCs w:val="24"/>
        </w:rPr>
        <w:t>and also</w:t>
      </w:r>
      <w:proofErr w:type="gramEnd"/>
      <w:r w:rsidRPr="00C42DF0">
        <w:rPr>
          <w:rFonts w:ascii="Times New Roman" w:hAnsi="Times New Roman" w:cs="Times New Roman"/>
          <w:sz w:val="24"/>
          <w:szCs w:val="24"/>
        </w:rPr>
        <w:t xml:space="preserve"> using specific social-media advertising in postcodes with a mix of urban and rural properties, and the journey taken would be mapped over the customer journey.</w:t>
      </w:r>
    </w:p>
    <w:p w14:paraId="359C73D5"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Delivery partners would be accessed via a combination of ‘gig economy' driver networks and small regional courier companies, and through the delivery angle when attempted deliveries fail or are not cost-effective. The focus is </w:t>
      </w:r>
      <w:proofErr w:type="gramStart"/>
      <w:r w:rsidRPr="00C42DF0">
        <w:rPr>
          <w:rFonts w:ascii="Times New Roman" w:hAnsi="Times New Roman" w:cs="Times New Roman"/>
          <w:sz w:val="24"/>
          <w:szCs w:val="24"/>
        </w:rPr>
        <w:t>in</w:t>
      </w:r>
      <w:proofErr w:type="gramEnd"/>
      <w:r w:rsidRPr="00C42DF0">
        <w:rPr>
          <w:rFonts w:ascii="Times New Roman" w:hAnsi="Times New Roman" w:cs="Times New Roman"/>
          <w:sz w:val="24"/>
          <w:szCs w:val="24"/>
        </w:rPr>
        <w:t xml:space="preserve"> line with concerns expressed by Mohammad et al. (2023), in their systematic review of last-mile delivery services (LMDS), who argues that these moments are the point of maximum pain for LMDS users. The empathy work would intentionally focus on the marginal users as that is where the innovation opportunities lie the most, where the current solutions don't do the best in the market. The results of this stage would feed into the creation of three composite personas, three journey maps and at least twenty verbatim quotes from users capturing the emotional register of current experience, to form a portfolio. This synthesis is used for the raw material at the Define stage.</w:t>
      </w:r>
    </w:p>
    <w:p w14:paraId="5E8956E1" w14:textId="77777777" w:rsidR="00C42DF0" w:rsidRPr="00E17413" w:rsidRDefault="00C42DF0" w:rsidP="00C42DF0">
      <w:pPr>
        <w:pStyle w:val="Heading2"/>
        <w:spacing w:before="200" w:after="140"/>
        <w:rPr>
          <w:rFonts w:cs="Times New Roman"/>
          <w:color w:val="auto"/>
        </w:rPr>
      </w:pPr>
      <w:bookmarkStart w:id="10" w:name="_Toc236869513"/>
      <w:r w:rsidRPr="00E17413">
        <w:rPr>
          <w:rFonts w:eastAsia="Arial" w:cs="Times New Roman"/>
          <w:bCs/>
          <w:color w:val="auto"/>
          <w:sz w:val="26"/>
        </w:rPr>
        <w:t>3.2 Define</w:t>
      </w:r>
      <w:bookmarkEnd w:id="10"/>
    </w:p>
    <w:p w14:paraId="0220D6E1"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Define stage defines the problem statement from the raw empathy material to provide the basis for the rest of the process. The statement is that independent merchants or micro-service providers in the United Kingdom can't easily give their customers a modern digital experience as the tools to handle payments, bookings, local delivery and even social commerce remain spread out among various vendors, designed to be accessible to larger businesses, and are cognitively complex to implement. The Enterprise Research Centre (2024), in its Small Business Britain report, have recently provided proof that this issue is resilient throughout the SME base in Britain. This framing sets up the next ideation process and is intentionally narrow enough to focus subsequent ideation, but wide enough to allow for multiple pathways to </w:t>
      </w:r>
      <w:r w:rsidRPr="00C42DF0">
        <w:rPr>
          <w:rFonts w:ascii="Times New Roman" w:hAnsi="Times New Roman" w:cs="Times New Roman"/>
          <w:sz w:val="24"/>
          <w:szCs w:val="24"/>
        </w:rPr>
        <w:lastRenderedPageBreak/>
        <w:t xml:space="preserve">solution. This reflects that "problem framing is at the </w:t>
      </w:r>
      <w:proofErr w:type="spellStart"/>
      <w:r w:rsidRPr="00C42DF0">
        <w:rPr>
          <w:rFonts w:ascii="Times New Roman" w:hAnsi="Times New Roman" w:cs="Times New Roman"/>
          <w:sz w:val="24"/>
          <w:szCs w:val="24"/>
        </w:rPr>
        <w:t>center</w:t>
      </w:r>
      <w:proofErr w:type="spellEnd"/>
      <w:r w:rsidRPr="00C42DF0">
        <w:rPr>
          <w:rFonts w:ascii="Times New Roman" w:hAnsi="Times New Roman" w:cs="Times New Roman"/>
          <w:sz w:val="24"/>
          <w:szCs w:val="24"/>
        </w:rPr>
        <w:t xml:space="preserve"> of successful innovation" is one of the tenets of the Design Thinking approach.</w:t>
      </w:r>
    </w:p>
    <w:p w14:paraId="40E01A01"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During the Define stage, a set of PVs (point of view statements) that convert persona pain into design opportunity is also generated. One such statement is: “As a market trader, you should have a solution to turn your Instagram followers into safe, paid orders since the fragmented conversation with them through messages is cumbersome, susceptible to payment issues and time-consuming.” The second states that if consumers in the countryside are ordering from independent retailers, they're going to need them to deliver parcels the first </w:t>
      </w:r>
      <w:proofErr w:type="gramStart"/>
      <w:r w:rsidRPr="00C42DF0">
        <w:rPr>
          <w:rFonts w:ascii="Times New Roman" w:hAnsi="Times New Roman" w:cs="Times New Roman"/>
          <w:sz w:val="24"/>
          <w:szCs w:val="24"/>
        </w:rPr>
        <w:t>time, or</w:t>
      </w:r>
      <w:proofErr w:type="gramEnd"/>
      <w:r w:rsidRPr="00C42DF0">
        <w:rPr>
          <w:rFonts w:ascii="Times New Roman" w:hAnsi="Times New Roman" w:cs="Times New Roman"/>
          <w:sz w:val="24"/>
          <w:szCs w:val="24"/>
        </w:rPr>
        <w:t xml:space="preserve"> suffer from a loss of faith in local shopping and return to the bigger online marketplaces. A third states the issue as: "The self-employed courier working suburban routes wants to guarantee himself some income without having to invest in unpaid hours due to drop failures. These statements inform the ideation process that </w:t>
      </w:r>
      <w:proofErr w:type="gramStart"/>
      <w:r w:rsidRPr="00C42DF0">
        <w:rPr>
          <w:rFonts w:ascii="Times New Roman" w:hAnsi="Times New Roman" w:cs="Times New Roman"/>
          <w:sz w:val="24"/>
          <w:szCs w:val="24"/>
        </w:rPr>
        <w:t>follows, and</w:t>
      </w:r>
      <w:proofErr w:type="gramEnd"/>
      <w:r w:rsidRPr="00C42DF0">
        <w:rPr>
          <w:rFonts w:ascii="Times New Roman" w:hAnsi="Times New Roman" w:cs="Times New Roman"/>
          <w:sz w:val="24"/>
          <w:szCs w:val="24"/>
        </w:rPr>
        <w:t xml:space="preserve"> can be used to define standards by which the prototypes will be compared to the user desirability criteria later in the process. They also help move the design task into the tangible realm for a small founding team, while not providing specific solutions.</w:t>
      </w:r>
    </w:p>
    <w:p w14:paraId="1FAE41E3" w14:textId="77777777" w:rsidR="00C42DF0" w:rsidRPr="00E17413" w:rsidRDefault="00C42DF0" w:rsidP="00C42DF0">
      <w:pPr>
        <w:pStyle w:val="Heading2"/>
        <w:spacing w:before="200" w:after="140"/>
        <w:rPr>
          <w:rFonts w:cs="Times New Roman"/>
          <w:color w:val="auto"/>
        </w:rPr>
      </w:pPr>
      <w:bookmarkStart w:id="11" w:name="_Toc236869514"/>
      <w:r w:rsidRPr="00E17413">
        <w:rPr>
          <w:rFonts w:eastAsia="Arial" w:cs="Times New Roman"/>
          <w:bCs/>
          <w:color w:val="auto"/>
          <w:sz w:val="26"/>
        </w:rPr>
        <w:t>3.3 Ideate</w:t>
      </w:r>
      <w:bookmarkEnd w:id="11"/>
    </w:p>
    <w:p w14:paraId="2575A342"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Ideate stage starts with brainstorming activities, with cross-functional participants from software engineering, retail operations, behavioural science and from the merchant community itself, and involves divergent ideation. It then moves towards the convergence by using structured approaches like dot voting, impact-effort matrices and the desirability-feasibility-viability triad. In the words of Clemente-Almendros et al. (2024), SME digital transformation is not only about technology but also about managerial attributes; consequently, the involvement of various perspectives in the ideation process, as opposed to ideation in a homogeneous team of individuals, is beneficial. Fundamentally, over sixty different candidate ideas would be created among five thematic clusters: payment simplification, appointment and booking coordination, local delivery orchestration, social commerce integration and merchant learning support. Ideas would be evaluated based on the empathy findings and the problem </w:t>
      </w:r>
      <w:proofErr w:type="gramStart"/>
      <w:r w:rsidRPr="00C42DF0">
        <w:rPr>
          <w:rFonts w:ascii="Times New Roman" w:hAnsi="Times New Roman" w:cs="Times New Roman"/>
          <w:sz w:val="24"/>
          <w:szCs w:val="24"/>
        </w:rPr>
        <w:t>statement, and</w:t>
      </w:r>
      <w:proofErr w:type="gramEnd"/>
      <w:r w:rsidRPr="00C42DF0">
        <w:rPr>
          <w:rFonts w:ascii="Times New Roman" w:hAnsi="Times New Roman" w:cs="Times New Roman"/>
          <w:sz w:val="24"/>
          <w:szCs w:val="24"/>
        </w:rPr>
        <w:t xml:space="preserve"> not based on personal enthusiasm.</w:t>
      </w:r>
    </w:p>
    <w:tbl>
      <w:tblPr>
        <w:tblStyle w:val="TableGrid"/>
        <w:tblW w:w="9600" w:type="dxa"/>
        <w:tblLook w:val="04A0" w:firstRow="1" w:lastRow="0" w:firstColumn="1" w:lastColumn="0" w:noHBand="0" w:noVBand="1"/>
      </w:tblPr>
      <w:tblGrid>
        <w:gridCol w:w="2600"/>
        <w:gridCol w:w="3400"/>
        <w:gridCol w:w="3600"/>
      </w:tblGrid>
      <w:tr w:rsidR="00C42DF0" w:rsidRPr="00C42DF0" w14:paraId="01E35CC4" w14:textId="77777777" w:rsidTr="00C42DF0">
        <w:tc>
          <w:tcPr>
            <w:tcW w:w="2600" w:type="dxa"/>
          </w:tcPr>
          <w:p w14:paraId="7BD3617E"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Cluster</w:t>
            </w:r>
          </w:p>
        </w:tc>
        <w:tc>
          <w:tcPr>
            <w:tcW w:w="3400" w:type="dxa"/>
          </w:tcPr>
          <w:p w14:paraId="775019BA"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Representative idea</w:t>
            </w:r>
          </w:p>
        </w:tc>
        <w:tc>
          <w:tcPr>
            <w:tcW w:w="3600" w:type="dxa"/>
          </w:tcPr>
          <w:p w14:paraId="56F7F79E"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Priority score</w:t>
            </w:r>
          </w:p>
        </w:tc>
      </w:tr>
      <w:tr w:rsidR="00C42DF0" w:rsidRPr="00C42DF0" w14:paraId="667FDA72" w14:textId="77777777" w:rsidTr="00C42DF0">
        <w:tc>
          <w:tcPr>
            <w:tcW w:w="2600" w:type="dxa"/>
          </w:tcPr>
          <w:p w14:paraId="0A6A820E"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Payment simplification</w:t>
            </w:r>
          </w:p>
        </w:tc>
        <w:tc>
          <w:tcPr>
            <w:tcW w:w="3400" w:type="dxa"/>
          </w:tcPr>
          <w:p w14:paraId="330C0511"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Merchant QR wallet with open-banking settlement</w:t>
            </w:r>
          </w:p>
        </w:tc>
        <w:tc>
          <w:tcPr>
            <w:tcW w:w="3600" w:type="dxa"/>
          </w:tcPr>
          <w:p w14:paraId="6F2B2D90"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High: strong desirability, feasible now</w:t>
            </w:r>
          </w:p>
        </w:tc>
      </w:tr>
      <w:tr w:rsidR="00C42DF0" w:rsidRPr="00C42DF0" w14:paraId="47E1B06F" w14:textId="77777777" w:rsidTr="00C42DF0">
        <w:tc>
          <w:tcPr>
            <w:tcW w:w="2600" w:type="dxa"/>
          </w:tcPr>
          <w:p w14:paraId="51EC23A6"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lastRenderedPageBreak/>
              <w:t>Booking coordination</w:t>
            </w:r>
          </w:p>
        </w:tc>
        <w:tc>
          <w:tcPr>
            <w:tcW w:w="3400" w:type="dxa"/>
          </w:tcPr>
          <w:p w14:paraId="6B208825"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Unified calendar for appointments and virtual consultations</w:t>
            </w:r>
          </w:p>
        </w:tc>
        <w:tc>
          <w:tcPr>
            <w:tcW w:w="3600" w:type="dxa"/>
          </w:tcPr>
          <w:p w14:paraId="5A13E269"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High: clear pain relief for service providers</w:t>
            </w:r>
          </w:p>
        </w:tc>
      </w:tr>
      <w:tr w:rsidR="00C42DF0" w:rsidRPr="00C42DF0" w14:paraId="62A86BA5" w14:textId="77777777" w:rsidTr="00C42DF0">
        <w:tc>
          <w:tcPr>
            <w:tcW w:w="2600" w:type="dxa"/>
          </w:tcPr>
          <w:p w14:paraId="383A6772"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Local delivery orchestration</w:t>
            </w:r>
          </w:p>
        </w:tc>
        <w:tc>
          <w:tcPr>
            <w:tcW w:w="3400" w:type="dxa"/>
          </w:tcPr>
          <w:p w14:paraId="339F4114"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Multi-carrier booking with rural micro-hub option</w:t>
            </w:r>
          </w:p>
        </w:tc>
        <w:tc>
          <w:tcPr>
            <w:tcW w:w="3600" w:type="dxa"/>
          </w:tcPr>
          <w:p w14:paraId="7F906CBC"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Medium: strong desirability, complex feasibility</w:t>
            </w:r>
          </w:p>
        </w:tc>
      </w:tr>
      <w:tr w:rsidR="00C42DF0" w:rsidRPr="00C42DF0" w14:paraId="578CC4E6" w14:textId="77777777" w:rsidTr="00C42DF0">
        <w:tc>
          <w:tcPr>
            <w:tcW w:w="2600" w:type="dxa"/>
          </w:tcPr>
          <w:p w14:paraId="723682D0"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Social commerce integration</w:t>
            </w:r>
          </w:p>
        </w:tc>
        <w:tc>
          <w:tcPr>
            <w:tcW w:w="3400" w:type="dxa"/>
          </w:tcPr>
          <w:p w14:paraId="304558A7"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One-tap conversion of Instagram or WhatsApp messages into orders</w:t>
            </w:r>
          </w:p>
        </w:tc>
        <w:tc>
          <w:tcPr>
            <w:tcW w:w="3600" w:type="dxa"/>
          </w:tcPr>
          <w:p w14:paraId="6F66D881"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High: distinctive value for micro-traders</w:t>
            </w:r>
          </w:p>
        </w:tc>
      </w:tr>
      <w:tr w:rsidR="00C42DF0" w:rsidRPr="00C42DF0" w14:paraId="37867DC3" w14:textId="77777777" w:rsidTr="00C42DF0">
        <w:tc>
          <w:tcPr>
            <w:tcW w:w="2600" w:type="dxa"/>
          </w:tcPr>
          <w:p w14:paraId="4E6A8518"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Merchant learning support</w:t>
            </w:r>
          </w:p>
        </w:tc>
        <w:tc>
          <w:tcPr>
            <w:tcW w:w="3400" w:type="dxa"/>
          </w:tcPr>
          <w:p w14:paraId="6780C5E1"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In-app coaching prompts and peer benchmarking</w:t>
            </w:r>
          </w:p>
        </w:tc>
        <w:tc>
          <w:tcPr>
            <w:tcW w:w="3600" w:type="dxa"/>
          </w:tcPr>
          <w:p w14:paraId="5234329C"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Medium: value for retention rather than acquisition</w:t>
            </w:r>
          </w:p>
        </w:tc>
      </w:tr>
    </w:tbl>
    <w:p w14:paraId="3D937BAE" w14:textId="77777777" w:rsidR="00C42DF0" w:rsidRPr="00C42DF0" w:rsidRDefault="00C42DF0" w:rsidP="00C42DF0">
      <w:pPr>
        <w:spacing w:after="120"/>
        <w:jc w:val="center"/>
        <w:rPr>
          <w:rFonts w:ascii="Times New Roman" w:hAnsi="Times New Roman" w:cs="Times New Roman"/>
          <w:sz w:val="24"/>
          <w:szCs w:val="24"/>
        </w:rPr>
      </w:pPr>
      <w:r w:rsidRPr="00C42DF0">
        <w:rPr>
          <w:rFonts w:ascii="Times New Roman" w:hAnsi="Times New Roman" w:cs="Times New Roman"/>
          <w:i/>
          <w:iCs/>
          <w:sz w:val="24"/>
          <w:szCs w:val="24"/>
        </w:rPr>
        <w:t>Table 2: Ideation clusters mapped to representative ideas and priority scores.</w:t>
      </w:r>
    </w:p>
    <w:p w14:paraId="7CB3B47B"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chosen set of concept clusters for prototyping is the top four priority clusters put together in one mobile first platform. On a single dashboard, merchants would view everything related to payments, bookings, delivery and social commerce - earning light-touch coaching prompts throughout the process. This is a composite concept that has good points against the desirability, feasibility and viability triad, and has an identified user pain and already mature technologies. There would be small per-transaction fees, and optional extra modules could be offered to the top line merchants, and the pricing would ensure that the platform would be available to firms who today, for whatever reason, are unwilling to purchase enterprise level products. According to </w:t>
      </w:r>
      <w:proofErr w:type="spellStart"/>
      <w:r w:rsidRPr="00C42DF0">
        <w:rPr>
          <w:rFonts w:ascii="Times New Roman" w:hAnsi="Times New Roman" w:cs="Times New Roman"/>
          <w:sz w:val="24"/>
          <w:szCs w:val="24"/>
        </w:rPr>
        <w:t>Kallmuenzer</w:t>
      </w:r>
      <w:proofErr w:type="spellEnd"/>
      <w:r w:rsidRPr="00C42DF0">
        <w:rPr>
          <w:rFonts w:ascii="Times New Roman" w:hAnsi="Times New Roman" w:cs="Times New Roman"/>
          <w:sz w:val="24"/>
          <w:szCs w:val="24"/>
        </w:rPr>
        <w:t xml:space="preserve"> et al. (2025), this is the type of affordability signal that is as important for adoption in SMEs, as is the richness of features. The idea also fits with sustainability concerns as the delivery orchestration piece also merges trips and gives merchants the opportunity to choose routes with lower carbon footprints.</w:t>
      </w:r>
    </w:p>
    <w:p w14:paraId="724EE956" w14:textId="77777777" w:rsidR="00C42DF0" w:rsidRPr="00E17413" w:rsidRDefault="00C42DF0" w:rsidP="00C42DF0">
      <w:pPr>
        <w:pStyle w:val="Heading2"/>
        <w:spacing w:before="200" w:after="140"/>
        <w:rPr>
          <w:rFonts w:cs="Times New Roman"/>
          <w:color w:val="auto"/>
        </w:rPr>
      </w:pPr>
      <w:bookmarkStart w:id="12" w:name="_Toc236869515"/>
      <w:r w:rsidRPr="00E17413">
        <w:rPr>
          <w:rFonts w:eastAsia="Arial" w:cs="Times New Roman"/>
          <w:bCs/>
          <w:color w:val="auto"/>
          <w:sz w:val="26"/>
        </w:rPr>
        <w:t>3.4 Prototype: Minimum Viable Product</w:t>
      </w:r>
      <w:bookmarkEnd w:id="12"/>
    </w:p>
    <w:p w14:paraId="02516FFA"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prototype is a minimum viable product (MVP) provided in the form of a progressive web application (PWA). This option enables the venture to update quickly without having to wait for app-store approvals and can be utilized on lower end Android devices which are still in use with smaller businesses. The MVP offers a small subset of features identified as part of the ideation phase to allow for learning in a meaningful way within a </w:t>
      </w:r>
      <w:proofErr w:type="gramStart"/>
      <w:r w:rsidRPr="00C42DF0">
        <w:rPr>
          <w:rFonts w:ascii="Times New Roman" w:hAnsi="Times New Roman" w:cs="Times New Roman"/>
          <w:sz w:val="24"/>
          <w:szCs w:val="24"/>
        </w:rPr>
        <w:t>12 week</w:t>
      </w:r>
      <w:proofErr w:type="gramEnd"/>
      <w:r w:rsidRPr="00C42DF0">
        <w:rPr>
          <w:rFonts w:ascii="Times New Roman" w:hAnsi="Times New Roman" w:cs="Times New Roman"/>
          <w:sz w:val="24"/>
          <w:szCs w:val="24"/>
        </w:rPr>
        <w:t xml:space="preserve"> timeframe of the pilot. As mentioned by Ratchford et al., (2023), retail digitisation is no longer a one-off event, so the need for a lean prototype of the idea, with a learning orientation is emphasised, rather than a </w:t>
      </w:r>
      <w:proofErr w:type="gramStart"/>
      <w:r w:rsidRPr="00C42DF0">
        <w:rPr>
          <w:rFonts w:ascii="Times New Roman" w:hAnsi="Times New Roman" w:cs="Times New Roman"/>
          <w:sz w:val="24"/>
          <w:szCs w:val="24"/>
        </w:rPr>
        <w:t>fully-featured</w:t>
      </w:r>
      <w:proofErr w:type="gramEnd"/>
      <w:r w:rsidRPr="00C42DF0">
        <w:rPr>
          <w:rFonts w:ascii="Times New Roman" w:hAnsi="Times New Roman" w:cs="Times New Roman"/>
          <w:sz w:val="24"/>
          <w:szCs w:val="24"/>
        </w:rPr>
        <w:t xml:space="preserve"> launch. The full set of initial features and the corresponding problem the user wants to solve using the features are shown in table 3.</w:t>
      </w:r>
    </w:p>
    <w:tbl>
      <w:tblPr>
        <w:tblStyle w:val="TableGrid"/>
        <w:tblW w:w="9600" w:type="dxa"/>
        <w:tblLook w:val="04A0" w:firstRow="1" w:lastRow="0" w:firstColumn="1" w:lastColumn="0" w:noHBand="0" w:noVBand="1"/>
      </w:tblPr>
      <w:tblGrid>
        <w:gridCol w:w="2400"/>
        <w:gridCol w:w="3600"/>
        <w:gridCol w:w="3600"/>
      </w:tblGrid>
      <w:tr w:rsidR="00C42DF0" w:rsidRPr="00C42DF0" w14:paraId="29F221A2" w14:textId="77777777" w:rsidTr="00C42DF0">
        <w:tc>
          <w:tcPr>
            <w:tcW w:w="2400" w:type="dxa"/>
          </w:tcPr>
          <w:p w14:paraId="2BA37763"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lastRenderedPageBreak/>
              <w:t>MVP feature</w:t>
            </w:r>
          </w:p>
        </w:tc>
        <w:tc>
          <w:tcPr>
            <w:tcW w:w="3600" w:type="dxa"/>
          </w:tcPr>
          <w:p w14:paraId="3927CA96"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User problem addressed</w:t>
            </w:r>
          </w:p>
        </w:tc>
        <w:tc>
          <w:tcPr>
            <w:tcW w:w="3600" w:type="dxa"/>
          </w:tcPr>
          <w:p w14:paraId="4693AA1E"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Technical approach</w:t>
            </w:r>
          </w:p>
        </w:tc>
      </w:tr>
      <w:tr w:rsidR="00C42DF0" w:rsidRPr="00C42DF0" w14:paraId="17AB93F3" w14:textId="77777777" w:rsidTr="00C42DF0">
        <w:tc>
          <w:tcPr>
            <w:tcW w:w="2400" w:type="dxa"/>
          </w:tcPr>
          <w:p w14:paraId="49010A6F"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Merchant QR wallet</w:t>
            </w:r>
          </w:p>
        </w:tc>
        <w:tc>
          <w:tcPr>
            <w:tcW w:w="3600" w:type="dxa"/>
          </w:tcPr>
          <w:p w14:paraId="47FA2236"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High card fees and slow settlement for micro-merchants</w:t>
            </w:r>
          </w:p>
        </w:tc>
        <w:tc>
          <w:tcPr>
            <w:tcW w:w="3600" w:type="dxa"/>
          </w:tcPr>
          <w:p w14:paraId="61FF3BF2"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Open banking APIs with instant account-to-account settlement</w:t>
            </w:r>
          </w:p>
        </w:tc>
      </w:tr>
      <w:tr w:rsidR="00C42DF0" w:rsidRPr="00C42DF0" w14:paraId="05F4A2B1" w14:textId="77777777" w:rsidTr="00C42DF0">
        <w:tc>
          <w:tcPr>
            <w:tcW w:w="2400" w:type="dxa"/>
          </w:tcPr>
          <w:p w14:paraId="2C578D5F"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Unified bookings calendar</w:t>
            </w:r>
          </w:p>
        </w:tc>
        <w:tc>
          <w:tcPr>
            <w:tcW w:w="3600" w:type="dxa"/>
          </w:tcPr>
          <w:p w14:paraId="35D742EA"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Missed appointments and double bookings across channels</w:t>
            </w:r>
          </w:p>
        </w:tc>
        <w:tc>
          <w:tcPr>
            <w:tcW w:w="3600" w:type="dxa"/>
          </w:tcPr>
          <w:p w14:paraId="1E2ED6D6"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Cloud-hosted calendar synced across web, SMS and social channels</w:t>
            </w:r>
          </w:p>
        </w:tc>
      </w:tr>
      <w:tr w:rsidR="00C42DF0" w:rsidRPr="00C42DF0" w14:paraId="00A04E66" w14:textId="77777777" w:rsidTr="00C42DF0">
        <w:tc>
          <w:tcPr>
            <w:tcW w:w="2400" w:type="dxa"/>
          </w:tcPr>
          <w:p w14:paraId="151216B4"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Delivery orchestration</w:t>
            </w:r>
          </w:p>
        </w:tc>
        <w:tc>
          <w:tcPr>
            <w:tcW w:w="3600" w:type="dxa"/>
          </w:tcPr>
          <w:p w14:paraId="71FDA5EB"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Rural delivery failures and unpredictable courier costs</w:t>
            </w:r>
          </w:p>
        </w:tc>
        <w:tc>
          <w:tcPr>
            <w:tcW w:w="3600" w:type="dxa"/>
          </w:tcPr>
          <w:p w14:paraId="2AD320DB"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Multi-carrier API layer with optional micro-hub pickup points</w:t>
            </w:r>
          </w:p>
        </w:tc>
      </w:tr>
      <w:tr w:rsidR="00C42DF0" w:rsidRPr="00C42DF0" w14:paraId="5C22C9E1" w14:textId="77777777" w:rsidTr="00C42DF0">
        <w:tc>
          <w:tcPr>
            <w:tcW w:w="2400" w:type="dxa"/>
          </w:tcPr>
          <w:p w14:paraId="20EC548E"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Social order capture</w:t>
            </w:r>
          </w:p>
        </w:tc>
        <w:tc>
          <w:tcPr>
            <w:tcW w:w="3600" w:type="dxa"/>
          </w:tcPr>
          <w:p w14:paraId="25749997"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Loss of orders in messy WhatsApp and Instagram threads</w:t>
            </w:r>
          </w:p>
        </w:tc>
        <w:tc>
          <w:tcPr>
            <w:tcW w:w="3600" w:type="dxa"/>
          </w:tcPr>
          <w:p w14:paraId="0534F835"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Messaging integrations that convert chats into structured orders</w:t>
            </w:r>
          </w:p>
        </w:tc>
      </w:tr>
      <w:tr w:rsidR="00C42DF0" w:rsidRPr="00C42DF0" w14:paraId="23A010AE" w14:textId="77777777" w:rsidTr="00C42DF0">
        <w:tc>
          <w:tcPr>
            <w:tcW w:w="2400" w:type="dxa"/>
          </w:tcPr>
          <w:p w14:paraId="3DA79CE9"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Coaching prompts</w:t>
            </w:r>
          </w:p>
        </w:tc>
        <w:tc>
          <w:tcPr>
            <w:tcW w:w="3600" w:type="dxa"/>
          </w:tcPr>
          <w:p w14:paraId="623B6278"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Weak confidence in digital operations among owners</w:t>
            </w:r>
          </w:p>
        </w:tc>
        <w:tc>
          <w:tcPr>
            <w:tcW w:w="3600" w:type="dxa"/>
          </w:tcPr>
          <w:p w14:paraId="1B3D8EE8"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Contextual nudges based on merchant activity data</w:t>
            </w:r>
          </w:p>
        </w:tc>
      </w:tr>
    </w:tbl>
    <w:p w14:paraId="4EACB81B" w14:textId="77777777" w:rsidR="00C42DF0" w:rsidRPr="00C42DF0" w:rsidRDefault="00C42DF0" w:rsidP="00C42DF0">
      <w:pPr>
        <w:spacing w:after="120"/>
        <w:jc w:val="center"/>
        <w:rPr>
          <w:rFonts w:ascii="Times New Roman" w:hAnsi="Times New Roman" w:cs="Times New Roman"/>
          <w:sz w:val="24"/>
          <w:szCs w:val="24"/>
        </w:rPr>
      </w:pPr>
      <w:r w:rsidRPr="00C42DF0">
        <w:rPr>
          <w:rFonts w:ascii="Times New Roman" w:hAnsi="Times New Roman" w:cs="Times New Roman"/>
          <w:i/>
          <w:iCs/>
          <w:sz w:val="24"/>
          <w:szCs w:val="24"/>
        </w:rPr>
        <w:t xml:space="preserve">Table 3: </w:t>
      </w:r>
      <w:proofErr w:type="spellStart"/>
      <w:r w:rsidRPr="00C42DF0">
        <w:rPr>
          <w:rFonts w:ascii="Times New Roman" w:hAnsi="Times New Roman" w:cs="Times New Roman"/>
          <w:i/>
          <w:iCs/>
          <w:sz w:val="24"/>
          <w:szCs w:val="24"/>
        </w:rPr>
        <w:t>MerchantMesh</w:t>
      </w:r>
      <w:proofErr w:type="spellEnd"/>
      <w:r w:rsidRPr="00C42DF0">
        <w:rPr>
          <w:rFonts w:ascii="Times New Roman" w:hAnsi="Times New Roman" w:cs="Times New Roman"/>
          <w:i/>
          <w:iCs/>
          <w:sz w:val="24"/>
          <w:szCs w:val="24"/>
        </w:rPr>
        <w:t xml:space="preserve"> minimum viable product feature specification.</w:t>
      </w:r>
    </w:p>
    <w:p w14:paraId="7A8EF414"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prototype should be created by a small, cross-functional team and be built using as much well-known </w:t>
      </w:r>
      <w:proofErr w:type="gramStart"/>
      <w:r w:rsidRPr="00C42DF0">
        <w:rPr>
          <w:rFonts w:ascii="Times New Roman" w:hAnsi="Times New Roman" w:cs="Times New Roman"/>
          <w:sz w:val="24"/>
          <w:szCs w:val="24"/>
        </w:rPr>
        <w:t>open source</w:t>
      </w:r>
      <w:proofErr w:type="gramEnd"/>
      <w:r w:rsidRPr="00C42DF0">
        <w:rPr>
          <w:rFonts w:ascii="Times New Roman" w:hAnsi="Times New Roman" w:cs="Times New Roman"/>
          <w:sz w:val="24"/>
          <w:szCs w:val="24"/>
        </w:rPr>
        <w:t xml:space="preserve"> components as possible, </w:t>
      </w:r>
      <w:proofErr w:type="gramStart"/>
      <w:r w:rsidRPr="00C42DF0">
        <w:rPr>
          <w:rFonts w:ascii="Times New Roman" w:hAnsi="Times New Roman" w:cs="Times New Roman"/>
          <w:sz w:val="24"/>
          <w:szCs w:val="24"/>
        </w:rPr>
        <w:t>in order to</w:t>
      </w:r>
      <w:proofErr w:type="gramEnd"/>
      <w:r w:rsidRPr="00C42DF0">
        <w:rPr>
          <w:rFonts w:ascii="Times New Roman" w:hAnsi="Times New Roman" w:cs="Times New Roman"/>
          <w:sz w:val="24"/>
          <w:szCs w:val="24"/>
        </w:rPr>
        <w:t xml:space="preserve"> minimize the initial capital outlay, with a focus on lightweight, cloud-native infrastructure. It's designed to be simple, with only a handful of well-chosen features. The design thinking approach is most effective when it is used </w:t>
      </w:r>
      <w:proofErr w:type="gramStart"/>
      <w:r w:rsidRPr="00C42DF0">
        <w:rPr>
          <w:rFonts w:ascii="Times New Roman" w:hAnsi="Times New Roman" w:cs="Times New Roman"/>
          <w:sz w:val="24"/>
          <w:szCs w:val="24"/>
        </w:rPr>
        <w:t>as a way to</w:t>
      </w:r>
      <w:proofErr w:type="gramEnd"/>
      <w:r w:rsidRPr="00C42DF0">
        <w:rPr>
          <w:rFonts w:ascii="Times New Roman" w:hAnsi="Times New Roman" w:cs="Times New Roman"/>
          <w:sz w:val="24"/>
          <w:szCs w:val="24"/>
        </w:rPr>
        <w:t xml:space="preserve"> develop capabilities in an incremental manner, which influences the release plan sequence, as demonstrated by Oliveira et al. (2024). When designing the prototype, sustainability is integrated throughout the entire process, and when deliveries are orchestrated, an estimated carbon footprint is surfaced to each delivery </w:t>
      </w:r>
      <w:proofErr w:type="gramStart"/>
      <w:r w:rsidRPr="00C42DF0">
        <w:rPr>
          <w:rFonts w:ascii="Times New Roman" w:hAnsi="Times New Roman" w:cs="Times New Roman"/>
          <w:sz w:val="24"/>
          <w:szCs w:val="24"/>
        </w:rPr>
        <w:t>option</w:t>
      </w:r>
      <w:proofErr w:type="gramEnd"/>
      <w:r w:rsidRPr="00C42DF0">
        <w:rPr>
          <w:rFonts w:ascii="Times New Roman" w:hAnsi="Times New Roman" w:cs="Times New Roman"/>
          <w:sz w:val="24"/>
          <w:szCs w:val="24"/>
        </w:rPr>
        <w:t xml:space="preserve"> and a suggestion is made for merchants to bundle deliveries where feasible. Coaching prompts also encourage merchants to move toward the more efficient routing options but won't do so at the expense of imposing them on the merchant. The MVP design attitude ensures that the MVP is a useful product to test with users, not the first time of creating </w:t>
      </w:r>
      <w:proofErr w:type="gramStart"/>
      <w:r w:rsidRPr="00C42DF0">
        <w:rPr>
          <w:rFonts w:ascii="Times New Roman" w:hAnsi="Times New Roman" w:cs="Times New Roman"/>
          <w:sz w:val="24"/>
          <w:szCs w:val="24"/>
        </w:rPr>
        <w:t>an end product</w:t>
      </w:r>
      <w:proofErr w:type="gramEnd"/>
      <w:r w:rsidRPr="00C42DF0">
        <w:rPr>
          <w:rFonts w:ascii="Times New Roman" w:hAnsi="Times New Roman" w:cs="Times New Roman"/>
          <w:sz w:val="24"/>
          <w:szCs w:val="24"/>
        </w:rPr>
        <w:t>.</w:t>
      </w:r>
    </w:p>
    <w:p w14:paraId="01691E46" w14:textId="77777777" w:rsidR="00C42DF0" w:rsidRPr="00E17413" w:rsidRDefault="00C42DF0" w:rsidP="00C42DF0">
      <w:pPr>
        <w:pStyle w:val="Heading2"/>
        <w:spacing w:before="200" w:after="140"/>
        <w:rPr>
          <w:rFonts w:cs="Times New Roman"/>
          <w:color w:val="auto"/>
        </w:rPr>
      </w:pPr>
      <w:bookmarkStart w:id="13" w:name="_Toc236869516"/>
      <w:r w:rsidRPr="00E17413">
        <w:rPr>
          <w:rFonts w:eastAsia="Arial" w:cs="Times New Roman"/>
          <w:bCs/>
          <w:color w:val="auto"/>
          <w:sz w:val="26"/>
        </w:rPr>
        <w:t>3.5 Test and Refine</w:t>
      </w:r>
      <w:bookmarkEnd w:id="13"/>
    </w:p>
    <w:p w14:paraId="1EF9520D"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Test stage is a structured pilot programme with a duration of 12 weeks in two London Boroughs and one market town in the East Midlands, which will include forty merchant partners distributes across retail, service and food sectors. Tests are </w:t>
      </w:r>
      <w:proofErr w:type="gramStart"/>
      <w:r w:rsidRPr="00C42DF0">
        <w:rPr>
          <w:rFonts w:ascii="Times New Roman" w:hAnsi="Times New Roman" w:cs="Times New Roman"/>
          <w:sz w:val="24"/>
          <w:szCs w:val="24"/>
        </w:rPr>
        <w:t>conducted, and</w:t>
      </w:r>
      <w:proofErr w:type="gramEnd"/>
      <w:r w:rsidRPr="00C42DF0">
        <w:rPr>
          <w:rFonts w:ascii="Times New Roman" w:hAnsi="Times New Roman" w:cs="Times New Roman"/>
          <w:sz w:val="24"/>
          <w:szCs w:val="24"/>
        </w:rPr>
        <w:t xml:space="preserve"> include both structured user interviews and task-based usability testing, as well as post-consumer in-app analytics and A/B testing of key areas of the app, including onboarding, first payment and first delivery booking. As with their case, Taimur and Onuki (2022) show how design thinking, as 'a transformative pedagogy of continuous learning', can be used, and in this instance, to the </w:t>
      </w:r>
      <w:r w:rsidRPr="00C42DF0">
        <w:rPr>
          <w:rFonts w:ascii="Times New Roman" w:hAnsi="Times New Roman" w:cs="Times New Roman"/>
          <w:sz w:val="24"/>
          <w:szCs w:val="24"/>
        </w:rPr>
        <w:lastRenderedPageBreak/>
        <w:t>venture team itself, who require iterations of their understanding as user data is gathered. The main testing modes and the questions they aim to answer, and the criteria used to make decisions about progressing, on iteration or dropping are summarised in Table 4.</w:t>
      </w:r>
    </w:p>
    <w:tbl>
      <w:tblPr>
        <w:tblStyle w:val="TableGrid"/>
        <w:tblW w:w="9600" w:type="dxa"/>
        <w:tblLook w:val="04A0" w:firstRow="1" w:lastRow="0" w:firstColumn="1" w:lastColumn="0" w:noHBand="0" w:noVBand="1"/>
      </w:tblPr>
      <w:tblGrid>
        <w:gridCol w:w="2400"/>
        <w:gridCol w:w="3600"/>
        <w:gridCol w:w="3600"/>
      </w:tblGrid>
      <w:tr w:rsidR="00C42DF0" w:rsidRPr="00C42DF0" w14:paraId="49DE9945" w14:textId="77777777" w:rsidTr="00C42DF0">
        <w:tc>
          <w:tcPr>
            <w:tcW w:w="2400" w:type="dxa"/>
          </w:tcPr>
          <w:p w14:paraId="7A80E7A6"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Testing mode</w:t>
            </w:r>
          </w:p>
        </w:tc>
        <w:tc>
          <w:tcPr>
            <w:tcW w:w="3600" w:type="dxa"/>
          </w:tcPr>
          <w:p w14:paraId="3E43C67D"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Question addressed</w:t>
            </w:r>
          </w:p>
        </w:tc>
        <w:tc>
          <w:tcPr>
            <w:tcW w:w="3600" w:type="dxa"/>
          </w:tcPr>
          <w:p w14:paraId="49227490"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b/>
                <w:bCs/>
                <w:sz w:val="24"/>
                <w:szCs w:val="24"/>
              </w:rPr>
              <w:t>Progression criterion</w:t>
            </w:r>
          </w:p>
        </w:tc>
      </w:tr>
      <w:tr w:rsidR="00C42DF0" w:rsidRPr="00C42DF0" w14:paraId="71E73D97" w14:textId="77777777" w:rsidTr="00C42DF0">
        <w:tc>
          <w:tcPr>
            <w:tcW w:w="2400" w:type="dxa"/>
          </w:tcPr>
          <w:p w14:paraId="7BAAC78D"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Structured interviews</w:t>
            </w:r>
          </w:p>
        </w:tc>
        <w:tc>
          <w:tcPr>
            <w:tcW w:w="3600" w:type="dxa"/>
          </w:tcPr>
          <w:p w14:paraId="61B6641B"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Do merchants feel the platform addresses their pain?</w:t>
            </w:r>
          </w:p>
        </w:tc>
        <w:tc>
          <w:tcPr>
            <w:tcW w:w="3600" w:type="dxa"/>
          </w:tcPr>
          <w:p w14:paraId="2D2B51A0"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Positive sentiment from at least seventy per cent of participants</w:t>
            </w:r>
          </w:p>
        </w:tc>
      </w:tr>
      <w:tr w:rsidR="00C42DF0" w:rsidRPr="00C42DF0" w14:paraId="2FA447A3" w14:textId="77777777" w:rsidTr="00C42DF0">
        <w:tc>
          <w:tcPr>
            <w:tcW w:w="2400" w:type="dxa"/>
          </w:tcPr>
          <w:p w14:paraId="4F32BB39"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Task-based usability</w:t>
            </w:r>
          </w:p>
        </w:tc>
        <w:tc>
          <w:tcPr>
            <w:tcW w:w="3600" w:type="dxa"/>
          </w:tcPr>
          <w:p w14:paraId="68454CCD"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Can new users complete key tasks unaided?</w:t>
            </w:r>
          </w:p>
        </w:tc>
        <w:tc>
          <w:tcPr>
            <w:tcW w:w="3600" w:type="dxa"/>
          </w:tcPr>
          <w:p w14:paraId="45A03F2C"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Completion rate above eighty per cent within two attempts</w:t>
            </w:r>
          </w:p>
        </w:tc>
      </w:tr>
      <w:tr w:rsidR="00C42DF0" w:rsidRPr="00C42DF0" w14:paraId="60EA6304" w14:textId="77777777" w:rsidTr="00C42DF0">
        <w:tc>
          <w:tcPr>
            <w:tcW w:w="2400" w:type="dxa"/>
          </w:tcPr>
          <w:p w14:paraId="4C5D0B16"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In-app analytics</w:t>
            </w:r>
          </w:p>
        </w:tc>
        <w:tc>
          <w:tcPr>
            <w:tcW w:w="3600" w:type="dxa"/>
          </w:tcPr>
          <w:p w14:paraId="287F20C9"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Do merchants use the platform repeatedly?</w:t>
            </w:r>
          </w:p>
        </w:tc>
        <w:tc>
          <w:tcPr>
            <w:tcW w:w="3600" w:type="dxa"/>
          </w:tcPr>
          <w:p w14:paraId="30199809"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At least three active sessions per week per merchant</w:t>
            </w:r>
          </w:p>
        </w:tc>
      </w:tr>
      <w:tr w:rsidR="00C42DF0" w:rsidRPr="00C42DF0" w14:paraId="567328B4" w14:textId="77777777" w:rsidTr="00C42DF0">
        <w:tc>
          <w:tcPr>
            <w:tcW w:w="2400" w:type="dxa"/>
          </w:tcPr>
          <w:p w14:paraId="1AE570D0"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A/B testing of flows</w:t>
            </w:r>
          </w:p>
        </w:tc>
        <w:tc>
          <w:tcPr>
            <w:tcW w:w="3600" w:type="dxa"/>
          </w:tcPr>
          <w:p w14:paraId="6F25A5AA"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Which design variant improves conversion?</w:t>
            </w:r>
          </w:p>
        </w:tc>
        <w:tc>
          <w:tcPr>
            <w:tcW w:w="3600" w:type="dxa"/>
          </w:tcPr>
          <w:p w14:paraId="12515D40"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Statistically significant uplift in the target flow</w:t>
            </w:r>
          </w:p>
        </w:tc>
      </w:tr>
      <w:tr w:rsidR="00C42DF0" w:rsidRPr="00C42DF0" w14:paraId="0562CEDF" w14:textId="77777777" w:rsidTr="00C42DF0">
        <w:tc>
          <w:tcPr>
            <w:tcW w:w="2400" w:type="dxa"/>
          </w:tcPr>
          <w:p w14:paraId="1AED7409"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Delivery pilot feedback</w:t>
            </w:r>
          </w:p>
        </w:tc>
        <w:tc>
          <w:tcPr>
            <w:tcW w:w="3600" w:type="dxa"/>
          </w:tcPr>
          <w:p w14:paraId="22892D4D"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Does the rural micro-hub option reduce failed deliveries?</w:t>
            </w:r>
          </w:p>
        </w:tc>
        <w:tc>
          <w:tcPr>
            <w:tcW w:w="3600" w:type="dxa"/>
          </w:tcPr>
          <w:p w14:paraId="039BA703" w14:textId="77777777" w:rsidR="00C42DF0" w:rsidRPr="00C42DF0" w:rsidRDefault="00C42DF0" w:rsidP="00132B5B">
            <w:pPr>
              <w:spacing w:after="40" w:line="300" w:lineRule="auto"/>
              <w:rPr>
                <w:rFonts w:ascii="Times New Roman" w:hAnsi="Times New Roman" w:cs="Times New Roman"/>
                <w:sz w:val="24"/>
                <w:szCs w:val="24"/>
              </w:rPr>
            </w:pPr>
            <w:r w:rsidRPr="00C42DF0">
              <w:rPr>
                <w:rFonts w:ascii="Times New Roman" w:hAnsi="Times New Roman" w:cs="Times New Roman"/>
                <w:sz w:val="24"/>
                <w:szCs w:val="24"/>
              </w:rPr>
              <w:t>Failure rate reduced by at least a third relative to baseline</w:t>
            </w:r>
          </w:p>
        </w:tc>
      </w:tr>
    </w:tbl>
    <w:p w14:paraId="3AA6FE01" w14:textId="77777777" w:rsidR="00C42DF0" w:rsidRPr="00C42DF0" w:rsidRDefault="00C42DF0" w:rsidP="00C42DF0">
      <w:pPr>
        <w:spacing w:after="120"/>
        <w:jc w:val="center"/>
        <w:rPr>
          <w:rFonts w:ascii="Times New Roman" w:hAnsi="Times New Roman" w:cs="Times New Roman"/>
          <w:sz w:val="24"/>
          <w:szCs w:val="24"/>
        </w:rPr>
      </w:pPr>
      <w:r w:rsidRPr="00C42DF0">
        <w:rPr>
          <w:rFonts w:ascii="Times New Roman" w:hAnsi="Times New Roman" w:cs="Times New Roman"/>
          <w:i/>
          <w:iCs/>
          <w:sz w:val="24"/>
          <w:szCs w:val="24"/>
        </w:rPr>
        <w:t xml:space="preserve">Table 4: Testing and refinement plan for the </w:t>
      </w:r>
      <w:proofErr w:type="spellStart"/>
      <w:r w:rsidRPr="00C42DF0">
        <w:rPr>
          <w:rFonts w:ascii="Times New Roman" w:hAnsi="Times New Roman" w:cs="Times New Roman"/>
          <w:i/>
          <w:iCs/>
          <w:sz w:val="24"/>
          <w:szCs w:val="24"/>
        </w:rPr>
        <w:t>MerchantMesh</w:t>
      </w:r>
      <w:proofErr w:type="spellEnd"/>
      <w:r w:rsidRPr="00C42DF0">
        <w:rPr>
          <w:rFonts w:ascii="Times New Roman" w:hAnsi="Times New Roman" w:cs="Times New Roman"/>
          <w:i/>
          <w:iCs/>
          <w:sz w:val="24"/>
          <w:szCs w:val="24"/>
        </w:rPr>
        <w:t xml:space="preserve"> minimum viable product.</w:t>
      </w:r>
    </w:p>
    <w:p w14:paraId="465DA1AC"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The review points are set to fortnightly reviews, where the venture team and the pilot and independent design researchers who are merchant advocates for the venture make the decisions about refinement. Because of this governance, decisions are made based on what they can find out from three different sources and not the excitement of the founding group. If the feature fails to meet its criterion, it is redesigned, retested and only decided upon to be dropped. This aligns with </w:t>
      </w:r>
      <w:proofErr w:type="spellStart"/>
      <w:r w:rsidRPr="00C42DF0">
        <w:rPr>
          <w:rFonts w:ascii="Times New Roman" w:hAnsi="Times New Roman" w:cs="Times New Roman"/>
          <w:sz w:val="24"/>
          <w:szCs w:val="24"/>
        </w:rPr>
        <w:t>Jaskyte</w:t>
      </w:r>
      <w:proofErr w:type="spellEnd"/>
      <w:r w:rsidRPr="00C42DF0">
        <w:rPr>
          <w:rFonts w:ascii="Times New Roman" w:hAnsi="Times New Roman" w:cs="Times New Roman"/>
          <w:sz w:val="24"/>
          <w:szCs w:val="24"/>
        </w:rPr>
        <w:t xml:space="preserve"> and Liedtka's (2022) empirical studies on the outcomes of DT, which shows the importance of iteration compared to committing to any one thing too early. The features that are successful are pushed to a larger scale rollout and those that are still not clear are returned to the empathise phase and further explored in context with the users. It is a continuous process and a learning system as illustrated by Figure 2 in which the venture itself is not the final product.</w:t>
      </w:r>
    </w:p>
    <w:p w14:paraId="111030E2" w14:textId="77777777" w:rsidR="00C42DF0" w:rsidRP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w:t>
      </w:r>
    </w:p>
    <w:p w14:paraId="60F030A2" w14:textId="77777777" w:rsidR="00C42DF0" w:rsidRPr="00E17413" w:rsidRDefault="00C42DF0" w:rsidP="00C42DF0">
      <w:pPr>
        <w:spacing w:before="200" w:after="60" w:line="240" w:lineRule="auto"/>
        <w:jc w:val="center"/>
        <w:rPr>
          <w:rFonts w:ascii="Times New Roman" w:hAnsi="Times New Roman" w:cs="Times New Roman"/>
        </w:rPr>
      </w:pPr>
      <w:r w:rsidRPr="00E17413">
        <w:rPr>
          <w:rFonts w:ascii="Times New Roman" w:hAnsi="Times New Roman" w:cs="Times New Roman"/>
          <w:noProof/>
        </w:rPr>
        <w:lastRenderedPageBreak/>
        <w:drawing>
          <wp:inline distT="0" distB="0" distL="0" distR="0" wp14:anchorId="5A814F0A" wp14:editId="799C8C87">
            <wp:extent cx="3810000" cy="3943350"/>
            <wp:effectExtent l="0" t="0" r="0" b="0"/>
            <wp:docPr id="1458745128" name="Picture 1458745128" descr="The image illustrates the Design Thinking iterative cycle applied to the venture concept, featuring steps like empathizing with users, prototyping and testing, defining the problem, and ideating solutions such as a unified mobile platform for payments, delivery, and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45128" name="Picture 1458745128" descr="The image illustrates the Design Thinking iterative cycle applied to the venture concept, featuring steps like empathizing with users, prototyping and testing, defining the problem, and ideating solutions such as a unified mobile platform for payments, delivery, and bookings.&#10;&#10;AI-generated content may be incorrect."/>
                    <pic:cNvPicPr>
                      <a:picLocks noChangeAspect="1" noChangeArrowheads="1"/>
                    </pic:cNvPicPr>
                  </pic:nvPicPr>
                  <pic:blipFill>
                    <a:blip r:embed="rId9"/>
                    <a:srcRect/>
                    <a:stretch>
                      <a:fillRect/>
                    </a:stretch>
                  </pic:blipFill>
                  <pic:spPr bwMode="auto">
                    <a:xfrm>
                      <a:off x="0" y="0"/>
                      <a:ext cx="3810000" cy="3943350"/>
                    </a:xfrm>
                    <a:prstGeom prst="rect">
                      <a:avLst/>
                    </a:prstGeom>
                  </pic:spPr>
                </pic:pic>
              </a:graphicData>
            </a:graphic>
          </wp:inline>
        </w:drawing>
      </w:r>
    </w:p>
    <w:p w14:paraId="7986A3CB" w14:textId="77777777" w:rsidR="00C42DF0" w:rsidRPr="00E17413" w:rsidRDefault="00C42DF0" w:rsidP="00C42DF0">
      <w:pPr>
        <w:spacing w:after="120"/>
        <w:jc w:val="center"/>
        <w:rPr>
          <w:rFonts w:ascii="Times New Roman" w:hAnsi="Times New Roman" w:cs="Times New Roman"/>
        </w:rPr>
      </w:pPr>
      <w:r w:rsidRPr="00E17413">
        <w:rPr>
          <w:rFonts w:ascii="Times New Roman" w:hAnsi="Times New Roman" w:cs="Times New Roman"/>
          <w:i/>
          <w:iCs/>
          <w:sz w:val="20"/>
          <w:szCs w:val="20"/>
        </w:rPr>
        <w:t xml:space="preserve">Figure 2: Design Thinking iterative cycle applied to the </w:t>
      </w:r>
      <w:proofErr w:type="spellStart"/>
      <w:r w:rsidRPr="00E17413">
        <w:rPr>
          <w:rFonts w:ascii="Times New Roman" w:hAnsi="Times New Roman" w:cs="Times New Roman"/>
          <w:i/>
          <w:iCs/>
          <w:sz w:val="20"/>
          <w:szCs w:val="20"/>
        </w:rPr>
        <w:t>MerchantMesh</w:t>
      </w:r>
      <w:proofErr w:type="spellEnd"/>
      <w:r w:rsidRPr="00E17413">
        <w:rPr>
          <w:rFonts w:ascii="Times New Roman" w:hAnsi="Times New Roman" w:cs="Times New Roman"/>
          <w:i/>
          <w:iCs/>
          <w:sz w:val="20"/>
          <w:szCs w:val="20"/>
        </w:rPr>
        <w:t xml:space="preserve"> venture concept.</w:t>
      </w:r>
    </w:p>
    <w:p w14:paraId="3D46A6FF" w14:textId="77777777" w:rsidR="00C42DF0" w:rsidRPr="00E17413" w:rsidRDefault="00C42DF0" w:rsidP="00C42DF0">
      <w:pPr>
        <w:pStyle w:val="Heading1"/>
        <w:spacing w:before="240" w:after="180"/>
        <w:rPr>
          <w:rFonts w:cs="Times New Roman"/>
          <w:color w:val="auto"/>
        </w:rPr>
      </w:pPr>
      <w:bookmarkStart w:id="14" w:name="_Toc236869517"/>
      <w:r w:rsidRPr="00E17413">
        <w:rPr>
          <w:rFonts w:eastAsia="Arial" w:cs="Times New Roman"/>
          <w:bCs/>
          <w:color w:val="auto"/>
          <w:sz w:val="32"/>
          <w:szCs w:val="32"/>
        </w:rPr>
        <w:t>4.0 Conclusion</w:t>
      </w:r>
      <w:bookmarkEnd w:id="14"/>
    </w:p>
    <w:p w14:paraId="28685121" w14:textId="682437C4" w:rsidR="00C42DF0" w:rsidRDefault="00C42DF0" w:rsidP="00C42DF0">
      <w:pPr>
        <w:jc w:val="both"/>
        <w:rPr>
          <w:rFonts w:ascii="Times New Roman" w:hAnsi="Times New Roman" w:cs="Times New Roman"/>
          <w:sz w:val="24"/>
          <w:szCs w:val="24"/>
        </w:rPr>
      </w:pPr>
      <w:r w:rsidRPr="00C42DF0">
        <w:rPr>
          <w:rFonts w:ascii="Times New Roman" w:hAnsi="Times New Roman" w:cs="Times New Roman"/>
          <w:sz w:val="24"/>
          <w:szCs w:val="24"/>
        </w:rPr>
        <w:t xml:space="preserve">This portfolio has set out the </w:t>
      </w:r>
      <w:proofErr w:type="spellStart"/>
      <w:r w:rsidRPr="00C42DF0">
        <w:rPr>
          <w:rFonts w:ascii="Times New Roman" w:hAnsi="Times New Roman" w:cs="Times New Roman"/>
          <w:sz w:val="24"/>
          <w:szCs w:val="24"/>
        </w:rPr>
        <w:t>justments</w:t>
      </w:r>
      <w:proofErr w:type="spellEnd"/>
      <w:r w:rsidRPr="00C42DF0">
        <w:rPr>
          <w:rFonts w:ascii="Times New Roman" w:hAnsi="Times New Roman" w:cs="Times New Roman"/>
          <w:sz w:val="24"/>
          <w:szCs w:val="24"/>
        </w:rPr>
        <w:t xml:space="preserve"> that the increase in digital commerce has brought to United Kingdom during the latest </w:t>
      </w:r>
      <w:proofErr w:type="gramStart"/>
      <w:r w:rsidRPr="00C42DF0">
        <w:rPr>
          <w:rFonts w:ascii="Times New Roman" w:hAnsi="Times New Roman" w:cs="Times New Roman"/>
          <w:sz w:val="24"/>
          <w:szCs w:val="24"/>
        </w:rPr>
        <w:t>period, and</w:t>
      </w:r>
      <w:proofErr w:type="gramEnd"/>
      <w:r w:rsidRPr="00C42DF0">
        <w:rPr>
          <w:rFonts w:ascii="Times New Roman" w:hAnsi="Times New Roman" w:cs="Times New Roman"/>
          <w:sz w:val="24"/>
          <w:szCs w:val="24"/>
        </w:rPr>
        <w:t xml:space="preserve"> argued that these opportunity areas could better be analysed from a human centrist viewpoint of Design Thinking, not just a market centrist or technology centrist viewpoint. Task 1 quantified and narrowed down the six opportunities identified and prioritised those in the top right quadrant of the market attractiveness and feasibility matrix, an integrated digital operations platform for independent merchants in the United Kingdom being the highest prioritised opportunity. Task 2 then gave him a little more focus in the form of a venture idea, following each of the five Design Thinking stages in a process consistent with the iterative, evidence-based nature of Design Thinking. This </w:t>
      </w:r>
      <w:proofErr w:type="gramStart"/>
      <w:r w:rsidRPr="00C42DF0">
        <w:rPr>
          <w:rFonts w:ascii="Times New Roman" w:hAnsi="Times New Roman" w:cs="Times New Roman"/>
          <w:sz w:val="24"/>
          <w:szCs w:val="24"/>
        </w:rPr>
        <w:t>produce</w:t>
      </w:r>
      <w:proofErr w:type="gramEnd"/>
      <w:r w:rsidRPr="00C42DF0">
        <w:rPr>
          <w:rFonts w:ascii="Times New Roman" w:hAnsi="Times New Roman" w:cs="Times New Roman"/>
          <w:sz w:val="24"/>
          <w:szCs w:val="24"/>
        </w:rPr>
        <w:t xml:space="preserve"> the </w:t>
      </w:r>
      <w:proofErr w:type="spellStart"/>
      <w:r w:rsidRPr="00C42DF0">
        <w:rPr>
          <w:rFonts w:ascii="Times New Roman" w:hAnsi="Times New Roman" w:cs="Times New Roman"/>
          <w:sz w:val="24"/>
          <w:szCs w:val="24"/>
        </w:rPr>
        <w:t>MerchantMesh</w:t>
      </w:r>
      <w:proofErr w:type="spellEnd"/>
      <w:r w:rsidRPr="00C42DF0">
        <w:rPr>
          <w:rFonts w:ascii="Times New Roman" w:hAnsi="Times New Roman" w:cs="Times New Roman"/>
          <w:sz w:val="24"/>
          <w:szCs w:val="24"/>
        </w:rPr>
        <w:t xml:space="preserve"> concept, a feasible, viable, and desirable answer to the enigma of digital transformation for SMEs in the United Kingdom, through combining Empathy, Disciplined Problem Framing, Structured Ideation, Tightly Scoped Prototyping and Rigorous Testing.</w:t>
      </w:r>
    </w:p>
    <w:p w14:paraId="35CC5CE9" w14:textId="77777777" w:rsidR="00C42DF0" w:rsidRDefault="00C42DF0" w:rsidP="00C42DF0">
      <w:pPr>
        <w:jc w:val="both"/>
        <w:rPr>
          <w:rFonts w:ascii="Times New Roman" w:hAnsi="Times New Roman" w:cs="Times New Roman"/>
          <w:sz w:val="24"/>
          <w:szCs w:val="24"/>
        </w:rPr>
      </w:pPr>
    </w:p>
    <w:p w14:paraId="618B3D57" w14:textId="77777777" w:rsidR="00C42DF0" w:rsidRDefault="00C42DF0" w:rsidP="00C42DF0">
      <w:pPr>
        <w:jc w:val="both"/>
        <w:rPr>
          <w:rFonts w:ascii="Times New Roman" w:hAnsi="Times New Roman" w:cs="Times New Roman"/>
          <w:sz w:val="24"/>
          <w:szCs w:val="24"/>
        </w:rPr>
      </w:pPr>
    </w:p>
    <w:p w14:paraId="39B5F04F" w14:textId="77777777" w:rsidR="00C42DF0" w:rsidRDefault="00C42DF0" w:rsidP="00C42DF0">
      <w:pPr>
        <w:jc w:val="both"/>
        <w:rPr>
          <w:rFonts w:ascii="Times New Roman" w:hAnsi="Times New Roman" w:cs="Times New Roman"/>
          <w:sz w:val="24"/>
          <w:szCs w:val="24"/>
        </w:rPr>
      </w:pPr>
    </w:p>
    <w:p w14:paraId="51E81160" w14:textId="77777777" w:rsidR="00C42DF0" w:rsidRPr="00E17413" w:rsidRDefault="00C42DF0" w:rsidP="00C42DF0">
      <w:pPr>
        <w:pStyle w:val="Heading1"/>
        <w:spacing w:before="240" w:after="180"/>
        <w:rPr>
          <w:rFonts w:cs="Times New Roman"/>
          <w:color w:val="auto"/>
        </w:rPr>
      </w:pPr>
      <w:bookmarkStart w:id="15" w:name="_Toc236869518"/>
      <w:r w:rsidRPr="00E17413">
        <w:rPr>
          <w:rFonts w:eastAsia="Arial" w:cs="Times New Roman"/>
          <w:bCs/>
          <w:color w:val="auto"/>
          <w:sz w:val="32"/>
          <w:szCs w:val="32"/>
        </w:rPr>
        <w:lastRenderedPageBreak/>
        <w:t>References</w:t>
      </w:r>
      <w:bookmarkEnd w:id="15"/>
    </w:p>
    <w:p w14:paraId="4EEF6CA3" w14:textId="77777777" w:rsidR="00C42DF0" w:rsidRPr="00C42DF0" w:rsidRDefault="00C42DF0" w:rsidP="00C42DF0">
      <w:pPr>
        <w:spacing w:after="140"/>
        <w:jc w:val="both"/>
        <w:rPr>
          <w:rFonts w:ascii="Times New Roman" w:hAnsi="Times New Roman" w:cs="Times New Roman"/>
          <w:sz w:val="24"/>
          <w:szCs w:val="24"/>
        </w:rPr>
      </w:pPr>
      <w:proofErr w:type="spellStart"/>
      <w:r w:rsidRPr="00C42DF0">
        <w:rPr>
          <w:rFonts w:ascii="Times New Roman" w:hAnsi="Times New Roman" w:cs="Times New Roman"/>
          <w:sz w:val="24"/>
          <w:szCs w:val="24"/>
        </w:rPr>
        <w:t>Bocken</w:t>
      </w:r>
      <w:proofErr w:type="spellEnd"/>
      <w:r w:rsidRPr="00C42DF0">
        <w:rPr>
          <w:rFonts w:ascii="Times New Roman" w:hAnsi="Times New Roman" w:cs="Times New Roman"/>
          <w:sz w:val="24"/>
          <w:szCs w:val="24"/>
        </w:rPr>
        <w:t>, N., Boons, F. and Baldassarre, B. (2023) Design thinking, circular economy and sustainable business model innovation. Available at: https://www.sciencedirect.com/science/article/abs/pii/S0959652619302938 [Accessed 25 July 2026].</w:t>
      </w:r>
    </w:p>
    <w:p w14:paraId="52277E1C"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Carlgren, L. and </w:t>
      </w:r>
      <w:proofErr w:type="spellStart"/>
      <w:r w:rsidRPr="00C42DF0">
        <w:rPr>
          <w:rFonts w:ascii="Times New Roman" w:hAnsi="Times New Roman" w:cs="Times New Roman"/>
          <w:sz w:val="24"/>
          <w:szCs w:val="24"/>
        </w:rPr>
        <w:t>BenMahmoud</w:t>
      </w:r>
      <w:proofErr w:type="spellEnd"/>
      <w:r w:rsidRPr="00C42DF0">
        <w:rPr>
          <w:rFonts w:ascii="Times New Roman" w:hAnsi="Times New Roman" w:cs="Times New Roman"/>
          <w:sz w:val="24"/>
          <w:szCs w:val="24"/>
        </w:rPr>
        <w:t xml:space="preserve">-Jouini, S. (2022) When cultures collide: What can we learn from frictions in the implementation of design thinking? Journal of Product Innovation Management, 39(1), pp. 44–65. Available at: </w:t>
      </w:r>
      <w:hyperlink r:id="rId10" w:history="1">
        <w:r w:rsidRPr="00C42DF0">
          <w:rPr>
            <w:rFonts w:ascii="Times New Roman" w:hAnsi="Times New Roman" w:cs="Times New Roman"/>
            <w:sz w:val="24"/>
            <w:szCs w:val="24"/>
            <w:u w:val="single"/>
          </w:rPr>
          <w:t>https://onlinelibrary.wiley.com/doi/10.1111/jpim.12606</w:t>
        </w:r>
      </w:hyperlink>
      <w:r w:rsidRPr="00C42DF0">
        <w:rPr>
          <w:rFonts w:ascii="Times New Roman" w:hAnsi="Times New Roman" w:cs="Times New Roman"/>
          <w:sz w:val="24"/>
          <w:szCs w:val="24"/>
        </w:rPr>
        <w:t xml:space="preserve"> [Accessed 25 July 2026].</w:t>
      </w:r>
    </w:p>
    <w:p w14:paraId="501DCA4B"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Clemente-Almendros, J.A., Nicoara-Popescu, D. and Pastor-Sanz, I. (2024) Digital transformation in SMEs: understanding its determinants and size heterogeneity. Technology in Society, 77, 102483. Available at: </w:t>
      </w:r>
      <w:hyperlink r:id="rId11" w:history="1">
        <w:r w:rsidRPr="00C42DF0">
          <w:rPr>
            <w:rFonts w:ascii="Times New Roman" w:hAnsi="Times New Roman" w:cs="Times New Roman"/>
            <w:sz w:val="24"/>
            <w:szCs w:val="24"/>
            <w:u w:val="single"/>
          </w:rPr>
          <w:t>https://www.sciencedirect.com/science/article/pii/S0160791X24000411</w:t>
        </w:r>
      </w:hyperlink>
      <w:r w:rsidRPr="00C42DF0">
        <w:rPr>
          <w:rFonts w:ascii="Times New Roman" w:hAnsi="Times New Roman" w:cs="Times New Roman"/>
          <w:sz w:val="24"/>
          <w:szCs w:val="24"/>
        </w:rPr>
        <w:t xml:space="preserve"> [Accessed 26 July 2026].</w:t>
      </w:r>
    </w:p>
    <w:p w14:paraId="21E67C16"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Department for Business and Trade (2025) SME Digital Adoption Taskforce: Final Report. London: GOV.UK. Available at: </w:t>
      </w:r>
      <w:hyperlink r:id="rId12" w:history="1">
        <w:r w:rsidRPr="00C42DF0">
          <w:rPr>
            <w:rFonts w:ascii="Times New Roman" w:hAnsi="Times New Roman" w:cs="Times New Roman"/>
            <w:sz w:val="24"/>
            <w:szCs w:val="24"/>
            <w:u w:val="single"/>
          </w:rPr>
          <w:t>https://www.gov.uk/government/publications/sme-digital-adoption-taskforce-final-report</w:t>
        </w:r>
      </w:hyperlink>
      <w:r w:rsidRPr="00C42DF0">
        <w:rPr>
          <w:rFonts w:ascii="Times New Roman" w:hAnsi="Times New Roman" w:cs="Times New Roman"/>
          <w:sz w:val="24"/>
          <w:szCs w:val="24"/>
        </w:rPr>
        <w:t xml:space="preserve"> [Accessed 26 July 2026].</w:t>
      </w:r>
    </w:p>
    <w:p w14:paraId="22330D7E"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DS Smith (2025) Last-Mile Delivery: The Future Unpacked. Report reproduced in Parcel and Postal Technology International. Available at: </w:t>
      </w:r>
      <w:hyperlink r:id="rId13" w:history="1">
        <w:r w:rsidRPr="00C42DF0">
          <w:rPr>
            <w:rFonts w:ascii="Times New Roman" w:hAnsi="Times New Roman" w:cs="Times New Roman"/>
            <w:sz w:val="24"/>
            <w:szCs w:val="24"/>
            <w:u w:val="single"/>
          </w:rPr>
          <w:t>https://www.parcelandpostaltechnologyinternational.com/news/last-mile</w:t>
        </w:r>
      </w:hyperlink>
      <w:r w:rsidRPr="00C42DF0">
        <w:rPr>
          <w:rFonts w:ascii="Times New Roman" w:hAnsi="Times New Roman" w:cs="Times New Roman"/>
          <w:sz w:val="24"/>
          <w:szCs w:val="24"/>
        </w:rPr>
        <w:t xml:space="preserve"> [Accessed 27 July 2026].</w:t>
      </w:r>
    </w:p>
    <w:p w14:paraId="1B9968C7"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Enterprise Research Centre (2024) The State of Small Business Britain 2024. Warwick: ERC. Available at: </w:t>
      </w:r>
      <w:hyperlink r:id="rId14" w:history="1">
        <w:r w:rsidRPr="00C42DF0">
          <w:rPr>
            <w:rFonts w:ascii="Times New Roman" w:hAnsi="Times New Roman" w:cs="Times New Roman"/>
            <w:sz w:val="24"/>
            <w:szCs w:val="24"/>
            <w:u w:val="single"/>
          </w:rPr>
          <w:t>https://www.enterpriseresearch.ac.uk</w:t>
        </w:r>
      </w:hyperlink>
      <w:r w:rsidRPr="00C42DF0">
        <w:rPr>
          <w:rFonts w:ascii="Times New Roman" w:hAnsi="Times New Roman" w:cs="Times New Roman"/>
          <w:sz w:val="24"/>
          <w:szCs w:val="24"/>
        </w:rPr>
        <w:t xml:space="preserve"> [Accessed 27 July 2026].</w:t>
      </w:r>
    </w:p>
    <w:p w14:paraId="67555123"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Hiziroglu, A., </w:t>
      </w:r>
      <w:proofErr w:type="spellStart"/>
      <w:r w:rsidRPr="00C42DF0">
        <w:rPr>
          <w:rFonts w:ascii="Times New Roman" w:hAnsi="Times New Roman" w:cs="Times New Roman"/>
          <w:sz w:val="24"/>
          <w:szCs w:val="24"/>
        </w:rPr>
        <w:t>Hiziroglu</w:t>
      </w:r>
      <w:proofErr w:type="spellEnd"/>
      <w:r w:rsidRPr="00C42DF0">
        <w:rPr>
          <w:rFonts w:ascii="Times New Roman" w:hAnsi="Times New Roman" w:cs="Times New Roman"/>
          <w:sz w:val="24"/>
          <w:szCs w:val="24"/>
        </w:rPr>
        <w:t xml:space="preserve">, K. and Aydin, S. (2024) Digital transformation of SMEs during the COVID-19 pandemic: evidence and lessons. Technological Forecasting and Social Change, 200, 123166. Available at: </w:t>
      </w:r>
      <w:hyperlink r:id="rId15" w:history="1">
        <w:r w:rsidRPr="00C42DF0">
          <w:rPr>
            <w:rFonts w:ascii="Times New Roman" w:hAnsi="Times New Roman" w:cs="Times New Roman"/>
            <w:sz w:val="24"/>
            <w:szCs w:val="24"/>
            <w:u w:val="single"/>
          </w:rPr>
          <w:t>https://www.sciencedirect.com/science/article/pii/S0040162523007965</w:t>
        </w:r>
      </w:hyperlink>
      <w:r w:rsidRPr="00C42DF0">
        <w:rPr>
          <w:rFonts w:ascii="Times New Roman" w:hAnsi="Times New Roman" w:cs="Times New Roman"/>
          <w:sz w:val="24"/>
          <w:szCs w:val="24"/>
        </w:rPr>
        <w:t xml:space="preserve"> [Accessed 28 July 2026].</w:t>
      </w:r>
    </w:p>
    <w:p w14:paraId="4F16AA6B" w14:textId="77777777" w:rsidR="00C42DF0" w:rsidRPr="00C42DF0" w:rsidRDefault="00C42DF0" w:rsidP="00C42DF0">
      <w:pPr>
        <w:spacing w:after="140"/>
        <w:jc w:val="both"/>
        <w:rPr>
          <w:rFonts w:ascii="Times New Roman" w:hAnsi="Times New Roman" w:cs="Times New Roman"/>
          <w:sz w:val="24"/>
          <w:szCs w:val="24"/>
        </w:rPr>
      </w:pPr>
      <w:proofErr w:type="spellStart"/>
      <w:r w:rsidRPr="00C42DF0">
        <w:rPr>
          <w:rFonts w:ascii="Times New Roman" w:hAnsi="Times New Roman" w:cs="Times New Roman"/>
          <w:sz w:val="24"/>
          <w:szCs w:val="24"/>
        </w:rPr>
        <w:t>Jaskyte</w:t>
      </w:r>
      <w:proofErr w:type="spellEnd"/>
      <w:r w:rsidRPr="00C42DF0">
        <w:rPr>
          <w:rFonts w:ascii="Times New Roman" w:hAnsi="Times New Roman" w:cs="Times New Roman"/>
          <w:sz w:val="24"/>
          <w:szCs w:val="24"/>
        </w:rPr>
        <w:t xml:space="preserve">, K. and Liedtka, J. (2022) Design thinking for innovation: Practices and intermediate outcomes. Nonprofit Management and Leadership, 32(4), pp. 555–575. Available at: </w:t>
      </w:r>
      <w:hyperlink r:id="rId16" w:history="1">
        <w:r w:rsidRPr="00C42DF0">
          <w:rPr>
            <w:rFonts w:ascii="Times New Roman" w:hAnsi="Times New Roman" w:cs="Times New Roman"/>
            <w:sz w:val="24"/>
            <w:szCs w:val="24"/>
            <w:u w:val="single"/>
          </w:rPr>
          <w:t>https://onlinelibrary.wiley.com/doi/10.1002/nml.21498</w:t>
        </w:r>
      </w:hyperlink>
      <w:r w:rsidRPr="00C42DF0">
        <w:rPr>
          <w:rFonts w:ascii="Times New Roman" w:hAnsi="Times New Roman" w:cs="Times New Roman"/>
          <w:sz w:val="24"/>
          <w:szCs w:val="24"/>
        </w:rPr>
        <w:t xml:space="preserve"> [Accessed 28 July 2026].</w:t>
      </w:r>
    </w:p>
    <w:p w14:paraId="3394AAA1" w14:textId="77777777" w:rsidR="00C42DF0" w:rsidRPr="00C42DF0" w:rsidRDefault="00C42DF0" w:rsidP="00C42DF0">
      <w:pPr>
        <w:spacing w:after="140"/>
        <w:jc w:val="both"/>
        <w:rPr>
          <w:rFonts w:ascii="Times New Roman" w:hAnsi="Times New Roman" w:cs="Times New Roman"/>
          <w:sz w:val="24"/>
          <w:szCs w:val="24"/>
        </w:rPr>
      </w:pPr>
      <w:proofErr w:type="spellStart"/>
      <w:r w:rsidRPr="00C42DF0">
        <w:rPr>
          <w:rFonts w:ascii="Times New Roman" w:hAnsi="Times New Roman" w:cs="Times New Roman"/>
          <w:sz w:val="24"/>
          <w:szCs w:val="24"/>
        </w:rPr>
        <w:lastRenderedPageBreak/>
        <w:t>Kallmuenzer</w:t>
      </w:r>
      <w:proofErr w:type="spellEnd"/>
      <w:r w:rsidRPr="00C42DF0">
        <w:rPr>
          <w:rFonts w:ascii="Times New Roman" w:hAnsi="Times New Roman" w:cs="Times New Roman"/>
          <w:sz w:val="24"/>
          <w:szCs w:val="24"/>
        </w:rPr>
        <w:t xml:space="preserve">, A., Mikhaylov, A., Chelaru, M. and </w:t>
      </w:r>
      <w:proofErr w:type="spellStart"/>
      <w:r w:rsidRPr="00C42DF0">
        <w:rPr>
          <w:rFonts w:ascii="Times New Roman" w:hAnsi="Times New Roman" w:cs="Times New Roman"/>
          <w:sz w:val="24"/>
          <w:szCs w:val="24"/>
        </w:rPr>
        <w:t>Czakon</w:t>
      </w:r>
      <w:proofErr w:type="spellEnd"/>
      <w:r w:rsidRPr="00C42DF0">
        <w:rPr>
          <w:rFonts w:ascii="Times New Roman" w:hAnsi="Times New Roman" w:cs="Times New Roman"/>
          <w:sz w:val="24"/>
          <w:szCs w:val="24"/>
        </w:rPr>
        <w:t xml:space="preserve">, W. (2025) Adoption and performance outcomes of digitalization in small and medium enterprises. Review of Managerial Science, 19(1), pp. 195–225. Available at: </w:t>
      </w:r>
      <w:hyperlink r:id="rId17" w:history="1">
        <w:r w:rsidRPr="00C42DF0">
          <w:rPr>
            <w:rFonts w:ascii="Times New Roman" w:hAnsi="Times New Roman" w:cs="Times New Roman"/>
            <w:sz w:val="24"/>
            <w:szCs w:val="24"/>
            <w:u w:val="single"/>
          </w:rPr>
          <w:t>https://link.springer.com/article/10.1007/s11846-024-00744-2</w:t>
        </w:r>
      </w:hyperlink>
      <w:r w:rsidRPr="00C42DF0">
        <w:rPr>
          <w:rFonts w:ascii="Times New Roman" w:hAnsi="Times New Roman" w:cs="Times New Roman"/>
          <w:sz w:val="24"/>
          <w:szCs w:val="24"/>
        </w:rPr>
        <w:t xml:space="preserve"> [Accessed 29 July 2026].</w:t>
      </w:r>
    </w:p>
    <w:p w14:paraId="6962C192"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Kaplan, S. and Heaslip, G. (2024) Sustainable last-mile logistics: emerging models, evidence and future directions. International Journal of Physical Distribution and Logistics Management, 54(3), pp. 245–270. Available at: </w:t>
      </w:r>
      <w:hyperlink r:id="rId18" w:history="1">
        <w:r w:rsidRPr="00C42DF0">
          <w:rPr>
            <w:rFonts w:ascii="Times New Roman" w:hAnsi="Times New Roman" w:cs="Times New Roman"/>
            <w:sz w:val="24"/>
            <w:szCs w:val="24"/>
            <w:u w:val="single"/>
          </w:rPr>
          <w:t>https://www.emerald.com/insight/publication/issn/0960-0035</w:t>
        </w:r>
      </w:hyperlink>
      <w:r w:rsidRPr="00C42DF0">
        <w:rPr>
          <w:rFonts w:ascii="Times New Roman" w:hAnsi="Times New Roman" w:cs="Times New Roman"/>
          <w:sz w:val="24"/>
          <w:szCs w:val="24"/>
        </w:rPr>
        <w:t xml:space="preserve"> [Accessed 29 July 2026].</w:t>
      </w:r>
    </w:p>
    <w:p w14:paraId="0CA8EB23"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Kim, S. and Jin, J. (2024) Digital transformation and SME innovation performance: the mediating role of dynamic capabilities. Journal of Small Business Management, 62(4), pp. 1892–1919. Available at: </w:t>
      </w:r>
      <w:hyperlink r:id="rId19" w:history="1">
        <w:r w:rsidRPr="00C42DF0">
          <w:rPr>
            <w:rFonts w:ascii="Times New Roman" w:hAnsi="Times New Roman" w:cs="Times New Roman"/>
            <w:sz w:val="24"/>
            <w:szCs w:val="24"/>
            <w:u w:val="single"/>
          </w:rPr>
          <w:t>https://www.tandfonline.com/toc/ujbm20/current</w:t>
        </w:r>
      </w:hyperlink>
      <w:r w:rsidRPr="00C42DF0">
        <w:rPr>
          <w:rFonts w:ascii="Times New Roman" w:hAnsi="Times New Roman" w:cs="Times New Roman"/>
          <w:sz w:val="24"/>
          <w:szCs w:val="24"/>
        </w:rPr>
        <w:t xml:space="preserve"> [Accessed 30 July 2026].</w:t>
      </w:r>
    </w:p>
    <w:p w14:paraId="4751632C"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Klenner, N.F., Gemser, G. and Karpen, I.O. (2022) Entrepreneurial ways of designing and </w:t>
      </w:r>
      <w:proofErr w:type="spellStart"/>
      <w:r w:rsidRPr="00C42DF0">
        <w:rPr>
          <w:rFonts w:ascii="Times New Roman" w:hAnsi="Times New Roman" w:cs="Times New Roman"/>
          <w:sz w:val="24"/>
          <w:szCs w:val="24"/>
        </w:rPr>
        <w:t>designerly</w:t>
      </w:r>
      <w:proofErr w:type="spellEnd"/>
      <w:r w:rsidRPr="00C42DF0">
        <w:rPr>
          <w:rFonts w:ascii="Times New Roman" w:hAnsi="Times New Roman" w:cs="Times New Roman"/>
          <w:sz w:val="24"/>
          <w:szCs w:val="24"/>
        </w:rPr>
        <w:t xml:space="preserve"> ways of </w:t>
      </w:r>
      <w:proofErr w:type="spellStart"/>
      <w:r w:rsidRPr="00C42DF0">
        <w:rPr>
          <w:rFonts w:ascii="Times New Roman" w:hAnsi="Times New Roman" w:cs="Times New Roman"/>
          <w:sz w:val="24"/>
          <w:szCs w:val="24"/>
        </w:rPr>
        <w:t>entrepreneuring</w:t>
      </w:r>
      <w:proofErr w:type="spellEnd"/>
      <w:r w:rsidRPr="00C42DF0">
        <w:rPr>
          <w:rFonts w:ascii="Times New Roman" w:hAnsi="Times New Roman" w:cs="Times New Roman"/>
          <w:sz w:val="24"/>
          <w:szCs w:val="24"/>
        </w:rPr>
        <w:t xml:space="preserve">: exploring the relationship between design thinking and effectuation. Journal of Product Innovation Management, 39(1), pp. 66–94. Available at: </w:t>
      </w:r>
      <w:hyperlink r:id="rId20" w:history="1">
        <w:r w:rsidRPr="00C42DF0">
          <w:rPr>
            <w:rFonts w:ascii="Times New Roman" w:hAnsi="Times New Roman" w:cs="Times New Roman"/>
            <w:sz w:val="24"/>
            <w:szCs w:val="24"/>
            <w:u w:val="single"/>
          </w:rPr>
          <w:t>https://onlinelibrary.wiley.com/doi/10.1111/jpim.12587</w:t>
        </w:r>
      </w:hyperlink>
      <w:r w:rsidRPr="00C42DF0">
        <w:rPr>
          <w:rFonts w:ascii="Times New Roman" w:hAnsi="Times New Roman" w:cs="Times New Roman"/>
          <w:sz w:val="24"/>
          <w:szCs w:val="24"/>
        </w:rPr>
        <w:t xml:space="preserve"> [Accessed 25 July 2026].</w:t>
      </w:r>
    </w:p>
    <w:p w14:paraId="18567770"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Liedtka, J. and Locatelli, K. (2023) The dark side of design thinking: how to protect the practice from its own limitations. Journal of Organization Design, 12, pp. 33–48. Available at: </w:t>
      </w:r>
      <w:hyperlink r:id="rId21" w:history="1">
        <w:r w:rsidRPr="00C42DF0">
          <w:rPr>
            <w:rFonts w:ascii="Times New Roman" w:hAnsi="Times New Roman" w:cs="Times New Roman"/>
            <w:sz w:val="24"/>
            <w:szCs w:val="24"/>
            <w:u w:val="single"/>
          </w:rPr>
          <w:t>https://link.springer.com/journal/41469</w:t>
        </w:r>
      </w:hyperlink>
      <w:r w:rsidRPr="00C42DF0">
        <w:rPr>
          <w:rFonts w:ascii="Times New Roman" w:hAnsi="Times New Roman" w:cs="Times New Roman"/>
          <w:sz w:val="24"/>
          <w:szCs w:val="24"/>
        </w:rPr>
        <w:t xml:space="preserve"> [Accessed 26 July 2026].</w:t>
      </w:r>
    </w:p>
    <w:p w14:paraId="4830BF1B" w14:textId="77777777" w:rsidR="00C42DF0" w:rsidRPr="00C42DF0" w:rsidRDefault="00C42DF0" w:rsidP="00C42DF0">
      <w:pPr>
        <w:spacing w:after="140"/>
        <w:jc w:val="both"/>
        <w:rPr>
          <w:rFonts w:ascii="Times New Roman" w:hAnsi="Times New Roman" w:cs="Times New Roman"/>
          <w:sz w:val="24"/>
          <w:szCs w:val="24"/>
        </w:rPr>
      </w:pPr>
      <w:proofErr w:type="spellStart"/>
      <w:r w:rsidRPr="00C42DF0">
        <w:rPr>
          <w:rFonts w:ascii="Times New Roman" w:hAnsi="Times New Roman" w:cs="Times New Roman"/>
          <w:sz w:val="24"/>
          <w:szCs w:val="24"/>
        </w:rPr>
        <w:t>Magistretti</w:t>
      </w:r>
      <w:proofErr w:type="spellEnd"/>
      <w:r w:rsidRPr="00C42DF0">
        <w:rPr>
          <w:rFonts w:ascii="Times New Roman" w:hAnsi="Times New Roman" w:cs="Times New Roman"/>
          <w:sz w:val="24"/>
          <w:szCs w:val="24"/>
        </w:rPr>
        <w:t xml:space="preserve">, S., Bianchi, M., Calabretta, G., Candi, M., </w:t>
      </w:r>
      <w:proofErr w:type="spellStart"/>
      <w:r w:rsidRPr="00C42DF0">
        <w:rPr>
          <w:rFonts w:ascii="Times New Roman" w:hAnsi="Times New Roman" w:cs="Times New Roman"/>
          <w:sz w:val="24"/>
          <w:szCs w:val="24"/>
        </w:rPr>
        <w:t>Dell’Era</w:t>
      </w:r>
      <w:proofErr w:type="spellEnd"/>
      <w:r w:rsidRPr="00C42DF0">
        <w:rPr>
          <w:rFonts w:ascii="Times New Roman" w:hAnsi="Times New Roman" w:cs="Times New Roman"/>
          <w:sz w:val="24"/>
          <w:szCs w:val="24"/>
        </w:rPr>
        <w:t xml:space="preserve">, C., Stigliani, I. and </w:t>
      </w:r>
      <w:proofErr w:type="spellStart"/>
      <w:r w:rsidRPr="00C42DF0">
        <w:rPr>
          <w:rFonts w:ascii="Times New Roman" w:hAnsi="Times New Roman" w:cs="Times New Roman"/>
          <w:sz w:val="24"/>
          <w:szCs w:val="24"/>
        </w:rPr>
        <w:t>Verganti</w:t>
      </w:r>
      <w:proofErr w:type="spellEnd"/>
      <w:r w:rsidRPr="00C42DF0">
        <w:rPr>
          <w:rFonts w:ascii="Times New Roman" w:hAnsi="Times New Roman" w:cs="Times New Roman"/>
          <w:sz w:val="24"/>
          <w:szCs w:val="24"/>
        </w:rPr>
        <w:t xml:space="preserve">, R. (2022) Framing the </w:t>
      </w:r>
      <w:proofErr w:type="spellStart"/>
      <w:r w:rsidRPr="00C42DF0">
        <w:rPr>
          <w:rFonts w:ascii="Times New Roman" w:hAnsi="Times New Roman" w:cs="Times New Roman"/>
          <w:sz w:val="24"/>
          <w:szCs w:val="24"/>
        </w:rPr>
        <w:t>microfoundations</w:t>
      </w:r>
      <w:proofErr w:type="spellEnd"/>
      <w:r w:rsidRPr="00C42DF0">
        <w:rPr>
          <w:rFonts w:ascii="Times New Roman" w:hAnsi="Times New Roman" w:cs="Times New Roman"/>
          <w:sz w:val="24"/>
          <w:szCs w:val="24"/>
        </w:rPr>
        <w:t xml:space="preserve"> of design thinking as a dynamic capability for innovation. Journal of Product Innovation Management, 39(4), pp. 645–667. Available at: </w:t>
      </w:r>
      <w:hyperlink r:id="rId22" w:history="1">
        <w:r w:rsidRPr="00C42DF0">
          <w:rPr>
            <w:rFonts w:ascii="Times New Roman" w:hAnsi="Times New Roman" w:cs="Times New Roman"/>
            <w:sz w:val="24"/>
            <w:szCs w:val="24"/>
            <w:u w:val="single"/>
          </w:rPr>
          <w:t>https://onlinelibrary.wiley.com/doi/10.1111/jpim.12586</w:t>
        </w:r>
      </w:hyperlink>
      <w:r w:rsidRPr="00C42DF0">
        <w:rPr>
          <w:rFonts w:ascii="Times New Roman" w:hAnsi="Times New Roman" w:cs="Times New Roman"/>
          <w:sz w:val="24"/>
          <w:szCs w:val="24"/>
        </w:rPr>
        <w:t xml:space="preserve"> [Accessed 26 July 2026].</w:t>
      </w:r>
    </w:p>
    <w:p w14:paraId="11204A39" w14:textId="77777777" w:rsidR="00C42DF0" w:rsidRPr="00C42DF0" w:rsidRDefault="00C42DF0" w:rsidP="00C42DF0">
      <w:pPr>
        <w:spacing w:after="140"/>
        <w:jc w:val="both"/>
        <w:rPr>
          <w:rFonts w:ascii="Times New Roman" w:hAnsi="Times New Roman" w:cs="Times New Roman"/>
          <w:sz w:val="24"/>
          <w:szCs w:val="24"/>
        </w:rPr>
      </w:pPr>
      <w:proofErr w:type="spellStart"/>
      <w:r w:rsidRPr="00C42DF0">
        <w:rPr>
          <w:rFonts w:ascii="Times New Roman" w:hAnsi="Times New Roman" w:cs="Times New Roman"/>
          <w:sz w:val="24"/>
          <w:szCs w:val="24"/>
        </w:rPr>
        <w:t>Mishrif</w:t>
      </w:r>
      <w:proofErr w:type="spellEnd"/>
      <w:r w:rsidRPr="00C42DF0">
        <w:rPr>
          <w:rFonts w:ascii="Times New Roman" w:hAnsi="Times New Roman" w:cs="Times New Roman"/>
          <w:sz w:val="24"/>
          <w:szCs w:val="24"/>
        </w:rPr>
        <w:t xml:space="preserve">, A. and Khan, A. (2023) Technology adoption as survival strategy for small and medium enterprises during COVID-19. Journal of Innovation and Entrepreneurship, 12(1), pp. 1–20. Available at: </w:t>
      </w:r>
      <w:hyperlink r:id="rId23" w:history="1">
        <w:r w:rsidRPr="00C42DF0">
          <w:rPr>
            <w:rFonts w:ascii="Times New Roman" w:hAnsi="Times New Roman" w:cs="Times New Roman"/>
            <w:sz w:val="24"/>
            <w:szCs w:val="24"/>
            <w:u w:val="single"/>
          </w:rPr>
          <w:t>https://innovation-entrepreneurship.springeropen.com</w:t>
        </w:r>
      </w:hyperlink>
      <w:r w:rsidRPr="00C42DF0">
        <w:rPr>
          <w:rFonts w:ascii="Times New Roman" w:hAnsi="Times New Roman" w:cs="Times New Roman"/>
          <w:sz w:val="24"/>
          <w:szCs w:val="24"/>
        </w:rPr>
        <w:t xml:space="preserve"> [Accessed 27 July 2026].</w:t>
      </w:r>
    </w:p>
    <w:p w14:paraId="1ECC3743"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Mohammad, W.A., Diab, Y.N. and </w:t>
      </w:r>
      <w:proofErr w:type="spellStart"/>
      <w:r w:rsidRPr="00C42DF0">
        <w:rPr>
          <w:rFonts w:ascii="Times New Roman" w:hAnsi="Times New Roman" w:cs="Times New Roman"/>
          <w:sz w:val="24"/>
          <w:szCs w:val="24"/>
        </w:rPr>
        <w:t>Elomri</w:t>
      </w:r>
      <w:proofErr w:type="spellEnd"/>
      <w:r w:rsidRPr="00C42DF0">
        <w:rPr>
          <w:rFonts w:ascii="Times New Roman" w:hAnsi="Times New Roman" w:cs="Times New Roman"/>
          <w:sz w:val="24"/>
          <w:szCs w:val="24"/>
        </w:rPr>
        <w:t xml:space="preserve">, A. (2023) Innovative solutions for last-mile delivery services: a systematic review and future research directions. International Journal of Logistics Research and Applications, 26(9), pp. 1112–1140. Available at: </w:t>
      </w:r>
      <w:hyperlink r:id="rId24" w:history="1">
        <w:r w:rsidRPr="00C42DF0">
          <w:rPr>
            <w:rFonts w:ascii="Times New Roman" w:hAnsi="Times New Roman" w:cs="Times New Roman"/>
            <w:sz w:val="24"/>
            <w:szCs w:val="24"/>
            <w:u w:val="single"/>
          </w:rPr>
          <w:t>https://www.tandfonline.com/toc/cjol20/current</w:t>
        </w:r>
      </w:hyperlink>
      <w:r w:rsidRPr="00C42DF0">
        <w:rPr>
          <w:rFonts w:ascii="Times New Roman" w:hAnsi="Times New Roman" w:cs="Times New Roman"/>
          <w:sz w:val="24"/>
          <w:szCs w:val="24"/>
        </w:rPr>
        <w:t xml:space="preserve"> [Accessed 27 July 2026].</w:t>
      </w:r>
    </w:p>
    <w:p w14:paraId="1B70D4EB"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lastRenderedPageBreak/>
        <w:t xml:space="preserve">OECD (2026) SME Technology Adoption in the United Kingdom. Paris: OECD Publishing. Available at: </w:t>
      </w:r>
      <w:hyperlink r:id="rId25" w:history="1">
        <w:r w:rsidRPr="00C42DF0">
          <w:rPr>
            <w:rFonts w:ascii="Times New Roman" w:hAnsi="Times New Roman" w:cs="Times New Roman"/>
            <w:sz w:val="24"/>
            <w:szCs w:val="24"/>
            <w:u w:val="single"/>
          </w:rPr>
          <w:t>https://www.oecd.org/en/publications/sme-technology-adoption-in-the-united-kingdom</w:t>
        </w:r>
      </w:hyperlink>
      <w:r w:rsidRPr="00C42DF0">
        <w:rPr>
          <w:rFonts w:ascii="Times New Roman" w:hAnsi="Times New Roman" w:cs="Times New Roman"/>
          <w:sz w:val="24"/>
          <w:szCs w:val="24"/>
        </w:rPr>
        <w:t xml:space="preserve"> [Accessed 28 July 2026].</w:t>
      </w:r>
    </w:p>
    <w:p w14:paraId="52A4EB19"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Ofcom (2025) Connected Nations UK Report 2025. London: Office of Communications. Available at: </w:t>
      </w:r>
      <w:hyperlink r:id="rId26" w:history="1">
        <w:r w:rsidRPr="00C42DF0">
          <w:rPr>
            <w:rFonts w:ascii="Times New Roman" w:hAnsi="Times New Roman" w:cs="Times New Roman"/>
            <w:sz w:val="24"/>
            <w:szCs w:val="24"/>
            <w:u w:val="single"/>
          </w:rPr>
          <w:t>https://www.ofcom.org.uk</w:t>
        </w:r>
      </w:hyperlink>
      <w:r w:rsidRPr="00C42DF0">
        <w:rPr>
          <w:rFonts w:ascii="Times New Roman" w:hAnsi="Times New Roman" w:cs="Times New Roman"/>
          <w:sz w:val="24"/>
          <w:szCs w:val="24"/>
        </w:rPr>
        <w:t xml:space="preserve"> [Accessed 28 July 2026].</w:t>
      </w:r>
    </w:p>
    <w:p w14:paraId="1BDC12F9"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Oliveira, M., Rocha, A. and Baldam, R. (2024) Capability building for digital transformation through design thinking. Technological Forecasting and Social Change, 201, 123256. Available at: </w:t>
      </w:r>
      <w:hyperlink r:id="rId27" w:history="1">
        <w:r w:rsidRPr="00C42DF0">
          <w:rPr>
            <w:rFonts w:ascii="Times New Roman" w:hAnsi="Times New Roman" w:cs="Times New Roman"/>
            <w:sz w:val="24"/>
            <w:szCs w:val="24"/>
            <w:u w:val="single"/>
          </w:rPr>
          <w:t>https://www.sciencedirect.com/science/article/abs/pii/S0040162523006327</w:t>
        </w:r>
      </w:hyperlink>
      <w:r w:rsidRPr="00C42DF0">
        <w:rPr>
          <w:rFonts w:ascii="Times New Roman" w:hAnsi="Times New Roman" w:cs="Times New Roman"/>
          <w:sz w:val="24"/>
          <w:szCs w:val="24"/>
        </w:rPr>
        <w:t xml:space="preserve"> [Accessed 29 July 2026].</w:t>
      </w:r>
    </w:p>
    <w:p w14:paraId="64D09BB8"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Ratchford, B., Soysal, G., Zentner, A. and Gauri, D.K. (2023) Trends in the digitisation of retailing: a research agenda. Journal of Retailing, 99(1), pp. 88–103. Available at: </w:t>
      </w:r>
      <w:hyperlink r:id="rId28" w:history="1">
        <w:r w:rsidRPr="00C42DF0">
          <w:rPr>
            <w:rFonts w:ascii="Times New Roman" w:hAnsi="Times New Roman" w:cs="Times New Roman"/>
            <w:sz w:val="24"/>
            <w:szCs w:val="24"/>
            <w:u w:val="single"/>
          </w:rPr>
          <w:t>https://www.sciencedirect.com/journal/journal-of-retailing</w:t>
        </w:r>
      </w:hyperlink>
      <w:r w:rsidRPr="00C42DF0">
        <w:rPr>
          <w:rFonts w:ascii="Times New Roman" w:hAnsi="Times New Roman" w:cs="Times New Roman"/>
          <w:sz w:val="24"/>
          <w:szCs w:val="24"/>
        </w:rPr>
        <w:t xml:space="preserve"> [Accessed 29 July 2026].</w:t>
      </w:r>
    </w:p>
    <w:p w14:paraId="31F2C3B4"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Taimur, S. and Onuki, M. (2022) Design thinking as digital transformative pedagogy in higher sustainability education. Innovative Higher Education, 47(5), pp. 869–893. Available at: </w:t>
      </w:r>
      <w:hyperlink r:id="rId29" w:history="1">
        <w:r w:rsidRPr="00C42DF0">
          <w:rPr>
            <w:rFonts w:ascii="Times New Roman" w:hAnsi="Times New Roman" w:cs="Times New Roman"/>
            <w:sz w:val="24"/>
            <w:szCs w:val="24"/>
            <w:u w:val="single"/>
          </w:rPr>
          <w:t>https://link.springer.com/journal/10755</w:t>
        </w:r>
      </w:hyperlink>
      <w:r w:rsidRPr="00C42DF0">
        <w:rPr>
          <w:rFonts w:ascii="Times New Roman" w:hAnsi="Times New Roman" w:cs="Times New Roman"/>
          <w:sz w:val="24"/>
          <w:szCs w:val="24"/>
        </w:rPr>
        <w:t xml:space="preserve"> [Accessed 30 July 2026].</w:t>
      </w:r>
    </w:p>
    <w:p w14:paraId="494A8C68" w14:textId="77777777" w:rsidR="00C42DF0" w:rsidRPr="00C42DF0" w:rsidRDefault="00C42DF0" w:rsidP="00C42DF0">
      <w:pPr>
        <w:spacing w:after="140"/>
        <w:jc w:val="both"/>
        <w:rPr>
          <w:rFonts w:ascii="Times New Roman" w:hAnsi="Times New Roman" w:cs="Times New Roman"/>
          <w:sz w:val="24"/>
          <w:szCs w:val="24"/>
        </w:rPr>
      </w:pPr>
      <w:r w:rsidRPr="00C42DF0">
        <w:rPr>
          <w:rFonts w:ascii="Times New Roman" w:hAnsi="Times New Roman" w:cs="Times New Roman"/>
          <w:sz w:val="24"/>
          <w:szCs w:val="24"/>
        </w:rPr>
        <w:t xml:space="preserve">Trivedi, K. and Pistrui, J. (2024) Innovation capacity and digital adoption in small and medium enterprises. International Small Business Journal, 42(6), pp. 543–566. Available at: </w:t>
      </w:r>
      <w:hyperlink r:id="rId30" w:history="1">
        <w:r w:rsidRPr="00C42DF0">
          <w:rPr>
            <w:rFonts w:ascii="Times New Roman" w:hAnsi="Times New Roman" w:cs="Times New Roman"/>
            <w:sz w:val="24"/>
            <w:szCs w:val="24"/>
            <w:u w:val="single"/>
          </w:rPr>
          <w:t>https://journals.sagepub.com/home/isb</w:t>
        </w:r>
      </w:hyperlink>
      <w:r w:rsidRPr="00C42DF0">
        <w:rPr>
          <w:rFonts w:ascii="Times New Roman" w:hAnsi="Times New Roman" w:cs="Times New Roman"/>
          <w:sz w:val="24"/>
          <w:szCs w:val="24"/>
        </w:rPr>
        <w:t xml:space="preserve"> [Accessed 30 July 2026].</w:t>
      </w:r>
    </w:p>
    <w:p w14:paraId="4D65B546" w14:textId="77777777" w:rsidR="00C42DF0" w:rsidRPr="00C42DF0" w:rsidRDefault="00C42DF0" w:rsidP="00C42DF0">
      <w:pPr>
        <w:jc w:val="both"/>
        <w:rPr>
          <w:rFonts w:ascii="Times New Roman" w:hAnsi="Times New Roman" w:cs="Times New Roman"/>
          <w:sz w:val="24"/>
          <w:szCs w:val="24"/>
        </w:rPr>
      </w:pPr>
    </w:p>
    <w:sectPr w:rsidR="00C42DF0" w:rsidRPr="00C42DF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CA30C" w14:textId="77777777" w:rsidR="00BE5864" w:rsidRDefault="00BE5864" w:rsidP="00C42DF0">
      <w:pPr>
        <w:spacing w:line="240" w:lineRule="auto"/>
      </w:pPr>
      <w:r>
        <w:separator/>
      </w:r>
    </w:p>
  </w:endnote>
  <w:endnote w:type="continuationSeparator" w:id="0">
    <w:p w14:paraId="53D9F0F9" w14:textId="77777777" w:rsidR="00BE5864" w:rsidRDefault="00BE5864" w:rsidP="00C42D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584004"/>
      <w:docPartObj>
        <w:docPartGallery w:val="Page Numbers (Bottom of Page)"/>
        <w:docPartUnique/>
      </w:docPartObj>
    </w:sdtPr>
    <w:sdtEndPr>
      <w:rPr>
        <w:noProof/>
      </w:rPr>
    </w:sdtEndPr>
    <w:sdtContent>
      <w:p w14:paraId="1A770328" w14:textId="78898CF3" w:rsidR="00C42DF0" w:rsidRDefault="00C42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54E248" w14:textId="77777777" w:rsidR="00C42DF0" w:rsidRDefault="00C42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8B751" w14:textId="77777777" w:rsidR="00BE5864" w:rsidRDefault="00BE5864" w:rsidP="00C42DF0">
      <w:pPr>
        <w:spacing w:line="240" w:lineRule="auto"/>
      </w:pPr>
      <w:r>
        <w:separator/>
      </w:r>
    </w:p>
  </w:footnote>
  <w:footnote w:type="continuationSeparator" w:id="0">
    <w:p w14:paraId="06C87A31" w14:textId="77777777" w:rsidR="00BE5864" w:rsidRDefault="00BE5864" w:rsidP="00C42D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3636D8"/>
    <w:multiLevelType w:val="hybridMultilevel"/>
    <w:tmpl w:val="9214B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903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3AB"/>
    <w:rsid w:val="003124E2"/>
    <w:rsid w:val="003243C1"/>
    <w:rsid w:val="00335C31"/>
    <w:rsid w:val="00442518"/>
    <w:rsid w:val="00527FEF"/>
    <w:rsid w:val="00535E72"/>
    <w:rsid w:val="00594A12"/>
    <w:rsid w:val="005D181E"/>
    <w:rsid w:val="006669A1"/>
    <w:rsid w:val="00673CA9"/>
    <w:rsid w:val="00787AF7"/>
    <w:rsid w:val="008142FF"/>
    <w:rsid w:val="008924F1"/>
    <w:rsid w:val="008D214B"/>
    <w:rsid w:val="0090689D"/>
    <w:rsid w:val="0092607E"/>
    <w:rsid w:val="009F35D6"/>
    <w:rsid w:val="00AD0A99"/>
    <w:rsid w:val="00B42C8A"/>
    <w:rsid w:val="00B9094F"/>
    <w:rsid w:val="00BE5864"/>
    <w:rsid w:val="00C42DF0"/>
    <w:rsid w:val="00C464CF"/>
    <w:rsid w:val="00C96685"/>
    <w:rsid w:val="00E1696F"/>
    <w:rsid w:val="00E4736C"/>
    <w:rsid w:val="00E503AB"/>
    <w:rsid w:val="00E866E1"/>
    <w:rsid w:val="00F41A15"/>
    <w:rsid w:val="00F84298"/>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09848"/>
  <w15:chartTrackingRefBased/>
  <w15:docId w15:val="{E337313E-5163-401B-9ED0-EAD0C372E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3AB"/>
    <w:pPr>
      <w:spacing w:after="0" w:line="36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autoRedefine/>
    <w:uiPriority w:val="9"/>
    <w:qFormat/>
    <w:rsid w:val="005D181E"/>
    <w:pPr>
      <w:keepNext/>
      <w:keepLines/>
      <w:widowControl w:val="0"/>
      <w:autoSpaceDE w:val="0"/>
      <w:autoSpaceDN w:val="0"/>
      <w:spacing w:before="360" w:after="80" w:line="240" w:lineRule="auto"/>
      <w:outlineLvl w:val="0"/>
    </w:pPr>
    <w:rPr>
      <w:rFonts w:ascii="Times New Roman" w:eastAsiaTheme="majorEastAsia" w:hAnsi="Times New Roman" w:cstheme="majorBidi"/>
      <w:b/>
      <w:color w:val="000000" w:themeColor="text1"/>
      <w:sz w:val="28"/>
      <w:szCs w:val="40"/>
      <w:lang w:val="en-US" w:eastAsia="zh-CN"/>
    </w:rPr>
  </w:style>
  <w:style w:type="paragraph" w:styleId="Heading2">
    <w:name w:val="heading 2"/>
    <w:basedOn w:val="Normal"/>
    <w:next w:val="Normal"/>
    <w:link w:val="Heading2Char"/>
    <w:autoRedefine/>
    <w:uiPriority w:val="9"/>
    <w:unhideWhenUsed/>
    <w:qFormat/>
    <w:rsid w:val="00B42C8A"/>
    <w:pPr>
      <w:keepNext/>
      <w:keepLines/>
      <w:spacing w:before="40" w:line="276" w:lineRule="auto"/>
      <w:outlineLvl w:val="1"/>
    </w:pPr>
    <w:rPr>
      <w:rFonts w:ascii="Times New Roman" w:eastAsiaTheme="majorEastAsia" w:hAnsi="Times New Roman" w:cstheme="majorBidi"/>
      <w:b/>
      <w:color w:val="000000" w:themeColor="text1"/>
      <w:kern w:val="2"/>
      <w:sz w:val="24"/>
      <w:szCs w:val="26"/>
      <w:lang w:eastAsia="en-US"/>
      <w14:ligatures w14:val="standardContextual"/>
    </w:rPr>
  </w:style>
  <w:style w:type="paragraph" w:styleId="Heading3">
    <w:name w:val="heading 3"/>
    <w:basedOn w:val="Normal"/>
    <w:next w:val="Normal"/>
    <w:link w:val="Heading3Char"/>
    <w:uiPriority w:val="9"/>
    <w:semiHidden/>
    <w:unhideWhenUsed/>
    <w:qFormat/>
    <w:rsid w:val="00E1696F"/>
    <w:pPr>
      <w:keepNext/>
      <w:keepLines/>
      <w:spacing w:before="160" w:after="80"/>
      <w:outlineLvl w:val="2"/>
    </w:pPr>
    <w:rPr>
      <w:rFonts w:ascii="Times New Roman" w:eastAsiaTheme="majorEastAsia" w:hAnsi="Times New Roman" w:cstheme="majorBidi"/>
      <w:b/>
      <w:color w:val="000000" w:themeColor="text1"/>
      <w:kern w:val="2"/>
      <w:sz w:val="24"/>
      <w:szCs w:val="28"/>
      <w:lang w:eastAsia="en-US"/>
      <w14:ligatures w14:val="standardContextual"/>
    </w:rPr>
  </w:style>
  <w:style w:type="paragraph" w:styleId="Heading4">
    <w:name w:val="heading 4"/>
    <w:basedOn w:val="Normal"/>
    <w:next w:val="Normal"/>
    <w:link w:val="Heading4Char"/>
    <w:uiPriority w:val="9"/>
    <w:semiHidden/>
    <w:unhideWhenUsed/>
    <w:qFormat/>
    <w:rsid w:val="00E503AB"/>
    <w:pPr>
      <w:keepNext/>
      <w:keepLines/>
      <w:spacing w:before="80" w:after="40"/>
      <w:outlineLvl w:val="3"/>
    </w:pPr>
    <w:rPr>
      <w:rFonts w:asciiTheme="minorHAnsi" w:eastAsiaTheme="majorEastAsia" w:hAnsiTheme="minorHAnsi"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E503AB"/>
    <w:pPr>
      <w:keepNext/>
      <w:keepLines/>
      <w:spacing w:before="80" w:after="40"/>
      <w:outlineLvl w:val="4"/>
    </w:pPr>
    <w:rPr>
      <w:rFonts w:asciiTheme="minorHAnsi" w:eastAsiaTheme="majorEastAsia" w:hAnsiTheme="minorHAnsi"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E503AB"/>
    <w:pPr>
      <w:keepNext/>
      <w:keepLines/>
      <w:spacing w:before="40"/>
      <w:outlineLvl w:val="5"/>
    </w:pPr>
    <w:rPr>
      <w:rFonts w:asciiTheme="minorHAnsi" w:eastAsiaTheme="majorEastAsia" w:hAnsiTheme="minorHAnsi"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E503AB"/>
    <w:pPr>
      <w:keepNext/>
      <w:keepLines/>
      <w:spacing w:before="40"/>
      <w:outlineLvl w:val="6"/>
    </w:pPr>
    <w:rPr>
      <w:rFonts w:asciiTheme="minorHAnsi" w:eastAsiaTheme="majorEastAsia" w:hAnsiTheme="minorHAnsi"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E503AB"/>
    <w:pPr>
      <w:keepNext/>
      <w:keepLines/>
      <w:outlineLvl w:val="7"/>
    </w:pPr>
    <w:rPr>
      <w:rFonts w:asciiTheme="minorHAnsi" w:eastAsiaTheme="majorEastAsia" w:hAnsiTheme="minorHAnsi"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E503AB"/>
    <w:pPr>
      <w:keepNext/>
      <w:keepLines/>
      <w:outlineLvl w:val="8"/>
    </w:pPr>
    <w:rPr>
      <w:rFonts w:asciiTheme="minorHAnsi" w:eastAsiaTheme="majorEastAsia" w:hAnsiTheme="minorHAnsi"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81E"/>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E503AB"/>
    <w:rPr>
      <w:rFonts w:eastAsiaTheme="majorEastAsia" w:cstheme="majorBidi"/>
      <w:i/>
      <w:iCs/>
      <w:color w:val="0F4761" w:themeColor="accent1" w:themeShade="BF"/>
      <w:szCs w:val="22"/>
    </w:rPr>
  </w:style>
  <w:style w:type="character" w:customStyle="1" w:styleId="Heading5Char">
    <w:name w:val="Heading 5 Char"/>
    <w:basedOn w:val="DefaultParagraphFont"/>
    <w:link w:val="Heading5"/>
    <w:uiPriority w:val="9"/>
    <w:semiHidden/>
    <w:rsid w:val="00E503AB"/>
    <w:rPr>
      <w:rFonts w:eastAsiaTheme="majorEastAsia" w:cstheme="majorBidi"/>
      <w:color w:val="0F4761" w:themeColor="accent1" w:themeShade="BF"/>
      <w:szCs w:val="22"/>
    </w:rPr>
  </w:style>
  <w:style w:type="character" w:customStyle="1" w:styleId="Heading6Char">
    <w:name w:val="Heading 6 Char"/>
    <w:basedOn w:val="DefaultParagraphFont"/>
    <w:link w:val="Heading6"/>
    <w:uiPriority w:val="9"/>
    <w:semiHidden/>
    <w:rsid w:val="00E503AB"/>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E503AB"/>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E503AB"/>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E503AB"/>
    <w:rPr>
      <w:rFonts w:eastAsiaTheme="majorEastAsia" w:cstheme="majorBidi"/>
      <w:color w:val="272727" w:themeColor="text1" w:themeTint="D8"/>
      <w:szCs w:val="22"/>
    </w:rPr>
  </w:style>
  <w:style w:type="paragraph" w:styleId="Title">
    <w:name w:val="Title"/>
    <w:basedOn w:val="Normal"/>
    <w:next w:val="Normal"/>
    <w:link w:val="TitleChar"/>
    <w:uiPriority w:val="10"/>
    <w:qFormat/>
    <w:rsid w:val="00E503AB"/>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50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03AB"/>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50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03AB"/>
    <w:pPr>
      <w:spacing w:before="160" w:after="160"/>
      <w:jc w:val="center"/>
    </w:pPr>
    <w:rPr>
      <w:rFonts w:ascii="Times New Roman" w:eastAsiaTheme="minorHAnsi" w:hAnsi="Times New Roman"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E503AB"/>
    <w:rPr>
      <w:rFonts w:ascii="Times New Roman" w:hAnsi="Times New Roman"/>
      <w:i/>
      <w:iCs/>
      <w:color w:val="404040" w:themeColor="text1" w:themeTint="BF"/>
      <w:szCs w:val="22"/>
    </w:rPr>
  </w:style>
  <w:style w:type="paragraph" w:styleId="ListParagraph">
    <w:name w:val="List Paragraph"/>
    <w:basedOn w:val="Normal"/>
    <w:uiPriority w:val="34"/>
    <w:qFormat/>
    <w:rsid w:val="00E503AB"/>
    <w:pPr>
      <w:spacing w:after="160"/>
      <w:ind w:left="720"/>
      <w:contextualSpacing/>
    </w:pPr>
    <w:rPr>
      <w:rFonts w:ascii="Times New Roman" w:eastAsiaTheme="minorHAnsi" w:hAnsi="Times New Roman" w:cstheme="minorBidi"/>
      <w:kern w:val="2"/>
      <w:sz w:val="24"/>
      <w:lang w:eastAsia="en-US"/>
      <w14:ligatures w14:val="standardContextual"/>
    </w:rPr>
  </w:style>
  <w:style w:type="character" w:styleId="IntenseEmphasis">
    <w:name w:val="Intense Emphasis"/>
    <w:basedOn w:val="DefaultParagraphFont"/>
    <w:uiPriority w:val="21"/>
    <w:qFormat/>
    <w:rsid w:val="00E503AB"/>
    <w:rPr>
      <w:i/>
      <w:iCs/>
      <w:color w:val="0F4761" w:themeColor="accent1" w:themeShade="BF"/>
    </w:rPr>
  </w:style>
  <w:style w:type="paragraph" w:styleId="IntenseQuote">
    <w:name w:val="Intense Quote"/>
    <w:basedOn w:val="Normal"/>
    <w:next w:val="Normal"/>
    <w:link w:val="IntenseQuoteChar"/>
    <w:uiPriority w:val="30"/>
    <w:qFormat/>
    <w:rsid w:val="00E503AB"/>
    <w:pPr>
      <w:pBdr>
        <w:top w:val="single" w:sz="4" w:space="10" w:color="0F4761" w:themeColor="accent1" w:themeShade="BF"/>
        <w:bottom w:val="single" w:sz="4" w:space="10" w:color="0F4761" w:themeColor="accent1" w:themeShade="BF"/>
      </w:pBdr>
      <w:spacing w:before="360" w:after="360"/>
      <w:ind w:left="864" w:right="864"/>
      <w:jc w:val="center"/>
    </w:pPr>
    <w:rPr>
      <w:rFonts w:ascii="Times New Roman" w:eastAsiaTheme="minorHAnsi" w:hAnsi="Times New Roman"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E503AB"/>
    <w:rPr>
      <w:rFonts w:ascii="Times New Roman" w:hAnsi="Times New Roman"/>
      <w:i/>
      <w:iCs/>
      <w:color w:val="0F4761" w:themeColor="accent1" w:themeShade="BF"/>
      <w:szCs w:val="22"/>
    </w:rPr>
  </w:style>
  <w:style w:type="character" w:styleId="IntenseReference">
    <w:name w:val="Intense Reference"/>
    <w:basedOn w:val="DefaultParagraphFont"/>
    <w:uiPriority w:val="32"/>
    <w:qFormat/>
    <w:rsid w:val="00E503AB"/>
    <w:rPr>
      <w:b/>
      <w:bCs/>
      <w:smallCaps/>
      <w:color w:val="0F4761" w:themeColor="accent1" w:themeShade="BF"/>
      <w:spacing w:val="5"/>
    </w:rPr>
  </w:style>
  <w:style w:type="table" w:styleId="TableGrid">
    <w:name w:val="Table Grid"/>
    <w:basedOn w:val="TableNormal"/>
    <w:uiPriority w:val="39"/>
    <w:rsid w:val="00C42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2DF0"/>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C42DF0"/>
    <w:pPr>
      <w:spacing w:after="100"/>
    </w:pPr>
  </w:style>
  <w:style w:type="paragraph" w:styleId="TOC2">
    <w:name w:val="toc 2"/>
    <w:basedOn w:val="Normal"/>
    <w:next w:val="Normal"/>
    <w:autoRedefine/>
    <w:uiPriority w:val="39"/>
    <w:unhideWhenUsed/>
    <w:rsid w:val="00C42DF0"/>
    <w:pPr>
      <w:spacing w:after="100"/>
      <w:ind w:left="220"/>
    </w:pPr>
  </w:style>
  <w:style w:type="character" w:styleId="Hyperlink">
    <w:name w:val="Hyperlink"/>
    <w:basedOn w:val="DefaultParagraphFont"/>
    <w:uiPriority w:val="99"/>
    <w:unhideWhenUsed/>
    <w:rsid w:val="00C42DF0"/>
    <w:rPr>
      <w:color w:val="467886" w:themeColor="hyperlink"/>
      <w:u w:val="single"/>
    </w:rPr>
  </w:style>
  <w:style w:type="paragraph" w:styleId="Header">
    <w:name w:val="header"/>
    <w:basedOn w:val="Normal"/>
    <w:link w:val="HeaderChar"/>
    <w:uiPriority w:val="99"/>
    <w:unhideWhenUsed/>
    <w:rsid w:val="00C42DF0"/>
    <w:pPr>
      <w:tabs>
        <w:tab w:val="center" w:pos="4513"/>
        <w:tab w:val="right" w:pos="9026"/>
      </w:tabs>
      <w:spacing w:line="240" w:lineRule="auto"/>
    </w:pPr>
  </w:style>
  <w:style w:type="character" w:customStyle="1" w:styleId="HeaderChar">
    <w:name w:val="Header Char"/>
    <w:basedOn w:val="DefaultParagraphFont"/>
    <w:link w:val="Header"/>
    <w:uiPriority w:val="99"/>
    <w:rsid w:val="00C42DF0"/>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C42DF0"/>
    <w:pPr>
      <w:tabs>
        <w:tab w:val="center" w:pos="4513"/>
        <w:tab w:val="right" w:pos="9026"/>
      </w:tabs>
      <w:spacing w:line="240" w:lineRule="auto"/>
    </w:pPr>
  </w:style>
  <w:style w:type="character" w:customStyle="1" w:styleId="FooterChar">
    <w:name w:val="Footer Char"/>
    <w:basedOn w:val="DefaultParagraphFont"/>
    <w:link w:val="Footer"/>
    <w:uiPriority w:val="99"/>
    <w:rsid w:val="00C42DF0"/>
    <w:rPr>
      <w:rFonts w:ascii="Arial" w:eastAsia="Arial"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celandpostaltechnologyinternational.com/news/last-mile/last-mile-delivery-costs-rise-for-84-of-businesses-in-uk-and-europe-ds-smith-reports.html" TargetMode="External"/><Relationship Id="rId18" Type="http://schemas.openxmlformats.org/officeDocument/2006/relationships/hyperlink" Target="https://www.emerald.com/insight/publication/issn/0960-0035" TargetMode="External"/><Relationship Id="rId26" Type="http://schemas.openxmlformats.org/officeDocument/2006/relationships/hyperlink" Target="https://www.ofcom.org.uk/siteassets/resources/documents/research-and-data/multi-sector/infrastructure-research/connected-nations-2025/connected-nations-uk-report-2025.pdf" TargetMode="External"/><Relationship Id="rId3" Type="http://schemas.openxmlformats.org/officeDocument/2006/relationships/settings" Target="settings.xml"/><Relationship Id="rId21" Type="http://schemas.openxmlformats.org/officeDocument/2006/relationships/hyperlink" Target="https://link.springer.com/journal/41469" TargetMode="External"/><Relationship Id="rId7" Type="http://schemas.openxmlformats.org/officeDocument/2006/relationships/image" Target="media/image1.jpg"/><Relationship Id="rId12" Type="http://schemas.openxmlformats.org/officeDocument/2006/relationships/hyperlink" Target="https://www.gov.uk/government/publications/sme-digital-adoption-taskforce-final-report/sme-digital-adoption-taskforce-final-report" TargetMode="External"/><Relationship Id="rId17" Type="http://schemas.openxmlformats.org/officeDocument/2006/relationships/hyperlink" Target="https://link.springer.com/article/10.1007/s11846-024-00744-2" TargetMode="External"/><Relationship Id="rId25" Type="http://schemas.openxmlformats.org/officeDocument/2006/relationships/hyperlink" Target="https://www.oecd.org/en/publications/sme-technology-adoption-in-the-united-kingdom_5f25ce2a-en/full-report/the-state-of-sme-technology-adoption-in-the-united-kingdom_035644d5.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nlinelibrary.wiley.com/doi/10.1002/nml.21498" TargetMode="External"/><Relationship Id="rId20" Type="http://schemas.openxmlformats.org/officeDocument/2006/relationships/hyperlink" Target="https://onlinelibrary.wiley.com/doi/10.1111/jpim.12587" TargetMode="External"/><Relationship Id="rId29" Type="http://schemas.openxmlformats.org/officeDocument/2006/relationships/hyperlink" Target="https://link.springer.com/journal/107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160791X24000411" TargetMode="External"/><Relationship Id="rId24" Type="http://schemas.openxmlformats.org/officeDocument/2006/relationships/hyperlink" Target="https://www.tandfonline.com/toc/cjol20/curren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040162523007965" TargetMode="External"/><Relationship Id="rId23" Type="http://schemas.openxmlformats.org/officeDocument/2006/relationships/hyperlink" Target="https://innovation-entrepreneurship.springeropen.com" TargetMode="External"/><Relationship Id="rId28" Type="http://schemas.openxmlformats.org/officeDocument/2006/relationships/hyperlink" Target="https://www.sciencedirect.com/journal/journal-of-retailing" TargetMode="External"/><Relationship Id="rId10" Type="http://schemas.openxmlformats.org/officeDocument/2006/relationships/hyperlink" Target="https://onlinelibrary.wiley.com/doi/10.1111/jpim.12606" TargetMode="External"/><Relationship Id="rId19" Type="http://schemas.openxmlformats.org/officeDocument/2006/relationships/hyperlink" Target="https://www.tandfonline.com/toc/ujbm20/curren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terpriseresearch.ac.uk/wp-content/uploads/2025/03/The-State-of-Small-Business-Britain-2024-Final-1.pdf" TargetMode="External"/><Relationship Id="rId22" Type="http://schemas.openxmlformats.org/officeDocument/2006/relationships/hyperlink" Target="https://onlinelibrary.wiley.com/doi/10.1111/jpim.12586" TargetMode="External"/><Relationship Id="rId27" Type="http://schemas.openxmlformats.org/officeDocument/2006/relationships/hyperlink" Target="https://www.sciencedirect.com/science/article/abs/pii/S0040162523006327" TargetMode="External"/><Relationship Id="rId30" Type="http://schemas.openxmlformats.org/officeDocument/2006/relationships/hyperlink" Target="https://journals.sagepub.com/home/isb"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17</Pages>
  <Words>5615</Words>
  <Characters>32010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Florina Popina</cp:lastModifiedBy>
  <cp:revision>2</cp:revision>
  <dcterms:created xsi:type="dcterms:W3CDTF">2026-08-05T15:52:00Z</dcterms:created>
  <dcterms:modified xsi:type="dcterms:W3CDTF">2026-08-07T10:24:00Z</dcterms:modified>
</cp:coreProperties>
</file>