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67522" w:rsidP="238B8832" w:rsidRDefault="00067522" w14:paraId="0424B2DE" w14:textId="1B842E82">
      <w:pPr>
        <w:pStyle w:val="Heading1"/>
        <w:spacing w:before="322" w:after="322"/>
        <w:jc w:val="center"/>
        <w:rPr>
          <w:rFonts w:ascii="Arial Nova" w:hAnsi="Arial Nova" w:eastAsia="Arial Nova" w:cs="Arial Nova"/>
          <w:b w:val="1"/>
          <w:bCs w:val="1"/>
          <w:color w:val="auto"/>
          <w:sz w:val="48"/>
          <w:szCs w:val="48"/>
        </w:rPr>
      </w:pPr>
      <w:r w:rsidRPr="238B8832" w:rsidR="55C48594">
        <w:rPr>
          <w:rFonts w:ascii="Arial Nova" w:hAnsi="Arial Nova" w:eastAsia="Arial Nova" w:cs="Arial Nova"/>
          <w:b w:val="1"/>
          <w:bCs w:val="1"/>
          <w:color w:val="auto"/>
          <w:sz w:val="48"/>
          <w:szCs w:val="48"/>
        </w:rPr>
        <w:t>An Examination of Early Help Signposting and Multi-Agency Systems i</w:t>
      </w:r>
      <w:r w:rsidRPr="238B8832" w:rsidR="44CAFDE1">
        <w:rPr>
          <w:rFonts w:ascii="Arial Nova" w:hAnsi="Arial Nova" w:eastAsia="Arial Nova" w:cs="Arial Nova"/>
          <w:b w:val="1"/>
          <w:bCs w:val="1"/>
          <w:color w:val="auto"/>
          <w:sz w:val="48"/>
          <w:szCs w:val="48"/>
        </w:rPr>
        <w:t>n UK Local Authorities</w:t>
      </w:r>
    </w:p>
    <w:p w:rsidR="00067522" w:rsidP="238B8832" w:rsidRDefault="00067522" w14:paraId="78709E01" w14:textId="1FDDE386">
      <w:pPr>
        <w:keepNext w:val="1"/>
        <w:keepLines w:val="1"/>
        <w:spacing w:before="299" w:after="299"/>
        <w:rPr>
          <w:rFonts w:ascii="Aptos Display" w:hAnsi="Aptos Display" w:eastAsia="Aptos Display" w:cs="Aptos Display"/>
          <w:b w:val="0"/>
          <w:bCs w:val="0"/>
          <w:i w:val="0"/>
          <w:iCs w:val="0"/>
          <w:caps w:val="0"/>
          <w:smallCaps w:val="0"/>
          <w:noProof w:val="0"/>
          <w:color w:val="0F4761" w:themeColor="accent1" w:themeTint="FF" w:themeShade="BF"/>
          <w:sz w:val="36"/>
          <w:szCs w:val="36"/>
          <w:lang w:val="en-US"/>
        </w:rPr>
      </w:pPr>
      <w:r w:rsidR="1F5A7022">
        <w:drawing>
          <wp:inline wp14:editId="71C8F3DB" wp14:anchorId="5C568547">
            <wp:extent cx="5943600" cy="4210050"/>
            <wp:effectExtent l="0" t="0" r="0" b="0"/>
            <wp:docPr id="374158482" name="drawing" title="A diagram of a family suppor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4158482" name="Picture 374158482"/>
                    <pic:cNvPicPr/>
                  </pic:nvPicPr>
                  <pic:blipFill>
                    <a:blip xmlns:r="http://schemas.openxmlformats.org/officeDocument/2006/relationships" r:embed="rId1522948096">
                      <a:extLst>
                        <a:ext uri="{28A0092B-C50C-407E-A947-70E740481C1C}">
                          <a14:useLocalDpi xmlns:a14="http://schemas.microsoft.com/office/drawing/2010/main"/>
                        </a:ext>
                      </a:extLst>
                    </a:blip>
                    <a:stretch>
                      <a:fillRect/>
                    </a:stretch>
                  </pic:blipFill>
                  <pic:spPr>
                    <a:xfrm>
                      <a:off x="0" y="0"/>
                      <a:ext cx="5943600" cy="4210050"/>
                    </a:xfrm>
                    <a:prstGeom prst="rect">
                      <a:avLst/>
                    </a:prstGeom>
                  </pic:spPr>
                </pic:pic>
              </a:graphicData>
            </a:graphic>
          </wp:inline>
        </w:drawing>
      </w:r>
    </w:p>
    <w:p w:rsidR="00067522" w:rsidP="238B8832" w:rsidRDefault="00067522" w14:paraId="13FD13A7" w14:textId="4FEAEE1A">
      <w:pPr>
        <w:pStyle w:val="Heading2"/>
        <w:keepNext w:val="1"/>
        <w:keepLines w:val="1"/>
        <w:spacing w:before="299" w:after="299"/>
        <w:jc w:val="center"/>
        <w:rPr>
          <w:rFonts w:ascii="Aptos Display" w:hAnsi="Aptos Display" w:eastAsia="Aptos Display" w:cs="Aptos Display"/>
          <w:b w:val="0"/>
          <w:bCs w:val="0"/>
          <w:i w:val="0"/>
          <w:iCs w:val="0"/>
          <w:caps w:val="0"/>
          <w:smallCaps w:val="0"/>
          <w:noProof w:val="0"/>
          <w:color w:val="0F4761" w:themeColor="accent1" w:themeTint="FF" w:themeShade="BF"/>
          <w:sz w:val="36"/>
          <w:szCs w:val="36"/>
          <w:lang w:val="en-US"/>
        </w:rPr>
      </w:pPr>
      <w:r w:rsidRPr="238B8832" w:rsidR="1F5A7022">
        <w:rPr>
          <w:rFonts w:ascii="Aptos Display" w:hAnsi="Aptos Display" w:eastAsia="Aptos Display" w:cs="Aptos Display"/>
          <w:b w:val="1"/>
          <w:bCs w:val="1"/>
          <w:i w:val="0"/>
          <w:iCs w:val="0"/>
          <w:caps w:val="0"/>
          <w:smallCaps w:val="0"/>
          <w:noProof w:val="0"/>
          <w:color w:val="0F4761" w:themeColor="accent1" w:themeTint="FF" w:themeShade="BF"/>
          <w:sz w:val="36"/>
          <w:szCs w:val="36"/>
          <w:lang w:val="en-US"/>
        </w:rPr>
        <w:t>BMHP5021_BIRM</w:t>
      </w:r>
    </w:p>
    <w:p w:rsidR="00067522" w:rsidP="238B8832" w:rsidRDefault="00067522" w14:paraId="52D927FB" w14:textId="1DC714DF">
      <w:pPr>
        <w:pStyle w:val="Heading2"/>
        <w:keepNext w:val="1"/>
        <w:keepLines w:val="1"/>
        <w:spacing w:before="299" w:after="299"/>
        <w:jc w:val="center"/>
        <w:rPr>
          <w:rFonts w:ascii="Aptos Display" w:hAnsi="Aptos Display" w:eastAsia="Aptos Display" w:cs="Aptos Display"/>
          <w:b w:val="0"/>
          <w:bCs w:val="0"/>
          <w:i w:val="0"/>
          <w:iCs w:val="0"/>
          <w:caps w:val="0"/>
          <w:smallCaps w:val="0"/>
          <w:noProof w:val="0"/>
          <w:color w:val="0F4761" w:themeColor="accent1" w:themeTint="FF" w:themeShade="BF"/>
          <w:sz w:val="36"/>
          <w:szCs w:val="36"/>
          <w:lang w:val="en-US"/>
        </w:rPr>
      </w:pPr>
      <w:r w:rsidRPr="238B8832" w:rsidR="1F5A7022">
        <w:rPr>
          <w:rFonts w:ascii="Aptos Display" w:hAnsi="Aptos Display" w:eastAsia="Aptos Display" w:cs="Aptos Display"/>
          <w:b w:val="1"/>
          <w:bCs w:val="1"/>
          <w:i w:val="0"/>
          <w:iCs w:val="0"/>
          <w:caps w:val="0"/>
          <w:smallCaps w:val="0"/>
          <w:noProof w:val="0"/>
          <w:color w:val="0F4761" w:themeColor="accent1" w:themeTint="FF" w:themeShade="BF"/>
          <w:sz w:val="36"/>
          <w:szCs w:val="36"/>
          <w:lang w:val="en-US"/>
        </w:rPr>
        <w:t>Robert Nartowsk</w:t>
      </w:r>
    </w:p>
    <w:p w:rsidR="00067522" w:rsidP="238B8832" w:rsidRDefault="00067522" w14:paraId="5F7FAF8D" w14:textId="44A1A4AA">
      <w:pPr>
        <w:pStyle w:val="Heading2"/>
        <w:keepNext w:val="1"/>
        <w:keepLines w:val="1"/>
        <w:spacing w:before="299" w:after="299"/>
        <w:jc w:val="left"/>
        <w:rPr>
          <w:rFonts w:ascii="Aptos Display" w:hAnsi="Aptos Display" w:eastAsia="Aptos Display" w:cs="Aptos Display"/>
          <w:b w:val="0"/>
          <w:bCs w:val="0"/>
          <w:i w:val="0"/>
          <w:iCs w:val="0"/>
          <w:caps w:val="0"/>
          <w:smallCaps w:val="0"/>
          <w:noProof w:val="0"/>
          <w:color w:val="0F4761" w:themeColor="accent1" w:themeTint="FF" w:themeShade="BF"/>
          <w:sz w:val="28"/>
          <w:szCs w:val="28"/>
          <w:lang w:val="en-US"/>
        </w:rPr>
      </w:pPr>
      <w:r w:rsidRPr="238B8832" w:rsidR="1F5A7022">
        <w:rPr>
          <w:rFonts w:ascii="Aptos Display" w:hAnsi="Aptos Display" w:eastAsia="Aptos Display" w:cs="Aptos Display"/>
          <w:b w:val="1"/>
          <w:bCs w:val="1"/>
          <w:i w:val="0"/>
          <w:iCs w:val="0"/>
          <w:caps w:val="0"/>
          <w:smallCaps w:val="0"/>
          <w:noProof w:val="0"/>
          <w:color w:val="0F4761" w:themeColor="accent1" w:themeTint="FF" w:themeShade="BF"/>
          <w:sz w:val="28"/>
          <w:szCs w:val="28"/>
          <w:lang w:val="en-US"/>
        </w:rPr>
        <w:t xml:space="preserve">Student name: </w:t>
      </w:r>
    </w:p>
    <w:p w:rsidR="00067522" w:rsidP="238B8832" w:rsidRDefault="00067522" w14:paraId="744C41CC" w14:textId="029A7E1E">
      <w:pPr>
        <w:pStyle w:val="Heading2"/>
        <w:keepNext w:val="1"/>
        <w:keepLines w:val="1"/>
        <w:spacing w:before="299" w:after="299"/>
        <w:jc w:val="right"/>
        <w:rPr>
          <w:rFonts w:ascii="Aptos Display" w:hAnsi="Aptos Display" w:eastAsia="Aptos Display" w:cs="Aptos Display"/>
          <w:b w:val="0"/>
          <w:bCs w:val="0"/>
          <w:i w:val="0"/>
          <w:iCs w:val="0"/>
          <w:caps w:val="0"/>
          <w:smallCaps w:val="0"/>
          <w:noProof w:val="0"/>
          <w:color w:val="0F4761" w:themeColor="accent1" w:themeTint="FF" w:themeShade="BF"/>
          <w:sz w:val="28"/>
          <w:szCs w:val="28"/>
          <w:lang w:val="en-US"/>
        </w:rPr>
      </w:pPr>
      <w:r w:rsidRPr="238B8832" w:rsidR="1F5A7022">
        <w:rPr>
          <w:rFonts w:ascii="Aptos Display" w:hAnsi="Aptos Display" w:eastAsia="Aptos Display" w:cs="Aptos Display"/>
          <w:b w:val="1"/>
          <w:bCs w:val="1"/>
          <w:i w:val="0"/>
          <w:iCs w:val="0"/>
          <w:caps w:val="0"/>
          <w:smallCaps w:val="0"/>
          <w:noProof w:val="0"/>
          <w:color w:val="0F4761" w:themeColor="accent1" w:themeTint="FF" w:themeShade="BF"/>
          <w:sz w:val="28"/>
          <w:szCs w:val="28"/>
          <w:lang w:val="en-US"/>
        </w:rPr>
        <w:t>Nashwa Elbouhy                                                                            Student number:2408300</w:t>
      </w:r>
    </w:p>
    <w:p w:rsidR="00067522" w:rsidP="238B8832" w:rsidRDefault="00067522" w14:paraId="1C2018CA" w14:textId="575BE42A">
      <w:pPr>
        <w:pStyle w:val="Normal"/>
      </w:pPr>
    </w:p>
    <w:p w:rsidR="00067522" w:rsidP="238B8832" w:rsidRDefault="00067522" w14:paraId="7FDBD381" w14:textId="44EAD827">
      <w:pPr>
        <w:pStyle w:val="Heading1"/>
        <w:spacing w:before="0" w:beforeAutospacing="off" w:after="299" w:afterAutospacing="off"/>
        <w:rPr>
          <w:b w:val="1"/>
          <w:bCs w:val="1"/>
          <w:noProof w:val="0"/>
          <w:color w:val="auto"/>
          <w:sz w:val="36"/>
          <w:szCs w:val="36"/>
          <w:lang w:val="en-US"/>
        </w:rPr>
      </w:pPr>
      <w:r w:rsidRPr="238B8832" w:rsidR="44CAFDE1">
        <w:rPr>
          <w:b w:val="1"/>
          <w:bCs w:val="1"/>
          <w:noProof w:val="0"/>
          <w:color w:val="auto"/>
          <w:sz w:val="36"/>
          <w:szCs w:val="36"/>
          <w:lang w:val="en-US"/>
        </w:rPr>
        <w:t xml:space="preserve"> 1. Introduction</w:t>
      </w:r>
    </w:p>
    <w:p w:rsidR="00067522" w:rsidP="238B8832" w:rsidRDefault="00067522" w14:paraId="66387B2F" w14:textId="7B8BC2A7">
      <w:pPr>
        <w:spacing w:before="0" w:beforeAutospacing="off" w:after="240" w:afterAutospacing="off" w:line="360" w:lineRule="auto"/>
        <w:rPr>
          <w:rFonts w:ascii="Arial" w:hAnsi="Arial" w:eastAsia="Arial" w:cs="Arial"/>
          <w:noProof w:val="0"/>
          <w:sz w:val="22"/>
          <w:szCs w:val="22"/>
          <w:lang w:val="en-US"/>
        </w:rPr>
      </w:pPr>
      <w:r w:rsidRPr="238B8832" w:rsidR="44CAFDE1">
        <w:rPr>
          <w:rFonts w:ascii="Arial" w:hAnsi="Arial" w:eastAsia="Arial" w:cs="Arial"/>
          <w:noProof w:val="0"/>
          <w:sz w:val="22"/>
          <w:szCs w:val="22"/>
          <w:lang w:val="en-US"/>
        </w:rPr>
        <w:t>For many families, a local authority’s website is the primary digital "front door" and the first point of contact when difficulties arise. In moments of acute crisis—such as school refusal, rapid behavioral escalation, mental health deterioration, or parental overwhelm—the clarity and accessibility of online Early Help information can significantly influence whether a family accesses support promptly or becomes disengaged from the system. Digital signposting is, therefore, not simply a matter of administrative convenience or IT management; it is a fundamental safeguarding responsibility.</w:t>
      </w:r>
    </w:p>
    <w:p w:rsidR="00067522" w:rsidP="238B8832" w:rsidRDefault="00067522" w14:paraId="168E7EBB" w14:textId="6787F77E">
      <w:pPr>
        <w:spacing w:before="0" w:beforeAutospacing="off" w:after="240" w:afterAutospacing="off" w:line="360" w:lineRule="auto"/>
        <w:rPr>
          <w:rFonts w:ascii="Arial" w:hAnsi="Arial" w:eastAsia="Arial" w:cs="Arial"/>
          <w:noProof w:val="0"/>
          <w:sz w:val="22"/>
          <w:szCs w:val="22"/>
          <w:lang w:val="en-US"/>
        </w:rPr>
      </w:pPr>
      <w:r w:rsidRPr="238B8832" w:rsidR="44CAFDE1">
        <w:rPr>
          <w:rFonts w:ascii="Arial" w:hAnsi="Arial" w:eastAsia="Arial" w:cs="Arial"/>
          <w:noProof w:val="0"/>
          <w:sz w:val="22"/>
          <w:szCs w:val="22"/>
          <w:lang w:val="en-US"/>
        </w:rPr>
        <w:t xml:space="preserve">The way councils present Early Help on their websites has the power to reassure, empower, and de-escalate potential risks. Conversely, poorly designed portals can confuse, alienate, and delay access to help, potentially allowing low-level needs to escalate into significant safeguarding concerns. This report </w:t>
      </w:r>
      <w:r w:rsidRPr="238B8832" w:rsidR="7EFD8328">
        <w:rPr>
          <w:rFonts w:ascii="Arial" w:hAnsi="Arial" w:eastAsia="Arial" w:cs="Arial"/>
          <w:noProof w:val="0"/>
          <w:sz w:val="22"/>
          <w:szCs w:val="22"/>
          <w:lang w:val="en-US"/>
        </w:rPr>
        <w:t>evaluates</w:t>
      </w:r>
      <w:r w:rsidRPr="238B8832" w:rsidR="44CAFDE1">
        <w:rPr>
          <w:rFonts w:ascii="Arial" w:hAnsi="Arial" w:eastAsia="Arial" w:cs="Arial"/>
          <w:noProof w:val="0"/>
          <w:sz w:val="22"/>
          <w:szCs w:val="22"/>
          <w:lang w:val="en-US"/>
        </w:rPr>
        <w:t xml:space="preserve"> three local authorities—</w:t>
      </w:r>
      <w:r w:rsidRPr="238B8832" w:rsidR="44CAFDE1">
        <w:rPr>
          <w:rFonts w:ascii="Arial" w:hAnsi="Arial" w:eastAsia="Arial" w:cs="Arial"/>
          <w:b w:val="1"/>
          <w:bCs w:val="1"/>
          <w:noProof w:val="0"/>
          <w:sz w:val="22"/>
          <w:szCs w:val="22"/>
          <w:lang w:val="en-US"/>
        </w:rPr>
        <w:t>Leicestershire</w:t>
      </w:r>
      <w:r w:rsidRPr="238B8832" w:rsidR="44CAFDE1">
        <w:rPr>
          <w:rFonts w:ascii="Arial" w:hAnsi="Arial" w:eastAsia="Arial" w:cs="Arial"/>
          <w:noProof w:val="0"/>
          <w:sz w:val="22"/>
          <w:szCs w:val="22"/>
          <w:lang w:val="en-US"/>
        </w:rPr>
        <w:t xml:space="preserve">, </w:t>
      </w:r>
      <w:r w:rsidRPr="238B8832" w:rsidR="44CAFDE1">
        <w:rPr>
          <w:rFonts w:ascii="Arial" w:hAnsi="Arial" w:eastAsia="Arial" w:cs="Arial"/>
          <w:b w:val="1"/>
          <w:bCs w:val="1"/>
          <w:noProof w:val="0"/>
          <w:sz w:val="22"/>
          <w:szCs w:val="22"/>
          <w:lang w:val="en-US"/>
        </w:rPr>
        <w:t>Staffordshire</w:t>
      </w:r>
      <w:r w:rsidRPr="238B8832" w:rsidR="44CAFDE1">
        <w:rPr>
          <w:rFonts w:ascii="Arial" w:hAnsi="Arial" w:eastAsia="Arial" w:cs="Arial"/>
          <w:noProof w:val="0"/>
          <w:sz w:val="22"/>
          <w:szCs w:val="22"/>
          <w:lang w:val="en-US"/>
        </w:rPr>
        <w:t xml:space="preserve">, and </w:t>
      </w:r>
      <w:r w:rsidRPr="238B8832" w:rsidR="44CAFDE1">
        <w:rPr>
          <w:rFonts w:ascii="Arial" w:hAnsi="Arial" w:eastAsia="Arial" w:cs="Arial"/>
          <w:b w:val="1"/>
          <w:bCs w:val="1"/>
          <w:noProof w:val="0"/>
          <w:sz w:val="22"/>
          <w:szCs w:val="22"/>
          <w:lang w:val="en-US"/>
        </w:rPr>
        <w:t>Tower Hamlets</w:t>
      </w:r>
      <w:r w:rsidRPr="238B8832" w:rsidR="44CAFDE1">
        <w:rPr>
          <w:rFonts w:ascii="Arial" w:hAnsi="Arial" w:eastAsia="Arial" w:cs="Arial"/>
          <w:noProof w:val="0"/>
          <w:sz w:val="22"/>
          <w:szCs w:val="22"/>
          <w:lang w:val="en-US"/>
        </w:rPr>
        <w:t xml:space="preserve">—communicate Early Help through their digital interfaces. It assesses how well their online content reflects the national expectations and statutory duties set out in </w:t>
      </w:r>
      <w:r w:rsidRPr="238B8832" w:rsidR="44CAFDE1">
        <w:rPr>
          <w:rFonts w:ascii="Arial" w:hAnsi="Arial" w:eastAsia="Arial" w:cs="Arial"/>
          <w:i w:val="1"/>
          <w:iCs w:val="1"/>
          <w:noProof w:val="0"/>
          <w:sz w:val="22"/>
          <w:szCs w:val="22"/>
          <w:lang w:val="en-US"/>
        </w:rPr>
        <w:t>Working Together to Safeguard Children (2023)</w:t>
      </w:r>
      <w:r w:rsidRPr="238B8832" w:rsidR="44CAFDE1">
        <w:rPr>
          <w:rFonts w:ascii="Arial" w:hAnsi="Arial" w:eastAsia="Arial" w:cs="Arial"/>
          <w:noProof w:val="0"/>
          <w:sz w:val="22"/>
          <w:szCs w:val="22"/>
          <w:lang w:val="en-US"/>
        </w:rPr>
        <w:t xml:space="preserve"> and the </w:t>
      </w:r>
      <w:r w:rsidRPr="238B8832" w:rsidR="44CAFDE1">
        <w:rPr>
          <w:rFonts w:ascii="Arial" w:hAnsi="Arial" w:eastAsia="Arial" w:cs="Arial"/>
          <w:i w:val="1"/>
          <w:iCs w:val="1"/>
          <w:noProof w:val="0"/>
          <w:sz w:val="22"/>
          <w:szCs w:val="22"/>
          <w:lang w:val="en-US"/>
        </w:rPr>
        <w:t>Early Help System Guide (2022)</w:t>
      </w:r>
      <w:r w:rsidRPr="238B8832" w:rsidR="44CAFDE1">
        <w:rPr>
          <w:rFonts w:ascii="Arial" w:hAnsi="Arial" w:eastAsia="Arial" w:cs="Arial"/>
          <w:noProof w:val="0"/>
          <w:sz w:val="22"/>
          <w:szCs w:val="22"/>
          <w:lang w:val="en-US"/>
        </w:rPr>
        <w:t>.</w:t>
      </w:r>
    </w:p>
    <w:p w:rsidR="00067522" w:rsidP="238B8832" w:rsidRDefault="00067522" w14:paraId="3599B1E1" w14:textId="27348AA4">
      <w:pPr>
        <w:spacing w:before="0" w:beforeAutospacing="off" w:after="240" w:afterAutospacing="off" w:line="360" w:lineRule="auto"/>
        <w:rPr>
          <w:rFonts w:ascii="Arial" w:hAnsi="Arial" w:eastAsia="Arial" w:cs="Arial"/>
          <w:noProof w:val="0"/>
          <w:sz w:val="22"/>
          <w:szCs w:val="22"/>
          <w:lang w:val="en-US"/>
        </w:rPr>
      </w:pPr>
      <w:r w:rsidRPr="238B8832" w:rsidR="44CAFDE1">
        <w:rPr>
          <w:rFonts w:ascii="Arial" w:hAnsi="Arial" w:eastAsia="Arial" w:cs="Arial"/>
          <w:noProof w:val="0"/>
          <w:sz w:val="22"/>
          <w:szCs w:val="22"/>
          <w:lang w:val="en-US"/>
        </w:rPr>
        <w:t xml:space="preserve">Both national documents emphasize that Early Help must be a proactive, preventative system. This analysis evaluates the effectiveness of each council in translating that complex system into clear, accessible guidance for families. The review focuses on five key areas of digital communication: the clarity of the Early Help definition; accessibility and ease of navigation; transparency </w:t>
      </w:r>
      <w:r w:rsidRPr="238B8832" w:rsidR="44CAFDE1">
        <w:rPr>
          <w:rFonts w:ascii="Arial" w:hAnsi="Arial" w:eastAsia="Arial" w:cs="Arial"/>
          <w:noProof w:val="0"/>
          <w:sz w:val="22"/>
          <w:szCs w:val="22"/>
          <w:lang w:val="en-US"/>
        </w:rPr>
        <w:t>regarding</w:t>
      </w:r>
      <w:r w:rsidRPr="238B8832" w:rsidR="44CAFDE1">
        <w:rPr>
          <w:rFonts w:ascii="Arial" w:hAnsi="Arial" w:eastAsia="Arial" w:cs="Arial"/>
          <w:noProof w:val="0"/>
          <w:sz w:val="22"/>
          <w:szCs w:val="22"/>
          <w:lang w:val="en-US"/>
        </w:rPr>
        <w:t xml:space="preserve"> referral processes and thresholds; the visibility of multi-agency working; and the overall supportiveness of tone. By comparing these authorities, the report </w:t>
      </w:r>
      <w:r w:rsidRPr="238B8832" w:rsidR="44CAFDE1">
        <w:rPr>
          <w:rFonts w:ascii="Arial" w:hAnsi="Arial" w:eastAsia="Arial" w:cs="Arial"/>
          <w:noProof w:val="0"/>
          <w:sz w:val="22"/>
          <w:szCs w:val="22"/>
          <w:lang w:val="en-US"/>
        </w:rPr>
        <w:t>identifies</w:t>
      </w:r>
      <w:r w:rsidRPr="238B8832" w:rsidR="44CAFDE1">
        <w:rPr>
          <w:rFonts w:ascii="Arial" w:hAnsi="Arial" w:eastAsia="Arial" w:cs="Arial"/>
          <w:noProof w:val="0"/>
          <w:sz w:val="22"/>
          <w:szCs w:val="22"/>
          <w:lang w:val="en-US"/>
        </w:rPr>
        <w:t xml:space="preserve"> strengths, limitations, and strategic opportunities for improvement to ensure that the digital "front door" </w:t>
      </w:r>
      <w:r w:rsidRPr="238B8832" w:rsidR="44CAFDE1">
        <w:rPr>
          <w:rFonts w:ascii="Arial" w:hAnsi="Arial" w:eastAsia="Arial" w:cs="Arial"/>
          <w:noProof w:val="0"/>
          <w:sz w:val="22"/>
          <w:szCs w:val="22"/>
          <w:lang w:val="en-US"/>
        </w:rPr>
        <w:t>remains</w:t>
      </w:r>
      <w:r w:rsidRPr="238B8832" w:rsidR="44CAFDE1">
        <w:rPr>
          <w:rFonts w:ascii="Arial" w:hAnsi="Arial" w:eastAsia="Arial" w:cs="Arial"/>
          <w:noProof w:val="0"/>
          <w:sz w:val="22"/>
          <w:szCs w:val="22"/>
          <w:lang w:val="en-US"/>
        </w:rPr>
        <w:t xml:space="preserve"> open and </w:t>
      </w:r>
      <w:r w:rsidRPr="238B8832" w:rsidR="38D5B5D1">
        <w:rPr>
          <w:rFonts w:ascii="Arial" w:hAnsi="Arial" w:eastAsia="Arial" w:cs="Arial"/>
          <w:noProof w:val="0"/>
          <w:sz w:val="22"/>
          <w:szCs w:val="22"/>
          <w:lang w:val="en-US"/>
        </w:rPr>
        <w:t>inviting</w:t>
      </w:r>
      <w:r w:rsidRPr="238B8832" w:rsidR="44CAFDE1">
        <w:rPr>
          <w:rFonts w:ascii="Arial" w:hAnsi="Arial" w:eastAsia="Arial" w:cs="Arial"/>
          <w:noProof w:val="0"/>
          <w:sz w:val="22"/>
          <w:szCs w:val="22"/>
          <w:lang w:val="en-US"/>
        </w:rPr>
        <w:t xml:space="preserve"> all families.</w:t>
      </w:r>
    </w:p>
    <w:p w:rsidR="00067522" w:rsidRDefault="00067522" w14:paraId="5140CA82" w14:textId="651B9EC2"/>
    <w:p w:rsidR="00067522" w:rsidP="238B8832" w:rsidRDefault="00067522" w14:paraId="2D5AFC2B" w14:textId="5DE2468F">
      <w:pPr>
        <w:pStyle w:val="Heading2"/>
        <w:spacing w:before="0" w:beforeAutospacing="off" w:after="299" w:afterAutospacing="off"/>
        <w:rPr>
          <w:b w:val="1"/>
          <w:bCs w:val="1"/>
          <w:noProof w:val="0"/>
          <w:color w:val="auto"/>
          <w:sz w:val="36"/>
          <w:szCs w:val="36"/>
          <w:lang w:val="en-US"/>
        </w:rPr>
      </w:pPr>
      <w:r w:rsidRPr="238B8832" w:rsidR="44CAFDE1">
        <w:rPr>
          <w:b w:val="1"/>
          <w:bCs w:val="1"/>
          <w:noProof w:val="0"/>
          <w:color w:val="auto"/>
          <w:sz w:val="36"/>
          <w:szCs w:val="36"/>
          <w:lang w:val="en-US"/>
        </w:rPr>
        <w:t>2. The Early Help System: National Context</w:t>
      </w:r>
    </w:p>
    <w:p w:rsidR="00067522" w:rsidP="238B8832" w:rsidRDefault="00067522" w14:paraId="55BCD0A5" w14:textId="30F4F730">
      <w:pPr>
        <w:pStyle w:val="Normal"/>
        <w:jc w:val="center"/>
      </w:pPr>
      <w:r w:rsidR="6FF80D4C">
        <w:drawing>
          <wp:inline wp14:editId="1E085A3F" wp14:anchorId="5A99B12D">
            <wp:extent cx="4905375" cy="2828925"/>
            <wp:effectExtent l="0" t="0" r="0" b="0"/>
            <wp:docPr id="17225689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2568985" name="Picture 1722568985"/>
                    <pic:cNvPicPr/>
                  </pic:nvPicPr>
                  <pic:blipFill>
                    <a:blip xmlns:r="http://schemas.openxmlformats.org/officeDocument/2006/relationships" r:embed="rId410060752">
                      <a:extLst>
                        <a:ext uri="{28A0092B-C50C-407E-A947-70E740481C1C}">
                          <a14:useLocalDpi xmlns:a14="http://schemas.microsoft.com/office/drawing/2010/main"/>
                        </a:ext>
                      </a:extLst>
                    </a:blip>
                    <a:stretch>
                      <a:fillRect/>
                    </a:stretch>
                  </pic:blipFill>
                  <pic:spPr>
                    <a:xfrm>
                      <a:off x="0" y="0"/>
                      <a:ext cx="4905375" cy="2828925"/>
                    </a:xfrm>
                    <a:prstGeom prst="rect">
                      <a:avLst/>
                    </a:prstGeom>
                  </pic:spPr>
                </pic:pic>
              </a:graphicData>
            </a:graphic>
          </wp:inline>
        </w:drawing>
      </w:r>
    </w:p>
    <w:p w:rsidR="00067522" w:rsidP="238B8832" w:rsidRDefault="00067522" w14:paraId="648B1F6F" w14:textId="6FC52A19">
      <w:pPr>
        <w:pStyle w:val="Heading3"/>
        <w:spacing w:before="0" w:beforeAutospacing="off" w:after="281" w:afterAutospacing="off"/>
        <w:rPr>
          <w:b w:val="1"/>
          <w:bCs w:val="1"/>
          <w:noProof w:val="0"/>
          <w:color w:val="auto"/>
          <w:sz w:val="28"/>
          <w:szCs w:val="28"/>
          <w:lang w:val="en-US"/>
        </w:rPr>
      </w:pPr>
      <w:r w:rsidRPr="238B8832" w:rsidR="44CAFDE1">
        <w:rPr>
          <w:b w:val="1"/>
          <w:bCs w:val="1"/>
          <w:noProof w:val="0"/>
          <w:color w:val="auto"/>
          <w:sz w:val="28"/>
          <w:szCs w:val="28"/>
          <w:lang w:val="en-US"/>
        </w:rPr>
        <w:t>2.1 Early Help: A Preventative Safeguarding Approach</w:t>
      </w:r>
    </w:p>
    <w:p w:rsidR="00067522" w:rsidP="238B8832" w:rsidRDefault="00067522" w14:paraId="7F4DD258" w14:textId="3C9CF16B">
      <w:pPr>
        <w:spacing w:before="0" w:beforeAutospacing="off" w:after="240" w:afterAutospacing="off" w:line="360" w:lineRule="auto"/>
      </w:pPr>
      <w:r w:rsidRPr="238B8832" w:rsidR="44CAFDE1">
        <w:rPr>
          <w:rFonts w:ascii="Arial" w:hAnsi="Arial" w:eastAsia="Arial" w:cs="Arial"/>
          <w:i w:val="1"/>
          <w:iCs w:val="1"/>
          <w:noProof w:val="0"/>
          <w:sz w:val="22"/>
          <w:szCs w:val="22"/>
          <w:lang w:val="en-US"/>
        </w:rPr>
        <w:t>Working Together to Safeguard Children (2023)</w:t>
      </w:r>
      <w:r w:rsidRPr="238B8832" w:rsidR="44CAFDE1">
        <w:rPr>
          <w:rFonts w:ascii="Arial" w:hAnsi="Arial" w:eastAsia="Arial" w:cs="Arial"/>
          <w:noProof w:val="0"/>
          <w:sz w:val="22"/>
          <w:szCs w:val="22"/>
          <w:lang w:val="en-US"/>
        </w:rPr>
        <w:t xml:space="preserve"> defines Early Help as support provided “as soon as a problem emerges,” regardless of the child’s age. The system is designed to reduce escalation, improve long-term outcomes, and strengthen family relationships. It is explicitly not crisis management; rather, it is early intervention aimed at preventing risks from </w:t>
      </w:r>
      <w:r w:rsidRPr="238B8832" w:rsidR="22B70DB5">
        <w:rPr>
          <w:rFonts w:ascii="Arial" w:hAnsi="Arial" w:eastAsia="Arial" w:cs="Arial"/>
          <w:noProof w:val="0"/>
          <w:sz w:val="22"/>
          <w:szCs w:val="22"/>
          <w:lang w:val="en-US"/>
        </w:rPr>
        <w:t>intensifying</w:t>
      </w:r>
      <w:r w:rsidRPr="238B8832" w:rsidR="44CAFDE1">
        <w:rPr>
          <w:rFonts w:ascii="Arial" w:hAnsi="Arial" w:eastAsia="Arial" w:cs="Arial"/>
          <w:noProof w:val="0"/>
          <w:sz w:val="22"/>
          <w:szCs w:val="22"/>
          <w:lang w:val="en-US"/>
        </w:rPr>
        <w:t xml:space="preserve"> the point where statutory intervention is </w:t>
      </w:r>
      <w:r w:rsidRPr="238B8832" w:rsidR="44CAFDE1">
        <w:rPr>
          <w:rFonts w:ascii="Arial" w:hAnsi="Arial" w:eastAsia="Arial" w:cs="Arial"/>
          <w:noProof w:val="0"/>
          <w:sz w:val="22"/>
          <w:szCs w:val="22"/>
          <w:lang w:val="en-US"/>
        </w:rPr>
        <w:t>required</w:t>
      </w:r>
      <w:r w:rsidRPr="238B8832" w:rsidR="44CAFDE1">
        <w:rPr>
          <w:noProof w:val="0"/>
          <w:lang w:val="en-US"/>
        </w:rPr>
        <w:t>.</w:t>
      </w:r>
    </w:p>
    <w:p w:rsidR="00067522" w:rsidP="238B8832" w:rsidRDefault="00067522" w14:paraId="43B86958" w14:textId="47EEB0A2">
      <w:pPr>
        <w:pStyle w:val="Heading3"/>
        <w:spacing w:before="0" w:beforeAutospacing="off" w:after="281" w:afterAutospacing="off"/>
        <w:rPr>
          <w:b w:val="1"/>
          <w:bCs w:val="1"/>
          <w:noProof w:val="0"/>
          <w:color w:val="auto"/>
          <w:sz w:val="28"/>
          <w:szCs w:val="28"/>
          <w:lang w:val="en-US"/>
        </w:rPr>
      </w:pPr>
      <w:r w:rsidRPr="238B8832" w:rsidR="44CAFDE1">
        <w:rPr>
          <w:b w:val="1"/>
          <w:bCs w:val="1"/>
          <w:noProof w:val="0"/>
          <w:color w:val="auto"/>
          <w:sz w:val="28"/>
          <w:szCs w:val="28"/>
          <w:lang w:val="en-US"/>
        </w:rPr>
        <w:t>2.2 The Philosophy of Early Intervention</w:t>
      </w:r>
    </w:p>
    <w:p w:rsidR="00067522" w:rsidP="238B8832" w:rsidRDefault="00067522" w14:paraId="71766442" w14:textId="59924B30">
      <w:pPr>
        <w:spacing w:before="0" w:beforeAutospacing="off" w:after="240" w:afterAutospacing="off" w:line="360" w:lineRule="auto"/>
        <w:rPr>
          <w:rFonts w:ascii="Arial" w:hAnsi="Arial" w:eastAsia="Arial" w:cs="Arial"/>
          <w:noProof w:val="0"/>
          <w:sz w:val="22"/>
          <w:szCs w:val="22"/>
          <w:lang w:val="en-US"/>
        </w:rPr>
      </w:pPr>
      <w:r w:rsidRPr="238B8832" w:rsidR="44CAFDE1">
        <w:rPr>
          <w:rFonts w:ascii="Arial" w:hAnsi="Arial" w:eastAsia="Arial" w:cs="Arial"/>
          <w:noProof w:val="0"/>
          <w:sz w:val="22"/>
          <w:szCs w:val="22"/>
          <w:lang w:val="en-US"/>
        </w:rPr>
        <w:t xml:space="preserve">The </w:t>
      </w:r>
      <w:r w:rsidRPr="238B8832" w:rsidR="44CAFDE1">
        <w:rPr>
          <w:rFonts w:ascii="Arial" w:hAnsi="Arial" w:eastAsia="Arial" w:cs="Arial"/>
          <w:i w:val="1"/>
          <w:iCs w:val="1"/>
          <w:noProof w:val="0"/>
          <w:sz w:val="22"/>
          <w:szCs w:val="22"/>
          <w:lang w:val="en-US"/>
        </w:rPr>
        <w:t>Early Help System Guide (2022)</w:t>
      </w:r>
      <w:r w:rsidRPr="238B8832" w:rsidR="44CAFDE1">
        <w:rPr>
          <w:rFonts w:ascii="Arial" w:hAnsi="Arial" w:eastAsia="Arial" w:cs="Arial"/>
          <w:noProof w:val="0"/>
          <w:sz w:val="22"/>
          <w:szCs w:val="22"/>
          <w:lang w:val="en-US"/>
        </w:rPr>
        <w:t xml:space="preserve"> emphasizes a "whole-family" approach that addresses root causes.</w:t>
      </w:r>
      <w:r w:rsidRPr="238B8832" w:rsidR="44CAFDE1">
        <w:rPr>
          <w:rFonts w:ascii="Arial" w:hAnsi="Arial" w:eastAsia="Arial" w:cs="Arial"/>
          <w:noProof w:val="0"/>
          <w:sz w:val="22"/>
          <w:szCs w:val="22"/>
          <w:lang w:val="en-US"/>
        </w:rPr>
        <w:t xml:space="preserve"> Rather than focusing solely on presenting symptoms—such as truancy, aggression, or emotional withdrawal—the system </w:t>
      </w:r>
      <w:r w:rsidRPr="238B8832" w:rsidR="44CAFDE1">
        <w:rPr>
          <w:rFonts w:ascii="Arial" w:hAnsi="Arial" w:eastAsia="Arial" w:cs="Arial"/>
          <w:noProof w:val="0"/>
          <w:sz w:val="22"/>
          <w:szCs w:val="22"/>
          <w:lang w:val="en-US"/>
        </w:rPr>
        <w:t>seeks</w:t>
      </w:r>
      <w:r w:rsidRPr="238B8832" w:rsidR="44CAFDE1">
        <w:rPr>
          <w:rFonts w:ascii="Arial" w:hAnsi="Arial" w:eastAsia="Arial" w:cs="Arial"/>
          <w:noProof w:val="0"/>
          <w:sz w:val="22"/>
          <w:szCs w:val="22"/>
          <w:lang w:val="en-US"/>
        </w:rPr>
        <w:t xml:space="preserve"> to </w:t>
      </w:r>
      <w:r w:rsidRPr="238B8832" w:rsidR="44CAFDE1">
        <w:rPr>
          <w:rFonts w:ascii="Arial" w:hAnsi="Arial" w:eastAsia="Arial" w:cs="Arial"/>
          <w:noProof w:val="0"/>
          <w:sz w:val="22"/>
          <w:szCs w:val="22"/>
          <w:lang w:val="en-US"/>
        </w:rPr>
        <w:t>identify</w:t>
      </w:r>
      <w:r w:rsidRPr="238B8832" w:rsidR="44CAFDE1">
        <w:rPr>
          <w:rFonts w:ascii="Arial" w:hAnsi="Arial" w:eastAsia="Arial" w:cs="Arial"/>
          <w:noProof w:val="0"/>
          <w:sz w:val="22"/>
          <w:szCs w:val="22"/>
          <w:lang w:val="en-US"/>
        </w:rPr>
        <w:t xml:space="preserve"> underlying challenges. These challenges often include:</w:t>
      </w:r>
    </w:p>
    <w:p w:rsidR="00067522" w:rsidP="238B8832" w:rsidRDefault="00067522" w14:paraId="626C0B4C" w14:textId="3B434694">
      <w:pPr>
        <w:pStyle w:val="ListParagraph"/>
        <w:numPr>
          <w:ilvl w:val="0"/>
          <w:numId w:val="17"/>
        </w:numPr>
        <w:spacing w:before="240" w:beforeAutospacing="off" w:after="240" w:afterAutospacing="off" w:line="360" w:lineRule="auto"/>
        <w:rPr>
          <w:rFonts w:ascii="Arial" w:hAnsi="Arial" w:eastAsia="Arial" w:cs="Arial"/>
          <w:noProof w:val="0"/>
          <w:sz w:val="22"/>
          <w:szCs w:val="22"/>
          <w:lang w:val="en-US"/>
        </w:rPr>
      </w:pPr>
      <w:r w:rsidRPr="238B8832" w:rsidR="44CAFDE1">
        <w:rPr>
          <w:rFonts w:ascii="Arial" w:hAnsi="Arial" w:eastAsia="Arial" w:cs="Arial"/>
          <w:noProof w:val="0"/>
          <w:sz w:val="22"/>
          <w:szCs w:val="22"/>
          <w:lang w:val="en-US"/>
        </w:rPr>
        <w:t xml:space="preserve">Parental mental health needs </w:t>
      </w:r>
    </w:p>
    <w:p w:rsidR="00067522" w:rsidP="238B8832" w:rsidRDefault="00067522" w14:paraId="77A649A4" w14:textId="0F3CB1FF">
      <w:pPr>
        <w:pStyle w:val="ListParagraph"/>
        <w:numPr>
          <w:ilvl w:val="0"/>
          <w:numId w:val="17"/>
        </w:numPr>
        <w:spacing w:before="240" w:beforeAutospacing="off" w:after="240" w:afterAutospacing="off" w:line="360" w:lineRule="auto"/>
        <w:rPr>
          <w:rFonts w:ascii="Arial" w:hAnsi="Arial" w:eastAsia="Arial" w:cs="Arial"/>
          <w:noProof w:val="0"/>
          <w:sz w:val="22"/>
          <w:szCs w:val="22"/>
          <w:lang w:val="en-US"/>
        </w:rPr>
      </w:pPr>
      <w:r w:rsidRPr="238B8832" w:rsidR="44CAFDE1">
        <w:rPr>
          <w:rFonts w:ascii="Arial" w:hAnsi="Arial" w:eastAsia="Arial" w:cs="Arial"/>
          <w:noProof w:val="0"/>
          <w:sz w:val="22"/>
          <w:szCs w:val="22"/>
          <w:lang w:val="en-US"/>
        </w:rPr>
        <w:t xml:space="preserve">Financial instability and debt </w:t>
      </w:r>
    </w:p>
    <w:p w:rsidR="00067522" w:rsidP="238B8832" w:rsidRDefault="00067522" w14:paraId="64E3C752" w14:textId="30C68DEC">
      <w:pPr>
        <w:pStyle w:val="ListParagraph"/>
        <w:numPr>
          <w:ilvl w:val="0"/>
          <w:numId w:val="17"/>
        </w:numPr>
        <w:spacing w:before="240" w:beforeAutospacing="off" w:after="240" w:afterAutospacing="off" w:line="360" w:lineRule="auto"/>
        <w:rPr>
          <w:rFonts w:ascii="Arial" w:hAnsi="Arial" w:eastAsia="Arial" w:cs="Arial"/>
          <w:noProof w:val="0"/>
          <w:sz w:val="22"/>
          <w:szCs w:val="22"/>
          <w:lang w:val="en-US"/>
        </w:rPr>
      </w:pPr>
      <w:r w:rsidRPr="238B8832" w:rsidR="44CAFDE1">
        <w:rPr>
          <w:rFonts w:ascii="Arial" w:hAnsi="Arial" w:eastAsia="Arial" w:cs="Arial"/>
          <w:noProof w:val="0"/>
          <w:sz w:val="22"/>
          <w:szCs w:val="22"/>
          <w:lang w:val="en-US"/>
        </w:rPr>
        <w:t xml:space="preserve">Housing issues </w:t>
      </w:r>
    </w:p>
    <w:p w:rsidR="00067522" w:rsidP="238B8832" w:rsidRDefault="00067522" w14:paraId="54F1D3D6" w14:textId="3BB6C5F4">
      <w:pPr>
        <w:pStyle w:val="ListParagraph"/>
        <w:numPr>
          <w:ilvl w:val="0"/>
          <w:numId w:val="17"/>
        </w:numPr>
        <w:spacing w:before="240" w:beforeAutospacing="off" w:after="240" w:afterAutospacing="off" w:line="360" w:lineRule="auto"/>
        <w:rPr>
          <w:rFonts w:ascii="Arial" w:hAnsi="Arial" w:eastAsia="Arial" w:cs="Arial"/>
          <w:noProof w:val="0"/>
          <w:sz w:val="22"/>
          <w:szCs w:val="22"/>
          <w:lang w:val="en-US"/>
        </w:rPr>
      </w:pPr>
      <w:r w:rsidRPr="238B8832" w:rsidR="44CAFDE1">
        <w:rPr>
          <w:rFonts w:ascii="Arial" w:hAnsi="Arial" w:eastAsia="Arial" w:cs="Arial"/>
          <w:noProof w:val="0"/>
          <w:sz w:val="22"/>
          <w:szCs w:val="22"/>
          <w:lang w:val="en-US"/>
        </w:rPr>
        <w:t xml:space="preserve">Domestic abuse or family conflict </w:t>
      </w:r>
    </w:p>
    <w:p w:rsidR="00067522" w:rsidP="238B8832" w:rsidRDefault="00067522" w14:paraId="1EFFFCA5" w14:textId="4EFAFF64">
      <w:pPr>
        <w:pStyle w:val="ListParagraph"/>
        <w:numPr>
          <w:ilvl w:val="0"/>
          <w:numId w:val="17"/>
        </w:numPr>
        <w:spacing w:before="240" w:beforeAutospacing="off" w:after="240" w:afterAutospacing="off" w:line="360" w:lineRule="auto"/>
        <w:rPr>
          <w:rFonts w:ascii="Arial" w:hAnsi="Arial" w:eastAsia="Arial" w:cs="Arial"/>
          <w:noProof w:val="0"/>
          <w:sz w:val="22"/>
          <w:szCs w:val="22"/>
          <w:lang w:val="en-US"/>
        </w:rPr>
      </w:pPr>
      <w:r w:rsidRPr="238B8832" w:rsidR="44CAFDE1">
        <w:rPr>
          <w:rFonts w:ascii="Arial" w:hAnsi="Arial" w:eastAsia="Arial" w:cs="Arial"/>
          <w:noProof w:val="0"/>
          <w:sz w:val="22"/>
          <w:szCs w:val="22"/>
          <w:lang w:val="en-US"/>
        </w:rPr>
        <w:t xml:space="preserve">Neurodiversity or unmet SEND needs </w:t>
      </w:r>
    </w:p>
    <w:p w:rsidR="00067522" w:rsidP="238B8832" w:rsidRDefault="00067522" w14:paraId="19CF0C6C" w14:textId="460CECF1">
      <w:pPr>
        <w:spacing w:before="0" w:beforeAutospacing="off" w:after="240" w:afterAutospacing="off" w:line="360" w:lineRule="auto"/>
        <w:rPr>
          <w:noProof w:val="0"/>
          <w:color w:val="auto"/>
          <w:lang w:val="en-US"/>
        </w:rPr>
      </w:pPr>
      <w:r w:rsidRPr="238B8832" w:rsidR="44CAFDE1">
        <w:rPr>
          <w:rFonts w:ascii="Arial" w:hAnsi="Arial" w:eastAsia="Arial" w:cs="Arial"/>
          <w:noProof w:val="0"/>
          <w:sz w:val="22"/>
          <w:szCs w:val="22"/>
          <w:lang w:val="en-US"/>
        </w:rPr>
        <w:t>This holistic lens ensures families are supported comprehensively rather than in a fragmented, problem-by-problem manner</w:t>
      </w:r>
      <w:r w:rsidRPr="238B8832" w:rsidR="44CAFDE1">
        <w:rPr>
          <w:noProof w:val="0"/>
          <w:lang w:val="en-US"/>
        </w:rPr>
        <w:t>.</w:t>
      </w:r>
    </w:p>
    <w:p w:rsidR="00067522" w:rsidP="238B8832" w:rsidRDefault="00067522" w14:paraId="47E07AE4" w14:textId="148F7F0D">
      <w:pPr>
        <w:pStyle w:val="Heading3"/>
        <w:spacing w:before="0" w:beforeAutospacing="off" w:after="281" w:afterAutospacing="off"/>
        <w:rPr>
          <w:b w:val="1"/>
          <w:bCs w:val="1"/>
          <w:noProof w:val="0"/>
          <w:color w:val="auto"/>
          <w:sz w:val="28"/>
          <w:szCs w:val="28"/>
          <w:lang w:val="en-US"/>
        </w:rPr>
      </w:pPr>
      <w:r w:rsidRPr="238B8832" w:rsidR="44CAFDE1">
        <w:rPr>
          <w:b w:val="1"/>
          <w:bCs w:val="1"/>
          <w:noProof w:val="0"/>
          <w:color w:val="auto"/>
          <w:sz w:val="28"/>
          <w:szCs w:val="28"/>
          <w:lang w:val="en-US"/>
        </w:rPr>
        <w:t>2.3 The Continuum of Need</w:t>
      </w:r>
    </w:p>
    <w:p w:rsidR="00067522" w:rsidP="238B8832" w:rsidRDefault="00067522" w14:paraId="74EE2E61" w14:textId="3BEDFCC2">
      <w:pPr>
        <w:spacing w:before="0" w:beforeAutospacing="off" w:after="240" w:afterAutospacing="off" w:line="360" w:lineRule="auto"/>
        <w:rPr>
          <w:rFonts w:ascii="Arial" w:hAnsi="Arial" w:eastAsia="Arial" w:cs="Arial"/>
          <w:noProof w:val="0"/>
          <w:sz w:val="22"/>
          <w:szCs w:val="22"/>
          <w:lang w:val="en-US"/>
        </w:rPr>
      </w:pPr>
      <w:r w:rsidRPr="238B8832" w:rsidR="44CAFDE1">
        <w:rPr>
          <w:rFonts w:ascii="Arial" w:hAnsi="Arial" w:eastAsia="Arial" w:cs="Arial"/>
          <w:noProof w:val="0"/>
          <w:sz w:val="22"/>
          <w:szCs w:val="22"/>
          <w:lang w:val="en-US"/>
        </w:rPr>
        <w:t>National guidance conceptualizes child and family needs as a continuum:</w:t>
      </w:r>
    </w:p>
    <w:p w:rsidR="00067522" w:rsidP="238B8832" w:rsidRDefault="00067522" w14:paraId="713F3ED1" w14:textId="4B206B50">
      <w:pPr>
        <w:pStyle w:val="ListParagraph"/>
        <w:numPr>
          <w:ilvl w:val="0"/>
          <w:numId w:val="18"/>
        </w:numPr>
        <w:spacing w:before="240" w:beforeAutospacing="off" w:after="240" w:afterAutospacing="off" w:line="360" w:lineRule="auto"/>
        <w:rPr>
          <w:rFonts w:ascii="Arial" w:hAnsi="Arial" w:eastAsia="Arial" w:cs="Arial"/>
          <w:b w:val="0"/>
          <w:bCs w:val="0"/>
          <w:noProof w:val="0"/>
          <w:sz w:val="22"/>
          <w:szCs w:val="22"/>
          <w:lang w:val="en-US"/>
        </w:rPr>
      </w:pPr>
      <w:r w:rsidRPr="238B8832" w:rsidR="44CAFDE1">
        <w:rPr>
          <w:rFonts w:ascii="Arial" w:hAnsi="Arial" w:eastAsia="Arial" w:cs="Arial"/>
          <w:b w:val="0"/>
          <w:bCs w:val="0"/>
          <w:noProof w:val="0"/>
          <w:sz w:val="22"/>
          <w:szCs w:val="22"/>
          <w:lang w:val="en-US"/>
        </w:rPr>
        <w:t xml:space="preserve">Level 1 Universal </w:t>
      </w:r>
      <w:r w:rsidRPr="238B8832" w:rsidR="44CAFDE1">
        <w:rPr>
          <w:rFonts w:ascii="Arial" w:hAnsi="Arial" w:eastAsia="Arial" w:cs="Arial"/>
          <w:b w:val="0"/>
          <w:bCs w:val="0"/>
          <w:noProof w:val="0"/>
          <w:sz w:val="22"/>
          <w:szCs w:val="22"/>
          <w:lang w:val="en-US"/>
        </w:rPr>
        <w:t>Services:</w:t>
      </w:r>
      <w:r w:rsidRPr="238B8832" w:rsidR="44CAFDE1">
        <w:rPr>
          <w:rFonts w:ascii="Arial" w:hAnsi="Arial" w:eastAsia="Arial" w:cs="Arial"/>
          <w:b w:val="0"/>
          <w:bCs w:val="0"/>
          <w:noProof w:val="0"/>
          <w:sz w:val="22"/>
          <w:szCs w:val="22"/>
          <w:lang w:val="en-US"/>
        </w:rPr>
        <w:t xml:space="preserve"> Open to all families, including schools, GPs, and health visitors.</w:t>
      </w:r>
    </w:p>
    <w:p w:rsidR="00067522" w:rsidP="238B8832" w:rsidRDefault="00067522" w14:paraId="3BD914B4" w14:textId="26EF2B46">
      <w:pPr>
        <w:pStyle w:val="ListParagraph"/>
        <w:numPr>
          <w:ilvl w:val="0"/>
          <w:numId w:val="18"/>
        </w:numPr>
        <w:spacing w:before="240" w:beforeAutospacing="off" w:after="240" w:afterAutospacing="off" w:line="360" w:lineRule="auto"/>
        <w:rPr>
          <w:rFonts w:ascii="Arial" w:hAnsi="Arial" w:eastAsia="Arial" w:cs="Arial"/>
          <w:b w:val="0"/>
          <w:bCs w:val="0"/>
          <w:noProof w:val="0"/>
          <w:sz w:val="22"/>
          <w:szCs w:val="22"/>
          <w:lang w:val="en-US"/>
        </w:rPr>
      </w:pPr>
      <w:r w:rsidRPr="238B8832" w:rsidR="44CAFDE1">
        <w:rPr>
          <w:rFonts w:ascii="Arial" w:hAnsi="Arial" w:eastAsia="Arial" w:cs="Arial"/>
          <w:b w:val="0"/>
          <w:bCs w:val="0"/>
          <w:noProof w:val="0"/>
          <w:sz w:val="22"/>
          <w:szCs w:val="22"/>
          <w:lang w:val="en-US"/>
        </w:rPr>
        <w:t>Level 2–3 Early Help/Targeted Support:</w:t>
      </w:r>
      <w:r w:rsidRPr="238B8832" w:rsidR="44CAFDE1">
        <w:rPr>
          <w:rFonts w:ascii="Arial" w:hAnsi="Arial" w:eastAsia="Arial" w:cs="Arial"/>
          <w:b w:val="0"/>
          <w:bCs w:val="0"/>
          <w:noProof w:val="0"/>
          <w:sz w:val="22"/>
          <w:szCs w:val="22"/>
          <w:lang w:val="en-US"/>
        </w:rPr>
        <w:t xml:space="preserve"> Emerging needs requiring coordinated, multi-agency planning and voluntary engagement.</w:t>
      </w:r>
    </w:p>
    <w:p w:rsidR="00067522" w:rsidP="238B8832" w:rsidRDefault="00067522" w14:paraId="1EF59982" w14:textId="7A2BA8E0">
      <w:pPr>
        <w:pStyle w:val="ListParagraph"/>
        <w:numPr>
          <w:ilvl w:val="0"/>
          <w:numId w:val="18"/>
        </w:numPr>
        <w:spacing w:before="240" w:beforeAutospacing="off" w:after="240" w:afterAutospacing="off" w:line="360" w:lineRule="auto"/>
        <w:rPr>
          <w:rFonts w:ascii="Arial" w:hAnsi="Arial" w:eastAsia="Arial" w:cs="Arial"/>
          <w:b w:val="0"/>
          <w:bCs w:val="0"/>
          <w:noProof w:val="0"/>
          <w:sz w:val="22"/>
          <w:szCs w:val="22"/>
          <w:lang w:val="en-US"/>
        </w:rPr>
      </w:pPr>
      <w:r w:rsidRPr="238B8832" w:rsidR="44CAFDE1">
        <w:rPr>
          <w:rFonts w:ascii="Arial" w:hAnsi="Arial" w:eastAsia="Arial" w:cs="Arial"/>
          <w:b w:val="0"/>
          <w:bCs w:val="0"/>
          <w:noProof w:val="0"/>
          <w:sz w:val="22"/>
          <w:szCs w:val="22"/>
          <w:lang w:val="en-US"/>
        </w:rPr>
        <w:t>Level 4 Statutory</w:t>
      </w:r>
      <w:r w:rsidRPr="238B8832" w:rsidR="412293E0">
        <w:rPr>
          <w:rFonts w:ascii="Arial" w:hAnsi="Arial" w:eastAsia="Arial" w:cs="Arial"/>
          <w:b w:val="0"/>
          <w:bCs w:val="0"/>
          <w:noProof w:val="0"/>
          <w:sz w:val="22"/>
          <w:szCs w:val="22"/>
          <w:lang w:val="en-US"/>
        </w:rPr>
        <w:t xml:space="preserve"> </w:t>
      </w:r>
      <w:r w:rsidRPr="238B8832" w:rsidR="44CAFDE1">
        <w:rPr>
          <w:rFonts w:ascii="Arial" w:hAnsi="Arial" w:eastAsia="Arial" w:cs="Arial"/>
          <w:b w:val="0"/>
          <w:bCs w:val="0"/>
          <w:noProof w:val="0"/>
          <w:sz w:val="22"/>
          <w:szCs w:val="22"/>
          <w:lang w:val="en-US"/>
        </w:rPr>
        <w:t>Child Protection:</w:t>
      </w:r>
      <w:r w:rsidRPr="238B8832" w:rsidR="44CAFDE1">
        <w:rPr>
          <w:rFonts w:ascii="Arial" w:hAnsi="Arial" w:eastAsia="Arial" w:cs="Arial"/>
          <w:b w:val="0"/>
          <w:bCs w:val="0"/>
          <w:noProof w:val="0"/>
          <w:sz w:val="22"/>
          <w:szCs w:val="22"/>
          <w:lang w:val="en-US"/>
        </w:rPr>
        <w:t xml:space="preserve"> Cases where the child is at risk of significant harm, triggering social care intervention.</w:t>
      </w:r>
    </w:p>
    <w:p w:rsidR="00067522" w:rsidP="238B8832" w:rsidRDefault="00067522" w14:paraId="4290881A" w14:textId="18CAE32C">
      <w:pPr>
        <w:pStyle w:val="Normal"/>
        <w:spacing w:before="0" w:beforeAutospacing="off" w:after="240" w:afterAutospacing="off" w:line="360" w:lineRule="auto"/>
        <w:rPr>
          <w:rFonts w:ascii="Arial" w:hAnsi="Arial" w:eastAsia="Arial" w:cs="Arial"/>
          <w:noProof w:val="0"/>
          <w:lang w:val="en-US"/>
        </w:rPr>
      </w:pPr>
      <w:r w:rsidRPr="238B8832" w:rsidR="44CAFDE1">
        <w:rPr>
          <w:rFonts w:ascii="Arial" w:hAnsi="Arial" w:eastAsia="Arial" w:cs="Arial"/>
          <w:noProof w:val="0"/>
          <w:sz w:val="22"/>
          <w:szCs w:val="22"/>
          <w:lang w:val="en-US"/>
        </w:rPr>
        <w:t xml:space="preserve">Effective websites must help </w:t>
      </w:r>
      <w:r w:rsidRPr="238B8832" w:rsidR="537D3EF3">
        <w:rPr>
          <w:rFonts w:ascii="Arial" w:hAnsi="Arial" w:eastAsia="Arial" w:cs="Arial"/>
          <w:noProof w:val="0"/>
          <w:sz w:val="22"/>
          <w:szCs w:val="22"/>
          <w:lang w:val="en-US"/>
        </w:rPr>
        <w:t xml:space="preserve">and </w:t>
      </w:r>
      <w:r w:rsidRPr="238B8832" w:rsidR="537D3EF3">
        <w:rPr>
          <w:rFonts w:ascii="Arial" w:hAnsi="Arial" w:eastAsia="Arial" w:cs="Arial"/>
          <w:b w:val="0"/>
          <w:bCs w:val="0"/>
          <w:i w:val="0"/>
          <w:iCs w:val="0"/>
          <w:caps w:val="0"/>
          <w:smallCaps w:val="0"/>
          <w:noProof w:val="0"/>
          <w:color w:val="000000" w:themeColor="text1" w:themeTint="FF" w:themeShade="FF"/>
          <w:sz w:val="22"/>
          <w:szCs w:val="22"/>
          <w:lang w:val="en-US"/>
        </w:rPr>
        <w:t>support</w:t>
      </w:r>
      <w:r w:rsidRPr="238B8832" w:rsidR="537D3EF3">
        <w:rPr>
          <w:rFonts w:ascii="Arial" w:hAnsi="Arial" w:eastAsia="Arial" w:cs="Arial"/>
          <w:noProof w:val="0"/>
          <w:sz w:val="22"/>
          <w:szCs w:val="22"/>
          <w:lang w:val="en-US"/>
        </w:rPr>
        <w:t xml:space="preserve"> </w:t>
      </w:r>
      <w:r w:rsidRPr="238B8832" w:rsidR="537D3EF3">
        <w:rPr>
          <w:rFonts w:ascii="Arial" w:hAnsi="Arial" w:eastAsia="Arial" w:cs="Arial"/>
          <w:noProof w:val="0"/>
          <w:sz w:val="22"/>
          <w:szCs w:val="22"/>
          <w:lang w:val="en-US"/>
        </w:rPr>
        <w:t>families with</w:t>
      </w:r>
      <w:r w:rsidRPr="238B8832" w:rsidR="37B450B4">
        <w:rPr>
          <w:rFonts w:ascii="Arial" w:hAnsi="Arial" w:eastAsia="Arial" w:cs="Arial"/>
          <w:b w:val="0"/>
          <w:bCs w:val="0"/>
          <w:i w:val="0"/>
          <w:iCs w:val="0"/>
          <w:caps w:val="0"/>
          <w:smallCaps w:val="0"/>
          <w:noProof w:val="0"/>
          <w:color w:val="000000" w:themeColor="text1" w:themeTint="FF" w:themeShade="FF"/>
          <w:sz w:val="22"/>
          <w:szCs w:val="22"/>
          <w:lang w:val="en-US"/>
        </w:rPr>
        <w:t xml:space="preserve"> specific needs, such as parenting programs, youth support, or domestic abuse interventions. </w:t>
      </w:r>
      <w:r w:rsidRPr="238B8832" w:rsidR="37B450B4">
        <w:rPr>
          <w:rFonts w:ascii="Arial" w:hAnsi="Arial" w:eastAsia="Arial" w:cs="Arial"/>
          <w:b w:val="0"/>
          <w:bCs w:val="0"/>
          <w:i w:val="0"/>
          <w:iCs w:val="0"/>
          <w:caps w:val="0"/>
          <w:smallCaps w:val="0"/>
          <w:noProof w:val="0"/>
          <w:color w:val="000000" w:themeColor="text1" w:themeTint="FF" w:themeShade="FF"/>
          <w:sz w:val="22"/>
          <w:szCs w:val="22"/>
          <w:lang w:val="en-US"/>
        </w:rPr>
        <w:t>Or</w:t>
      </w:r>
      <w:r w:rsidRPr="238B8832" w:rsidR="44CAFDE1">
        <w:rPr>
          <w:rFonts w:ascii="Arial" w:hAnsi="Arial" w:eastAsia="Arial" w:cs="Arial"/>
          <w:noProof w:val="0"/>
          <w:sz w:val="22"/>
          <w:szCs w:val="22"/>
          <w:lang w:val="en-US"/>
        </w:rPr>
        <w:t xml:space="preserve"> </w:t>
      </w:r>
      <w:r w:rsidRPr="238B8832" w:rsidR="44CAFDE1">
        <w:rPr>
          <w:rFonts w:ascii="Arial" w:hAnsi="Arial" w:eastAsia="Arial" w:cs="Arial"/>
          <w:noProof w:val="0"/>
          <w:sz w:val="22"/>
          <w:szCs w:val="22"/>
          <w:lang w:val="en-US"/>
        </w:rPr>
        <w:t>identify</w:t>
      </w:r>
      <w:r w:rsidRPr="238B8832" w:rsidR="44CAFDE1">
        <w:rPr>
          <w:rFonts w:ascii="Arial" w:hAnsi="Arial" w:eastAsia="Arial" w:cs="Arial"/>
          <w:noProof w:val="0"/>
          <w:sz w:val="22"/>
          <w:szCs w:val="22"/>
          <w:lang w:val="en-US"/>
        </w:rPr>
        <w:t xml:space="preserve"> themselves at Levels 2 or 3 and feel confident enough to seek support before the threshold reaches Level 4.</w:t>
      </w:r>
    </w:p>
    <w:p w:rsidR="00067522" w:rsidP="238B8832" w:rsidRDefault="00067522" w14:paraId="434ECC0A" w14:textId="31B4369F">
      <w:pPr>
        <w:jc w:val="center"/>
      </w:pPr>
    </w:p>
    <w:p w:rsidR="00067522" w:rsidP="238B8832" w:rsidRDefault="00067522" w14:paraId="3CA34082" w14:textId="347130A1">
      <w:pPr>
        <w:pStyle w:val="Heading2"/>
        <w:spacing w:before="0" w:beforeAutospacing="off" w:after="299" w:afterAutospacing="off"/>
        <w:rPr>
          <w:b w:val="1"/>
          <w:bCs w:val="1"/>
          <w:noProof w:val="0"/>
          <w:color w:val="auto"/>
          <w:sz w:val="36"/>
          <w:szCs w:val="36"/>
          <w:lang w:val="en-US"/>
        </w:rPr>
      </w:pPr>
      <w:r w:rsidRPr="238B8832" w:rsidR="44CAFDE1">
        <w:rPr>
          <w:b w:val="1"/>
          <w:bCs w:val="1"/>
          <w:noProof w:val="0"/>
          <w:color w:val="auto"/>
          <w:sz w:val="36"/>
          <w:szCs w:val="36"/>
          <w:lang w:val="en-US"/>
        </w:rPr>
        <w:t>3. Multi-Agency Working: The Mechanics of Support</w:t>
      </w:r>
    </w:p>
    <w:p w:rsidR="00067522" w:rsidP="238B8832" w:rsidRDefault="00067522" w14:paraId="1B4C1644" w14:textId="3E7B2732">
      <w:pPr>
        <w:pStyle w:val="Normal"/>
        <w:jc w:val="center"/>
      </w:pPr>
      <w:r w:rsidR="43408F56">
        <w:drawing>
          <wp:inline wp14:editId="7326036E" wp14:anchorId="7CEAA57D">
            <wp:extent cx="3333750" cy="3276600"/>
            <wp:effectExtent l="0" t="0" r="0" b="0"/>
            <wp:docPr id="5173101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17310134" name="Picture 517310134"/>
                    <pic:cNvPicPr/>
                  </pic:nvPicPr>
                  <pic:blipFill>
                    <a:blip xmlns:r="http://schemas.openxmlformats.org/officeDocument/2006/relationships" r:embed="rId1749361788">
                      <a:extLst>
                        <a:ext uri="{28A0092B-C50C-407E-A947-70E740481C1C}">
                          <a14:useLocalDpi xmlns:a14="http://schemas.microsoft.com/office/drawing/2010/main"/>
                        </a:ext>
                      </a:extLst>
                    </a:blip>
                    <a:stretch>
                      <a:fillRect/>
                    </a:stretch>
                  </pic:blipFill>
                  <pic:spPr>
                    <a:xfrm>
                      <a:off x="0" y="0"/>
                      <a:ext cx="3333750" cy="3276600"/>
                    </a:xfrm>
                    <a:prstGeom prst="rect">
                      <a:avLst/>
                    </a:prstGeom>
                  </pic:spPr>
                </pic:pic>
              </a:graphicData>
            </a:graphic>
          </wp:inline>
        </w:drawing>
      </w:r>
    </w:p>
    <w:p w:rsidR="00067522" w:rsidP="238B8832" w:rsidRDefault="00067522" w14:paraId="794F586D" w14:textId="5169C429">
      <w:pPr>
        <w:pStyle w:val="Normal"/>
        <w:rPr>
          <w:b w:val="1"/>
          <w:bCs w:val="1"/>
          <w:noProof w:val="0"/>
          <w:color w:val="auto"/>
          <w:sz w:val="28"/>
          <w:szCs w:val="28"/>
          <w:lang w:val="en-US"/>
        </w:rPr>
      </w:pPr>
      <w:r w:rsidRPr="238B8832" w:rsidR="44CAFDE1">
        <w:rPr>
          <w:b w:val="1"/>
          <w:bCs w:val="1"/>
          <w:noProof w:val="0"/>
          <w:color w:val="auto"/>
          <w:sz w:val="28"/>
          <w:szCs w:val="28"/>
          <w:lang w:val="en-US"/>
        </w:rPr>
        <w:t xml:space="preserve">3.1 </w:t>
      </w:r>
      <w:r w:rsidRPr="238B8832" w:rsidR="44CAFDE1">
        <w:rPr>
          <w:b w:val="1"/>
          <w:bCs w:val="1"/>
          <w:noProof w:val="0"/>
          <w:color w:val="auto"/>
          <w:sz w:val="28"/>
          <w:szCs w:val="28"/>
          <w:lang w:val="en-US"/>
        </w:rPr>
        <w:t>Multi-Agency System</w:t>
      </w:r>
      <w:r w:rsidRPr="238B8832" w:rsidR="6B534FC8">
        <w:rPr>
          <w:b w:val="1"/>
          <w:bCs w:val="1"/>
          <w:noProof w:val="0"/>
          <w:color w:val="auto"/>
          <w:sz w:val="28"/>
          <w:szCs w:val="28"/>
          <w:lang w:val="en-US"/>
        </w:rPr>
        <w:t xml:space="preserve">s </w:t>
      </w:r>
      <w:r w:rsidRPr="238B8832" w:rsidR="6B534FC8">
        <w:rPr>
          <w:b w:val="1"/>
          <w:bCs w:val="1"/>
          <w:noProof w:val="0"/>
          <w:lang w:val="en-US"/>
        </w:rPr>
        <w:t>Information Sharing</w:t>
      </w:r>
    </w:p>
    <w:p w:rsidR="00067522" w:rsidP="238B8832" w:rsidRDefault="00067522" w14:paraId="6A9EB6A2" w14:textId="355AFF38">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US"/>
        </w:rPr>
      </w:pPr>
      <w:r w:rsidRPr="238B8832" w:rsidR="0EA0C477">
        <w:rPr>
          <w:rFonts w:ascii="Arial" w:hAnsi="Arial" w:eastAsia="Arial" w:cs="Arial"/>
          <w:b w:val="0"/>
          <w:bCs w:val="0"/>
          <w:i w:val="0"/>
          <w:iCs w:val="0"/>
          <w:caps w:val="0"/>
          <w:smallCaps w:val="0"/>
          <w:noProof w:val="0"/>
          <w:color w:val="000000" w:themeColor="text1" w:themeTint="FF" w:themeShade="FF"/>
          <w:sz w:val="22"/>
          <w:szCs w:val="22"/>
          <w:lang w:val="en-US"/>
        </w:rPr>
        <w:t>Multi-agency work is the "engine room" of the early aid system.</w:t>
      </w:r>
      <w:r w:rsidRPr="238B8832" w:rsidR="0EA0C477">
        <w:rPr>
          <w:rFonts w:ascii="Arial" w:hAnsi="Arial" w:eastAsia="Arial" w:cs="Arial"/>
          <w:b w:val="0"/>
          <w:bCs w:val="0"/>
          <w:i w:val="0"/>
          <w:iCs w:val="0"/>
          <w:caps w:val="0"/>
          <w:smallCaps w:val="0"/>
          <w:noProof w:val="0"/>
          <w:color w:val="000000" w:themeColor="text1" w:themeTint="FF" w:themeShade="FF"/>
          <w:sz w:val="22"/>
          <w:szCs w:val="22"/>
          <w:lang w:val="en-US"/>
        </w:rPr>
        <w:t xml:space="preserve"> It is based on the principle of early </w:t>
      </w:r>
      <w:r w:rsidRPr="238B8832" w:rsidR="0EA0C477">
        <w:rPr>
          <w:rFonts w:ascii="Arial" w:hAnsi="Arial" w:eastAsia="Arial" w:cs="Arial"/>
          <w:b w:val="0"/>
          <w:bCs w:val="0"/>
          <w:i w:val="0"/>
          <w:iCs w:val="0"/>
          <w:caps w:val="0"/>
          <w:smallCaps w:val="0"/>
          <w:noProof w:val="0"/>
          <w:color w:val="000000" w:themeColor="text1" w:themeTint="FF" w:themeShade="FF"/>
          <w:sz w:val="22"/>
          <w:szCs w:val="22"/>
          <w:lang w:val="en-US"/>
        </w:rPr>
        <w:t>assistance</w:t>
      </w:r>
      <w:r w:rsidRPr="238B8832" w:rsidR="0EA0C477">
        <w:rPr>
          <w:rFonts w:ascii="Arial" w:hAnsi="Arial" w:eastAsia="Arial" w:cs="Arial"/>
          <w:b w:val="0"/>
          <w:bCs w:val="0"/>
          <w:i w:val="0"/>
          <w:iCs w:val="0"/>
          <w:caps w:val="0"/>
          <w:smallCaps w:val="0"/>
          <w:noProof w:val="0"/>
          <w:color w:val="000000" w:themeColor="text1" w:themeTint="FF" w:themeShade="FF"/>
          <w:sz w:val="22"/>
          <w:szCs w:val="22"/>
          <w:lang w:val="en-US"/>
        </w:rPr>
        <w:t xml:space="preserve">, which is based on coordinated action across health, education, police, the voluntary sector, </w:t>
      </w:r>
      <w:r w:rsidRPr="238B8832" w:rsidR="0EA0C477">
        <w:rPr>
          <w:rFonts w:ascii="Arial" w:hAnsi="Arial" w:eastAsia="Arial" w:cs="Arial"/>
          <w:b w:val="0"/>
          <w:bCs w:val="0"/>
          <w:i w:val="0"/>
          <w:iCs w:val="0"/>
          <w:caps w:val="0"/>
          <w:smallCaps w:val="0"/>
          <w:noProof w:val="0"/>
          <w:color w:val="000000" w:themeColor="text1" w:themeTint="FF" w:themeShade="FF"/>
          <w:sz w:val="22"/>
          <w:szCs w:val="22"/>
          <w:lang w:val="en-US"/>
        </w:rPr>
        <w:t>socia care</w:t>
      </w:r>
      <w:r w:rsidRPr="238B8832" w:rsidR="0EA0C477">
        <w:rPr>
          <w:rFonts w:ascii="Arial" w:hAnsi="Arial" w:eastAsia="Arial" w:cs="Arial"/>
          <w:b w:val="0"/>
          <w:bCs w:val="0"/>
          <w:i w:val="0"/>
          <w:iCs w:val="0"/>
          <w:caps w:val="0"/>
          <w:smallCaps w:val="0"/>
          <w:noProof w:val="0"/>
          <w:color w:val="000000" w:themeColor="text1" w:themeTint="FF" w:themeShade="FF"/>
          <w:sz w:val="22"/>
          <w:szCs w:val="22"/>
          <w:lang w:val="en-US"/>
        </w:rPr>
        <w:t xml:space="preserve">, and ensuring that data is used to </w:t>
      </w:r>
      <w:r w:rsidRPr="238B8832" w:rsidR="0EA0C477">
        <w:rPr>
          <w:rFonts w:ascii="Arial" w:hAnsi="Arial" w:eastAsia="Arial" w:cs="Arial"/>
          <w:b w:val="0"/>
          <w:bCs w:val="0"/>
          <w:i w:val="0"/>
          <w:iCs w:val="0"/>
          <w:caps w:val="0"/>
          <w:smallCaps w:val="0"/>
          <w:noProof w:val="0"/>
          <w:color w:val="000000" w:themeColor="text1" w:themeTint="FF" w:themeShade="FF"/>
          <w:sz w:val="22"/>
          <w:szCs w:val="22"/>
          <w:lang w:val="en-US"/>
        </w:rPr>
        <w:t>identify</w:t>
      </w:r>
      <w:r w:rsidRPr="238B8832" w:rsidR="0EA0C477">
        <w:rPr>
          <w:rFonts w:ascii="Arial" w:hAnsi="Arial" w:eastAsia="Arial" w:cs="Arial"/>
          <w:b w:val="0"/>
          <w:bCs w:val="0"/>
          <w:i w:val="0"/>
          <w:iCs w:val="0"/>
          <w:caps w:val="0"/>
          <w:smallCaps w:val="0"/>
          <w:noProof w:val="0"/>
          <w:color w:val="000000" w:themeColor="text1" w:themeTint="FF" w:themeShade="FF"/>
          <w:sz w:val="22"/>
          <w:szCs w:val="22"/>
          <w:lang w:val="en-US"/>
        </w:rPr>
        <w:t xml:space="preserve"> early signs of neglect or family stress. The book "Working Together" (2023) emphasizes that no agency alone is a complete picture of a child's life. Therefore, information sharing and shared responsibility are essential to ensure effective protection.</w:t>
      </w:r>
    </w:p>
    <w:p w:rsidR="00067522" w:rsidP="238B8832" w:rsidRDefault="00067522" w14:paraId="4738BAD3" w14:textId="65C78346">
      <w:pPr>
        <w:pStyle w:val="Heading3"/>
        <w:spacing w:before="0" w:beforeAutospacing="off" w:after="281" w:afterAutospacing="off"/>
        <w:rPr>
          <w:b w:val="1"/>
          <w:bCs w:val="1"/>
          <w:noProof w:val="0"/>
          <w:color w:val="auto"/>
          <w:sz w:val="28"/>
          <w:szCs w:val="28"/>
          <w:lang w:val="en-US"/>
        </w:rPr>
      </w:pPr>
      <w:r w:rsidRPr="238B8832" w:rsidR="44CAFDE1">
        <w:rPr>
          <w:b w:val="1"/>
          <w:bCs w:val="1"/>
          <w:noProof w:val="0"/>
          <w:color w:val="auto"/>
          <w:sz w:val="28"/>
          <w:szCs w:val="28"/>
          <w:lang w:val="en-US"/>
        </w:rPr>
        <w:t>3.2 The Early Help</w:t>
      </w:r>
      <w:r w:rsidRPr="238B8832" w:rsidR="66F8D6B8">
        <w:rPr>
          <w:b w:val="1"/>
          <w:bCs w:val="1"/>
          <w:noProof w:val="0"/>
          <w:color w:val="auto"/>
          <w:sz w:val="28"/>
          <w:szCs w:val="28"/>
          <w:lang w:val="en-US"/>
        </w:rPr>
        <w:t xml:space="preserve"> joint</w:t>
      </w:r>
      <w:r w:rsidRPr="238B8832" w:rsidR="44CAFDE1">
        <w:rPr>
          <w:b w:val="1"/>
          <w:bCs w:val="1"/>
          <w:noProof w:val="0"/>
          <w:color w:val="auto"/>
          <w:sz w:val="28"/>
          <w:szCs w:val="28"/>
          <w:lang w:val="en-US"/>
        </w:rPr>
        <w:t xml:space="preserve"> Assessment </w:t>
      </w:r>
    </w:p>
    <w:p w:rsidR="00067522" w:rsidP="238B8832" w:rsidRDefault="00067522" w14:paraId="50224CE0" w14:textId="22F97069">
      <w:pPr>
        <w:spacing w:before="0" w:beforeAutospacing="off" w:after="240" w:afterAutospacing="off" w:line="360" w:lineRule="auto"/>
        <w:rPr>
          <w:rFonts w:ascii="Arial" w:hAnsi="Arial" w:eastAsia="Arial" w:cs="Arial"/>
          <w:noProof w:val="0"/>
          <w:sz w:val="22"/>
          <w:szCs w:val="22"/>
          <w:lang w:val="en-US"/>
        </w:rPr>
      </w:pPr>
      <w:r w:rsidRPr="238B8832" w:rsidR="44CAFDE1">
        <w:rPr>
          <w:rFonts w:ascii="Arial" w:hAnsi="Arial" w:eastAsia="Arial" w:cs="Arial"/>
          <w:noProof w:val="0"/>
          <w:sz w:val="22"/>
          <w:szCs w:val="22"/>
          <w:lang w:val="en-US"/>
        </w:rPr>
        <w:t xml:space="preserve">The </w:t>
      </w:r>
      <w:r w:rsidRPr="238B8832" w:rsidR="07C959AC">
        <w:rPr>
          <w:rFonts w:ascii="Arial" w:hAnsi="Arial" w:eastAsia="Arial" w:cs="Arial"/>
          <w:noProof w:val="0"/>
          <w:sz w:val="22"/>
          <w:szCs w:val="22"/>
          <w:lang w:val="en-US"/>
        </w:rPr>
        <w:t>Early</w:t>
      </w:r>
      <w:r w:rsidRPr="238B8832" w:rsidR="07C959AC">
        <w:rPr>
          <w:rFonts w:ascii="Arial" w:hAnsi="Arial" w:eastAsia="Arial" w:cs="Arial"/>
          <w:noProof w:val="0"/>
          <w:sz w:val="22"/>
          <w:szCs w:val="22"/>
          <w:lang w:val="en-US"/>
        </w:rPr>
        <w:t xml:space="preserve"> help</w:t>
      </w:r>
      <w:r w:rsidRPr="238B8832" w:rsidR="44CAFDE1">
        <w:rPr>
          <w:rFonts w:ascii="Arial" w:hAnsi="Arial" w:eastAsia="Arial" w:cs="Arial"/>
          <w:noProof w:val="0"/>
          <w:sz w:val="22"/>
          <w:szCs w:val="22"/>
          <w:lang w:val="en-US"/>
        </w:rPr>
        <w:t xml:space="preserve"> is a collaborative, </w:t>
      </w:r>
      <w:r w:rsidRPr="238B8832" w:rsidR="5FFA06DD">
        <w:rPr>
          <w:rFonts w:ascii="Arial" w:hAnsi="Arial" w:eastAsia="Arial" w:cs="Arial"/>
          <w:noProof w:val="0"/>
          <w:sz w:val="22"/>
          <w:szCs w:val="22"/>
          <w:lang w:val="en-US"/>
        </w:rPr>
        <w:t>strength</w:t>
      </w:r>
      <w:r w:rsidRPr="238B8832" w:rsidR="44CAFDE1">
        <w:rPr>
          <w:rFonts w:ascii="Arial" w:hAnsi="Arial" w:eastAsia="Arial" w:cs="Arial"/>
          <w:noProof w:val="0"/>
          <w:sz w:val="22"/>
          <w:szCs w:val="22"/>
          <w:lang w:val="en-US"/>
        </w:rPr>
        <w:t xml:space="preserve">-based assessment. It is used to </w:t>
      </w:r>
      <w:r w:rsidRPr="238B8832" w:rsidR="44CAFDE1">
        <w:rPr>
          <w:rFonts w:ascii="Arial" w:hAnsi="Arial" w:eastAsia="Arial" w:cs="Arial"/>
          <w:noProof w:val="0"/>
          <w:sz w:val="22"/>
          <w:szCs w:val="22"/>
          <w:lang w:val="en-US"/>
        </w:rPr>
        <w:t>identify</w:t>
      </w:r>
      <w:r w:rsidRPr="238B8832" w:rsidR="44CAFDE1">
        <w:rPr>
          <w:rFonts w:ascii="Arial" w:hAnsi="Arial" w:eastAsia="Arial" w:cs="Arial"/>
          <w:noProof w:val="0"/>
          <w:sz w:val="22"/>
          <w:szCs w:val="22"/>
          <w:lang w:val="en-US"/>
        </w:rPr>
        <w:t xml:space="preserve"> what is going well, understand current challenges, and plan necessary support while minimizing the need for families to repeat their stories. It is a voluntary and transparent process intended to empower families. Clear descriptions of the </w:t>
      </w:r>
      <w:r w:rsidRPr="238B8832" w:rsidR="5C232FA4">
        <w:rPr>
          <w:rFonts w:ascii="Arial" w:hAnsi="Arial" w:eastAsia="Arial" w:cs="Arial"/>
          <w:noProof w:val="0"/>
          <w:sz w:val="22"/>
          <w:szCs w:val="22"/>
          <w:lang w:val="en-US"/>
        </w:rPr>
        <w:t>Early help</w:t>
      </w:r>
      <w:r w:rsidRPr="238B8832" w:rsidR="44CAFDE1">
        <w:rPr>
          <w:rFonts w:ascii="Arial" w:hAnsi="Arial" w:eastAsia="Arial" w:cs="Arial"/>
          <w:noProof w:val="0"/>
          <w:sz w:val="22"/>
          <w:szCs w:val="22"/>
          <w:lang w:val="en-US"/>
        </w:rPr>
        <w:t xml:space="preserve"> </w:t>
      </w:r>
      <w:r w:rsidRPr="238B8832" w:rsidR="44CAFDE1">
        <w:rPr>
          <w:rFonts w:ascii="Arial" w:hAnsi="Arial" w:eastAsia="Arial" w:cs="Arial"/>
          <w:noProof w:val="0"/>
          <w:sz w:val="22"/>
          <w:szCs w:val="22"/>
          <w:lang w:val="en-US"/>
        </w:rPr>
        <w:t>on council websites can significantly reduce fear and encourage engagement.</w:t>
      </w:r>
    </w:p>
    <w:p w:rsidR="00067522" w:rsidP="238B8832" w:rsidRDefault="00067522" w14:paraId="584D717B" w14:textId="6CB3D2BF">
      <w:pPr>
        <w:pStyle w:val="Heading3"/>
        <w:spacing w:before="0" w:beforeAutospacing="off" w:after="281" w:afterAutospacing="off"/>
        <w:rPr>
          <w:b w:val="1"/>
          <w:bCs w:val="1"/>
          <w:noProof w:val="0"/>
          <w:color w:val="auto"/>
          <w:sz w:val="28"/>
          <w:szCs w:val="28"/>
          <w:lang w:val="en-US"/>
        </w:rPr>
      </w:pPr>
      <w:r w:rsidRPr="238B8832" w:rsidR="44CAFDE1">
        <w:rPr>
          <w:b w:val="1"/>
          <w:bCs w:val="1"/>
          <w:noProof w:val="0"/>
          <w:color w:val="auto"/>
          <w:sz w:val="28"/>
          <w:szCs w:val="28"/>
          <w:lang w:val="en-US"/>
        </w:rPr>
        <w:t xml:space="preserve">3.3 The Team Around the Family </w:t>
      </w:r>
    </w:p>
    <w:p w:rsidR="00067522" w:rsidP="238B8832" w:rsidRDefault="00067522" w14:paraId="1582E3BA" w14:textId="7D64A603">
      <w:pPr>
        <w:pStyle w:val="Normal"/>
        <w:spacing w:before="0" w:beforeAutospacing="off" w:after="240" w:afterAutospacing="off" w:line="360" w:lineRule="auto"/>
        <w:rPr>
          <w:rFonts w:ascii="Arial" w:hAnsi="Arial" w:eastAsia="Arial" w:cs="Arial"/>
          <w:b w:val="1"/>
          <w:bCs w:val="1"/>
          <w:color w:val="auto"/>
          <w:sz w:val="22"/>
          <w:szCs w:val="22"/>
        </w:rPr>
      </w:pPr>
      <w:r w:rsidRPr="238B8832" w:rsidR="0D55A308">
        <w:rPr>
          <w:rFonts w:ascii="Arial" w:hAnsi="Arial" w:eastAsia="Arial" w:cs="Arial"/>
          <w:b w:val="0"/>
          <w:bCs w:val="0"/>
          <w:i w:val="0"/>
          <w:iCs w:val="0"/>
          <w:caps w:val="0"/>
          <w:smallCaps w:val="0"/>
          <w:noProof w:val="0"/>
          <w:color w:val="000000" w:themeColor="text1" w:themeTint="FF" w:themeShade="FF"/>
          <w:sz w:val="22"/>
          <w:szCs w:val="22"/>
          <w:lang w:val="en-US"/>
        </w:rPr>
        <w:t>Escalation Pathways</w:t>
      </w:r>
      <w:r w:rsidRPr="238B8832" w:rsidR="0D55A308">
        <w:rPr>
          <w:rFonts w:ascii="Arial" w:hAnsi="Arial" w:eastAsia="Arial" w:cs="Arial"/>
          <w:noProof w:val="0"/>
          <w:sz w:val="22"/>
          <w:szCs w:val="22"/>
          <w:lang w:val="en-US"/>
        </w:rPr>
        <w:t xml:space="preserve"> </w:t>
      </w:r>
      <w:r w:rsidRPr="238B8832" w:rsidR="44CAFDE1">
        <w:rPr>
          <w:rFonts w:ascii="Arial" w:hAnsi="Arial" w:eastAsia="Arial" w:cs="Arial"/>
          <w:noProof w:val="0"/>
          <w:color w:val="auto"/>
          <w:sz w:val="22"/>
          <w:szCs w:val="22"/>
          <w:lang w:val="en-US"/>
        </w:rPr>
        <w:t xml:space="preserve">brings together the practitioners supporting the family, coordinated by a Lead Practitioner. This role ensures actions </w:t>
      </w:r>
      <w:r w:rsidRPr="238B8832" w:rsidR="44CAFDE1">
        <w:rPr>
          <w:rFonts w:ascii="Arial" w:hAnsi="Arial" w:eastAsia="Arial" w:cs="Arial"/>
          <w:noProof w:val="0"/>
          <w:color w:val="auto"/>
          <w:sz w:val="22"/>
          <w:szCs w:val="22"/>
          <w:lang w:val="en-US"/>
        </w:rPr>
        <w:t>remain</w:t>
      </w:r>
      <w:r w:rsidRPr="238B8832" w:rsidR="44CAFDE1">
        <w:rPr>
          <w:rFonts w:ascii="Arial" w:hAnsi="Arial" w:eastAsia="Arial" w:cs="Arial"/>
          <w:noProof w:val="0"/>
          <w:color w:val="auto"/>
          <w:sz w:val="22"/>
          <w:szCs w:val="22"/>
          <w:lang w:val="en-US"/>
        </w:rPr>
        <w:t xml:space="preserve"> child-centered and consistent. Council websites should clearly explain</w:t>
      </w:r>
      <w:r w:rsidRPr="238B8832" w:rsidR="4B654212">
        <w:rPr>
          <w:rFonts w:ascii="Arial" w:hAnsi="Arial" w:eastAsia="Arial" w:cs="Arial"/>
          <w:b w:val="0"/>
          <w:bCs w:val="0"/>
          <w:i w:val="0"/>
          <w:iCs w:val="0"/>
          <w:caps w:val="0"/>
          <w:smallCaps w:val="0"/>
          <w:noProof w:val="0"/>
          <w:color w:val="000000" w:themeColor="text1" w:themeTint="FF" w:themeShade="FF"/>
          <w:sz w:val="22"/>
          <w:szCs w:val="22"/>
          <w:lang w:val="en-US"/>
        </w:rPr>
        <w:t xml:space="preserve"> protocols</w:t>
      </w:r>
      <w:r w:rsidRPr="238B8832" w:rsidR="4C476E0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38B8832" w:rsidR="4B654212">
        <w:rPr>
          <w:rFonts w:ascii="Arial" w:hAnsi="Arial" w:eastAsia="Arial" w:cs="Arial"/>
          <w:b w:val="0"/>
          <w:bCs w:val="0"/>
          <w:i w:val="0"/>
          <w:iCs w:val="0"/>
          <w:caps w:val="0"/>
          <w:smallCaps w:val="0"/>
          <w:noProof w:val="0"/>
          <w:color w:val="000000" w:themeColor="text1" w:themeTint="FF" w:themeShade="FF"/>
          <w:sz w:val="22"/>
          <w:szCs w:val="22"/>
          <w:lang w:val="en-US"/>
        </w:rPr>
        <w:t>when a family’s needs move from Early Help into statutory Child in Need (Section 17) or Child Protection (Section 47) thresholds</w:t>
      </w:r>
      <w:r w:rsidRPr="238B8832" w:rsidR="44CAFDE1">
        <w:rPr>
          <w:rFonts w:ascii="Arial" w:hAnsi="Arial" w:eastAsia="Arial" w:cs="Arial"/>
          <w:noProof w:val="0"/>
          <w:color w:val="auto"/>
          <w:sz w:val="22"/>
          <w:szCs w:val="22"/>
          <w:lang w:val="en-US"/>
        </w:rPr>
        <w:t xml:space="preserve"> what a meeting involves, who attends, and how plans are monitored</w:t>
      </w:r>
      <w:r w:rsidRPr="238B8832" w:rsidR="44CAFDE1">
        <w:rPr>
          <w:rFonts w:ascii="Arial" w:hAnsi="Arial" w:eastAsia="Arial" w:cs="Arial"/>
          <w:b w:val="1"/>
          <w:bCs w:val="1"/>
          <w:color w:val="auto"/>
          <w:sz w:val="22"/>
          <w:szCs w:val="22"/>
        </w:rPr>
        <w:t xml:space="preserve"> </w:t>
      </w:r>
    </w:p>
    <w:p w:rsidR="00067522" w:rsidP="238B8832" w:rsidRDefault="00067522" w14:paraId="63DCDD44" w14:textId="0AAFC27E">
      <w:pPr>
        <w:spacing w:before="0" w:beforeAutospacing="off" w:after="0" w:afterAutospacing="off" w:line="360" w:lineRule="auto"/>
        <w:rPr>
          <w:rFonts w:ascii="Arial" w:hAnsi="Arial" w:eastAsia="Arial" w:cs="Arial"/>
          <w:b w:val="0"/>
          <w:bCs w:val="0"/>
          <w:i w:val="0"/>
          <w:iCs w:val="0"/>
          <w:noProof w:val="0"/>
          <w:sz w:val="22"/>
          <w:szCs w:val="22"/>
          <w:lang w:val="en-US"/>
        </w:rPr>
      </w:pPr>
      <w:r w:rsidRPr="238B8832" w:rsidR="75E56199">
        <w:rPr>
          <w:rFonts w:ascii="Arial" w:hAnsi="Arial" w:eastAsia="Arial" w:cs="Arial"/>
          <w:b w:val="0"/>
          <w:bCs w:val="0"/>
          <w:i w:val="0"/>
          <w:iCs w:val="0"/>
          <w:noProof w:val="0"/>
          <w:color w:val="auto"/>
          <w:sz w:val="22"/>
          <w:szCs w:val="22"/>
          <w:lang w:val="en-US"/>
        </w:rPr>
        <w:t>This transparency builds trust and strengthens engagemen</w:t>
      </w:r>
      <w:r w:rsidRPr="238B8832" w:rsidR="75E56199">
        <w:rPr>
          <w:rFonts w:ascii="Arial" w:hAnsi="Arial" w:eastAsia="Arial" w:cs="Arial"/>
          <w:b w:val="0"/>
          <w:bCs w:val="0"/>
          <w:i w:val="0"/>
          <w:iCs w:val="0"/>
          <w:noProof w:val="0"/>
          <w:sz w:val="22"/>
          <w:szCs w:val="22"/>
          <w:lang w:val="en-US"/>
        </w:rPr>
        <w:t>t</w:t>
      </w:r>
    </w:p>
    <w:p w:rsidR="00067522" w:rsidRDefault="00067522" w14:paraId="165595A4" w14:textId="4567AF1B"/>
    <w:p w:rsidR="00067522" w:rsidP="238B8832" w:rsidRDefault="4C2793C2" w14:paraId="3F72EE3F" w14:textId="4B03C5F1">
      <w:pPr>
        <w:pStyle w:val="Heading2"/>
        <w:spacing w:before="299" w:after="299"/>
        <w:rPr>
          <w:rFonts w:ascii="Arial Nova" w:hAnsi="Arial Nova" w:eastAsia="Arial Nova" w:cs="Arial Nova"/>
          <w:b w:val="1"/>
          <w:bCs w:val="1"/>
          <w:color w:val="auto"/>
          <w:sz w:val="36"/>
          <w:szCs w:val="36"/>
        </w:rPr>
      </w:pPr>
      <w:r w:rsidRPr="238B8832" w:rsidR="55C48594">
        <w:rPr>
          <w:rFonts w:ascii="Arial Nova" w:hAnsi="Arial Nova" w:eastAsia="Arial Nova" w:cs="Arial Nova"/>
          <w:b w:val="1"/>
          <w:bCs w:val="1"/>
          <w:color w:val="auto"/>
          <w:sz w:val="36"/>
          <w:szCs w:val="36"/>
        </w:rPr>
        <w:t>4. Evaluation of Local Authority Websites</w:t>
      </w:r>
    </w:p>
    <w:p w:rsidR="00067522" w:rsidP="238B8832" w:rsidRDefault="4C2793C2" w14:paraId="32FCC7AF" w14:textId="230B929B">
      <w:pPr>
        <w:spacing w:before="240" w:after="240" w:line="360" w:lineRule="auto"/>
        <w:rPr>
          <w:rFonts w:ascii="Arial" w:hAnsi="Arial" w:eastAsia="Arial" w:cs="Arial"/>
          <w:sz w:val="22"/>
          <w:szCs w:val="22"/>
        </w:rPr>
      </w:pPr>
      <w:r w:rsidRPr="238B8832" w:rsidR="55C48594">
        <w:rPr>
          <w:rFonts w:ascii="Arial" w:hAnsi="Arial" w:eastAsia="Arial" w:cs="Arial"/>
          <w:sz w:val="22"/>
          <w:szCs w:val="22"/>
        </w:rPr>
        <w:t xml:space="preserve">Leicestershire has transitioned much of its Early Help communication </w:t>
      </w:r>
      <w:r w:rsidRPr="238B8832" w:rsidR="55C48594">
        <w:rPr>
          <w:rFonts w:ascii="Arial" w:hAnsi="Arial" w:eastAsia="Arial" w:cs="Arial"/>
          <w:sz w:val="22"/>
          <w:szCs w:val="22"/>
        </w:rPr>
        <w:t>to</w:t>
      </w:r>
      <w:r w:rsidRPr="238B8832" w:rsidR="55C48594">
        <w:rPr>
          <w:rFonts w:ascii="Arial" w:hAnsi="Arial" w:eastAsia="Arial" w:cs="Arial"/>
          <w:sz w:val="22"/>
          <w:szCs w:val="22"/>
        </w:rPr>
        <w:t xml:space="preserve"> a "Family Hubs" model. This is a central pillar of the Government's recent investment in </w:t>
      </w:r>
      <w:r w:rsidRPr="238B8832" w:rsidR="0341D06C">
        <w:rPr>
          <w:rFonts w:ascii="Arial" w:hAnsi="Arial" w:eastAsia="Arial" w:cs="Arial"/>
          <w:sz w:val="22"/>
          <w:szCs w:val="22"/>
        </w:rPr>
        <w:t>the early</w:t>
      </w:r>
      <w:r w:rsidRPr="238B8832" w:rsidR="55C48594">
        <w:rPr>
          <w:rFonts w:ascii="Arial" w:hAnsi="Arial" w:eastAsia="Arial" w:cs="Arial"/>
          <w:sz w:val="22"/>
          <w:szCs w:val="22"/>
        </w:rPr>
        <w:t xml:space="preserve"> years.</w:t>
      </w:r>
    </w:p>
    <w:p w:rsidR="00067522" w:rsidP="238B8832" w:rsidRDefault="4C2793C2" w14:paraId="49CF795E" w14:textId="7F47B98D">
      <w:pPr>
        <w:spacing w:before="240" w:after="240" w:line="360" w:lineRule="auto"/>
        <w:rPr>
          <w:rFonts w:ascii="Arial" w:hAnsi="Arial" w:eastAsia="Arial" w:cs="Arial"/>
          <w:sz w:val="22"/>
          <w:szCs w:val="22"/>
        </w:rPr>
      </w:pPr>
      <w:r w:rsidRPr="238B8832" w:rsidR="55C48594">
        <w:rPr>
          <w:rFonts w:ascii="Arial" w:hAnsi="Arial" w:eastAsia="Arial" w:cs="Arial"/>
          <w:sz w:val="22"/>
          <w:szCs w:val="22"/>
        </w:rPr>
        <w:t xml:space="preserve">Staffordshire </w:t>
      </w:r>
      <w:r w:rsidRPr="238B8832" w:rsidR="55C48594">
        <w:rPr>
          <w:rFonts w:ascii="Arial" w:hAnsi="Arial" w:eastAsia="Arial" w:cs="Arial"/>
          <w:sz w:val="22"/>
          <w:szCs w:val="22"/>
        </w:rPr>
        <w:t>utilizes</w:t>
      </w:r>
      <w:r w:rsidRPr="238B8832" w:rsidR="55C48594">
        <w:rPr>
          <w:rFonts w:ascii="Arial" w:hAnsi="Arial" w:eastAsia="Arial" w:cs="Arial"/>
          <w:sz w:val="22"/>
          <w:szCs w:val="22"/>
        </w:rPr>
        <w:t xml:space="preserve"> a highly organized, data-driven approach to signposting through its "Staffordshire Connects" portal.</w:t>
      </w:r>
    </w:p>
    <w:p w:rsidR="00067522" w:rsidP="238B8832" w:rsidRDefault="4C2793C2" w14:paraId="0585C470" w14:textId="55242A18">
      <w:pPr>
        <w:spacing w:before="240" w:after="240" w:line="360" w:lineRule="auto"/>
        <w:rPr>
          <w:rFonts w:ascii="Arial" w:hAnsi="Arial" w:eastAsia="Arial" w:cs="Arial"/>
          <w:sz w:val="22"/>
          <w:szCs w:val="22"/>
        </w:rPr>
      </w:pPr>
      <w:r w:rsidRPr="238B8832" w:rsidR="55C48594">
        <w:rPr>
          <w:rFonts w:ascii="Arial" w:hAnsi="Arial" w:eastAsia="Arial" w:cs="Arial"/>
          <w:sz w:val="22"/>
          <w:szCs w:val="22"/>
        </w:rPr>
        <w:t>Tower Hamlets provides a very direct and honest appraisal of what Early Help looks like in an urban context.</w:t>
      </w:r>
    </w:p>
    <w:p w:rsidR="317A9179" w:rsidP="238B8832" w:rsidRDefault="317A9179" w14:paraId="1B55E70C" w14:textId="7AC83997">
      <w:pPr>
        <w:pStyle w:val="ListParagraph"/>
        <w:numPr>
          <w:ilvl w:val="1"/>
          <w:numId w:val="13"/>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38B8832" w:rsidR="317A9179">
        <w:rPr>
          <w:rFonts w:ascii="Segoe UI" w:hAnsi="Segoe UI" w:eastAsia="Segoe UI" w:cs="Segoe UI"/>
          <w:b w:val="0"/>
          <w:bCs w:val="0"/>
          <w:i w:val="0"/>
          <w:iCs w:val="0"/>
          <w:noProof w:val="0"/>
          <w:sz w:val="21"/>
          <w:szCs w:val="21"/>
          <w:lang w:val="en-US"/>
        </w:rPr>
        <w:t>.</w:t>
      </w:r>
    </w:p>
    <w:p w:rsidR="08C2ABFB" w:rsidP="238B8832" w:rsidRDefault="08C2ABFB" w14:paraId="5DC9C317" w14:textId="01160B4D">
      <w:pPr>
        <w:pStyle w:val="Heading1"/>
        <w:spacing w:before="0" w:beforeAutospacing="off" w:after="0" w:afterAutospacing="off" w:line="300" w:lineRule="auto"/>
      </w:pPr>
      <w:r w:rsidRPr="238B8832" w:rsidR="08C2ABFB">
        <w:rPr>
          <w:rFonts w:ascii="Segoe UI" w:hAnsi="Segoe UI" w:eastAsia="Segoe UI" w:cs="Segoe UI"/>
          <w:b w:val="1"/>
          <w:bCs w:val="1"/>
          <w:i w:val="0"/>
          <w:iCs w:val="0"/>
          <w:noProof w:val="0"/>
          <w:sz w:val="42"/>
          <w:szCs w:val="42"/>
          <w:lang w:val="en-US"/>
        </w:rPr>
        <w:t>Comparison Table: Early Help Signposting Across Three Local Authorities</w:t>
      </w:r>
    </w:p>
    <w:tbl>
      <w:tblPr>
        <w:tblStyle w:val="TableNormal"/>
        <w:bidiVisual w:val="0"/>
        <w:tblW w:w="0" w:type="auto"/>
        <w:tblLook w:val="06A0" w:firstRow="1" w:lastRow="0" w:firstColumn="1" w:lastColumn="0" w:noHBand="1" w:noVBand="1"/>
      </w:tblPr>
      <w:tblGrid>
        <w:gridCol w:w="1519"/>
        <w:gridCol w:w="2686"/>
        <w:gridCol w:w="2752"/>
        <w:gridCol w:w="2404"/>
      </w:tblGrid>
      <w:tr w:rsidR="238B8832" w:rsidTr="238B8832" w14:paraId="3FE924F3">
        <w:trPr>
          <w:trHeight w:val="300"/>
        </w:trPr>
        <w:tc>
          <w:tcPr>
            <w:tcW w:w="1519" w:type="dxa"/>
            <w:tcBorders>
              <w:top w:val="single" w:color="E6E6E6" w:sz="6"/>
              <w:left w:val="single" w:color="E6E6E6" w:sz="6"/>
              <w:bottom w:val="single" w:color="E6E6E6" w:sz="6"/>
              <w:right w:val="single" w:color="E6E6E6" w:sz="6"/>
            </w:tcBorders>
            <w:shd w:val="clear" w:color="auto" w:fill="83CAEB" w:themeFill="accent1" w:themeFillTint="66"/>
            <w:tcMar/>
            <w:vAlign w:val="center"/>
          </w:tcPr>
          <w:p w:rsidR="238B8832" w:rsidP="238B8832" w:rsidRDefault="238B8832" w14:paraId="5278B3B9" w14:textId="2792802B">
            <w:pPr>
              <w:spacing w:before="0" w:beforeAutospacing="off" w:after="0" w:afterAutospacing="off" w:line="300" w:lineRule="auto"/>
              <w:rPr>
                <w:rFonts w:ascii="Arial Nova" w:hAnsi="Arial Nova" w:cs="Arial"/>
                <w:b w:val="1"/>
                <w:bCs w:val="1"/>
                <w:sz w:val="24"/>
                <w:szCs w:val="24"/>
              </w:rPr>
            </w:pPr>
            <w:r w:rsidRPr="238B8832" w:rsidR="238B8832">
              <w:rPr>
                <w:rFonts w:ascii="Arial Nova" w:hAnsi="Arial Nova" w:cs="Arial"/>
                <w:b w:val="1"/>
                <w:bCs w:val="1"/>
                <w:sz w:val="24"/>
                <w:szCs w:val="24"/>
              </w:rPr>
              <w:t>Criteria</w:t>
            </w:r>
          </w:p>
        </w:tc>
        <w:tc>
          <w:tcPr>
            <w:tcW w:w="2686" w:type="dxa"/>
            <w:tcBorders>
              <w:top w:val="single" w:color="E6E6E6" w:sz="6"/>
              <w:left w:val="single" w:color="E6E6E6" w:sz="6"/>
              <w:bottom w:val="single" w:color="E6E6E6" w:sz="6"/>
              <w:right w:val="single" w:color="E6E6E6" w:sz="6"/>
            </w:tcBorders>
            <w:shd w:val="clear" w:color="auto" w:fill="83CAEB" w:themeFill="accent1" w:themeFillTint="66"/>
            <w:tcMar/>
            <w:vAlign w:val="center"/>
          </w:tcPr>
          <w:p w:rsidR="238B8832" w:rsidP="238B8832" w:rsidRDefault="238B8832" w14:paraId="157B6F6A" w14:textId="70D8AA0F">
            <w:pPr>
              <w:spacing w:before="0" w:beforeAutospacing="off" w:after="0" w:afterAutospacing="off" w:line="300" w:lineRule="auto"/>
              <w:rPr>
                <w:rFonts w:ascii="Arial Nova" w:hAnsi="Arial Nova" w:cs="Arial"/>
                <w:b w:val="1"/>
                <w:bCs w:val="1"/>
                <w:sz w:val="24"/>
                <w:szCs w:val="24"/>
                <w:highlight w:val="magenta"/>
              </w:rPr>
            </w:pPr>
            <w:r w:rsidRPr="238B8832" w:rsidR="238B8832">
              <w:rPr>
                <w:rFonts w:ascii="Arial Nova" w:hAnsi="Arial Nova" w:cs="Arial"/>
                <w:b w:val="1"/>
                <w:bCs w:val="1"/>
                <w:sz w:val="24"/>
                <w:szCs w:val="24"/>
                <w:highlight w:val="magenta"/>
              </w:rPr>
              <w:t>Leicestershire County Council</w:t>
            </w:r>
          </w:p>
        </w:tc>
        <w:tc>
          <w:tcPr>
            <w:tcW w:w="2752" w:type="dxa"/>
            <w:tcBorders>
              <w:top w:val="single" w:color="E6E6E6" w:sz="6"/>
              <w:left w:val="single" w:color="E6E6E6" w:sz="6"/>
              <w:bottom w:val="single" w:color="E6E6E6" w:sz="6"/>
              <w:right w:val="single" w:color="E6E6E6" w:sz="6"/>
            </w:tcBorders>
            <w:shd w:val="clear" w:color="auto" w:fill="83CAEB" w:themeFill="accent1" w:themeFillTint="66"/>
            <w:tcMar/>
            <w:vAlign w:val="center"/>
          </w:tcPr>
          <w:p w:rsidR="238B8832" w:rsidP="238B8832" w:rsidRDefault="238B8832" w14:paraId="736903D3" w14:textId="1AA59AF0">
            <w:pPr>
              <w:spacing w:before="0" w:beforeAutospacing="off" w:after="0" w:afterAutospacing="off" w:line="300" w:lineRule="auto"/>
              <w:rPr>
                <w:rFonts w:ascii="Arial Nova" w:hAnsi="Arial Nova" w:cs="Arial"/>
                <w:b w:val="1"/>
                <w:bCs w:val="1"/>
                <w:sz w:val="24"/>
                <w:szCs w:val="24"/>
                <w:highlight w:val="green"/>
              </w:rPr>
            </w:pPr>
            <w:r w:rsidRPr="238B8832" w:rsidR="238B8832">
              <w:rPr>
                <w:rFonts w:ascii="Arial Nova" w:hAnsi="Arial Nova" w:cs="Arial"/>
                <w:b w:val="1"/>
                <w:bCs w:val="1"/>
                <w:sz w:val="24"/>
                <w:szCs w:val="24"/>
                <w:highlight w:val="green"/>
              </w:rPr>
              <w:t>Staffordshire County Council</w:t>
            </w:r>
          </w:p>
        </w:tc>
        <w:tc>
          <w:tcPr>
            <w:tcW w:w="2404" w:type="dxa"/>
            <w:tcBorders>
              <w:top w:val="single" w:color="E6E6E6" w:sz="6"/>
              <w:left w:val="single" w:color="E6E6E6" w:sz="6"/>
              <w:bottom w:val="single" w:color="E6E6E6" w:sz="6"/>
              <w:right w:val="single" w:color="E6E6E6" w:sz="6"/>
            </w:tcBorders>
            <w:shd w:val="clear" w:color="auto" w:fill="83CAEB" w:themeFill="accent1" w:themeFillTint="66"/>
            <w:tcMar/>
            <w:vAlign w:val="center"/>
          </w:tcPr>
          <w:p w:rsidR="238B8832" w:rsidP="238B8832" w:rsidRDefault="238B8832" w14:paraId="4FEFCE9C" w14:textId="6CCB17A7">
            <w:pPr>
              <w:spacing w:before="0" w:beforeAutospacing="off" w:after="0" w:afterAutospacing="off" w:line="300" w:lineRule="auto"/>
              <w:rPr>
                <w:rFonts w:ascii="Arial Nova" w:hAnsi="Arial Nova" w:cs="Arial"/>
                <w:b w:val="1"/>
                <w:bCs w:val="1"/>
                <w:sz w:val="24"/>
                <w:szCs w:val="24"/>
                <w:highlight w:val="yellow"/>
              </w:rPr>
            </w:pPr>
            <w:r w:rsidRPr="238B8832" w:rsidR="238B8832">
              <w:rPr>
                <w:rFonts w:ascii="Arial Nova" w:hAnsi="Arial Nova" w:cs="Arial"/>
                <w:b w:val="1"/>
                <w:bCs w:val="1"/>
                <w:sz w:val="24"/>
                <w:szCs w:val="24"/>
                <w:highlight w:val="yellow"/>
              </w:rPr>
              <w:t>Tower Hamlets Council</w:t>
            </w:r>
          </w:p>
        </w:tc>
      </w:tr>
      <w:tr w:rsidR="238B8832" w:rsidTr="238B8832" w14:paraId="2BD1F62B">
        <w:trPr>
          <w:trHeight w:val="300"/>
        </w:trPr>
        <w:tc>
          <w:tcPr>
            <w:tcW w:w="1519" w:type="dxa"/>
            <w:tcBorders>
              <w:top w:val="single" w:color="E6E6E6" w:sz="6"/>
              <w:left w:val="single" w:color="E6E6E6" w:sz="6"/>
              <w:bottom w:val="single" w:color="E6E6E6" w:sz="6"/>
              <w:right w:val="single" w:color="E6E6E6" w:sz="6"/>
            </w:tcBorders>
            <w:shd w:val="clear" w:color="auto" w:fill="83CAEB" w:themeFill="accent1" w:themeFillTint="66"/>
            <w:tcMar/>
            <w:vAlign w:val="center"/>
          </w:tcPr>
          <w:p w:rsidR="238B8832" w:rsidP="238B8832" w:rsidRDefault="238B8832" w14:paraId="4A18CD33" w14:textId="1DA7C1DA">
            <w:pPr>
              <w:spacing w:before="0" w:beforeAutospacing="off" w:after="0" w:afterAutospacing="off" w:line="360" w:lineRule="auto"/>
              <w:rPr>
                <w:rFonts w:ascii="Arial" w:hAnsi="Arial" w:eastAsia="Arial" w:cs="Arial"/>
                <w:b w:val="1"/>
                <w:bCs w:val="1"/>
                <w:sz w:val="22"/>
                <w:szCs w:val="22"/>
              </w:rPr>
            </w:pPr>
            <w:r w:rsidRPr="238B8832" w:rsidR="238B8832">
              <w:rPr>
                <w:rFonts w:ascii="Arial" w:hAnsi="Arial" w:eastAsia="Arial" w:cs="Arial"/>
                <w:b w:val="1"/>
                <w:bCs w:val="1"/>
                <w:sz w:val="22"/>
                <w:szCs w:val="22"/>
              </w:rPr>
              <w:t>Overall Accessibility</w:t>
            </w:r>
          </w:p>
        </w:tc>
        <w:tc>
          <w:tcPr>
            <w:tcW w:w="2686" w:type="dxa"/>
            <w:tcBorders>
              <w:top w:val="single" w:color="E6E6E6" w:sz="6"/>
              <w:left w:val="single" w:color="E6E6E6" w:sz="6"/>
              <w:bottom w:val="single" w:color="E6E6E6" w:sz="6"/>
              <w:right w:val="single" w:color="E6E6E6" w:sz="6"/>
            </w:tcBorders>
            <w:tcMar/>
            <w:vAlign w:val="center"/>
          </w:tcPr>
          <w:p w:rsidR="238B8832" w:rsidP="238B8832" w:rsidRDefault="238B8832" w14:paraId="66AB7509" w14:textId="63225AC9">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Family‑friendly; visually appealing Family Hubs model with simple navigation.</w:t>
            </w:r>
          </w:p>
        </w:tc>
        <w:tc>
          <w:tcPr>
            <w:tcW w:w="2752" w:type="dxa"/>
            <w:tcBorders>
              <w:top w:val="single" w:color="E6E6E6" w:sz="6"/>
              <w:left w:val="single" w:color="E6E6E6" w:sz="6"/>
              <w:bottom w:val="single" w:color="E6E6E6" w:sz="6"/>
              <w:right w:val="single" w:color="E6E6E6" w:sz="6"/>
            </w:tcBorders>
            <w:tcMar/>
            <w:vAlign w:val="center"/>
          </w:tcPr>
          <w:p w:rsidR="238B8832" w:rsidP="238B8832" w:rsidRDefault="238B8832" w14:paraId="437B44F4" w14:textId="01CBCF8C">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Professional, directory‑style interface; functional but high cognitive load.</w:t>
            </w:r>
          </w:p>
        </w:tc>
        <w:tc>
          <w:tcPr>
            <w:tcW w:w="2404" w:type="dxa"/>
            <w:tcBorders>
              <w:top w:val="single" w:color="E6E6E6" w:sz="6"/>
              <w:left w:val="single" w:color="E6E6E6" w:sz="6"/>
              <w:bottom w:val="single" w:color="E6E6E6" w:sz="6"/>
              <w:right w:val="single" w:color="E6E6E6" w:sz="6"/>
            </w:tcBorders>
            <w:tcMar/>
            <w:vAlign w:val="center"/>
          </w:tcPr>
          <w:p w:rsidR="238B8832" w:rsidP="238B8832" w:rsidRDefault="238B8832" w14:paraId="453C5FE7" w14:textId="3E24D727">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Accessible but text‑heavy; clear sections with logical layout.</w:t>
            </w:r>
          </w:p>
        </w:tc>
      </w:tr>
      <w:tr w:rsidR="238B8832" w:rsidTr="238B8832" w14:paraId="4A494AC5">
        <w:trPr>
          <w:trHeight w:val="300"/>
        </w:trPr>
        <w:tc>
          <w:tcPr>
            <w:tcW w:w="1519" w:type="dxa"/>
            <w:tcBorders>
              <w:top w:val="single" w:color="E6E6E6" w:sz="6"/>
              <w:left w:val="single" w:color="E6E6E6" w:sz="6"/>
              <w:bottom w:val="single" w:color="E6E6E6" w:sz="6"/>
              <w:right w:val="single" w:color="E6E6E6" w:sz="6"/>
            </w:tcBorders>
            <w:shd w:val="clear" w:color="auto" w:fill="83CAEB" w:themeFill="accent1" w:themeFillTint="66"/>
            <w:tcMar/>
            <w:vAlign w:val="center"/>
          </w:tcPr>
          <w:p w:rsidR="238B8832" w:rsidP="238B8832" w:rsidRDefault="238B8832" w14:paraId="0F2EB8DE" w14:textId="0942423B">
            <w:pPr>
              <w:spacing w:before="0" w:beforeAutospacing="off" w:after="0" w:afterAutospacing="off" w:line="360" w:lineRule="auto"/>
              <w:rPr>
                <w:rFonts w:ascii="Arial" w:hAnsi="Arial" w:eastAsia="Arial" w:cs="Arial"/>
                <w:b w:val="1"/>
                <w:bCs w:val="1"/>
                <w:sz w:val="22"/>
                <w:szCs w:val="22"/>
              </w:rPr>
            </w:pPr>
            <w:r w:rsidRPr="238B8832" w:rsidR="238B8832">
              <w:rPr>
                <w:rFonts w:ascii="Arial" w:hAnsi="Arial" w:eastAsia="Arial" w:cs="Arial"/>
                <w:b w:val="1"/>
                <w:bCs w:val="1"/>
                <w:sz w:val="22"/>
                <w:szCs w:val="22"/>
              </w:rPr>
              <w:t>Tone &amp; Communication Style</w:t>
            </w:r>
          </w:p>
        </w:tc>
        <w:tc>
          <w:tcPr>
            <w:tcW w:w="2686" w:type="dxa"/>
            <w:tcBorders>
              <w:top w:val="single" w:color="E6E6E6" w:sz="6"/>
              <w:left w:val="single" w:color="E6E6E6" w:sz="6"/>
              <w:bottom w:val="single" w:color="E6E6E6" w:sz="6"/>
              <w:right w:val="single" w:color="E6E6E6" w:sz="6"/>
            </w:tcBorders>
            <w:tcMar/>
            <w:vAlign w:val="center"/>
          </w:tcPr>
          <w:p w:rsidR="238B8832" w:rsidP="238B8832" w:rsidRDefault="238B8832" w14:paraId="1215193A" w14:textId="6174F194">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Warm, supportive, community‑</w:t>
            </w:r>
            <w:r w:rsidRPr="238B8832" w:rsidR="238B8832">
              <w:rPr>
                <w:rFonts w:ascii="Arial" w:hAnsi="Arial" w:eastAsia="Arial" w:cs="Arial"/>
                <w:sz w:val="22"/>
                <w:szCs w:val="22"/>
              </w:rPr>
              <w:t>centred</w:t>
            </w:r>
            <w:r w:rsidRPr="238B8832" w:rsidR="238B8832">
              <w:rPr>
                <w:rFonts w:ascii="Arial" w:hAnsi="Arial" w:eastAsia="Arial" w:cs="Arial"/>
                <w:sz w:val="22"/>
                <w:szCs w:val="22"/>
              </w:rPr>
              <w:t xml:space="preserve">; </w:t>
            </w:r>
            <w:r w:rsidRPr="238B8832" w:rsidR="238B8832">
              <w:rPr>
                <w:rFonts w:ascii="Arial" w:hAnsi="Arial" w:eastAsia="Arial" w:cs="Arial"/>
                <w:sz w:val="22"/>
                <w:szCs w:val="22"/>
              </w:rPr>
              <w:t>emphasises</w:t>
            </w:r>
            <w:r w:rsidRPr="238B8832" w:rsidR="238B8832">
              <w:rPr>
                <w:rFonts w:ascii="Arial" w:hAnsi="Arial" w:eastAsia="Arial" w:cs="Arial"/>
                <w:sz w:val="22"/>
                <w:szCs w:val="22"/>
              </w:rPr>
              <w:t xml:space="preserve"> "Five to Thrive" and positive parenting.</w:t>
            </w:r>
          </w:p>
        </w:tc>
        <w:tc>
          <w:tcPr>
            <w:tcW w:w="2752" w:type="dxa"/>
            <w:tcBorders>
              <w:top w:val="single" w:color="E6E6E6" w:sz="6"/>
              <w:left w:val="single" w:color="E6E6E6" w:sz="6"/>
              <w:bottom w:val="single" w:color="E6E6E6" w:sz="6"/>
              <w:right w:val="single" w:color="E6E6E6" w:sz="6"/>
            </w:tcBorders>
            <w:tcMar/>
            <w:vAlign w:val="center"/>
          </w:tcPr>
          <w:p w:rsidR="238B8832" w:rsidP="238B8832" w:rsidRDefault="238B8832" w14:paraId="3224E01F" w14:textId="39D0BB85">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Highly formal and technical; aligns with professional terminology.</w:t>
            </w:r>
          </w:p>
        </w:tc>
        <w:tc>
          <w:tcPr>
            <w:tcW w:w="2404" w:type="dxa"/>
            <w:tcBorders>
              <w:top w:val="single" w:color="E6E6E6" w:sz="6"/>
              <w:left w:val="single" w:color="E6E6E6" w:sz="6"/>
              <w:bottom w:val="single" w:color="E6E6E6" w:sz="6"/>
              <w:right w:val="single" w:color="E6E6E6" w:sz="6"/>
            </w:tcBorders>
            <w:tcMar/>
            <w:vAlign w:val="center"/>
          </w:tcPr>
          <w:p w:rsidR="238B8832" w:rsidP="238B8832" w:rsidRDefault="238B8832" w14:paraId="303A629A" w14:textId="4A9C4241">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 xml:space="preserve">Direct, honest, instructional; </w:t>
            </w:r>
            <w:r w:rsidRPr="238B8832" w:rsidR="79C55708">
              <w:rPr>
                <w:rFonts w:ascii="Arial" w:hAnsi="Arial" w:eastAsia="Arial" w:cs="Arial"/>
                <w:sz w:val="22"/>
                <w:szCs w:val="22"/>
              </w:rPr>
              <w:t>priorities of</w:t>
            </w:r>
            <w:r w:rsidRPr="238B8832" w:rsidR="238B8832">
              <w:rPr>
                <w:rFonts w:ascii="Arial" w:hAnsi="Arial" w:eastAsia="Arial" w:cs="Arial"/>
                <w:sz w:val="22"/>
                <w:szCs w:val="22"/>
              </w:rPr>
              <w:t xml:space="preserve"> clarity for families.</w:t>
            </w:r>
          </w:p>
        </w:tc>
      </w:tr>
      <w:tr w:rsidR="238B8832" w:rsidTr="238B8832" w14:paraId="4312A8E7">
        <w:trPr>
          <w:trHeight w:val="300"/>
        </w:trPr>
        <w:tc>
          <w:tcPr>
            <w:tcW w:w="1519" w:type="dxa"/>
            <w:tcBorders>
              <w:top w:val="single" w:color="E6E6E6" w:sz="6"/>
              <w:left w:val="single" w:color="E6E6E6" w:sz="6"/>
              <w:bottom w:val="single" w:color="E6E6E6" w:sz="6"/>
              <w:right w:val="single" w:color="E6E6E6" w:sz="6"/>
            </w:tcBorders>
            <w:shd w:val="clear" w:color="auto" w:fill="83CAEB" w:themeFill="accent1" w:themeFillTint="66"/>
            <w:tcMar/>
            <w:vAlign w:val="center"/>
          </w:tcPr>
          <w:p w:rsidR="238B8832" w:rsidP="238B8832" w:rsidRDefault="238B8832" w14:paraId="31768834" w14:textId="731BA228">
            <w:pPr>
              <w:spacing w:before="0" w:beforeAutospacing="off" w:after="0" w:afterAutospacing="off" w:line="360" w:lineRule="auto"/>
              <w:rPr>
                <w:rFonts w:ascii="Arial" w:hAnsi="Arial" w:eastAsia="Arial" w:cs="Arial"/>
                <w:b w:val="1"/>
                <w:bCs w:val="1"/>
                <w:sz w:val="22"/>
                <w:szCs w:val="22"/>
              </w:rPr>
            </w:pPr>
            <w:r w:rsidRPr="238B8832" w:rsidR="238B8832">
              <w:rPr>
                <w:rFonts w:ascii="Arial" w:hAnsi="Arial" w:eastAsia="Arial" w:cs="Arial"/>
                <w:b w:val="1"/>
                <w:bCs w:val="1"/>
                <w:sz w:val="22"/>
                <w:szCs w:val="22"/>
              </w:rPr>
              <w:t>Ease of Navigation</w:t>
            </w:r>
          </w:p>
        </w:tc>
        <w:tc>
          <w:tcPr>
            <w:tcW w:w="2686" w:type="dxa"/>
            <w:tcBorders>
              <w:top w:val="single" w:color="E6E6E6" w:sz="6"/>
              <w:left w:val="single" w:color="E6E6E6" w:sz="6"/>
              <w:bottom w:val="single" w:color="E6E6E6" w:sz="6"/>
              <w:right w:val="single" w:color="E6E6E6" w:sz="6"/>
            </w:tcBorders>
            <w:tcMar/>
            <w:vAlign w:val="center"/>
          </w:tcPr>
          <w:p w:rsidR="238B8832" w:rsidP="238B8832" w:rsidRDefault="238B8832" w14:paraId="091ABF13" w14:textId="224B5E71">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Clear pathways; age‑specific categories (0–2, primary, secondary).</w:t>
            </w:r>
          </w:p>
        </w:tc>
        <w:tc>
          <w:tcPr>
            <w:tcW w:w="2752" w:type="dxa"/>
            <w:tcBorders>
              <w:top w:val="single" w:color="E6E6E6" w:sz="6"/>
              <w:left w:val="single" w:color="E6E6E6" w:sz="6"/>
              <w:bottom w:val="single" w:color="E6E6E6" w:sz="6"/>
              <w:right w:val="single" w:color="E6E6E6" w:sz="6"/>
            </w:tcBorders>
            <w:tcMar/>
            <w:vAlign w:val="center"/>
          </w:tcPr>
          <w:p w:rsidR="238B8832" w:rsidP="238B8832" w:rsidRDefault="238B8832" w14:paraId="302BB11A" w14:textId="149BC226">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Search‑based navigation via “Staffordshire Connects” directory.</w:t>
            </w:r>
          </w:p>
        </w:tc>
        <w:tc>
          <w:tcPr>
            <w:tcW w:w="2404" w:type="dxa"/>
            <w:tcBorders>
              <w:top w:val="single" w:color="E6E6E6" w:sz="6"/>
              <w:left w:val="single" w:color="E6E6E6" w:sz="6"/>
              <w:bottom w:val="single" w:color="E6E6E6" w:sz="6"/>
              <w:right w:val="single" w:color="E6E6E6" w:sz="6"/>
            </w:tcBorders>
            <w:tcMar/>
            <w:vAlign w:val="center"/>
          </w:tcPr>
          <w:p w:rsidR="238B8832" w:rsidP="238B8832" w:rsidRDefault="238B8832" w14:paraId="2D5361CB" w14:textId="7F4F97D5">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Easy to find “Early Help” and MAST pages; strong menu structure.</w:t>
            </w:r>
          </w:p>
        </w:tc>
      </w:tr>
      <w:tr w:rsidR="238B8832" w:rsidTr="238B8832" w14:paraId="7BA79606">
        <w:trPr>
          <w:trHeight w:val="300"/>
        </w:trPr>
        <w:tc>
          <w:tcPr>
            <w:tcW w:w="1519" w:type="dxa"/>
            <w:tcBorders>
              <w:top w:val="single" w:color="E6E6E6" w:sz="6"/>
              <w:left w:val="single" w:color="E6E6E6" w:sz="6"/>
              <w:bottom w:val="single" w:color="E6E6E6" w:sz="6"/>
              <w:right w:val="single" w:color="E6E6E6" w:sz="6"/>
            </w:tcBorders>
            <w:shd w:val="clear" w:color="auto" w:fill="83CAEB" w:themeFill="accent1" w:themeFillTint="66"/>
            <w:tcMar/>
            <w:vAlign w:val="center"/>
          </w:tcPr>
          <w:p w:rsidR="238B8832" w:rsidP="238B8832" w:rsidRDefault="238B8832" w14:paraId="3B31F1B5" w14:textId="5AD2B119">
            <w:pPr>
              <w:spacing w:before="0" w:beforeAutospacing="off" w:after="0" w:afterAutospacing="off" w:line="360" w:lineRule="auto"/>
              <w:rPr>
                <w:rFonts w:ascii="Arial" w:hAnsi="Arial" w:eastAsia="Arial" w:cs="Arial"/>
                <w:b w:val="1"/>
                <w:bCs w:val="1"/>
                <w:sz w:val="22"/>
                <w:szCs w:val="22"/>
              </w:rPr>
            </w:pPr>
            <w:r w:rsidRPr="238B8832" w:rsidR="238B8832">
              <w:rPr>
                <w:rFonts w:ascii="Arial" w:hAnsi="Arial" w:eastAsia="Arial" w:cs="Arial"/>
                <w:b w:val="1"/>
                <w:bCs w:val="1"/>
                <w:sz w:val="22"/>
                <w:szCs w:val="22"/>
              </w:rPr>
              <w:t>Transparency of Process</w:t>
            </w:r>
          </w:p>
        </w:tc>
        <w:tc>
          <w:tcPr>
            <w:tcW w:w="2686" w:type="dxa"/>
            <w:tcBorders>
              <w:top w:val="single" w:color="E6E6E6" w:sz="6"/>
              <w:left w:val="single" w:color="E6E6E6" w:sz="6"/>
              <w:bottom w:val="single" w:color="E6E6E6" w:sz="6"/>
              <w:right w:val="single" w:color="E6E6E6" w:sz="6"/>
            </w:tcBorders>
            <w:tcMar/>
            <w:vAlign w:val="center"/>
          </w:tcPr>
          <w:p w:rsidR="238B8832" w:rsidP="238B8832" w:rsidRDefault="238B8832" w14:paraId="1F47B832" w14:textId="01F0EC4F">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Limited detail on thresholds and TAF processes; focus on reassurance.</w:t>
            </w:r>
          </w:p>
        </w:tc>
        <w:tc>
          <w:tcPr>
            <w:tcW w:w="2752" w:type="dxa"/>
            <w:tcBorders>
              <w:top w:val="single" w:color="E6E6E6" w:sz="6"/>
              <w:left w:val="single" w:color="E6E6E6" w:sz="6"/>
              <w:bottom w:val="single" w:color="E6E6E6" w:sz="6"/>
              <w:right w:val="single" w:color="E6E6E6" w:sz="6"/>
            </w:tcBorders>
            <w:tcMar/>
            <w:vAlign w:val="center"/>
          </w:tcPr>
          <w:p w:rsidR="238B8832" w:rsidP="238B8832" w:rsidRDefault="238B8832" w14:paraId="3262166A" w14:textId="218D2398">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Extensive documentation (Threshold Framework, Strategy); less process transparency for families.</w:t>
            </w:r>
          </w:p>
        </w:tc>
        <w:tc>
          <w:tcPr>
            <w:tcW w:w="2404" w:type="dxa"/>
            <w:tcBorders>
              <w:top w:val="single" w:color="E6E6E6" w:sz="6"/>
              <w:left w:val="single" w:color="E6E6E6" w:sz="6"/>
              <w:bottom w:val="single" w:color="E6E6E6" w:sz="6"/>
              <w:right w:val="single" w:color="E6E6E6" w:sz="6"/>
            </w:tcBorders>
            <w:tcMar/>
            <w:vAlign w:val="center"/>
          </w:tcPr>
          <w:p w:rsidR="238B8832" w:rsidP="238B8832" w:rsidRDefault="238B8832" w14:paraId="256F4F88" w14:textId="7BE10C0D">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 xml:space="preserve">Most </w:t>
            </w:r>
            <w:r w:rsidRPr="238B8832" w:rsidR="16A49A37">
              <w:rPr>
                <w:rFonts w:ascii="Arial" w:hAnsi="Arial" w:eastAsia="Arial" w:cs="Arial"/>
                <w:sz w:val="22"/>
                <w:szCs w:val="22"/>
              </w:rPr>
              <w:t>transparent step</w:t>
            </w:r>
            <w:r w:rsidRPr="238B8832" w:rsidR="238B8832">
              <w:rPr>
                <w:rFonts w:ascii="Arial" w:hAnsi="Arial" w:eastAsia="Arial" w:cs="Arial"/>
                <w:sz w:val="22"/>
                <w:szCs w:val="22"/>
              </w:rPr>
              <w:t>‑by‑step Early Help process, MAST workflow, expectations.</w:t>
            </w:r>
          </w:p>
        </w:tc>
      </w:tr>
      <w:tr w:rsidR="238B8832" w:rsidTr="238B8832" w14:paraId="6B1D108C">
        <w:trPr>
          <w:trHeight w:val="300"/>
        </w:trPr>
        <w:tc>
          <w:tcPr>
            <w:tcW w:w="1519" w:type="dxa"/>
            <w:tcBorders>
              <w:top w:val="single" w:color="E6E6E6" w:sz="6"/>
              <w:left w:val="single" w:color="E6E6E6" w:sz="6"/>
              <w:bottom w:val="single" w:color="E6E6E6" w:sz="6"/>
              <w:right w:val="single" w:color="E6E6E6" w:sz="6"/>
            </w:tcBorders>
            <w:shd w:val="clear" w:color="auto" w:fill="83CAEB" w:themeFill="accent1" w:themeFillTint="66"/>
            <w:tcMar/>
            <w:vAlign w:val="center"/>
          </w:tcPr>
          <w:p w:rsidR="238B8832" w:rsidP="238B8832" w:rsidRDefault="238B8832" w14:paraId="124EBB20" w14:textId="0CE34270">
            <w:pPr>
              <w:spacing w:before="0" w:beforeAutospacing="off" w:after="0" w:afterAutospacing="off" w:line="360" w:lineRule="auto"/>
              <w:rPr>
                <w:rFonts w:ascii="Arial" w:hAnsi="Arial" w:eastAsia="Arial" w:cs="Arial"/>
                <w:b w:val="1"/>
                <w:bCs w:val="1"/>
                <w:sz w:val="22"/>
                <w:szCs w:val="22"/>
              </w:rPr>
            </w:pPr>
            <w:r w:rsidRPr="238B8832" w:rsidR="238B8832">
              <w:rPr>
                <w:rFonts w:ascii="Arial" w:hAnsi="Arial" w:eastAsia="Arial" w:cs="Arial"/>
                <w:b w:val="1"/>
                <w:bCs w:val="1"/>
                <w:sz w:val="22"/>
                <w:szCs w:val="22"/>
              </w:rPr>
              <w:t>Clarity of Early Help Purpose</w:t>
            </w:r>
          </w:p>
        </w:tc>
        <w:tc>
          <w:tcPr>
            <w:tcW w:w="2686" w:type="dxa"/>
            <w:tcBorders>
              <w:top w:val="single" w:color="E6E6E6" w:sz="6"/>
              <w:left w:val="single" w:color="E6E6E6" w:sz="6"/>
              <w:bottom w:val="single" w:color="E6E6E6" w:sz="6"/>
              <w:right w:val="single" w:color="E6E6E6" w:sz="6"/>
            </w:tcBorders>
            <w:tcMar/>
            <w:vAlign w:val="center"/>
          </w:tcPr>
          <w:p w:rsidR="238B8832" w:rsidP="238B8832" w:rsidRDefault="238B8832" w14:paraId="39F71D1C" w14:textId="25159CF3">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Explained accessibly in simple language; strong demystification.</w:t>
            </w:r>
          </w:p>
        </w:tc>
        <w:tc>
          <w:tcPr>
            <w:tcW w:w="2752" w:type="dxa"/>
            <w:tcBorders>
              <w:top w:val="single" w:color="E6E6E6" w:sz="6"/>
              <w:left w:val="single" w:color="E6E6E6" w:sz="6"/>
              <w:bottom w:val="single" w:color="E6E6E6" w:sz="6"/>
              <w:right w:val="single" w:color="E6E6E6" w:sz="6"/>
            </w:tcBorders>
            <w:tcMar/>
            <w:vAlign w:val="center"/>
          </w:tcPr>
          <w:p w:rsidR="238B8832" w:rsidP="238B8832" w:rsidRDefault="238B8832" w14:paraId="488DFACD" w14:textId="26B99EC5">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Clear but heavily policy‑based; more suited to professionals.</w:t>
            </w:r>
          </w:p>
        </w:tc>
        <w:tc>
          <w:tcPr>
            <w:tcW w:w="2404" w:type="dxa"/>
            <w:tcBorders>
              <w:top w:val="single" w:color="E6E6E6" w:sz="6"/>
              <w:left w:val="single" w:color="E6E6E6" w:sz="6"/>
              <w:bottom w:val="single" w:color="E6E6E6" w:sz="6"/>
              <w:right w:val="single" w:color="E6E6E6" w:sz="6"/>
            </w:tcBorders>
            <w:tcMar/>
            <w:vAlign w:val="center"/>
          </w:tcPr>
          <w:p w:rsidR="238B8832" w:rsidP="238B8832" w:rsidRDefault="238B8832" w14:paraId="6D96B373" w14:textId="1B056814">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Clear explanation including voluntariness and user rights.</w:t>
            </w:r>
          </w:p>
        </w:tc>
      </w:tr>
      <w:tr w:rsidR="238B8832" w:rsidTr="238B8832" w14:paraId="214DA08D">
        <w:trPr>
          <w:trHeight w:val="300"/>
        </w:trPr>
        <w:tc>
          <w:tcPr>
            <w:tcW w:w="1519" w:type="dxa"/>
            <w:tcBorders>
              <w:top w:val="single" w:color="E6E6E6" w:sz="6"/>
              <w:left w:val="single" w:color="E6E6E6" w:sz="6"/>
              <w:bottom w:val="single" w:color="E6E6E6" w:sz="6"/>
              <w:right w:val="single" w:color="E6E6E6" w:sz="6"/>
            </w:tcBorders>
            <w:shd w:val="clear" w:color="auto" w:fill="83CAEB" w:themeFill="accent1" w:themeFillTint="66"/>
            <w:tcMar/>
            <w:vAlign w:val="center"/>
          </w:tcPr>
          <w:p w:rsidR="238B8832" w:rsidP="238B8832" w:rsidRDefault="238B8832" w14:paraId="09871022" w14:textId="7DA9F96A">
            <w:pPr>
              <w:spacing w:before="0" w:beforeAutospacing="off" w:after="0" w:afterAutospacing="off" w:line="360" w:lineRule="auto"/>
              <w:rPr>
                <w:rFonts w:ascii="Arial" w:hAnsi="Arial" w:eastAsia="Arial" w:cs="Arial"/>
                <w:b w:val="1"/>
                <w:bCs w:val="1"/>
                <w:sz w:val="22"/>
                <w:szCs w:val="22"/>
              </w:rPr>
            </w:pPr>
            <w:r w:rsidRPr="238B8832" w:rsidR="238B8832">
              <w:rPr>
                <w:rFonts w:ascii="Arial" w:hAnsi="Arial" w:eastAsia="Arial" w:cs="Arial"/>
                <w:b w:val="1"/>
                <w:bCs w:val="1"/>
                <w:sz w:val="22"/>
                <w:szCs w:val="22"/>
              </w:rPr>
              <w:t>Access Routes</w:t>
            </w:r>
          </w:p>
        </w:tc>
        <w:tc>
          <w:tcPr>
            <w:tcW w:w="2686" w:type="dxa"/>
            <w:tcBorders>
              <w:top w:val="single" w:color="E6E6E6" w:sz="6"/>
              <w:left w:val="single" w:color="E6E6E6" w:sz="6"/>
              <w:bottom w:val="single" w:color="E6E6E6" w:sz="6"/>
              <w:right w:val="single" w:color="E6E6E6" w:sz="6"/>
            </w:tcBorders>
            <w:tcMar/>
            <w:vAlign w:val="center"/>
          </w:tcPr>
          <w:p w:rsidR="238B8832" w:rsidP="238B8832" w:rsidRDefault="238B8832" w14:paraId="7BB51C69" w14:textId="2C7F7218">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Prominent “Request for Service” form; hub-based access.</w:t>
            </w:r>
          </w:p>
        </w:tc>
        <w:tc>
          <w:tcPr>
            <w:tcW w:w="2752" w:type="dxa"/>
            <w:tcBorders>
              <w:top w:val="single" w:color="E6E6E6" w:sz="6"/>
              <w:left w:val="single" w:color="E6E6E6" w:sz="6"/>
              <w:bottom w:val="single" w:color="E6E6E6" w:sz="6"/>
              <w:right w:val="single" w:color="E6E6E6" w:sz="6"/>
            </w:tcBorders>
            <w:tcMar/>
            <w:vAlign w:val="center"/>
          </w:tcPr>
          <w:p w:rsidR="238B8832" w:rsidP="238B8832" w:rsidRDefault="238B8832" w14:paraId="1B8FB62F" w14:textId="5230506E">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 xml:space="preserve">Multiple routes via directory; postcode search but complex for </w:t>
            </w:r>
            <w:r w:rsidRPr="238B8832" w:rsidR="238B8832">
              <w:rPr>
                <w:rFonts w:ascii="Arial" w:hAnsi="Arial" w:eastAsia="Arial" w:cs="Arial"/>
                <w:sz w:val="22"/>
                <w:szCs w:val="22"/>
              </w:rPr>
              <w:t>new users</w:t>
            </w:r>
            <w:r w:rsidRPr="238B8832" w:rsidR="238B8832">
              <w:rPr>
                <w:rFonts w:ascii="Arial" w:hAnsi="Arial" w:eastAsia="Arial" w:cs="Arial"/>
                <w:sz w:val="22"/>
                <w:szCs w:val="22"/>
              </w:rPr>
              <w:t>.</w:t>
            </w:r>
          </w:p>
        </w:tc>
        <w:tc>
          <w:tcPr>
            <w:tcW w:w="2404" w:type="dxa"/>
            <w:tcBorders>
              <w:top w:val="single" w:color="E6E6E6" w:sz="6"/>
              <w:left w:val="single" w:color="E6E6E6" w:sz="6"/>
              <w:bottom w:val="single" w:color="E6E6E6" w:sz="6"/>
              <w:right w:val="single" w:color="E6E6E6" w:sz="6"/>
            </w:tcBorders>
            <w:tcMar/>
            <w:vAlign w:val="center"/>
          </w:tcPr>
          <w:p w:rsidR="238B8832" w:rsidP="238B8832" w:rsidRDefault="238B8832" w14:paraId="1FDCCF43" w14:textId="79015CC2">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Direct referral forms; explicit contact details and actions.</w:t>
            </w:r>
          </w:p>
        </w:tc>
      </w:tr>
      <w:tr w:rsidR="238B8832" w:rsidTr="238B8832" w14:paraId="440D0E9B">
        <w:trPr>
          <w:trHeight w:val="300"/>
        </w:trPr>
        <w:tc>
          <w:tcPr>
            <w:tcW w:w="1519" w:type="dxa"/>
            <w:tcBorders>
              <w:top w:val="single" w:color="E6E6E6" w:sz="6"/>
              <w:left w:val="single" w:color="E6E6E6" w:sz="6"/>
              <w:bottom w:val="single" w:color="E6E6E6" w:sz="6"/>
              <w:right w:val="single" w:color="E6E6E6" w:sz="6"/>
            </w:tcBorders>
            <w:shd w:val="clear" w:color="auto" w:fill="83CAEB" w:themeFill="accent1" w:themeFillTint="66"/>
            <w:tcMar/>
            <w:vAlign w:val="center"/>
          </w:tcPr>
          <w:p w:rsidR="238B8832" w:rsidP="238B8832" w:rsidRDefault="238B8832" w14:paraId="33A4C9B3" w14:textId="5F7F9FC2">
            <w:pPr>
              <w:spacing w:before="0" w:beforeAutospacing="off" w:after="0" w:afterAutospacing="off" w:line="360" w:lineRule="auto"/>
              <w:rPr>
                <w:rFonts w:ascii="Arial" w:hAnsi="Arial" w:eastAsia="Arial" w:cs="Arial"/>
                <w:b w:val="1"/>
                <w:bCs w:val="1"/>
                <w:sz w:val="22"/>
                <w:szCs w:val="22"/>
              </w:rPr>
            </w:pPr>
            <w:r w:rsidRPr="238B8832" w:rsidR="238B8832">
              <w:rPr>
                <w:rFonts w:ascii="Arial" w:hAnsi="Arial" w:eastAsia="Arial" w:cs="Arial"/>
                <w:b w:val="1"/>
                <w:bCs w:val="1"/>
                <w:sz w:val="22"/>
                <w:szCs w:val="22"/>
              </w:rPr>
              <w:t>Multi‑Agency Visibility</w:t>
            </w:r>
          </w:p>
        </w:tc>
        <w:tc>
          <w:tcPr>
            <w:tcW w:w="2686" w:type="dxa"/>
            <w:tcBorders>
              <w:top w:val="single" w:color="E6E6E6" w:sz="6"/>
              <w:left w:val="single" w:color="E6E6E6" w:sz="6"/>
              <w:bottom w:val="single" w:color="E6E6E6" w:sz="6"/>
              <w:right w:val="single" w:color="E6E6E6" w:sz="6"/>
            </w:tcBorders>
            <w:tcMar/>
            <w:vAlign w:val="center"/>
          </w:tcPr>
          <w:p w:rsidR="238B8832" w:rsidP="238B8832" w:rsidRDefault="238B8832" w14:paraId="271E388F" w14:textId="7FBA34FC">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Implied but not explicitly listed.</w:t>
            </w:r>
          </w:p>
        </w:tc>
        <w:tc>
          <w:tcPr>
            <w:tcW w:w="2752" w:type="dxa"/>
            <w:tcBorders>
              <w:top w:val="single" w:color="E6E6E6" w:sz="6"/>
              <w:left w:val="single" w:color="E6E6E6" w:sz="6"/>
              <w:bottom w:val="single" w:color="E6E6E6" w:sz="6"/>
              <w:right w:val="single" w:color="E6E6E6" w:sz="6"/>
            </w:tcBorders>
            <w:tcMar/>
            <w:vAlign w:val="center"/>
          </w:tcPr>
          <w:p w:rsidR="238B8832" w:rsidP="238B8832" w:rsidRDefault="238B8832" w14:paraId="30EE3D63" w14:textId="57187D6D">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Present in strategy documents, less visible in family-facing content.</w:t>
            </w:r>
          </w:p>
        </w:tc>
        <w:tc>
          <w:tcPr>
            <w:tcW w:w="2404" w:type="dxa"/>
            <w:tcBorders>
              <w:top w:val="single" w:color="E6E6E6" w:sz="6"/>
              <w:left w:val="single" w:color="E6E6E6" w:sz="6"/>
              <w:bottom w:val="single" w:color="E6E6E6" w:sz="6"/>
              <w:right w:val="single" w:color="E6E6E6" w:sz="6"/>
            </w:tcBorders>
            <w:tcMar/>
            <w:vAlign w:val="center"/>
          </w:tcPr>
          <w:p w:rsidR="238B8832" w:rsidP="238B8832" w:rsidRDefault="238B8832" w14:paraId="29D64772" w14:textId="56EB3AB1">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Explicit list of agencies involved in MAST (police, health, CAMHS, voluntary sector).</w:t>
            </w:r>
          </w:p>
        </w:tc>
      </w:tr>
      <w:tr w:rsidR="238B8832" w:rsidTr="238B8832" w14:paraId="59C0DF72">
        <w:trPr>
          <w:trHeight w:val="300"/>
        </w:trPr>
        <w:tc>
          <w:tcPr>
            <w:tcW w:w="1519" w:type="dxa"/>
            <w:tcBorders>
              <w:top w:val="single" w:color="E6E6E6" w:sz="6"/>
              <w:left w:val="single" w:color="E6E6E6" w:sz="6"/>
              <w:bottom w:val="single" w:color="E6E6E6" w:sz="6"/>
              <w:right w:val="single" w:color="E6E6E6" w:sz="6"/>
            </w:tcBorders>
            <w:shd w:val="clear" w:color="auto" w:fill="83CAEB" w:themeFill="accent1" w:themeFillTint="66"/>
            <w:tcMar/>
            <w:vAlign w:val="center"/>
          </w:tcPr>
          <w:p w:rsidR="238B8832" w:rsidP="238B8832" w:rsidRDefault="238B8832" w14:paraId="2BB713BC" w14:textId="6F5DFA72">
            <w:pPr>
              <w:spacing w:before="0" w:beforeAutospacing="off" w:after="0" w:afterAutospacing="off" w:line="360" w:lineRule="auto"/>
              <w:rPr>
                <w:rFonts w:ascii="Arial" w:hAnsi="Arial" w:eastAsia="Arial" w:cs="Arial"/>
                <w:b w:val="1"/>
                <w:bCs w:val="1"/>
                <w:sz w:val="22"/>
                <w:szCs w:val="22"/>
              </w:rPr>
            </w:pPr>
            <w:r w:rsidRPr="238B8832" w:rsidR="238B8832">
              <w:rPr>
                <w:rFonts w:ascii="Arial" w:hAnsi="Arial" w:eastAsia="Arial" w:cs="Arial"/>
                <w:b w:val="1"/>
                <w:bCs w:val="1"/>
                <w:sz w:val="22"/>
                <w:szCs w:val="22"/>
              </w:rPr>
              <w:t>Alignment with Early Help System Guide</w:t>
            </w:r>
          </w:p>
        </w:tc>
        <w:tc>
          <w:tcPr>
            <w:tcW w:w="2686" w:type="dxa"/>
            <w:tcBorders>
              <w:top w:val="single" w:color="E6E6E6" w:sz="6"/>
              <w:left w:val="single" w:color="E6E6E6" w:sz="6"/>
              <w:bottom w:val="single" w:color="E6E6E6" w:sz="6"/>
              <w:right w:val="single" w:color="E6E6E6" w:sz="6"/>
            </w:tcBorders>
            <w:tcMar/>
            <w:vAlign w:val="center"/>
          </w:tcPr>
          <w:p w:rsidR="238B8832" w:rsidP="238B8832" w:rsidRDefault="238B8832" w14:paraId="3DFF9A4B" w14:textId="698EA7D1">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Strong on engagement and family‑friendly tone; weaker on system process transparency.</w:t>
            </w:r>
          </w:p>
        </w:tc>
        <w:tc>
          <w:tcPr>
            <w:tcW w:w="2752" w:type="dxa"/>
            <w:tcBorders>
              <w:top w:val="single" w:color="E6E6E6" w:sz="6"/>
              <w:left w:val="single" w:color="E6E6E6" w:sz="6"/>
              <w:bottom w:val="single" w:color="E6E6E6" w:sz="6"/>
              <w:right w:val="single" w:color="E6E6E6" w:sz="6"/>
            </w:tcBorders>
            <w:tcMar/>
            <w:vAlign w:val="center"/>
          </w:tcPr>
          <w:p w:rsidR="238B8832" w:rsidP="238B8832" w:rsidRDefault="238B8832" w14:paraId="6FCD209B" w14:textId="0A121184">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Strong on system-wide architecture; aligns with strategic whole‑system thinking.</w:t>
            </w:r>
          </w:p>
        </w:tc>
        <w:tc>
          <w:tcPr>
            <w:tcW w:w="2404" w:type="dxa"/>
            <w:tcBorders>
              <w:top w:val="single" w:color="E6E6E6" w:sz="6"/>
              <w:left w:val="single" w:color="E6E6E6" w:sz="6"/>
              <w:bottom w:val="single" w:color="E6E6E6" w:sz="6"/>
              <w:right w:val="single" w:color="E6E6E6" w:sz="6"/>
            </w:tcBorders>
            <w:tcMar/>
            <w:vAlign w:val="center"/>
          </w:tcPr>
          <w:p w:rsidR="238B8832" w:rsidP="238B8832" w:rsidRDefault="238B8832" w14:paraId="147AF38A" w14:textId="725C7162">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Strong alignment with voluntary consent, multi‑agency collaboration</w:t>
            </w:r>
            <w:r w:rsidRPr="238B8832" w:rsidR="7B9E3B3D">
              <w:rPr>
                <w:rFonts w:ascii="Arial" w:hAnsi="Arial" w:eastAsia="Arial" w:cs="Arial"/>
                <w:sz w:val="22"/>
                <w:szCs w:val="22"/>
              </w:rPr>
              <w:t>, and transparency</w:t>
            </w:r>
            <w:r w:rsidRPr="238B8832" w:rsidR="238B8832">
              <w:rPr>
                <w:rFonts w:ascii="Arial" w:hAnsi="Arial" w:eastAsia="Arial" w:cs="Arial"/>
                <w:sz w:val="22"/>
                <w:szCs w:val="22"/>
              </w:rPr>
              <w:t>.</w:t>
            </w:r>
          </w:p>
        </w:tc>
      </w:tr>
      <w:tr w:rsidR="238B8832" w:rsidTr="238B8832" w14:paraId="78F73A1A">
        <w:trPr>
          <w:trHeight w:val="300"/>
        </w:trPr>
        <w:tc>
          <w:tcPr>
            <w:tcW w:w="1519" w:type="dxa"/>
            <w:tcBorders>
              <w:top w:val="single" w:color="E6E6E6" w:sz="6"/>
              <w:left w:val="single" w:color="E6E6E6" w:sz="6"/>
              <w:bottom w:val="single" w:color="E6E6E6" w:sz="6"/>
              <w:right w:val="single" w:color="E6E6E6" w:sz="6"/>
            </w:tcBorders>
            <w:shd w:val="clear" w:color="auto" w:fill="83CAEB" w:themeFill="accent1" w:themeFillTint="66"/>
            <w:tcMar/>
            <w:vAlign w:val="center"/>
          </w:tcPr>
          <w:p w:rsidR="238B8832" w:rsidP="238B8832" w:rsidRDefault="238B8832" w14:paraId="4AEB7AD2" w14:textId="1134560A">
            <w:pPr>
              <w:spacing w:before="0" w:beforeAutospacing="off" w:after="0" w:afterAutospacing="off" w:line="360" w:lineRule="auto"/>
              <w:rPr>
                <w:rFonts w:ascii="Arial" w:hAnsi="Arial" w:eastAsia="Arial" w:cs="Arial"/>
                <w:b w:val="1"/>
                <w:bCs w:val="1"/>
                <w:sz w:val="22"/>
                <w:szCs w:val="22"/>
              </w:rPr>
            </w:pPr>
            <w:r w:rsidRPr="238B8832" w:rsidR="238B8832">
              <w:rPr>
                <w:rFonts w:ascii="Arial" w:hAnsi="Arial" w:eastAsia="Arial" w:cs="Arial"/>
                <w:b w:val="1"/>
                <w:bCs w:val="1"/>
                <w:sz w:val="22"/>
                <w:szCs w:val="22"/>
              </w:rPr>
              <w:t>Alignment with Working Together (2023)</w:t>
            </w:r>
          </w:p>
        </w:tc>
        <w:tc>
          <w:tcPr>
            <w:tcW w:w="2686" w:type="dxa"/>
            <w:tcBorders>
              <w:top w:val="single" w:color="E6E6E6" w:sz="6"/>
              <w:left w:val="single" w:color="E6E6E6" w:sz="6"/>
              <w:bottom w:val="single" w:color="E6E6E6" w:sz="6"/>
              <w:right w:val="single" w:color="E6E6E6" w:sz="6"/>
            </w:tcBorders>
            <w:tcMar/>
            <w:vAlign w:val="center"/>
          </w:tcPr>
          <w:p w:rsidR="1CFF9598" w:rsidP="238B8832" w:rsidRDefault="1CFF9598" w14:paraId="28F27C14" w14:textId="308C4B70">
            <w:pPr>
              <w:spacing w:before="0" w:beforeAutospacing="off" w:after="0" w:afterAutospacing="off" w:line="360" w:lineRule="auto"/>
              <w:rPr>
                <w:rFonts w:ascii="Arial" w:hAnsi="Arial" w:eastAsia="Arial" w:cs="Arial"/>
                <w:sz w:val="22"/>
                <w:szCs w:val="22"/>
              </w:rPr>
            </w:pPr>
            <w:r w:rsidRPr="238B8832" w:rsidR="1CFF9598">
              <w:rPr>
                <w:rFonts w:ascii="Arial" w:hAnsi="Arial" w:eastAsia="Arial" w:cs="Arial"/>
                <w:sz w:val="22"/>
                <w:szCs w:val="22"/>
              </w:rPr>
              <w:t>Convey</w:t>
            </w:r>
            <w:r w:rsidRPr="238B8832" w:rsidR="238B8832">
              <w:rPr>
                <w:rFonts w:ascii="Arial" w:hAnsi="Arial" w:eastAsia="Arial" w:cs="Arial"/>
                <w:sz w:val="22"/>
                <w:szCs w:val="22"/>
              </w:rPr>
              <w:t xml:space="preserve"> Early Help purpose; limited detail on escalation pathways.</w:t>
            </w:r>
          </w:p>
        </w:tc>
        <w:tc>
          <w:tcPr>
            <w:tcW w:w="2752" w:type="dxa"/>
            <w:tcBorders>
              <w:top w:val="single" w:color="E6E6E6" w:sz="6"/>
              <w:left w:val="single" w:color="E6E6E6" w:sz="6"/>
              <w:bottom w:val="single" w:color="E6E6E6" w:sz="6"/>
              <w:right w:val="single" w:color="E6E6E6" w:sz="6"/>
            </w:tcBorders>
            <w:tcMar/>
            <w:vAlign w:val="center"/>
          </w:tcPr>
          <w:p w:rsidR="238B8832" w:rsidP="238B8832" w:rsidRDefault="238B8832" w14:paraId="569A743C" w14:textId="02801C02">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Clear step-up/step-down framework; professional focus.</w:t>
            </w:r>
          </w:p>
        </w:tc>
        <w:tc>
          <w:tcPr>
            <w:tcW w:w="2404" w:type="dxa"/>
            <w:tcBorders>
              <w:top w:val="single" w:color="E6E6E6" w:sz="6"/>
              <w:left w:val="single" w:color="E6E6E6" w:sz="6"/>
              <w:bottom w:val="single" w:color="E6E6E6" w:sz="6"/>
              <w:right w:val="single" w:color="E6E6E6" w:sz="6"/>
            </w:tcBorders>
            <w:tcMar/>
            <w:vAlign w:val="center"/>
          </w:tcPr>
          <w:p w:rsidR="238B8832" w:rsidP="238B8832" w:rsidRDefault="238B8832" w14:paraId="2D6979A1" w14:textId="20241BBE">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Strong alignment—clear referral thresholds, escalation, and safeguarding pathways.</w:t>
            </w:r>
          </w:p>
        </w:tc>
      </w:tr>
      <w:tr w:rsidR="238B8832" w:rsidTr="238B8832" w14:paraId="7A9D9135">
        <w:trPr>
          <w:trHeight w:val="300"/>
        </w:trPr>
        <w:tc>
          <w:tcPr>
            <w:tcW w:w="1519" w:type="dxa"/>
            <w:tcBorders>
              <w:top w:val="single" w:color="E6E6E6" w:sz="6"/>
              <w:left w:val="single" w:color="E6E6E6" w:sz="6"/>
              <w:bottom w:val="single" w:color="E6E6E6" w:sz="6"/>
              <w:right w:val="single" w:color="E6E6E6" w:sz="6"/>
            </w:tcBorders>
            <w:shd w:val="clear" w:color="auto" w:fill="83CAEB" w:themeFill="accent1" w:themeFillTint="66"/>
            <w:tcMar/>
            <w:vAlign w:val="center"/>
          </w:tcPr>
          <w:p w:rsidR="238B8832" w:rsidP="238B8832" w:rsidRDefault="238B8832" w14:paraId="4083CD35" w14:textId="076A00C3">
            <w:pPr>
              <w:spacing w:before="0" w:beforeAutospacing="off" w:after="0" w:afterAutospacing="off" w:line="360" w:lineRule="auto"/>
              <w:rPr>
                <w:rFonts w:ascii="Arial" w:hAnsi="Arial" w:eastAsia="Arial" w:cs="Arial"/>
                <w:b w:val="1"/>
                <w:bCs w:val="1"/>
                <w:sz w:val="22"/>
                <w:szCs w:val="22"/>
              </w:rPr>
            </w:pPr>
            <w:r w:rsidRPr="238B8832" w:rsidR="238B8832">
              <w:rPr>
                <w:rFonts w:ascii="Arial" w:hAnsi="Arial" w:eastAsia="Arial" w:cs="Arial"/>
                <w:b w:val="1"/>
                <w:bCs w:val="1"/>
                <w:sz w:val="22"/>
                <w:szCs w:val="22"/>
              </w:rPr>
              <w:t>User Suitability</w:t>
            </w:r>
          </w:p>
        </w:tc>
        <w:tc>
          <w:tcPr>
            <w:tcW w:w="2686" w:type="dxa"/>
            <w:tcBorders>
              <w:top w:val="single" w:color="E6E6E6" w:sz="6"/>
              <w:left w:val="single" w:color="E6E6E6" w:sz="6"/>
              <w:bottom w:val="single" w:color="E6E6E6" w:sz="6"/>
              <w:right w:val="single" w:color="E6E6E6" w:sz="6"/>
            </w:tcBorders>
            <w:tcMar/>
            <w:vAlign w:val="center"/>
          </w:tcPr>
          <w:p w:rsidR="238B8832" w:rsidP="238B8832" w:rsidRDefault="238B8832" w14:paraId="75B562CF" w14:textId="71F0BFE7">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Best for families and early help-seekers.</w:t>
            </w:r>
          </w:p>
        </w:tc>
        <w:tc>
          <w:tcPr>
            <w:tcW w:w="2752" w:type="dxa"/>
            <w:tcBorders>
              <w:top w:val="single" w:color="E6E6E6" w:sz="6"/>
              <w:left w:val="single" w:color="E6E6E6" w:sz="6"/>
              <w:bottom w:val="single" w:color="E6E6E6" w:sz="6"/>
              <w:right w:val="single" w:color="E6E6E6" w:sz="6"/>
            </w:tcBorders>
            <w:tcMar/>
            <w:vAlign w:val="center"/>
          </w:tcPr>
          <w:p w:rsidR="238B8832" w:rsidP="238B8832" w:rsidRDefault="238B8832" w14:paraId="30BB8832" w14:textId="2AA540B9">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Best for professionals or families seeking specific services.</w:t>
            </w:r>
          </w:p>
        </w:tc>
        <w:tc>
          <w:tcPr>
            <w:tcW w:w="2404" w:type="dxa"/>
            <w:tcBorders>
              <w:top w:val="single" w:color="E6E6E6" w:sz="6"/>
              <w:left w:val="single" w:color="E6E6E6" w:sz="6"/>
              <w:bottom w:val="single" w:color="E6E6E6" w:sz="6"/>
              <w:right w:val="single" w:color="E6E6E6" w:sz="6"/>
            </w:tcBorders>
            <w:tcMar/>
            <w:vAlign w:val="center"/>
          </w:tcPr>
          <w:p w:rsidR="238B8832" w:rsidP="238B8832" w:rsidRDefault="238B8832" w14:paraId="71E81117" w14:textId="033F34BF">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Best for families needing transparency and clear procedural understanding.</w:t>
            </w:r>
          </w:p>
        </w:tc>
      </w:tr>
      <w:tr w:rsidR="238B8832" w:rsidTr="238B8832" w14:paraId="4111D77F">
        <w:trPr>
          <w:trHeight w:val="300"/>
        </w:trPr>
        <w:tc>
          <w:tcPr>
            <w:tcW w:w="1519" w:type="dxa"/>
            <w:tcBorders>
              <w:top w:val="single" w:color="E6E6E6" w:sz="6"/>
              <w:left w:val="single" w:color="E6E6E6" w:sz="6"/>
              <w:bottom w:val="single" w:color="E6E6E6" w:sz="6"/>
              <w:right w:val="single" w:color="E6E6E6" w:sz="6"/>
            </w:tcBorders>
            <w:shd w:val="clear" w:color="auto" w:fill="83CAEB" w:themeFill="accent1" w:themeFillTint="66"/>
            <w:tcMar/>
            <w:vAlign w:val="center"/>
          </w:tcPr>
          <w:p w:rsidR="238B8832" w:rsidP="238B8832" w:rsidRDefault="238B8832" w14:paraId="121B9C41" w14:textId="51CF7DA0">
            <w:pPr>
              <w:spacing w:before="0" w:beforeAutospacing="off" w:after="0" w:afterAutospacing="off" w:line="360" w:lineRule="auto"/>
              <w:rPr>
                <w:rFonts w:ascii="Arial" w:hAnsi="Arial" w:eastAsia="Arial" w:cs="Arial"/>
                <w:b w:val="1"/>
                <w:bCs w:val="1"/>
                <w:sz w:val="22"/>
                <w:szCs w:val="22"/>
              </w:rPr>
            </w:pPr>
            <w:r w:rsidRPr="238B8832" w:rsidR="238B8832">
              <w:rPr>
                <w:rFonts w:ascii="Arial" w:hAnsi="Arial" w:eastAsia="Arial" w:cs="Arial"/>
                <w:b w:val="1"/>
                <w:bCs w:val="1"/>
                <w:sz w:val="22"/>
                <w:szCs w:val="22"/>
              </w:rPr>
              <w:t>Overall</w:t>
            </w:r>
            <w:r w:rsidRPr="238B8832" w:rsidR="238B8832">
              <w:rPr>
                <w:rFonts w:ascii="Arial" w:hAnsi="Arial" w:eastAsia="Arial" w:cs="Arial"/>
                <w:b w:val="1"/>
                <w:bCs w:val="1"/>
                <w:sz w:val="22"/>
                <w:szCs w:val="22"/>
              </w:rPr>
              <w:t xml:space="preserve"> Strengths</w:t>
            </w:r>
          </w:p>
        </w:tc>
        <w:tc>
          <w:tcPr>
            <w:tcW w:w="2686" w:type="dxa"/>
            <w:tcBorders>
              <w:top w:val="single" w:color="E6E6E6" w:sz="6"/>
              <w:left w:val="single" w:color="E6E6E6" w:sz="6"/>
              <w:bottom w:val="single" w:color="E6E6E6" w:sz="6"/>
              <w:right w:val="single" w:color="E6E6E6" w:sz="6"/>
            </w:tcBorders>
            <w:tcMar/>
            <w:vAlign w:val="center"/>
          </w:tcPr>
          <w:p w:rsidR="238B8832" w:rsidP="238B8832" w:rsidRDefault="238B8832" w14:paraId="6B336E6D" w14:textId="4DCC440E">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Reassuring, warm, accessible; strong Family Hub model.</w:t>
            </w:r>
          </w:p>
        </w:tc>
        <w:tc>
          <w:tcPr>
            <w:tcW w:w="2752" w:type="dxa"/>
            <w:tcBorders>
              <w:top w:val="single" w:color="E6E6E6" w:sz="6"/>
              <w:left w:val="single" w:color="E6E6E6" w:sz="6"/>
              <w:bottom w:val="single" w:color="E6E6E6" w:sz="6"/>
              <w:right w:val="single" w:color="E6E6E6" w:sz="6"/>
            </w:tcBorders>
            <w:tcMar/>
            <w:vAlign w:val="center"/>
          </w:tcPr>
          <w:p w:rsidR="238B8832" w:rsidP="238B8832" w:rsidRDefault="238B8832" w14:paraId="42617C3C" w14:textId="7E6CB826">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Comprehensive directory and strategy; excellent breadth of services.</w:t>
            </w:r>
          </w:p>
        </w:tc>
        <w:tc>
          <w:tcPr>
            <w:tcW w:w="2404" w:type="dxa"/>
            <w:tcBorders>
              <w:top w:val="single" w:color="E6E6E6" w:sz="6"/>
              <w:left w:val="single" w:color="E6E6E6" w:sz="6"/>
              <w:bottom w:val="single" w:color="E6E6E6" w:sz="6"/>
              <w:right w:val="single" w:color="E6E6E6" w:sz="6"/>
            </w:tcBorders>
            <w:tcMar/>
            <w:vAlign w:val="center"/>
          </w:tcPr>
          <w:p w:rsidR="238B8832" w:rsidP="238B8832" w:rsidRDefault="238B8832" w14:paraId="11FCB3DC" w14:textId="6B223F82">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Clear, honest guidance; most transparent multi-agency pathway.</w:t>
            </w:r>
          </w:p>
        </w:tc>
      </w:tr>
      <w:tr w:rsidR="238B8832" w:rsidTr="238B8832" w14:paraId="414B7506">
        <w:trPr>
          <w:trHeight w:val="300"/>
        </w:trPr>
        <w:tc>
          <w:tcPr>
            <w:tcW w:w="1519" w:type="dxa"/>
            <w:tcBorders>
              <w:top w:val="single" w:color="E6E6E6" w:sz="6"/>
              <w:left w:val="single" w:color="E6E6E6" w:sz="6"/>
              <w:bottom w:val="single" w:color="E6E6E6" w:sz="6"/>
              <w:right w:val="single" w:color="E6E6E6" w:sz="6"/>
            </w:tcBorders>
            <w:shd w:val="clear" w:color="auto" w:fill="83CAEB" w:themeFill="accent1" w:themeFillTint="66"/>
            <w:tcMar/>
            <w:vAlign w:val="center"/>
          </w:tcPr>
          <w:p w:rsidR="238B8832" w:rsidP="238B8832" w:rsidRDefault="238B8832" w14:paraId="3FE47C5B" w14:textId="2AE84203">
            <w:pPr>
              <w:spacing w:before="0" w:beforeAutospacing="off" w:after="0" w:afterAutospacing="off" w:line="360" w:lineRule="auto"/>
              <w:rPr>
                <w:rFonts w:ascii="Arial" w:hAnsi="Arial" w:eastAsia="Arial" w:cs="Arial"/>
                <w:b w:val="1"/>
                <w:bCs w:val="1"/>
                <w:sz w:val="22"/>
                <w:szCs w:val="22"/>
              </w:rPr>
            </w:pPr>
            <w:r w:rsidRPr="238B8832" w:rsidR="238B8832">
              <w:rPr>
                <w:rFonts w:ascii="Arial" w:hAnsi="Arial" w:eastAsia="Arial" w:cs="Arial"/>
                <w:b w:val="1"/>
                <w:bCs w:val="1"/>
                <w:sz w:val="22"/>
                <w:szCs w:val="22"/>
              </w:rPr>
              <w:t>Overall Weaknesses</w:t>
            </w:r>
          </w:p>
        </w:tc>
        <w:tc>
          <w:tcPr>
            <w:tcW w:w="2686" w:type="dxa"/>
            <w:tcBorders>
              <w:top w:val="single" w:color="E6E6E6" w:sz="6"/>
              <w:left w:val="single" w:color="E6E6E6" w:sz="6"/>
              <w:bottom w:val="single" w:color="E6E6E6" w:sz="6"/>
              <w:right w:val="single" w:color="E6E6E6" w:sz="6"/>
            </w:tcBorders>
            <w:tcMar/>
            <w:vAlign w:val="center"/>
          </w:tcPr>
          <w:p w:rsidR="238B8832" w:rsidP="238B8832" w:rsidRDefault="238B8832" w14:paraId="7962B55E" w14:textId="7D0506E8">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 xml:space="preserve">Navigation between pages </w:t>
            </w:r>
            <w:r w:rsidRPr="238B8832" w:rsidR="30991A32">
              <w:rPr>
                <w:rFonts w:ascii="Arial" w:hAnsi="Arial" w:eastAsia="Arial" w:cs="Arial"/>
                <w:sz w:val="22"/>
                <w:szCs w:val="22"/>
              </w:rPr>
              <w:t>is occasionally</w:t>
            </w:r>
            <w:r w:rsidRPr="238B8832" w:rsidR="238B8832">
              <w:rPr>
                <w:rFonts w:ascii="Arial" w:hAnsi="Arial" w:eastAsia="Arial" w:cs="Arial"/>
                <w:sz w:val="22"/>
                <w:szCs w:val="22"/>
              </w:rPr>
              <w:t xml:space="preserve"> fragmented.</w:t>
            </w:r>
          </w:p>
        </w:tc>
        <w:tc>
          <w:tcPr>
            <w:tcW w:w="2752" w:type="dxa"/>
            <w:tcBorders>
              <w:top w:val="single" w:color="E6E6E6" w:sz="6"/>
              <w:left w:val="single" w:color="E6E6E6" w:sz="6"/>
              <w:bottom w:val="single" w:color="E6E6E6" w:sz="6"/>
              <w:right w:val="single" w:color="E6E6E6" w:sz="6"/>
            </w:tcBorders>
            <w:tcMar/>
            <w:vAlign w:val="center"/>
          </w:tcPr>
          <w:p w:rsidR="238B8832" w:rsidP="238B8832" w:rsidRDefault="238B8832" w14:paraId="485BFE7C" w14:textId="47B0F215">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Overly technical; may create barriers for overwhelmed parents.</w:t>
            </w:r>
          </w:p>
        </w:tc>
        <w:tc>
          <w:tcPr>
            <w:tcW w:w="2404" w:type="dxa"/>
            <w:tcBorders>
              <w:top w:val="single" w:color="E6E6E6" w:sz="6"/>
              <w:left w:val="single" w:color="E6E6E6" w:sz="6"/>
              <w:bottom w:val="single" w:color="E6E6E6" w:sz="6"/>
              <w:right w:val="single" w:color="E6E6E6" w:sz="6"/>
            </w:tcBorders>
            <w:tcMar/>
            <w:vAlign w:val="center"/>
          </w:tcPr>
          <w:p w:rsidR="238B8832" w:rsidP="238B8832" w:rsidRDefault="238B8832" w14:paraId="6A622FFC" w14:textId="68B51781">
            <w:pPr>
              <w:spacing w:before="0" w:beforeAutospacing="off" w:after="0" w:afterAutospacing="off" w:line="360" w:lineRule="auto"/>
              <w:rPr>
                <w:rFonts w:ascii="Arial" w:hAnsi="Arial" w:eastAsia="Arial" w:cs="Arial"/>
                <w:sz w:val="22"/>
                <w:szCs w:val="22"/>
              </w:rPr>
            </w:pPr>
            <w:r w:rsidRPr="238B8832" w:rsidR="238B8832">
              <w:rPr>
                <w:rFonts w:ascii="Arial" w:hAnsi="Arial" w:eastAsia="Arial" w:cs="Arial"/>
                <w:sz w:val="22"/>
                <w:szCs w:val="22"/>
              </w:rPr>
              <w:t>Dated visuals; large text blocks may affect readability.</w:t>
            </w:r>
          </w:p>
        </w:tc>
      </w:tr>
    </w:tbl>
    <w:p w:rsidR="238B8832" w:rsidP="238B8832" w:rsidRDefault="238B8832" w14:paraId="7EFBB320" w14:textId="52F45A2C">
      <w:pPr>
        <w:spacing w:before="0" w:beforeAutospacing="off" w:after="0" w:afterAutospacing="off" w:line="360" w:lineRule="auto"/>
        <w:rPr>
          <w:rFonts w:ascii="Arial" w:hAnsi="Arial" w:eastAsia="Arial" w:cs="Arial"/>
          <w:sz w:val="22"/>
          <w:szCs w:val="22"/>
        </w:rPr>
      </w:pPr>
    </w:p>
    <w:p w:rsidR="238B8832" w:rsidP="238B8832" w:rsidRDefault="238B8832" w14:paraId="10FBE353" w14:textId="440D7A84">
      <w:pPr>
        <w:spacing w:before="0" w:beforeAutospacing="off" w:after="0" w:afterAutospacing="off" w:line="360" w:lineRule="auto"/>
        <w:rPr>
          <w:rFonts w:ascii="Arial" w:hAnsi="Arial" w:eastAsia="Arial" w:cs="Arial"/>
          <w:sz w:val="22"/>
          <w:szCs w:val="22"/>
        </w:rPr>
      </w:pPr>
    </w:p>
    <w:p w:rsidR="79CBE6B5" w:rsidP="238B8832" w:rsidRDefault="79CBE6B5" w14:paraId="25729890" w14:textId="02B9FC00">
      <w:pPr>
        <w:pStyle w:val="Normal"/>
        <w:spacing w:before="0" w:beforeAutospacing="off" w:after="0" w:afterAutospacing="off" w:line="360" w:lineRule="auto"/>
      </w:pPr>
      <w:r w:rsidRPr="238B8832" w:rsidR="79CBE6B5">
        <w:rPr>
          <w:rFonts w:ascii="Arial" w:hAnsi="Arial" w:eastAsia="Arial" w:cs="Arial"/>
          <w:noProof w:val="0"/>
          <w:sz w:val="22"/>
          <w:szCs w:val="22"/>
          <w:lang w:val="en-US"/>
        </w:rPr>
        <w:t xml:space="preserve">The primary difference lies in the </w:t>
      </w:r>
      <w:r w:rsidRPr="238B8832" w:rsidR="79CBE6B5">
        <w:rPr>
          <w:rFonts w:ascii="Arial" w:hAnsi="Arial" w:eastAsia="Arial" w:cs="Arial"/>
          <w:b w:val="1"/>
          <w:bCs w:val="1"/>
          <w:noProof w:val="0"/>
          <w:sz w:val="22"/>
          <w:szCs w:val="22"/>
          <w:lang w:val="en-US"/>
        </w:rPr>
        <w:t>Tower Hamlets</w:t>
      </w:r>
      <w:r w:rsidRPr="238B8832" w:rsidR="79CBE6B5">
        <w:rPr>
          <w:rFonts w:ascii="Arial" w:hAnsi="Arial" w:eastAsia="Arial" w:cs="Arial"/>
          <w:noProof w:val="0"/>
          <w:sz w:val="22"/>
          <w:szCs w:val="22"/>
          <w:lang w:val="en-US"/>
        </w:rPr>
        <w:t xml:space="preserve"> model, which views the website as a "front door" to a system, </w:t>
      </w:r>
      <w:r w:rsidRPr="238B8832" w:rsidR="79CBE6B5">
        <w:rPr>
          <w:rFonts w:ascii="Arial" w:hAnsi="Arial" w:eastAsia="Arial" w:cs="Arial"/>
          <w:noProof w:val="0"/>
          <w:sz w:val="22"/>
          <w:szCs w:val="22"/>
          <w:lang w:val="en-US"/>
        </w:rPr>
        <w:t>whereas</w:t>
      </w:r>
      <w:r w:rsidRPr="238B8832" w:rsidR="79CBE6B5">
        <w:rPr>
          <w:rFonts w:ascii="Arial" w:hAnsi="Arial" w:eastAsia="Arial" w:cs="Arial"/>
          <w:noProof w:val="0"/>
          <w:sz w:val="22"/>
          <w:szCs w:val="22"/>
          <w:lang w:val="en-US"/>
        </w:rPr>
        <w:t xml:space="preserve"> </w:t>
      </w:r>
      <w:r w:rsidRPr="238B8832" w:rsidR="79CBE6B5">
        <w:rPr>
          <w:rFonts w:ascii="Arial" w:hAnsi="Arial" w:eastAsia="Arial" w:cs="Arial"/>
          <w:b w:val="1"/>
          <w:bCs w:val="1"/>
          <w:noProof w:val="0"/>
          <w:sz w:val="22"/>
          <w:szCs w:val="22"/>
          <w:lang w:val="en-US"/>
        </w:rPr>
        <w:t>Staffordshire</w:t>
      </w:r>
      <w:r w:rsidRPr="238B8832" w:rsidR="79CBE6B5">
        <w:rPr>
          <w:rFonts w:ascii="Arial" w:hAnsi="Arial" w:eastAsia="Arial" w:cs="Arial"/>
          <w:noProof w:val="0"/>
          <w:sz w:val="22"/>
          <w:szCs w:val="22"/>
          <w:lang w:val="en-US"/>
        </w:rPr>
        <w:t xml:space="preserve"> views it as a "library" of resources.</w:t>
      </w:r>
      <w:r w:rsidRPr="238B8832" w:rsidR="79CBE6B5">
        <w:rPr>
          <w:rFonts w:ascii="Arial Nova" w:hAnsi="Arial Nova" w:eastAsia="Arial Nova" w:cs="Arial Nova"/>
          <w:noProof w:val="0"/>
          <w:sz w:val="24"/>
          <w:szCs w:val="24"/>
          <w:lang w:val="en-US"/>
        </w:rPr>
        <w:t xml:space="preserve"> </w:t>
      </w:r>
      <w:r w:rsidRPr="238B8832" w:rsidR="79CBE6B5">
        <w:rPr>
          <w:rFonts w:ascii="Arial Nova" w:hAnsi="Arial Nova" w:eastAsia="Arial Nova" w:cs="Arial Nova"/>
          <w:b w:val="1"/>
          <w:bCs w:val="1"/>
          <w:noProof w:val="0"/>
          <w:sz w:val="24"/>
          <w:szCs w:val="24"/>
          <w:lang w:val="en-US"/>
        </w:rPr>
        <w:t>Leicestershire</w:t>
      </w:r>
      <w:r w:rsidRPr="238B8832" w:rsidR="79CBE6B5">
        <w:rPr>
          <w:rFonts w:ascii="Arial Nova" w:hAnsi="Arial Nova" w:eastAsia="Arial Nova" w:cs="Arial Nova"/>
          <w:noProof w:val="0"/>
          <w:sz w:val="24"/>
          <w:szCs w:val="24"/>
          <w:lang w:val="en-US"/>
        </w:rPr>
        <w:t xml:space="preserve"> falls in the middle, offering a robust but occasionally confusing user journey.</w:t>
      </w:r>
    </w:p>
    <w:p w:rsidR="238B8832" w:rsidP="238B8832" w:rsidRDefault="238B8832" w14:paraId="4D8B60F0" w14:textId="6E2A0B29">
      <w:pPr>
        <w:pStyle w:val="Normal"/>
        <w:spacing w:before="0" w:beforeAutospacing="off" w:after="0" w:afterAutospacing="off" w:line="300" w:lineRule="auto"/>
        <w:rPr>
          <w:rFonts w:ascii="Arial Nova" w:hAnsi="Arial Nova" w:eastAsia="Arial Nova" w:cs="Arial Nova"/>
          <w:noProof w:val="0"/>
          <w:sz w:val="24"/>
          <w:szCs w:val="24"/>
          <w:lang w:val="en-US"/>
        </w:rPr>
      </w:pPr>
    </w:p>
    <w:p w:rsidR="238B8832" w:rsidP="238B8832" w:rsidRDefault="238B8832" w14:paraId="54FA57A4" w14:textId="192010C0">
      <w:pPr>
        <w:pStyle w:val="Normal"/>
        <w:spacing w:before="0" w:beforeAutospacing="off" w:after="0" w:afterAutospacing="off" w:line="300" w:lineRule="auto"/>
        <w:rPr>
          <w:rFonts w:ascii="Arial Nova" w:hAnsi="Arial Nova" w:eastAsia="Arial Nova" w:cs="Arial Nova"/>
          <w:noProof w:val="0"/>
          <w:sz w:val="24"/>
          <w:szCs w:val="24"/>
          <w:lang w:val="en-US"/>
        </w:rPr>
      </w:pPr>
    </w:p>
    <w:p w:rsidR="4E7C4C96" w:rsidP="238B8832" w:rsidRDefault="4E7C4C96" w14:paraId="6537A69D" w14:textId="14F465F5">
      <w:pPr>
        <w:pStyle w:val="Heading2"/>
        <w:spacing w:before="0" w:beforeAutospacing="off" w:after="299" w:afterAutospacing="off"/>
        <w:rPr>
          <w:b w:val="1"/>
          <w:bCs w:val="1"/>
          <w:noProof w:val="0"/>
          <w:color w:val="auto"/>
          <w:sz w:val="36"/>
          <w:szCs w:val="36"/>
          <w:lang w:val="en-US"/>
        </w:rPr>
      </w:pPr>
      <w:r w:rsidRPr="238B8832" w:rsidR="4E7C4C96">
        <w:rPr>
          <w:b w:val="1"/>
          <w:bCs w:val="1"/>
          <w:noProof w:val="0"/>
          <w:color w:val="auto"/>
          <w:sz w:val="36"/>
          <w:szCs w:val="36"/>
          <w:lang w:val="en-US"/>
        </w:rPr>
        <w:t>5. Comparative Analysis: Strengths and Weaknesses</w:t>
      </w:r>
    </w:p>
    <w:p w:rsidR="4E7C4C96" w:rsidP="238B8832" w:rsidRDefault="4E7C4C96" w14:paraId="6720D3EC" w14:textId="5D531043">
      <w:pPr>
        <w:pStyle w:val="Heading3"/>
        <w:spacing w:before="0" w:beforeAutospacing="off" w:after="281" w:afterAutospacing="off"/>
        <w:rPr>
          <w:b w:val="1"/>
          <w:bCs w:val="1"/>
          <w:noProof w:val="0"/>
          <w:color w:val="auto"/>
          <w:sz w:val="28"/>
          <w:szCs w:val="28"/>
          <w:lang w:val="en-US"/>
        </w:rPr>
      </w:pPr>
      <w:r w:rsidRPr="238B8832" w:rsidR="4E7C4C96">
        <w:rPr>
          <w:b w:val="1"/>
          <w:bCs w:val="1"/>
          <w:noProof w:val="0"/>
          <w:color w:val="auto"/>
          <w:sz w:val="28"/>
          <w:szCs w:val="28"/>
          <w:lang w:val="en-US"/>
        </w:rPr>
        <w:t>5.1 Accessibility and Navigation</w:t>
      </w:r>
    </w:p>
    <w:p w:rsidR="4E7C4C96" w:rsidP="238B8832" w:rsidRDefault="4E7C4C96" w14:paraId="5F6228A2" w14:textId="46E047DA">
      <w:pPr>
        <w:spacing w:before="0" w:beforeAutospacing="off" w:after="240" w:afterAutospacing="off" w:line="360" w:lineRule="auto"/>
        <w:rPr>
          <w:rFonts w:ascii="Arial" w:hAnsi="Arial" w:eastAsia="Arial" w:cs="Arial"/>
          <w:noProof w:val="0"/>
          <w:sz w:val="22"/>
          <w:szCs w:val="22"/>
          <w:lang w:val="en-US"/>
        </w:rPr>
      </w:pPr>
      <w:r w:rsidRPr="238B8832" w:rsidR="4E7C4C96">
        <w:rPr>
          <w:rFonts w:ascii="Arial" w:hAnsi="Arial" w:eastAsia="Arial" w:cs="Arial"/>
          <w:noProof w:val="0"/>
          <w:sz w:val="22"/>
          <w:szCs w:val="22"/>
          <w:lang w:val="en-US"/>
        </w:rPr>
        <w:t xml:space="preserve">Leicestershire is the strongest for user-friendliness due to its age-based structure and low cognitive load. Staffordshire excels in </w:t>
      </w:r>
      <w:r w:rsidRPr="238B8832" w:rsidR="76DC394F">
        <w:rPr>
          <w:rFonts w:ascii="Arial" w:hAnsi="Arial" w:eastAsia="Arial" w:cs="Arial"/>
          <w:noProof w:val="0"/>
          <w:sz w:val="22"/>
          <w:szCs w:val="22"/>
          <w:lang w:val="en-US"/>
        </w:rPr>
        <w:t>search of</w:t>
      </w:r>
      <w:r w:rsidRPr="238B8832" w:rsidR="4E7C4C96">
        <w:rPr>
          <w:rFonts w:ascii="Arial" w:hAnsi="Arial" w:eastAsia="Arial" w:cs="Arial"/>
          <w:noProof w:val="0"/>
          <w:sz w:val="22"/>
          <w:szCs w:val="22"/>
          <w:lang w:val="en-US"/>
        </w:rPr>
        <w:t xml:space="preserve"> functionality for families with </w:t>
      </w:r>
      <w:r w:rsidRPr="238B8832" w:rsidR="4E7C4C96">
        <w:rPr>
          <w:rFonts w:ascii="Arial" w:hAnsi="Arial" w:eastAsia="Arial" w:cs="Arial"/>
          <w:noProof w:val="0"/>
          <w:sz w:val="22"/>
          <w:szCs w:val="22"/>
          <w:lang w:val="en-US"/>
        </w:rPr>
        <w:t>very specific</w:t>
      </w:r>
      <w:r w:rsidRPr="238B8832" w:rsidR="4E7C4C96">
        <w:rPr>
          <w:rFonts w:ascii="Arial" w:hAnsi="Arial" w:eastAsia="Arial" w:cs="Arial"/>
          <w:noProof w:val="0"/>
          <w:sz w:val="22"/>
          <w:szCs w:val="22"/>
          <w:lang w:val="en-US"/>
        </w:rPr>
        <w:t xml:space="preserve"> needs via its directory model. Tower Hamlets offers balanced navigation where information is easy to find despite a less modern aesthetic.</w:t>
      </w:r>
    </w:p>
    <w:p w:rsidR="4E7C4C96" w:rsidP="238B8832" w:rsidRDefault="4E7C4C96" w14:paraId="46E78BC9" w14:textId="43D3D170">
      <w:pPr>
        <w:pStyle w:val="Heading3"/>
        <w:spacing w:before="0" w:beforeAutospacing="off" w:after="281" w:afterAutospacing="off" w:line="360" w:lineRule="auto"/>
        <w:rPr>
          <w:rFonts w:ascii="Arial" w:hAnsi="Arial" w:eastAsia="Arial" w:cs="Arial"/>
          <w:b w:val="1"/>
          <w:bCs w:val="1"/>
          <w:noProof w:val="0"/>
          <w:color w:val="auto"/>
          <w:sz w:val="22"/>
          <w:szCs w:val="22"/>
          <w:lang w:val="en-US"/>
        </w:rPr>
      </w:pPr>
      <w:r w:rsidRPr="238B8832" w:rsidR="4E7C4C96">
        <w:rPr>
          <w:rFonts w:ascii="Arial" w:hAnsi="Arial" w:eastAsia="Arial" w:cs="Arial"/>
          <w:b w:val="1"/>
          <w:bCs w:val="1"/>
          <w:noProof w:val="0"/>
          <w:color w:val="auto"/>
          <w:sz w:val="22"/>
          <w:szCs w:val="22"/>
          <w:lang w:val="en-US"/>
        </w:rPr>
        <w:t>5.2 Transparency of Process</w:t>
      </w:r>
    </w:p>
    <w:p w:rsidR="4E7C4C96" w:rsidP="238B8832" w:rsidRDefault="4E7C4C96" w14:paraId="041C4ECB" w14:textId="61ACB8D6">
      <w:pPr>
        <w:spacing w:before="0" w:beforeAutospacing="off" w:after="240" w:afterAutospacing="off" w:line="360" w:lineRule="auto"/>
        <w:rPr>
          <w:rFonts w:ascii="Arial" w:hAnsi="Arial" w:eastAsia="Arial" w:cs="Arial"/>
          <w:noProof w:val="0"/>
          <w:sz w:val="22"/>
          <w:szCs w:val="22"/>
          <w:lang w:val="en-US"/>
        </w:rPr>
      </w:pPr>
      <w:r w:rsidRPr="238B8832" w:rsidR="4E7C4C96">
        <w:rPr>
          <w:rFonts w:ascii="Arial" w:hAnsi="Arial" w:eastAsia="Arial" w:cs="Arial"/>
          <w:noProof w:val="0"/>
          <w:sz w:val="22"/>
          <w:szCs w:val="22"/>
          <w:lang w:val="en-US"/>
        </w:rPr>
        <w:t xml:space="preserve">Tower Hamlets excels by showing families exactly what happens after an enquiry is </w:t>
      </w:r>
      <w:r w:rsidRPr="238B8832" w:rsidR="4E7C4C96">
        <w:rPr>
          <w:rFonts w:ascii="Arial" w:hAnsi="Arial" w:eastAsia="Arial" w:cs="Arial"/>
          <w:noProof w:val="0"/>
          <w:sz w:val="22"/>
          <w:szCs w:val="22"/>
          <w:lang w:val="en-US"/>
        </w:rPr>
        <w:t>submitted</w:t>
      </w:r>
      <w:r w:rsidRPr="238B8832" w:rsidR="4E7C4C96">
        <w:rPr>
          <w:rFonts w:ascii="Arial" w:hAnsi="Arial" w:eastAsia="Arial" w:cs="Arial"/>
          <w:noProof w:val="0"/>
          <w:sz w:val="22"/>
          <w:szCs w:val="22"/>
          <w:lang w:val="en-US"/>
        </w:rPr>
        <w:t>, which reduces uncertainty. Conversely, Staffordshire provides strategic depth that is useful for professionals but lacks a "lived process" guide for families. Leicestershire offers warmth and reassurance but provides limited procedural clarity.</w:t>
      </w:r>
    </w:p>
    <w:p w:rsidR="4E7C4C96" w:rsidP="238B8832" w:rsidRDefault="4E7C4C96" w14:paraId="62B68808" w14:textId="1D493507">
      <w:pPr>
        <w:pStyle w:val="Heading3"/>
        <w:spacing w:before="0" w:beforeAutospacing="off" w:after="281" w:afterAutospacing="off"/>
        <w:rPr>
          <w:b w:val="1"/>
          <w:bCs w:val="1"/>
          <w:noProof w:val="0"/>
          <w:color w:val="auto"/>
          <w:sz w:val="28"/>
          <w:szCs w:val="28"/>
          <w:lang w:val="en-US"/>
        </w:rPr>
      </w:pPr>
      <w:r w:rsidRPr="238B8832" w:rsidR="4E7C4C96">
        <w:rPr>
          <w:b w:val="1"/>
          <w:bCs w:val="1"/>
          <w:noProof w:val="0"/>
          <w:color w:val="auto"/>
          <w:sz w:val="28"/>
          <w:szCs w:val="28"/>
          <w:lang w:val="en-US"/>
        </w:rPr>
        <w:t>5.3 Consistency with National Guidance</w:t>
      </w:r>
    </w:p>
    <w:p w:rsidR="4E7C4C96" w:rsidP="238B8832" w:rsidRDefault="4E7C4C96" w14:paraId="314B044C" w14:textId="024D81B4">
      <w:pPr>
        <w:spacing w:before="0" w:beforeAutospacing="off" w:after="240" w:afterAutospacing="off" w:line="360" w:lineRule="auto"/>
        <w:rPr>
          <w:rFonts w:ascii="Arial" w:hAnsi="Arial" w:eastAsia="Arial" w:cs="Arial"/>
          <w:noProof w:val="0"/>
          <w:sz w:val="22"/>
          <w:szCs w:val="22"/>
          <w:lang w:val="en-US"/>
        </w:rPr>
      </w:pPr>
      <w:r w:rsidRPr="238B8832" w:rsidR="4E7C4C96">
        <w:rPr>
          <w:rFonts w:ascii="Arial" w:hAnsi="Arial" w:eastAsia="Arial" w:cs="Arial"/>
          <w:noProof w:val="0"/>
          <w:sz w:val="22"/>
          <w:szCs w:val="22"/>
          <w:lang w:val="en-US"/>
        </w:rPr>
        <w:t xml:space="preserve">While all three align with </w:t>
      </w:r>
      <w:r w:rsidRPr="238B8832" w:rsidR="4E7C4C96">
        <w:rPr>
          <w:rFonts w:ascii="Arial" w:hAnsi="Arial" w:eastAsia="Arial" w:cs="Arial"/>
          <w:i w:val="1"/>
          <w:iCs w:val="1"/>
          <w:noProof w:val="0"/>
          <w:sz w:val="22"/>
          <w:szCs w:val="22"/>
          <w:lang w:val="en-US"/>
        </w:rPr>
        <w:t>Working Together (2023)</w:t>
      </w:r>
      <w:r w:rsidRPr="238B8832" w:rsidR="4E7C4C96">
        <w:rPr>
          <w:rFonts w:ascii="Arial" w:hAnsi="Arial" w:eastAsia="Arial" w:cs="Arial"/>
          <w:noProof w:val="0"/>
          <w:sz w:val="22"/>
          <w:szCs w:val="22"/>
          <w:lang w:val="en-US"/>
        </w:rPr>
        <w:t xml:space="preserve"> by offering step-up/down pathways, they reflect the </w:t>
      </w:r>
      <w:r w:rsidRPr="238B8832" w:rsidR="4E7C4C96">
        <w:rPr>
          <w:rFonts w:ascii="Arial" w:hAnsi="Arial" w:eastAsia="Arial" w:cs="Arial"/>
          <w:i w:val="1"/>
          <w:iCs w:val="1"/>
          <w:noProof w:val="0"/>
          <w:sz w:val="22"/>
          <w:szCs w:val="22"/>
          <w:lang w:val="en-US"/>
        </w:rPr>
        <w:t>Early Help System Guide (2022)</w:t>
      </w:r>
      <w:r w:rsidRPr="238B8832" w:rsidR="4E7C4C96">
        <w:rPr>
          <w:rFonts w:ascii="Arial" w:hAnsi="Arial" w:eastAsia="Arial" w:cs="Arial"/>
          <w:noProof w:val="0"/>
          <w:sz w:val="22"/>
          <w:szCs w:val="22"/>
          <w:lang w:val="en-US"/>
        </w:rPr>
        <w:t xml:space="preserve"> in </w:t>
      </w:r>
      <w:r w:rsidRPr="238B8832" w:rsidR="4E7C4C96">
        <w:rPr>
          <w:rFonts w:ascii="Arial" w:hAnsi="Arial" w:eastAsia="Arial" w:cs="Arial"/>
          <w:noProof w:val="0"/>
          <w:sz w:val="22"/>
          <w:szCs w:val="22"/>
          <w:lang w:val="en-US"/>
        </w:rPr>
        <w:t>different ways</w:t>
      </w:r>
      <w:r w:rsidRPr="238B8832" w:rsidR="4E7C4C96">
        <w:rPr>
          <w:rFonts w:ascii="Arial" w:hAnsi="Arial" w:eastAsia="Arial" w:cs="Arial"/>
          <w:noProof w:val="0"/>
          <w:sz w:val="22"/>
          <w:szCs w:val="22"/>
          <w:lang w:val="en-US"/>
        </w:rPr>
        <w:t>:</w:t>
      </w:r>
    </w:p>
    <w:p w:rsidR="4E7C4C96" w:rsidP="238B8832" w:rsidRDefault="4E7C4C96" w14:paraId="0A79CE6A" w14:textId="0E11BCCF">
      <w:pPr>
        <w:pStyle w:val="ListParagraph"/>
        <w:numPr>
          <w:ilvl w:val="0"/>
          <w:numId w:val="19"/>
        </w:numPr>
        <w:spacing w:before="240" w:beforeAutospacing="off" w:after="240" w:afterAutospacing="off" w:line="360" w:lineRule="auto"/>
        <w:rPr>
          <w:rFonts w:ascii="Arial" w:hAnsi="Arial" w:eastAsia="Arial" w:cs="Arial"/>
          <w:noProof w:val="0"/>
          <w:sz w:val="22"/>
          <w:szCs w:val="22"/>
          <w:lang w:val="en-US"/>
        </w:rPr>
      </w:pPr>
      <w:r w:rsidRPr="238B8832" w:rsidR="4E7C4C96">
        <w:rPr>
          <w:rFonts w:ascii="Arial" w:hAnsi="Arial" w:eastAsia="Arial" w:cs="Arial"/>
          <w:b w:val="1"/>
          <w:bCs w:val="1"/>
          <w:noProof w:val="0"/>
          <w:sz w:val="22"/>
          <w:szCs w:val="22"/>
          <w:lang w:val="en-US"/>
        </w:rPr>
        <w:t>Tower Hamlets</w:t>
      </w:r>
      <w:r w:rsidRPr="238B8832" w:rsidR="4E7C4C96">
        <w:rPr>
          <w:rFonts w:ascii="Arial" w:hAnsi="Arial" w:eastAsia="Arial" w:cs="Arial"/>
          <w:noProof w:val="0"/>
          <w:sz w:val="22"/>
          <w:szCs w:val="22"/>
          <w:lang w:val="en-US"/>
        </w:rPr>
        <w:t xml:space="preserve"> best reflects the voluntary, consent-based ethos.</w:t>
      </w:r>
    </w:p>
    <w:p w:rsidR="4E7C4C96" w:rsidP="238B8832" w:rsidRDefault="4E7C4C96" w14:paraId="3FB75727" w14:textId="2F5B0EAB">
      <w:pPr>
        <w:pStyle w:val="ListParagraph"/>
        <w:numPr>
          <w:ilvl w:val="0"/>
          <w:numId w:val="19"/>
        </w:numPr>
        <w:spacing w:before="240" w:beforeAutospacing="off" w:after="240" w:afterAutospacing="off" w:line="360" w:lineRule="auto"/>
        <w:rPr>
          <w:rFonts w:ascii="Arial" w:hAnsi="Arial" w:eastAsia="Arial" w:cs="Arial"/>
          <w:noProof w:val="0"/>
          <w:sz w:val="22"/>
          <w:szCs w:val="22"/>
          <w:lang w:val="en-US"/>
        </w:rPr>
      </w:pPr>
      <w:r w:rsidRPr="238B8832" w:rsidR="4E7C4C96">
        <w:rPr>
          <w:rFonts w:ascii="Arial" w:hAnsi="Arial" w:eastAsia="Arial" w:cs="Arial"/>
          <w:b w:val="1"/>
          <w:bCs w:val="1"/>
          <w:noProof w:val="0"/>
          <w:sz w:val="22"/>
          <w:szCs w:val="22"/>
          <w:lang w:val="en-US"/>
        </w:rPr>
        <w:t>Leicestershire</w:t>
      </w:r>
      <w:r w:rsidRPr="238B8832" w:rsidR="4E7C4C96">
        <w:rPr>
          <w:rFonts w:ascii="Arial" w:hAnsi="Arial" w:eastAsia="Arial" w:cs="Arial"/>
          <w:noProof w:val="0"/>
          <w:sz w:val="22"/>
          <w:szCs w:val="22"/>
          <w:lang w:val="en-US"/>
        </w:rPr>
        <w:t xml:space="preserve"> best reflects family-friendly accessibility.</w:t>
      </w:r>
    </w:p>
    <w:p w:rsidR="4E7C4C96" w:rsidP="238B8832" w:rsidRDefault="4E7C4C96" w14:paraId="01648287" w14:textId="40E33E73">
      <w:pPr>
        <w:pStyle w:val="ListParagraph"/>
        <w:numPr>
          <w:ilvl w:val="0"/>
          <w:numId w:val="19"/>
        </w:numPr>
        <w:spacing w:before="240" w:beforeAutospacing="off" w:after="240" w:afterAutospacing="off" w:line="360" w:lineRule="auto"/>
        <w:rPr>
          <w:rFonts w:ascii="Arial" w:hAnsi="Arial" w:eastAsia="Arial" w:cs="Arial"/>
          <w:noProof w:val="0"/>
          <w:sz w:val="22"/>
          <w:szCs w:val="22"/>
          <w:lang w:val="en-US"/>
        </w:rPr>
      </w:pPr>
      <w:r w:rsidRPr="238B8832" w:rsidR="4E7C4C96">
        <w:rPr>
          <w:rFonts w:ascii="Arial" w:hAnsi="Arial" w:eastAsia="Arial" w:cs="Arial"/>
          <w:b w:val="1"/>
          <w:bCs w:val="1"/>
          <w:noProof w:val="0"/>
          <w:sz w:val="22"/>
          <w:szCs w:val="22"/>
          <w:lang w:val="en-US"/>
        </w:rPr>
        <w:t>Staffordshire</w:t>
      </w:r>
      <w:r w:rsidRPr="238B8832" w:rsidR="4E7C4C96">
        <w:rPr>
          <w:rFonts w:ascii="Arial" w:hAnsi="Arial" w:eastAsia="Arial" w:cs="Arial"/>
          <w:noProof w:val="0"/>
          <w:sz w:val="22"/>
          <w:szCs w:val="22"/>
          <w:lang w:val="en-US"/>
        </w:rPr>
        <w:t xml:space="preserve"> best reflects system-wide integration through digital directories.</w:t>
      </w:r>
    </w:p>
    <w:p w:rsidR="238B8832" w:rsidRDefault="238B8832" w14:paraId="29EE2520" w14:textId="54F7C1F8"/>
    <w:p w:rsidR="4E7C4C96" w:rsidP="238B8832" w:rsidRDefault="4E7C4C96" w14:paraId="1B7384AD" w14:textId="1E02256E">
      <w:pPr>
        <w:pStyle w:val="Heading2"/>
        <w:spacing w:before="0" w:beforeAutospacing="off" w:after="299" w:afterAutospacing="off"/>
        <w:rPr>
          <w:b w:val="1"/>
          <w:bCs w:val="1"/>
          <w:noProof w:val="0"/>
          <w:color w:val="auto"/>
          <w:sz w:val="36"/>
          <w:szCs w:val="36"/>
          <w:lang w:val="en-US"/>
        </w:rPr>
      </w:pPr>
      <w:r w:rsidRPr="238B8832" w:rsidR="4E7C4C96">
        <w:rPr>
          <w:b w:val="1"/>
          <w:bCs w:val="1"/>
          <w:noProof w:val="0"/>
          <w:color w:val="auto"/>
          <w:sz w:val="36"/>
          <w:szCs w:val="36"/>
          <w:lang w:val="en-US"/>
        </w:rPr>
        <w:t>6. Conclusion and Recommendations</w:t>
      </w:r>
    </w:p>
    <w:p w:rsidR="1AACB441" w:rsidP="238B8832" w:rsidRDefault="1AACB441" w14:paraId="20BCDA88" w14:textId="76880549">
      <w:pPr>
        <w:pStyle w:val="Heading3"/>
        <w:spacing w:before="246" w:beforeAutospacing="off" w:after="246" w:afterAutospacing="off" w:line="300" w:lineRule="auto"/>
        <w:rPr>
          <w:rFonts w:ascii="Segoe UI" w:hAnsi="Segoe UI" w:eastAsia="Segoe UI" w:cs="Segoe UI"/>
          <w:b w:val="1"/>
          <w:bCs w:val="1"/>
          <w:i w:val="0"/>
          <w:iCs w:val="0"/>
          <w:noProof w:val="0"/>
          <w:color w:val="auto"/>
          <w:sz w:val="24"/>
          <w:szCs w:val="24"/>
          <w:lang w:val="en-US"/>
        </w:rPr>
      </w:pPr>
      <w:r w:rsidRPr="238B8832" w:rsidR="1AACB441">
        <w:rPr>
          <w:rFonts w:ascii="Segoe UI" w:hAnsi="Segoe UI" w:eastAsia="Segoe UI" w:cs="Segoe UI"/>
          <w:b w:val="1"/>
          <w:bCs w:val="1"/>
          <w:i w:val="0"/>
          <w:iCs w:val="0"/>
          <w:noProof w:val="0"/>
          <w:color w:val="auto"/>
          <w:sz w:val="24"/>
          <w:szCs w:val="24"/>
          <w:lang w:val="en-US"/>
        </w:rPr>
        <w:t>6.l Conclusion</w:t>
      </w:r>
    </w:p>
    <w:p w:rsidR="1AACB441" w:rsidP="238B8832" w:rsidRDefault="1AACB441" w14:paraId="30DFE05B" w14:textId="5B550B7C">
      <w:pPr>
        <w:spacing w:before="210" w:beforeAutospacing="off" w:after="210" w:afterAutospacing="off" w:line="360" w:lineRule="auto"/>
        <w:rPr>
          <w:rFonts w:ascii="Arial" w:hAnsi="Arial" w:eastAsia="Arial" w:cs="Arial"/>
          <w:b w:val="0"/>
          <w:bCs w:val="0"/>
          <w:i w:val="0"/>
          <w:iCs w:val="0"/>
          <w:noProof w:val="0"/>
          <w:sz w:val="22"/>
          <w:szCs w:val="22"/>
          <w:lang w:val="en-US"/>
        </w:rPr>
      </w:pPr>
      <w:r w:rsidRPr="238B8832" w:rsidR="1AACB441">
        <w:rPr>
          <w:rFonts w:ascii="Arial" w:hAnsi="Arial" w:eastAsia="Arial" w:cs="Arial"/>
          <w:b w:val="0"/>
          <w:bCs w:val="0"/>
          <w:i w:val="0"/>
          <w:iCs w:val="0"/>
          <w:noProof w:val="0"/>
          <w:sz w:val="22"/>
          <w:szCs w:val="22"/>
          <w:lang w:val="en-US"/>
        </w:rPr>
        <w:t xml:space="preserve">This report </w:t>
      </w:r>
      <w:r w:rsidRPr="238B8832" w:rsidR="1AACB441">
        <w:rPr>
          <w:rFonts w:ascii="Arial" w:hAnsi="Arial" w:eastAsia="Arial" w:cs="Arial"/>
          <w:b w:val="0"/>
          <w:bCs w:val="0"/>
          <w:i w:val="0"/>
          <w:iCs w:val="0"/>
          <w:noProof w:val="0"/>
          <w:sz w:val="22"/>
          <w:szCs w:val="22"/>
          <w:lang w:val="en-US"/>
        </w:rPr>
        <w:t>demonstrates</w:t>
      </w:r>
      <w:r w:rsidRPr="238B8832" w:rsidR="1AACB441">
        <w:rPr>
          <w:rFonts w:ascii="Arial" w:hAnsi="Arial" w:eastAsia="Arial" w:cs="Arial"/>
          <w:b w:val="0"/>
          <w:bCs w:val="0"/>
          <w:i w:val="0"/>
          <w:iCs w:val="0"/>
          <w:noProof w:val="0"/>
          <w:sz w:val="22"/>
          <w:szCs w:val="22"/>
          <w:lang w:val="en-US"/>
        </w:rPr>
        <w:t xml:space="preserve"> that Early Help signposting varies </w:t>
      </w:r>
      <w:r w:rsidRPr="238B8832" w:rsidR="1AACB441">
        <w:rPr>
          <w:rFonts w:ascii="Arial" w:hAnsi="Arial" w:eastAsia="Arial" w:cs="Arial"/>
          <w:b w:val="0"/>
          <w:bCs w:val="0"/>
          <w:i w:val="0"/>
          <w:iCs w:val="0"/>
          <w:noProof w:val="0"/>
          <w:sz w:val="22"/>
          <w:szCs w:val="22"/>
          <w:lang w:val="en-US"/>
        </w:rPr>
        <w:t>considerably across</w:t>
      </w:r>
      <w:r w:rsidRPr="238B8832" w:rsidR="1AACB441">
        <w:rPr>
          <w:rFonts w:ascii="Arial" w:hAnsi="Arial" w:eastAsia="Arial" w:cs="Arial"/>
          <w:b w:val="0"/>
          <w:bCs w:val="0"/>
          <w:i w:val="0"/>
          <w:iCs w:val="0"/>
          <w:noProof w:val="0"/>
          <w:sz w:val="22"/>
          <w:szCs w:val="22"/>
          <w:lang w:val="en-US"/>
        </w:rPr>
        <w:t xml:space="preserve"> local </w:t>
      </w:r>
      <w:r w:rsidRPr="238B8832" w:rsidR="43167137">
        <w:rPr>
          <w:rFonts w:ascii="Arial" w:hAnsi="Arial" w:eastAsia="Arial" w:cs="Arial"/>
          <w:b w:val="0"/>
          <w:bCs w:val="0"/>
          <w:i w:val="0"/>
          <w:iCs w:val="0"/>
          <w:noProof w:val="0"/>
          <w:sz w:val="22"/>
          <w:szCs w:val="22"/>
          <w:lang w:val="en-US"/>
        </w:rPr>
        <w:t>authorities,</w:t>
      </w:r>
      <w:r w:rsidRPr="238B8832" w:rsidR="1AACB441">
        <w:rPr>
          <w:rFonts w:ascii="Arial" w:hAnsi="Arial" w:eastAsia="Arial" w:cs="Arial"/>
          <w:b w:val="0"/>
          <w:bCs w:val="0"/>
          <w:i w:val="0"/>
          <w:iCs w:val="0"/>
          <w:noProof w:val="0"/>
          <w:sz w:val="22"/>
          <w:szCs w:val="22"/>
          <w:lang w:val="en-US"/>
        </w:rPr>
        <w:t xml:space="preserve"> and that digital communication is an essential safeguarding tool. Families </w:t>
      </w:r>
      <w:r w:rsidRPr="238B8832" w:rsidR="1AACB441">
        <w:rPr>
          <w:rFonts w:ascii="Arial" w:hAnsi="Arial" w:eastAsia="Arial" w:cs="Arial"/>
          <w:b w:val="0"/>
          <w:bCs w:val="0"/>
          <w:i w:val="0"/>
          <w:iCs w:val="0"/>
          <w:noProof w:val="0"/>
          <w:sz w:val="22"/>
          <w:szCs w:val="22"/>
          <w:lang w:val="en-US"/>
        </w:rPr>
        <w:t>frequently</w:t>
      </w:r>
      <w:r w:rsidRPr="238B8832" w:rsidR="1AACB441">
        <w:rPr>
          <w:rFonts w:ascii="Arial" w:hAnsi="Arial" w:eastAsia="Arial" w:cs="Arial"/>
          <w:b w:val="0"/>
          <w:bCs w:val="0"/>
          <w:i w:val="0"/>
          <w:iCs w:val="0"/>
          <w:noProof w:val="0"/>
          <w:sz w:val="22"/>
          <w:szCs w:val="22"/>
          <w:lang w:val="en-US"/>
        </w:rPr>
        <w:t xml:space="preserve"> turn to websites during moments of stress, and the quality of online Early Help information may </w:t>
      </w:r>
      <w:r w:rsidRPr="238B8832" w:rsidR="1AACB441">
        <w:rPr>
          <w:rFonts w:ascii="Arial" w:hAnsi="Arial" w:eastAsia="Arial" w:cs="Arial"/>
          <w:b w:val="0"/>
          <w:bCs w:val="0"/>
          <w:i w:val="0"/>
          <w:iCs w:val="0"/>
          <w:noProof w:val="0"/>
          <w:sz w:val="22"/>
          <w:szCs w:val="22"/>
          <w:lang w:val="en-US"/>
        </w:rPr>
        <w:t>determine</w:t>
      </w:r>
      <w:r w:rsidRPr="238B8832" w:rsidR="1AACB441">
        <w:rPr>
          <w:rFonts w:ascii="Arial" w:hAnsi="Arial" w:eastAsia="Arial" w:cs="Arial"/>
          <w:b w:val="0"/>
          <w:bCs w:val="0"/>
          <w:i w:val="0"/>
          <w:iCs w:val="0"/>
          <w:noProof w:val="0"/>
          <w:sz w:val="22"/>
          <w:szCs w:val="22"/>
          <w:lang w:val="en-US"/>
        </w:rPr>
        <w:t xml:space="preserve"> whether they seek support early or disengage until concerns escalate. Therefore, Early Help webpages must be accessible, coherent, and transparent.</w:t>
      </w:r>
    </w:p>
    <w:p w:rsidR="1AACB441" w:rsidP="238B8832" w:rsidRDefault="1AACB441" w14:paraId="723E2A63" w14:textId="5C39A96C">
      <w:pPr>
        <w:spacing w:before="210" w:beforeAutospacing="off" w:after="210" w:afterAutospacing="off" w:line="360" w:lineRule="auto"/>
        <w:rPr>
          <w:rFonts w:ascii="Arial" w:hAnsi="Arial" w:eastAsia="Arial" w:cs="Arial"/>
          <w:b w:val="0"/>
          <w:bCs w:val="0"/>
          <w:i w:val="0"/>
          <w:iCs w:val="0"/>
          <w:noProof w:val="0"/>
          <w:sz w:val="22"/>
          <w:szCs w:val="22"/>
          <w:lang w:val="en-US"/>
        </w:rPr>
      </w:pPr>
      <w:r w:rsidRPr="238B8832" w:rsidR="1AACB441">
        <w:rPr>
          <w:rFonts w:ascii="Arial" w:hAnsi="Arial" w:eastAsia="Arial" w:cs="Arial"/>
          <w:b w:val="0"/>
          <w:bCs w:val="0"/>
          <w:i w:val="0"/>
          <w:iCs w:val="0"/>
          <w:noProof w:val="0"/>
          <w:sz w:val="22"/>
          <w:szCs w:val="22"/>
          <w:lang w:val="en-US"/>
        </w:rPr>
        <w:t xml:space="preserve">Among the three authorities evaluated, </w:t>
      </w:r>
      <w:r w:rsidRPr="238B8832" w:rsidR="1AACB441">
        <w:rPr>
          <w:rFonts w:ascii="Arial" w:hAnsi="Arial" w:eastAsia="Arial" w:cs="Arial"/>
          <w:b w:val="0"/>
          <w:bCs w:val="0"/>
          <w:i w:val="0"/>
          <w:iCs w:val="0"/>
          <w:noProof w:val="0"/>
          <w:sz w:val="22"/>
          <w:szCs w:val="22"/>
          <w:lang w:val="en-US"/>
        </w:rPr>
        <w:t>Tower Hamlets provides the most effective digital Early Help offer</w:t>
      </w:r>
      <w:r w:rsidRPr="238B8832" w:rsidR="1AACB441">
        <w:rPr>
          <w:rFonts w:ascii="Arial" w:hAnsi="Arial" w:eastAsia="Arial" w:cs="Arial"/>
          <w:b w:val="0"/>
          <w:bCs w:val="0"/>
          <w:i w:val="0"/>
          <w:iCs w:val="0"/>
          <w:noProof w:val="0"/>
          <w:sz w:val="22"/>
          <w:szCs w:val="22"/>
          <w:lang w:val="en-US"/>
        </w:rPr>
        <w:t>. Its strengths include:</w:t>
      </w:r>
    </w:p>
    <w:p w:rsidR="1AACB441" w:rsidP="238B8832" w:rsidRDefault="1AACB441" w14:paraId="4260101E" w14:textId="5A6CF97D">
      <w:pPr>
        <w:pStyle w:val="ListParagraph"/>
        <w:numPr>
          <w:ilvl w:val="0"/>
          <w:numId w:val="21"/>
        </w:numPr>
        <w:spacing w:before="0" w:beforeAutospacing="off" w:after="0" w:afterAutospacing="off" w:line="360" w:lineRule="auto"/>
        <w:rPr>
          <w:rFonts w:ascii="Arial" w:hAnsi="Arial" w:eastAsia="Arial" w:cs="Arial"/>
          <w:b w:val="0"/>
          <w:bCs w:val="0"/>
          <w:i w:val="0"/>
          <w:iCs w:val="0"/>
          <w:noProof w:val="0"/>
          <w:sz w:val="22"/>
          <w:szCs w:val="22"/>
          <w:lang w:val="en-US"/>
        </w:rPr>
      </w:pPr>
      <w:r w:rsidRPr="238B8832" w:rsidR="1AACB441">
        <w:rPr>
          <w:rFonts w:ascii="Arial" w:hAnsi="Arial" w:eastAsia="Arial" w:cs="Arial"/>
          <w:b w:val="0"/>
          <w:bCs w:val="0"/>
          <w:i w:val="0"/>
          <w:iCs w:val="0"/>
          <w:noProof w:val="0"/>
          <w:sz w:val="22"/>
          <w:szCs w:val="22"/>
          <w:lang w:val="en-US"/>
        </w:rPr>
        <w:t>Clear explanations of voluntary engagement</w:t>
      </w:r>
    </w:p>
    <w:p w:rsidR="1AACB441" w:rsidP="238B8832" w:rsidRDefault="1AACB441" w14:paraId="3F3000A6" w14:textId="1BEC173D">
      <w:pPr>
        <w:pStyle w:val="ListParagraph"/>
        <w:numPr>
          <w:ilvl w:val="0"/>
          <w:numId w:val="21"/>
        </w:numPr>
        <w:spacing w:before="0" w:beforeAutospacing="off" w:after="0" w:afterAutospacing="off" w:line="360" w:lineRule="auto"/>
        <w:rPr>
          <w:rFonts w:ascii="Arial" w:hAnsi="Arial" w:eastAsia="Arial" w:cs="Arial"/>
          <w:b w:val="0"/>
          <w:bCs w:val="0"/>
          <w:i w:val="0"/>
          <w:iCs w:val="0"/>
          <w:noProof w:val="0"/>
          <w:sz w:val="22"/>
          <w:szCs w:val="22"/>
          <w:lang w:val="en-US"/>
        </w:rPr>
      </w:pPr>
      <w:r w:rsidRPr="238B8832" w:rsidR="1AACB441">
        <w:rPr>
          <w:rFonts w:ascii="Arial" w:hAnsi="Arial" w:eastAsia="Arial" w:cs="Arial"/>
          <w:b w:val="0"/>
          <w:bCs w:val="0"/>
          <w:i w:val="0"/>
          <w:iCs w:val="0"/>
          <w:noProof w:val="0"/>
          <w:sz w:val="22"/>
          <w:szCs w:val="22"/>
          <w:lang w:val="en-US"/>
        </w:rPr>
        <w:t>Explicit multi‑agency transparency</w:t>
      </w:r>
    </w:p>
    <w:p w:rsidR="1AACB441" w:rsidP="238B8832" w:rsidRDefault="1AACB441" w14:paraId="6F958F01" w14:textId="6DE41C37">
      <w:pPr>
        <w:pStyle w:val="ListParagraph"/>
        <w:numPr>
          <w:ilvl w:val="0"/>
          <w:numId w:val="21"/>
        </w:numPr>
        <w:spacing w:before="0" w:beforeAutospacing="off" w:after="0" w:afterAutospacing="off" w:line="360" w:lineRule="auto"/>
        <w:rPr>
          <w:rFonts w:ascii="Arial" w:hAnsi="Arial" w:eastAsia="Arial" w:cs="Arial"/>
          <w:b w:val="0"/>
          <w:bCs w:val="0"/>
          <w:i w:val="0"/>
          <w:iCs w:val="0"/>
          <w:noProof w:val="0"/>
          <w:sz w:val="22"/>
          <w:szCs w:val="22"/>
          <w:lang w:val="en-US"/>
        </w:rPr>
      </w:pPr>
      <w:r w:rsidRPr="238B8832" w:rsidR="1AACB441">
        <w:rPr>
          <w:rFonts w:ascii="Arial" w:hAnsi="Arial" w:eastAsia="Arial" w:cs="Arial"/>
          <w:b w:val="0"/>
          <w:bCs w:val="0"/>
          <w:i w:val="0"/>
          <w:iCs w:val="0"/>
          <w:noProof w:val="0"/>
          <w:sz w:val="22"/>
          <w:szCs w:val="22"/>
          <w:lang w:val="en-US"/>
        </w:rPr>
        <w:t>Direct, practical guidance for families</w:t>
      </w:r>
    </w:p>
    <w:p w:rsidR="1AACB441" w:rsidP="238B8832" w:rsidRDefault="1AACB441" w14:paraId="1F9A7343" w14:textId="705E04F8">
      <w:pPr>
        <w:pStyle w:val="ListParagraph"/>
        <w:numPr>
          <w:ilvl w:val="0"/>
          <w:numId w:val="21"/>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38B8832" w:rsidR="1AACB441">
        <w:rPr>
          <w:rFonts w:ascii="Arial" w:hAnsi="Arial" w:eastAsia="Arial" w:cs="Arial"/>
          <w:b w:val="0"/>
          <w:bCs w:val="0"/>
          <w:i w:val="0"/>
          <w:iCs w:val="0"/>
          <w:noProof w:val="0"/>
          <w:sz w:val="22"/>
          <w:szCs w:val="22"/>
          <w:lang w:val="en-US"/>
        </w:rPr>
        <w:t>A clearly defined “front door”</w:t>
      </w:r>
      <w:r w:rsidRPr="238B8832" w:rsidR="2C076666">
        <w:rPr>
          <w:rFonts w:ascii="Arial" w:hAnsi="Arial" w:eastAsia="Arial" w:cs="Arial"/>
          <w:b w:val="0"/>
          <w:bCs w:val="0"/>
          <w:i w:val="0"/>
          <w:iCs w:val="0"/>
          <w:caps w:val="0"/>
          <w:smallCaps w:val="0"/>
          <w:noProof w:val="0"/>
          <w:color w:val="auto"/>
          <w:sz w:val="22"/>
          <w:szCs w:val="22"/>
          <w:lang w:val="en-US"/>
        </w:rPr>
        <w:t>MARF</w:t>
      </w:r>
    </w:p>
    <w:p w:rsidR="1AACB441" w:rsidP="238B8832" w:rsidRDefault="1AACB441" w14:paraId="35C27214" w14:textId="47A73579">
      <w:pPr>
        <w:pStyle w:val="ListParagraph"/>
        <w:numPr>
          <w:ilvl w:val="0"/>
          <w:numId w:val="21"/>
        </w:numPr>
        <w:spacing w:before="0" w:beforeAutospacing="off" w:after="0" w:afterAutospacing="off" w:line="360" w:lineRule="auto"/>
        <w:rPr>
          <w:rFonts w:ascii="Arial" w:hAnsi="Arial" w:eastAsia="Arial" w:cs="Arial"/>
          <w:b w:val="0"/>
          <w:bCs w:val="0"/>
          <w:i w:val="0"/>
          <w:iCs w:val="0"/>
          <w:noProof w:val="0"/>
          <w:sz w:val="22"/>
          <w:szCs w:val="22"/>
          <w:lang w:val="en-US"/>
        </w:rPr>
      </w:pPr>
      <w:r w:rsidRPr="238B8832" w:rsidR="1AACB441">
        <w:rPr>
          <w:rFonts w:ascii="Arial" w:hAnsi="Arial" w:eastAsia="Arial" w:cs="Arial"/>
          <w:b w:val="0"/>
          <w:bCs w:val="0"/>
          <w:i w:val="0"/>
          <w:iCs w:val="0"/>
          <w:noProof w:val="0"/>
          <w:sz w:val="22"/>
          <w:szCs w:val="22"/>
          <w:lang w:val="en-US"/>
        </w:rPr>
        <w:t>A procedural breakdown of what families can expect</w:t>
      </w:r>
    </w:p>
    <w:p w:rsidR="1AACB441" w:rsidP="238B8832" w:rsidRDefault="1AACB441" w14:paraId="18267FFF" w14:textId="311B76F1">
      <w:pPr>
        <w:pStyle w:val="Normal"/>
        <w:spacing w:before="210" w:beforeAutospacing="off" w:after="210" w:afterAutospacing="off" w:line="360" w:lineRule="auto"/>
        <w:rPr>
          <w:rFonts w:ascii="Arial" w:hAnsi="Arial" w:eastAsia="Arial" w:cs="Arial"/>
          <w:noProof w:val="0"/>
          <w:sz w:val="22"/>
          <w:szCs w:val="22"/>
          <w:lang w:val="en-US"/>
        </w:rPr>
      </w:pPr>
      <w:r w:rsidRPr="238B8832" w:rsidR="1AACB441">
        <w:rPr>
          <w:rFonts w:ascii="Arial" w:hAnsi="Arial" w:eastAsia="Arial" w:cs="Arial"/>
          <w:b w:val="0"/>
          <w:bCs w:val="0"/>
          <w:i w:val="0"/>
          <w:iCs w:val="0"/>
          <w:noProof w:val="0"/>
          <w:sz w:val="22"/>
          <w:szCs w:val="22"/>
          <w:lang w:val="en-US"/>
        </w:rPr>
        <w:t xml:space="preserve">Leicestershire offers excellent family‑friendly communication through its Family Hubs </w:t>
      </w:r>
      <w:r w:rsidRPr="238B8832" w:rsidR="12F0E7BC">
        <w:rPr>
          <w:rFonts w:ascii="Arial" w:hAnsi="Arial" w:eastAsia="Arial" w:cs="Arial"/>
          <w:b w:val="0"/>
          <w:bCs w:val="0"/>
          <w:i w:val="0"/>
          <w:iCs w:val="0"/>
          <w:noProof w:val="0"/>
          <w:sz w:val="22"/>
          <w:szCs w:val="22"/>
          <w:lang w:val="en-US"/>
        </w:rPr>
        <w:t>model, which</w:t>
      </w:r>
      <w:r w:rsidRPr="238B8832" w:rsidR="6C2143C4">
        <w:rPr>
          <w:rFonts w:ascii="Arial" w:hAnsi="Arial" w:eastAsia="Arial" w:cs="Arial"/>
          <w:b w:val="0"/>
          <w:bCs w:val="0"/>
          <w:i w:val="0"/>
          <w:iCs w:val="0"/>
          <w:caps w:val="0"/>
          <w:smallCaps w:val="0"/>
          <w:noProof w:val="0"/>
          <w:color w:val="000000" w:themeColor="text1" w:themeTint="FF" w:themeShade="FF"/>
          <w:sz w:val="22"/>
          <w:szCs w:val="22"/>
          <w:lang w:val="en-US"/>
        </w:rPr>
        <w:t xml:space="preserve"> is more visually </w:t>
      </w:r>
      <w:r w:rsidRPr="238B8832" w:rsidR="17ECBA51">
        <w:rPr>
          <w:rFonts w:ascii="Arial" w:hAnsi="Arial" w:eastAsia="Arial" w:cs="Arial"/>
          <w:b w:val="0"/>
          <w:bCs w:val="0"/>
          <w:i w:val="0"/>
          <w:iCs w:val="0"/>
          <w:caps w:val="0"/>
          <w:smallCaps w:val="0"/>
          <w:noProof w:val="0"/>
          <w:color w:val="000000" w:themeColor="text1" w:themeTint="FF" w:themeShade="FF"/>
          <w:sz w:val="22"/>
          <w:szCs w:val="22"/>
          <w:lang w:val="en-US"/>
        </w:rPr>
        <w:t>appealing,</w:t>
      </w:r>
      <w:r w:rsidRPr="238B8832" w:rsidR="1AACB441">
        <w:rPr>
          <w:rFonts w:ascii="Arial" w:hAnsi="Arial" w:eastAsia="Arial" w:cs="Arial"/>
          <w:b w:val="0"/>
          <w:bCs w:val="0"/>
          <w:i w:val="0"/>
          <w:iCs w:val="0"/>
          <w:noProof w:val="0"/>
          <w:sz w:val="22"/>
          <w:szCs w:val="22"/>
          <w:lang w:val="en-US"/>
        </w:rPr>
        <w:t xml:space="preserve"> but lacks procedural detail. Staffordshire</w:t>
      </w:r>
      <w:r w:rsidRPr="238B8832" w:rsidR="7BD4EDB0">
        <w:rPr>
          <w:rFonts w:ascii="Arial" w:hAnsi="Arial" w:eastAsia="Arial" w:cs="Arial"/>
          <w:b w:val="0"/>
          <w:bCs w:val="0"/>
          <w:i w:val="0"/>
          <w:iCs w:val="0"/>
          <w:caps w:val="0"/>
          <w:smallCaps w:val="0"/>
          <w:noProof w:val="0"/>
          <w:color w:val="000000" w:themeColor="text1" w:themeTint="FF" w:themeShade="FF"/>
          <w:sz w:val="22"/>
          <w:szCs w:val="22"/>
          <w:lang w:val="en-US"/>
        </w:rPr>
        <w:t xml:space="preserve"> more comprehensively organized</w:t>
      </w:r>
      <w:r w:rsidRPr="238B8832" w:rsidR="1AACB441">
        <w:rPr>
          <w:rFonts w:ascii="Arial" w:hAnsi="Arial" w:eastAsia="Arial" w:cs="Arial"/>
          <w:b w:val="0"/>
          <w:bCs w:val="0"/>
          <w:i w:val="0"/>
          <w:iCs w:val="0"/>
          <w:noProof w:val="0"/>
          <w:sz w:val="22"/>
          <w:szCs w:val="22"/>
          <w:lang w:val="en-US"/>
        </w:rPr>
        <w:t xml:space="preserve"> excels in system‑wide integration, but its technical and professional tone may create barriers for lay audiences.</w:t>
      </w:r>
      <w:r w:rsidRPr="238B8832" w:rsidR="5803268A">
        <w:rPr>
          <w:rFonts w:ascii="Arial" w:hAnsi="Arial" w:eastAsia="Arial" w:cs="Arial"/>
          <w:b w:val="0"/>
          <w:bCs w:val="0"/>
          <w:i w:val="0"/>
          <w:iCs w:val="0"/>
          <w:caps w:val="0"/>
          <w:smallCaps w:val="0"/>
          <w:noProof w:val="0"/>
          <w:color w:val="000000" w:themeColor="text1" w:themeTint="FF" w:themeShade="FF"/>
          <w:sz w:val="22"/>
          <w:szCs w:val="22"/>
          <w:lang w:val="en-US"/>
        </w:rPr>
        <w:t xml:space="preserve"> These factors are critical in supporting families</w:t>
      </w:r>
      <w:r w:rsidRPr="238B8832" w:rsidR="4974AC2C">
        <w:rPr>
          <w:rFonts w:ascii="Arial" w:hAnsi="Arial" w:eastAsia="Arial" w:cs="Arial"/>
          <w:b w:val="0"/>
          <w:bCs w:val="0"/>
          <w:i w:val="0"/>
          <w:iCs w:val="0"/>
          <w:caps w:val="0"/>
          <w:smallCaps w:val="0"/>
          <w:noProof w:val="0"/>
          <w:color w:val="000000" w:themeColor="text1" w:themeTint="FF" w:themeShade="FF"/>
          <w:sz w:val="22"/>
          <w:szCs w:val="22"/>
          <w:lang w:val="en-US"/>
        </w:rPr>
        <w:t>.</w:t>
      </w:r>
      <w:r w:rsidRPr="238B8832" w:rsidR="5803268A">
        <w:rPr>
          <w:rFonts w:ascii="Arial" w:hAnsi="Arial" w:eastAsia="Arial" w:cs="Arial"/>
          <w:noProof w:val="0"/>
          <w:sz w:val="22"/>
          <w:szCs w:val="22"/>
          <w:lang w:val="en-US"/>
        </w:rPr>
        <w:t xml:space="preserve"> </w:t>
      </w:r>
      <w:r w:rsidRPr="238B8832" w:rsidR="5803268A">
        <w:rPr>
          <w:rFonts w:ascii="Arial" w:hAnsi="Arial" w:eastAsia="Arial" w:cs="Arial"/>
          <w:b w:val="0"/>
          <w:bCs w:val="0"/>
          <w:i w:val="0"/>
          <w:iCs w:val="0"/>
          <w:caps w:val="0"/>
          <w:smallCaps w:val="0"/>
          <w:noProof w:val="0"/>
          <w:color w:val="000000" w:themeColor="text1" w:themeTint="FF" w:themeShade="FF"/>
          <w:sz w:val="22"/>
          <w:szCs w:val="22"/>
          <w:lang w:val="en-US"/>
        </w:rPr>
        <w:t>The goal of any local authority should be to reduce the friction between a family’s realization that they need help and the actual receipt of that support.</w:t>
      </w:r>
    </w:p>
    <w:p w:rsidR="1AACB441" w:rsidP="238B8832" w:rsidRDefault="1AACB441" w14:paraId="37B3CE29" w14:textId="28291877">
      <w:pPr>
        <w:pStyle w:val="Normal"/>
        <w:spacing w:before="210" w:beforeAutospacing="off" w:after="21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38B8832" w:rsidR="1AACB441">
        <w:rPr>
          <w:rFonts w:ascii="Arial" w:hAnsi="Arial" w:eastAsia="Arial" w:cs="Arial"/>
          <w:b w:val="0"/>
          <w:bCs w:val="0"/>
          <w:i w:val="0"/>
          <w:iCs w:val="0"/>
          <w:noProof w:val="0"/>
          <w:sz w:val="22"/>
          <w:szCs w:val="22"/>
          <w:lang w:val="en-US"/>
        </w:rPr>
        <w:t xml:space="preserve">In essence, </w:t>
      </w:r>
      <w:r w:rsidRPr="238B8832" w:rsidR="1AACB441">
        <w:rPr>
          <w:rFonts w:ascii="Arial" w:hAnsi="Arial" w:eastAsia="Arial" w:cs="Arial"/>
          <w:b w:val="0"/>
          <w:bCs w:val="0"/>
          <w:i w:val="0"/>
          <w:iCs w:val="0"/>
          <w:noProof w:val="0"/>
          <w:sz w:val="22"/>
          <w:szCs w:val="22"/>
          <w:lang w:val="en-US"/>
        </w:rPr>
        <w:t>Tower Hamlets</w:t>
      </w:r>
      <w:r w:rsidRPr="238B8832" w:rsidR="1AACB441">
        <w:rPr>
          <w:rFonts w:ascii="Arial" w:hAnsi="Arial" w:eastAsia="Arial" w:cs="Arial"/>
          <w:b w:val="0"/>
          <w:bCs w:val="0"/>
          <w:i w:val="0"/>
          <w:iCs w:val="0"/>
          <w:noProof w:val="0"/>
          <w:sz w:val="22"/>
          <w:szCs w:val="22"/>
          <w:lang w:val="en-US"/>
        </w:rPr>
        <w:t xml:space="preserve"> best bridges the gap between policy expectations and the lived experiences of families seeking support</w:t>
      </w:r>
      <w:r w:rsidRPr="238B8832" w:rsidR="1AACB441">
        <w:rPr>
          <w:rFonts w:ascii="Arial" w:hAnsi="Arial" w:eastAsia="Arial" w:cs="Arial"/>
          <w:b w:val="0"/>
          <w:bCs w:val="0"/>
          <w:i w:val="0"/>
          <w:iCs w:val="0"/>
          <w:noProof w:val="0"/>
          <w:sz w:val="22"/>
          <w:szCs w:val="22"/>
          <w:lang w:val="en-US"/>
        </w:rPr>
        <w:t>.</w:t>
      </w:r>
      <w:r w:rsidRPr="238B8832" w:rsidR="6C4D9FB1">
        <w:rPr>
          <w:rFonts w:ascii="Arial" w:hAnsi="Arial" w:eastAsia="Arial" w:cs="Arial"/>
          <w:b w:val="0"/>
          <w:bCs w:val="0"/>
          <w:i w:val="0"/>
          <w:iCs w:val="0"/>
          <w:caps w:val="0"/>
          <w:smallCaps w:val="0"/>
          <w:noProof w:val="0"/>
          <w:color w:val="000000" w:themeColor="text1" w:themeTint="FF" w:themeShade="FF"/>
          <w:sz w:val="22"/>
          <w:szCs w:val="22"/>
          <w:lang w:val="en-US"/>
        </w:rPr>
        <w:t xml:space="preserve"> achieves this by treating the family as an equal partner </w:t>
      </w:r>
      <w:r w:rsidRPr="238B8832" w:rsidR="6C4D9FB1">
        <w:rPr>
          <w:rFonts w:ascii="Arial" w:hAnsi="Arial" w:eastAsia="Arial" w:cs="Arial"/>
          <w:b w:val="0"/>
          <w:bCs w:val="0"/>
          <w:i w:val="0"/>
          <w:iCs w:val="0"/>
          <w:caps w:val="0"/>
          <w:smallCaps w:val="0"/>
          <w:noProof w:val="0"/>
          <w:color w:val="000000" w:themeColor="text1" w:themeTint="FF" w:themeShade="FF"/>
          <w:sz w:val="22"/>
          <w:szCs w:val="22"/>
          <w:lang w:val="en-US"/>
        </w:rPr>
        <w:t>in the process, explicitly outlining their rights and the roles of the professionals involved</w:t>
      </w:r>
    </w:p>
    <w:p w:rsidR="06E356F1" w:rsidP="238B8832" w:rsidRDefault="06E356F1" w14:paraId="6E557FFB" w14:textId="7C3B90E8">
      <w:pPr>
        <w:spacing w:before="210" w:beforeAutospacing="off" w:after="21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38B8832" w:rsidR="06E356F1">
        <w:rPr>
          <w:rFonts w:ascii="Arial" w:hAnsi="Arial" w:eastAsia="Arial" w:cs="Arial"/>
          <w:b w:val="0"/>
          <w:bCs w:val="0"/>
          <w:i w:val="0"/>
          <w:iCs w:val="0"/>
          <w:caps w:val="0"/>
          <w:smallCaps w:val="0"/>
          <w:noProof w:val="0"/>
          <w:color w:val="000000" w:themeColor="text1" w:themeTint="FF" w:themeShade="FF"/>
          <w:sz w:val="22"/>
          <w:szCs w:val="22"/>
          <w:lang w:val="en-US"/>
        </w:rPr>
        <w:t>but fragmentation across multiple platforms and the mixing of family-facing and professional content can make navigation challenging.</w:t>
      </w:r>
    </w:p>
    <w:p w:rsidR="06E356F1" w:rsidP="238B8832" w:rsidRDefault="06E356F1" w14:paraId="74D13F2F" w14:textId="277E11D8">
      <w:pPr>
        <w:spacing w:before="210" w:beforeAutospacing="off" w:after="21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38B8832" w:rsidR="06E356F1">
        <w:rPr>
          <w:rFonts w:ascii="Arial" w:hAnsi="Arial" w:eastAsia="Arial" w:cs="Arial"/>
          <w:b w:val="0"/>
          <w:bCs w:val="0"/>
          <w:i w:val="0"/>
          <w:iCs w:val="0"/>
          <w:caps w:val="0"/>
          <w:smallCaps w:val="0"/>
          <w:noProof w:val="0"/>
          <w:color w:val="000000" w:themeColor="text1" w:themeTint="FF" w:themeShade="FF"/>
          <w:sz w:val="22"/>
          <w:szCs w:val="22"/>
          <w:lang w:val="en-US"/>
        </w:rPr>
        <w:t xml:space="preserve">To strengthen public trust and engagement, all three authorities would </w:t>
      </w:r>
      <w:r w:rsidRPr="238B8832" w:rsidR="06E356F1">
        <w:rPr>
          <w:rFonts w:ascii="Arial" w:hAnsi="Arial" w:eastAsia="Arial" w:cs="Arial"/>
          <w:b w:val="0"/>
          <w:bCs w:val="0"/>
          <w:i w:val="0"/>
          <w:iCs w:val="0"/>
          <w:caps w:val="0"/>
          <w:smallCaps w:val="0"/>
          <w:noProof w:val="0"/>
          <w:color w:val="000000" w:themeColor="text1" w:themeTint="FF" w:themeShade="FF"/>
          <w:sz w:val="22"/>
          <w:szCs w:val="22"/>
          <w:lang w:val="en-US"/>
        </w:rPr>
        <w:t>benefit</w:t>
      </w:r>
      <w:r w:rsidRPr="238B8832" w:rsidR="06E356F1">
        <w:rPr>
          <w:rFonts w:ascii="Arial" w:hAnsi="Arial" w:eastAsia="Arial" w:cs="Arial"/>
          <w:b w:val="0"/>
          <w:bCs w:val="0"/>
          <w:i w:val="0"/>
          <w:iCs w:val="0"/>
          <w:caps w:val="0"/>
          <w:smallCaps w:val="0"/>
          <w:noProof w:val="0"/>
          <w:color w:val="000000" w:themeColor="text1" w:themeTint="FF" w:themeShade="FF"/>
          <w:sz w:val="22"/>
          <w:szCs w:val="22"/>
          <w:lang w:val="en-US"/>
        </w:rPr>
        <w:t xml:space="preserve"> from developing a more unified Early Help landing page, simplifying navigation, and ensuring a clear divide between family content and professional guidance. They should also adopt a more visible approach to explaining multi-agency working, as this supports transparency and aligns with national safeguarding principles.</w:t>
      </w:r>
    </w:p>
    <w:p w:rsidR="06E356F1" w:rsidP="238B8832" w:rsidRDefault="06E356F1" w14:paraId="41AEF644" w14:textId="4E135974">
      <w:pPr>
        <w:spacing w:before="210" w:beforeAutospacing="off" w:after="210" w:afterAutospacing="off"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238B8832" w:rsidR="06E356F1">
        <w:rPr>
          <w:rFonts w:ascii="Arial" w:hAnsi="Arial" w:eastAsia="Arial" w:cs="Arial"/>
          <w:b w:val="0"/>
          <w:bCs w:val="0"/>
          <w:i w:val="0"/>
          <w:iCs w:val="0"/>
          <w:caps w:val="0"/>
          <w:smallCaps w:val="0"/>
          <w:noProof w:val="0"/>
          <w:color w:val="000000" w:themeColor="text1" w:themeTint="FF" w:themeShade="FF"/>
          <w:sz w:val="22"/>
          <w:szCs w:val="22"/>
          <w:lang w:val="en-US"/>
        </w:rPr>
        <w:t>Ultimately, clear</w:t>
      </w:r>
      <w:r w:rsidRPr="238B8832" w:rsidR="06E356F1">
        <w:rPr>
          <w:rFonts w:ascii="Arial" w:hAnsi="Arial" w:eastAsia="Arial" w:cs="Arial"/>
          <w:b w:val="0"/>
          <w:bCs w:val="0"/>
          <w:i w:val="0"/>
          <w:iCs w:val="0"/>
          <w:caps w:val="0"/>
          <w:smallCaps w:val="0"/>
          <w:noProof w:val="0"/>
          <w:color w:val="000000" w:themeColor="text1" w:themeTint="FF" w:themeShade="FF"/>
          <w:sz w:val="22"/>
          <w:szCs w:val="22"/>
          <w:lang w:val="en-US"/>
        </w:rPr>
        <w:t xml:space="preserve"> and accessible Early Help communication is not simply an administrative requirement—it is a safeguarding imperative. When families can easily understand what Early Help is, why it matters, and how to access it, they are more likely to seek support early, preventing escalation and promoting better outcomes for children. Strengthening digital signposting is therefore essential to ensuring Early Help systems are inclusive, responsive, and truly effective for diverse communities.</w:t>
      </w:r>
    </w:p>
    <w:p w:rsidR="238B8832" w:rsidP="238B8832" w:rsidRDefault="238B8832" w14:paraId="3730C8B9" w14:textId="00065A3A">
      <w:pPr>
        <w:pStyle w:val="Normal"/>
        <w:spacing w:before="210" w:beforeAutospacing="off" w:after="21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AACB441" w:rsidP="238B8832" w:rsidRDefault="1AACB441" w14:paraId="5C0E6DC7" w14:textId="741F4354">
      <w:pPr>
        <w:pStyle w:val="Heading3"/>
        <w:spacing w:before="246" w:beforeAutospacing="off" w:after="246" w:afterAutospacing="off" w:line="300" w:lineRule="auto"/>
        <w:rPr>
          <w:rFonts w:ascii="Segoe UI" w:hAnsi="Segoe UI" w:eastAsia="Segoe UI" w:cs="Segoe UI"/>
          <w:b w:val="1"/>
          <w:bCs w:val="1"/>
          <w:i w:val="0"/>
          <w:iCs w:val="0"/>
          <w:noProof w:val="0"/>
          <w:color w:val="auto"/>
          <w:sz w:val="24"/>
          <w:szCs w:val="24"/>
          <w:lang w:val="en-US"/>
        </w:rPr>
      </w:pPr>
      <w:r w:rsidRPr="238B8832" w:rsidR="1AACB441">
        <w:rPr>
          <w:rFonts w:ascii="Segoe UI" w:hAnsi="Segoe UI" w:eastAsia="Segoe UI" w:cs="Segoe UI"/>
          <w:b w:val="1"/>
          <w:bCs w:val="1"/>
          <w:i w:val="0"/>
          <w:iCs w:val="0"/>
          <w:noProof w:val="0"/>
          <w:color w:val="auto"/>
          <w:sz w:val="24"/>
          <w:szCs w:val="24"/>
          <w:lang w:val="en-US"/>
        </w:rPr>
        <w:t>6.2 Recommendations for All Local Authorities</w:t>
      </w:r>
    </w:p>
    <w:p w:rsidR="3AE68CDA" w:rsidP="238B8832" w:rsidRDefault="3AE68CDA" w14:paraId="44A08261" w14:textId="2DAF818D">
      <w:pPr>
        <w:pStyle w:val="Heading3"/>
        <w:keepNext w:val="1"/>
        <w:keepLines w:val="1"/>
        <w:spacing w:before="246" w:beforeAutospacing="off" w:after="246" w:afterAutospacing="off" w:line="360" w:lineRule="auto"/>
        <w:rPr>
          <w:rFonts w:ascii="Arial" w:hAnsi="Arial" w:eastAsia="Arial" w:cs="Arial"/>
          <w:b w:val="0"/>
          <w:bCs w:val="0"/>
          <w:i w:val="0"/>
          <w:iCs w:val="0"/>
          <w:caps w:val="0"/>
          <w:smallCaps w:val="0"/>
          <w:noProof w:val="0"/>
          <w:color w:val="auto"/>
          <w:sz w:val="22"/>
          <w:szCs w:val="22"/>
          <w:lang w:val="en-US"/>
        </w:rPr>
      </w:pPr>
      <w:r w:rsidRPr="238B8832" w:rsidR="3AE68CDA">
        <w:rPr>
          <w:rFonts w:ascii="Arial" w:hAnsi="Arial" w:eastAsia="Arial" w:cs="Arial"/>
          <w:b w:val="1"/>
          <w:bCs w:val="1"/>
          <w:i w:val="0"/>
          <w:iCs w:val="0"/>
          <w:caps w:val="0"/>
          <w:smallCaps w:val="0"/>
          <w:noProof w:val="0"/>
          <w:color w:val="auto"/>
          <w:sz w:val="22"/>
          <w:szCs w:val="22"/>
          <w:lang w:val="en-US"/>
        </w:rPr>
        <w:t>Create a Simple, Unified “Start Here” Early Help Page</w:t>
      </w:r>
    </w:p>
    <w:p w:rsidR="3AE68CDA" w:rsidP="238B8832" w:rsidRDefault="3AE68CDA" w14:paraId="1ACF9E8E" w14:textId="5C4FDBEE">
      <w:pPr>
        <w:spacing w:before="210" w:beforeAutospacing="off" w:after="210" w:afterAutospacing="off" w:line="360" w:lineRule="auto"/>
        <w:rPr>
          <w:rFonts w:ascii="Arial" w:hAnsi="Arial" w:eastAsia="Arial" w:cs="Arial"/>
          <w:b w:val="0"/>
          <w:bCs w:val="0"/>
          <w:i w:val="0"/>
          <w:iCs w:val="0"/>
          <w:caps w:val="0"/>
          <w:smallCaps w:val="0"/>
          <w:noProof w:val="0"/>
          <w:color w:val="auto"/>
          <w:sz w:val="22"/>
          <w:szCs w:val="22"/>
          <w:lang w:val="en-US"/>
        </w:rPr>
      </w:pPr>
      <w:r w:rsidRPr="238B8832" w:rsidR="3AE68CDA">
        <w:rPr>
          <w:rFonts w:ascii="Arial" w:hAnsi="Arial" w:eastAsia="Arial" w:cs="Arial"/>
          <w:b w:val="0"/>
          <w:bCs w:val="0"/>
          <w:i w:val="0"/>
          <w:iCs w:val="0"/>
          <w:caps w:val="0"/>
          <w:smallCaps w:val="0"/>
          <w:noProof w:val="0"/>
          <w:color w:val="auto"/>
          <w:sz w:val="22"/>
          <w:szCs w:val="22"/>
          <w:lang w:val="en-US"/>
        </w:rPr>
        <w:t>This page should include What Early Help is, who it is for, Voluntary nature and consent, Urgent safeguarding instructions, Main contact options, and Pathways to self-referral and professional referral. The Tower Hamlets model should be considered best practice.</w:t>
      </w:r>
    </w:p>
    <w:p w:rsidR="3AE68CDA" w:rsidP="238B8832" w:rsidRDefault="3AE68CDA" w14:paraId="103B197C" w14:textId="6B12731E">
      <w:pPr>
        <w:pStyle w:val="Heading3"/>
        <w:keepNext w:val="1"/>
        <w:keepLines w:val="1"/>
        <w:spacing w:before="246" w:beforeAutospacing="off" w:after="246" w:afterAutospacing="off" w:line="360" w:lineRule="auto"/>
        <w:rPr>
          <w:rFonts w:ascii="Arial" w:hAnsi="Arial" w:eastAsia="Arial" w:cs="Arial"/>
          <w:b w:val="0"/>
          <w:bCs w:val="0"/>
          <w:i w:val="0"/>
          <w:iCs w:val="0"/>
          <w:caps w:val="0"/>
          <w:smallCaps w:val="0"/>
          <w:noProof w:val="0"/>
          <w:color w:val="auto"/>
          <w:sz w:val="22"/>
          <w:szCs w:val="22"/>
          <w:lang w:val="en-US"/>
        </w:rPr>
      </w:pPr>
      <w:r w:rsidRPr="238B8832" w:rsidR="3AE68CDA">
        <w:rPr>
          <w:rFonts w:ascii="Arial" w:hAnsi="Arial" w:eastAsia="Arial" w:cs="Arial"/>
          <w:b w:val="1"/>
          <w:bCs w:val="1"/>
          <w:i w:val="0"/>
          <w:iCs w:val="0"/>
          <w:caps w:val="0"/>
          <w:smallCaps w:val="0"/>
          <w:noProof w:val="0"/>
          <w:color w:val="auto"/>
          <w:sz w:val="22"/>
          <w:szCs w:val="22"/>
          <w:lang w:val="en-US"/>
        </w:rPr>
        <w:t xml:space="preserve"> Reduce Cross-Site Friction: </w:t>
      </w:r>
      <w:r w:rsidRPr="238B8832" w:rsidR="3AE68CDA">
        <w:rPr>
          <w:rFonts w:ascii="Arial" w:hAnsi="Arial" w:eastAsia="Arial" w:cs="Arial"/>
          <w:b w:val="0"/>
          <w:bCs w:val="0"/>
          <w:i w:val="0"/>
          <w:iCs w:val="0"/>
          <w:caps w:val="0"/>
          <w:smallCaps w:val="0"/>
          <w:noProof w:val="0"/>
          <w:color w:val="auto"/>
          <w:sz w:val="22"/>
          <w:szCs w:val="22"/>
          <w:lang w:val="en-US"/>
        </w:rPr>
        <w:t>Where forms or resources sit on external domains, provide:</w:t>
      </w:r>
    </w:p>
    <w:p w:rsidR="3AE68CDA" w:rsidP="238B8832" w:rsidRDefault="3AE68CDA" w14:paraId="208582FC" w14:textId="616C6DA8">
      <w:pPr>
        <w:pStyle w:val="ListParagraph"/>
        <w:numPr>
          <w:ilvl w:val="0"/>
          <w:numId w:val="23"/>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38B8832" w:rsidR="3AE68CDA">
        <w:rPr>
          <w:rFonts w:ascii="Arial" w:hAnsi="Arial" w:eastAsia="Arial" w:cs="Arial"/>
          <w:b w:val="0"/>
          <w:bCs w:val="0"/>
          <w:i w:val="0"/>
          <w:iCs w:val="0"/>
          <w:caps w:val="0"/>
          <w:smallCaps w:val="0"/>
          <w:noProof w:val="0"/>
          <w:color w:val="auto"/>
          <w:sz w:val="22"/>
          <w:szCs w:val="22"/>
          <w:lang w:val="en-US"/>
        </w:rPr>
        <w:t>clear instructions</w:t>
      </w:r>
    </w:p>
    <w:p w:rsidR="3AE68CDA" w:rsidP="238B8832" w:rsidRDefault="3AE68CDA" w14:paraId="24D2DB27" w14:textId="36EA1895">
      <w:pPr>
        <w:pStyle w:val="ListParagraph"/>
        <w:numPr>
          <w:ilvl w:val="0"/>
          <w:numId w:val="23"/>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38B8832" w:rsidR="3AE68CDA">
        <w:rPr>
          <w:rFonts w:ascii="Arial" w:hAnsi="Arial" w:eastAsia="Arial" w:cs="Arial"/>
          <w:b w:val="0"/>
          <w:bCs w:val="0"/>
          <w:i w:val="0"/>
          <w:iCs w:val="0"/>
          <w:caps w:val="0"/>
          <w:smallCaps w:val="0"/>
          <w:noProof w:val="0"/>
          <w:color w:val="auto"/>
          <w:sz w:val="22"/>
          <w:szCs w:val="22"/>
          <w:lang w:val="en-US"/>
        </w:rPr>
        <w:t>reassurance on data protection</w:t>
      </w:r>
    </w:p>
    <w:p w:rsidR="3AE68CDA" w:rsidP="238B8832" w:rsidRDefault="3AE68CDA" w14:paraId="66D6884F" w14:textId="1F855881">
      <w:pPr>
        <w:pStyle w:val="ListParagraph"/>
        <w:numPr>
          <w:ilvl w:val="0"/>
          <w:numId w:val="23"/>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38B8832" w:rsidR="3AE68CDA">
        <w:rPr>
          <w:rFonts w:ascii="Arial" w:hAnsi="Arial" w:eastAsia="Arial" w:cs="Arial"/>
          <w:b w:val="0"/>
          <w:bCs w:val="0"/>
          <w:i w:val="0"/>
          <w:iCs w:val="0"/>
          <w:caps w:val="0"/>
          <w:smallCaps w:val="0"/>
          <w:noProof w:val="0"/>
          <w:color w:val="auto"/>
          <w:sz w:val="22"/>
          <w:szCs w:val="22"/>
          <w:lang w:val="en-US"/>
        </w:rPr>
        <w:t>estimated completion time</w:t>
      </w:r>
    </w:p>
    <w:p w:rsidR="3AE68CDA" w:rsidP="238B8832" w:rsidRDefault="3AE68CDA" w14:paraId="3CDA9A7B" w14:textId="1EEA5FC6">
      <w:pPr>
        <w:pStyle w:val="ListParagraph"/>
        <w:numPr>
          <w:ilvl w:val="0"/>
          <w:numId w:val="23"/>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38B8832" w:rsidR="3AE68CDA">
        <w:rPr>
          <w:rFonts w:ascii="Arial" w:hAnsi="Arial" w:eastAsia="Arial" w:cs="Arial"/>
          <w:b w:val="0"/>
          <w:bCs w:val="0"/>
          <w:i w:val="0"/>
          <w:iCs w:val="0"/>
          <w:caps w:val="0"/>
          <w:smallCaps w:val="0"/>
          <w:noProof w:val="0"/>
          <w:color w:val="auto"/>
          <w:sz w:val="22"/>
          <w:szCs w:val="22"/>
          <w:lang w:val="en-US"/>
        </w:rPr>
        <w:t>a “return to Early Help” link</w:t>
      </w:r>
    </w:p>
    <w:p w:rsidR="3AE68CDA" w:rsidP="238B8832" w:rsidRDefault="3AE68CDA" w14:paraId="683D7D05" w14:textId="7C6118C4">
      <w:pPr>
        <w:spacing w:before="210" w:beforeAutospacing="off" w:after="210" w:afterAutospacing="off" w:line="360" w:lineRule="auto"/>
        <w:rPr>
          <w:rFonts w:ascii="Arial" w:hAnsi="Arial" w:eastAsia="Arial" w:cs="Arial"/>
          <w:b w:val="0"/>
          <w:bCs w:val="0"/>
          <w:i w:val="0"/>
          <w:iCs w:val="0"/>
          <w:caps w:val="0"/>
          <w:smallCaps w:val="0"/>
          <w:noProof w:val="0"/>
          <w:color w:val="auto"/>
          <w:sz w:val="22"/>
          <w:szCs w:val="22"/>
          <w:lang w:val="en-US"/>
        </w:rPr>
      </w:pPr>
      <w:r w:rsidRPr="238B8832" w:rsidR="3AE68CDA">
        <w:rPr>
          <w:rFonts w:ascii="Arial" w:hAnsi="Arial" w:eastAsia="Arial" w:cs="Arial"/>
          <w:b w:val="0"/>
          <w:bCs w:val="0"/>
          <w:i w:val="0"/>
          <w:iCs w:val="0"/>
          <w:caps w:val="0"/>
          <w:smallCaps w:val="0"/>
          <w:noProof w:val="0"/>
          <w:color w:val="auto"/>
          <w:sz w:val="22"/>
          <w:szCs w:val="22"/>
          <w:lang w:val="en-US"/>
        </w:rPr>
        <w:t>This will support user confidence and continuity of navigation.</w:t>
      </w:r>
    </w:p>
    <w:p w:rsidR="3AE68CDA" w:rsidP="238B8832" w:rsidRDefault="3AE68CDA" w14:paraId="76C67462" w14:textId="495FE8ED">
      <w:pPr>
        <w:pStyle w:val="Heading3"/>
        <w:keepNext w:val="1"/>
        <w:keepLines w:val="1"/>
        <w:spacing w:before="246" w:beforeAutospacing="off" w:after="246" w:afterAutospacing="off" w:line="360" w:lineRule="auto"/>
        <w:rPr>
          <w:rFonts w:ascii="Arial" w:hAnsi="Arial" w:eastAsia="Arial" w:cs="Arial"/>
          <w:b w:val="0"/>
          <w:bCs w:val="0"/>
          <w:i w:val="0"/>
          <w:iCs w:val="0"/>
          <w:caps w:val="0"/>
          <w:smallCaps w:val="0"/>
          <w:noProof w:val="0"/>
          <w:color w:val="auto"/>
          <w:sz w:val="22"/>
          <w:szCs w:val="22"/>
          <w:lang w:val="en-US"/>
        </w:rPr>
      </w:pPr>
      <w:r w:rsidRPr="238B8832" w:rsidR="3AE68CDA">
        <w:rPr>
          <w:rFonts w:ascii="Arial" w:hAnsi="Arial" w:eastAsia="Arial" w:cs="Arial"/>
          <w:b w:val="1"/>
          <w:bCs w:val="1"/>
          <w:i w:val="0"/>
          <w:iCs w:val="0"/>
          <w:caps w:val="0"/>
          <w:smallCaps w:val="0"/>
          <w:noProof w:val="0"/>
          <w:color w:val="auto"/>
          <w:sz w:val="22"/>
          <w:szCs w:val="22"/>
          <w:lang w:val="en-US"/>
        </w:rPr>
        <w:t xml:space="preserve"> Separate Family and Professional Content: </w:t>
      </w:r>
      <w:r w:rsidRPr="238B8832" w:rsidR="3AE68CDA">
        <w:rPr>
          <w:rFonts w:ascii="Arial" w:hAnsi="Arial" w:eastAsia="Arial" w:cs="Arial"/>
          <w:b w:val="0"/>
          <w:bCs w:val="0"/>
          <w:i w:val="0"/>
          <w:iCs w:val="0"/>
          <w:caps w:val="0"/>
          <w:smallCaps w:val="0"/>
          <w:noProof w:val="0"/>
          <w:color w:val="auto"/>
          <w:sz w:val="22"/>
          <w:szCs w:val="22"/>
          <w:lang w:val="en-US"/>
        </w:rPr>
        <w:t>Ensure families do not unintentionally arrive on MARF or professional guidance pages. Professional material should remain accessible but signposted distinctly from family-facing content.</w:t>
      </w:r>
    </w:p>
    <w:p w:rsidR="3AE68CDA" w:rsidP="238B8832" w:rsidRDefault="3AE68CDA" w14:paraId="32ADF75B" w14:textId="0810D30A">
      <w:pPr>
        <w:pStyle w:val="Heading3"/>
        <w:keepNext w:val="1"/>
        <w:keepLines w:val="1"/>
        <w:spacing w:before="246" w:beforeAutospacing="off" w:after="246" w:afterAutospacing="off" w:line="360" w:lineRule="auto"/>
        <w:rPr>
          <w:rFonts w:ascii="Arial" w:hAnsi="Arial" w:eastAsia="Arial" w:cs="Arial"/>
          <w:b w:val="0"/>
          <w:bCs w:val="0"/>
          <w:i w:val="0"/>
          <w:iCs w:val="0"/>
          <w:caps w:val="0"/>
          <w:smallCaps w:val="0"/>
          <w:noProof w:val="0"/>
          <w:color w:val="auto"/>
          <w:sz w:val="22"/>
          <w:szCs w:val="22"/>
          <w:lang w:val="en-US"/>
        </w:rPr>
      </w:pPr>
      <w:r w:rsidRPr="238B8832" w:rsidR="3AE68CDA">
        <w:rPr>
          <w:rFonts w:ascii="Arial" w:hAnsi="Arial" w:eastAsia="Arial" w:cs="Arial"/>
          <w:b w:val="1"/>
          <w:bCs w:val="1"/>
          <w:i w:val="0"/>
          <w:iCs w:val="0"/>
          <w:caps w:val="0"/>
          <w:smallCaps w:val="0"/>
          <w:noProof w:val="0"/>
          <w:color w:val="auto"/>
          <w:sz w:val="22"/>
          <w:szCs w:val="22"/>
          <w:lang w:val="en-US"/>
        </w:rPr>
        <w:t xml:space="preserve">Increase Visibility of Multi-Agency Working: </w:t>
      </w:r>
      <w:r w:rsidRPr="238B8832" w:rsidR="3AE68CDA">
        <w:rPr>
          <w:rFonts w:ascii="Arial" w:hAnsi="Arial" w:eastAsia="Arial" w:cs="Arial"/>
          <w:b w:val="0"/>
          <w:bCs w:val="0"/>
          <w:i w:val="0"/>
          <w:iCs w:val="0"/>
          <w:caps w:val="0"/>
          <w:smallCaps w:val="0"/>
          <w:noProof w:val="0"/>
          <w:color w:val="auto"/>
          <w:sz w:val="22"/>
          <w:szCs w:val="22"/>
          <w:lang w:val="en-US"/>
        </w:rPr>
        <w:t>For example, a short panel such as “Who will support you?” Listing to common Early Help partners. Tower Hamlets provides an effective model.</w:t>
      </w:r>
    </w:p>
    <w:p w:rsidR="3AE68CDA" w:rsidP="238B8832" w:rsidRDefault="3AE68CDA" w14:paraId="5FC6A6AF" w14:textId="3458A3CD">
      <w:pPr>
        <w:pStyle w:val="Heading3"/>
        <w:keepNext w:val="1"/>
        <w:keepLines w:val="1"/>
        <w:spacing w:before="246" w:beforeAutospacing="off" w:after="246" w:afterAutospacing="off" w:line="360" w:lineRule="auto"/>
        <w:rPr>
          <w:rFonts w:ascii="Arial" w:hAnsi="Arial" w:eastAsia="Arial" w:cs="Arial"/>
          <w:b w:val="0"/>
          <w:bCs w:val="0"/>
          <w:i w:val="0"/>
          <w:iCs w:val="0"/>
          <w:caps w:val="0"/>
          <w:smallCaps w:val="0"/>
          <w:noProof w:val="0"/>
          <w:color w:val="auto"/>
          <w:sz w:val="22"/>
          <w:szCs w:val="22"/>
          <w:lang w:val="en-US"/>
        </w:rPr>
      </w:pPr>
      <w:r w:rsidRPr="238B8832" w:rsidR="3AE68CDA">
        <w:rPr>
          <w:rFonts w:ascii="Arial" w:hAnsi="Arial" w:eastAsia="Arial" w:cs="Arial"/>
          <w:b w:val="1"/>
          <w:bCs w:val="1"/>
          <w:i w:val="0"/>
          <w:iCs w:val="0"/>
          <w:caps w:val="0"/>
          <w:smallCaps w:val="0"/>
          <w:noProof w:val="0"/>
          <w:color w:val="auto"/>
          <w:sz w:val="22"/>
          <w:szCs w:val="22"/>
          <w:lang w:val="en-US"/>
        </w:rPr>
        <w:t xml:space="preserve"> Align Language with National Guidance: </w:t>
      </w:r>
      <w:r w:rsidRPr="238B8832" w:rsidR="3AE68CDA">
        <w:rPr>
          <w:rFonts w:ascii="Arial" w:hAnsi="Arial" w:eastAsia="Arial" w:cs="Arial"/>
          <w:b w:val="0"/>
          <w:bCs w:val="0"/>
          <w:i w:val="0"/>
          <w:iCs w:val="0"/>
          <w:caps w:val="0"/>
          <w:smallCaps w:val="0"/>
          <w:noProof w:val="0"/>
          <w:color w:val="auto"/>
          <w:sz w:val="22"/>
          <w:szCs w:val="22"/>
          <w:lang w:val="en-US"/>
        </w:rPr>
        <w:t>Reinforce that Early Help:</w:t>
      </w:r>
    </w:p>
    <w:p w:rsidR="3AE68CDA" w:rsidP="238B8832" w:rsidRDefault="3AE68CDA" w14:paraId="0E7DE975" w14:textId="694CD6B7">
      <w:pPr>
        <w:pStyle w:val="ListParagraph"/>
        <w:numPr>
          <w:ilvl w:val="0"/>
          <w:numId w:val="24"/>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38B8832" w:rsidR="3AE68CDA">
        <w:rPr>
          <w:rFonts w:ascii="Arial" w:hAnsi="Arial" w:eastAsia="Arial" w:cs="Arial"/>
          <w:b w:val="0"/>
          <w:bCs w:val="0"/>
          <w:i w:val="0"/>
          <w:iCs w:val="0"/>
          <w:caps w:val="0"/>
          <w:smallCaps w:val="0"/>
          <w:noProof w:val="0"/>
          <w:color w:val="auto"/>
          <w:sz w:val="22"/>
          <w:szCs w:val="22"/>
          <w:lang w:val="en-US"/>
        </w:rPr>
        <w:t>supports families at the earliest opportunity</w:t>
      </w:r>
    </w:p>
    <w:p w:rsidR="3AE68CDA" w:rsidP="238B8832" w:rsidRDefault="3AE68CDA" w14:paraId="33437BA0" w14:textId="7CE96732">
      <w:pPr>
        <w:pStyle w:val="ListParagraph"/>
        <w:numPr>
          <w:ilvl w:val="0"/>
          <w:numId w:val="24"/>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38B8832" w:rsidR="3AE68CDA">
        <w:rPr>
          <w:rFonts w:ascii="Arial" w:hAnsi="Arial" w:eastAsia="Arial" w:cs="Arial"/>
          <w:b w:val="0"/>
          <w:bCs w:val="0"/>
          <w:i w:val="0"/>
          <w:iCs w:val="0"/>
          <w:caps w:val="0"/>
          <w:smallCaps w:val="0"/>
          <w:noProof w:val="0"/>
          <w:color w:val="auto"/>
          <w:sz w:val="22"/>
          <w:szCs w:val="22"/>
          <w:lang w:val="en-US"/>
        </w:rPr>
        <w:t>is usually voluntary and based on consent</w:t>
      </w:r>
    </w:p>
    <w:p w:rsidR="3AE68CDA" w:rsidP="238B8832" w:rsidRDefault="3AE68CDA" w14:paraId="0509ABA9" w14:textId="65D94FB5">
      <w:pPr>
        <w:pStyle w:val="ListParagraph"/>
        <w:numPr>
          <w:ilvl w:val="0"/>
          <w:numId w:val="24"/>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38B8832" w:rsidR="3AE68CDA">
        <w:rPr>
          <w:rFonts w:ascii="Arial" w:hAnsi="Arial" w:eastAsia="Arial" w:cs="Arial"/>
          <w:b w:val="0"/>
          <w:bCs w:val="0"/>
          <w:i w:val="0"/>
          <w:iCs w:val="0"/>
          <w:caps w:val="0"/>
          <w:smallCaps w:val="0"/>
          <w:noProof w:val="0"/>
          <w:color w:val="auto"/>
          <w:sz w:val="22"/>
          <w:szCs w:val="22"/>
          <w:lang w:val="en-US"/>
        </w:rPr>
        <w:t>includes universal + targeted support</w:t>
      </w:r>
    </w:p>
    <w:p w:rsidR="3AE68CDA" w:rsidP="238B8832" w:rsidRDefault="3AE68CDA" w14:paraId="716A583A" w14:textId="7167D36A">
      <w:pPr>
        <w:pStyle w:val="ListParagraph"/>
        <w:numPr>
          <w:ilvl w:val="0"/>
          <w:numId w:val="24"/>
        </w:num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r w:rsidRPr="238B8832" w:rsidR="3AE68CDA">
        <w:rPr>
          <w:rFonts w:ascii="Arial" w:hAnsi="Arial" w:eastAsia="Arial" w:cs="Arial"/>
          <w:b w:val="0"/>
          <w:bCs w:val="0"/>
          <w:i w:val="0"/>
          <w:iCs w:val="0"/>
          <w:caps w:val="0"/>
          <w:smallCaps w:val="0"/>
          <w:noProof w:val="0"/>
          <w:color w:val="auto"/>
          <w:sz w:val="22"/>
          <w:szCs w:val="22"/>
          <w:lang w:val="en-US"/>
        </w:rPr>
        <w:t>escalates to statutory services only when appropriate</w:t>
      </w:r>
    </w:p>
    <w:p w:rsidR="3AE68CDA" w:rsidP="238B8832" w:rsidRDefault="3AE68CDA" w14:paraId="40E29D62" w14:textId="3397AB5D">
      <w:pPr>
        <w:spacing w:before="210" w:beforeAutospacing="off" w:after="210" w:afterAutospacing="off" w:line="360" w:lineRule="auto"/>
        <w:rPr>
          <w:rFonts w:ascii="Arial" w:hAnsi="Arial" w:eastAsia="Arial" w:cs="Arial"/>
          <w:b w:val="0"/>
          <w:bCs w:val="0"/>
          <w:i w:val="0"/>
          <w:iCs w:val="0"/>
          <w:caps w:val="0"/>
          <w:smallCaps w:val="0"/>
          <w:noProof w:val="0"/>
          <w:color w:val="auto"/>
          <w:sz w:val="22"/>
          <w:szCs w:val="22"/>
          <w:lang w:val="en-US"/>
        </w:rPr>
      </w:pPr>
      <w:r w:rsidRPr="238B8832" w:rsidR="3AE68CDA">
        <w:rPr>
          <w:rFonts w:ascii="Arial" w:hAnsi="Arial" w:eastAsia="Arial" w:cs="Arial"/>
          <w:b w:val="0"/>
          <w:bCs w:val="0"/>
          <w:i w:val="0"/>
          <w:iCs w:val="0"/>
          <w:caps w:val="0"/>
          <w:smallCaps w:val="0"/>
          <w:noProof w:val="0"/>
          <w:color w:val="auto"/>
          <w:sz w:val="22"/>
          <w:szCs w:val="22"/>
          <w:lang w:val="en-US"/>
        </w:rPr>
        <w:t>This consistency supports clarity and public trust.</w:t>
      </w:r>
    </w:p>
    <w:p w:rsidR="238B8832" w:rsidP="238B8832" w:rsidRDefault="238B8832" w14:paraId="7E758E18" w14:textId="0F624ABF">
      <w:p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US"/>
        </w:rPr>
      </w:pPr>
    </w:p>
    <w:p w:rsidR="3AE68CDA" w:rsidP="238B8832" w:rsidRDefault="3AE68CDA" w14:paraId="55A122E2" w14:textId="340B3591">
      <w:pPr>
        <w:pStyle w:val="Heading2"/>
        <w:keepNext w:val="1"/>
        <w:keepLines w:val="1"/>
        <w:spacing w:before="261" w:beforeAutospacing="off" w:after="261" w:afterAutospacing="off" w:line="360" w:lineRule="auto"/>
        <w:rPr>
          <w:rFonts w:ascii="Arial" w:hAnsi="Arial" w:eastAsia="Arial" w:cs="Arial"/>
          <w:b w:val="0"/>
          <w:bCs w:val="0"/>
          <w:i w:val="0"/>
          <w:iCs w:val="0"/>
          <w:caps w:val="0"/>
          <w:smallCaps w:val="0"/>
          <w:noProof w:val="0"/>
          <w:color w:val="auto"/>
          <w:sz w:val="22"/>
          <w:szCs w:val="22"/>
          <w:lang w:val="en-US"/>
        </w:rPr>
      </w:pPr>
      <w:r w:rsidRPr="238B8832" w:rsidR="3AE68CDA">
        <w:rPr>
          <w:rFonts w:ascii="Arial" w:hAnsi="Arial" w:eastAsia="Arial" w:cs="Arial"/>
          <w:b w:val="1"/>
          <w:bCs w:val="1"/>
          <w:i w:val="0"/>
          <w:iCs w:val="0"/>
          <w:caps w:val="0"/>
          <w:smallCaps w:val="0"/>
          <w:noProof w:val="0"/>
          <w:color w:val="auto"/>
          <w:sz w:val="22"/>
          <w:szCs w:val="22"/>
          <w:lang w:val="en-US"/>
        </w:rPr>
        <w:t xml:space="preserve"> </w:t>
      </w:r>
      <w:r w:rsidRPr="238B8832" w:rsidR="3AE68CDA">
        <w:rPr>
          <w:rFonts w:ascii="Arial" w:hAnsi="Arial" w:eastAsia="Arial" w:cs="Arial"/>
          <w:b w:val="1"/>
          <w:bCs w:val="1"/>
          <w:i w:val="0"/>
          <w:iCs w:val="0"/>
          <w:caps w:val="0"/>
          <w:smallCaps w:val="0"/>
          <w:noProof w:val="0"/>
          <w:color w:val="auto"/>
          <w:sz w:val="22"/>
          <w:szCs w:val="22"/>
          <w:lang w:val="en-US"/>
        </w:rPr>
        <w:t>Overview</w:t>
      </w:r>
    </w:p>
    <w:p w:rsidR="3AE68CDA" w:rsidP="238B8832" w:rsidRDefault="3AE68CDA" w14:paraId="6D3D41C5" w14:textId="7FB70A0D">
      <w:pPr>
        <w:pStyle w:val="Normal"/>
        <w:spacing w:before="210" w:beforeAutospacing="off" w:after="210" w:afterAutospacing="off" w:line="360" w:lineRule="auto"/>
        <w:rPr>
          <w:rFonts w:ascii="Arial" w:hAnsi="Arial" w:eastAsia="Arial" w:cs="Arial"/>
          <w:b w:val="0"/>
          <w:bCs w:val="0"/>
          <w:i w:val="0"/>
          <w:iCs w:val="0"/>
          <w:caps w:val="0"/>
          <w:smallCaps w:val="0"/>
          <w:noProof w:val="0"/>
          <w:color w:val="auto"/>
          <w:sz w:val="22"/>
          <w:szCs w:val="22"/>
          <w:lang w:val="en-US"/>
        </w:rPr>
      </w:pPr>
      <w:r w:rsidRPr="238B8832" w:rsidR="3AE68CDA">
        <w:rPr>
          <w:rFonts w:ascii="Arial" w:hAnsi="Arial" w:eastAsia="Arial" w:cs="Arial"/>
          <w:b w:val="0"/>
          <w:bCs w:val="0"/>
          <w:i w:val="0"/>
          <w:iCs w:val="0"/>
          <w:caps w:val="0"/>
          <w:smallCaps w:val="0"/>
          <w:noProof w:val="0"/>
          <w:color w:val="auto"/>
          <w:sz w:val="22"/>
          <w:szCs w:val="22"/>
          <w:lang w:val="en-US"/>
        </w:rPr>
        <w:t xml:space="preserve">Across </w:t>
      </w:r>
      <w:r w:rsidRPr="238B8832" w:rsidR="4427C811">
        <w:rPr>
          <w:rFonts w:ascii="Arial" w:hAnsi="Arial" w:eastAsia="Arial" w:cs="Arial"/>
          <w:b w:val="0"/>
          <w:bCs w:val="0"/>
          <w:i w:val="0"/>
          <w:iCs w:val="0"/>
          <w:caps w:val="0"/>
          <w:smallCaps w:val="0"/>
          <w:noProof w:val="0"/>
          <w:color w:val="auto"/>
          <w:sz w:val="22"/>
          <w:szCs w:val="22"/>
          <w:lang w:val="en-US"/>
        </w:rPr>
        <w:t>Staffordshire County</w:t>
      </w:r>
      <w:r w:rsidRPr="238B8832" w:rsidR="3AE68CDA">
        <w:rPr>
          <w:rFonts w:ascii="Arial" w:hAnsi="Arial" w:eastAsia="Arial" w:cs="Arial"/>
          <w:b w:val="0"/>
          <w:bCs w:val="0"/>
          <w:i w:val="0"/>
          <w:iCs w:val="0"/>
          <w:caps w:val="0"/>
          <w:smallCaps w:val="0"/>
          <w:noProof w:val="0"/>
          <w:color w:val="auto"/>
          <w:sz w:val="22"/>
          <w:szCs w:val="22"/>
          <w:lang w:val="en-US"/>
        </w:rPr>
        <w:t>, Leicestershire County, and Tower Hamlets, there is a strong commitment to Early Help. However, the clarity of communication varies significantly. Tower Hamlets stands out for its cohesive, transparent, and multi-agency approach. Leicestershire County offers extensive information but suffers from fragmentation.</w:t>
      </w:r>
      <w:r w:rsidRPr="238B8832" w:rsidR="67561315">
        <w:rPr>
          <w:rFonts w:ascii="Arial" w:hAnsi="Arial" w:eastAsia="Arial" w:cs="Arial"/>
          <w:b w:val="0"/>
          <w:bCs w:val="0"/>
          <w:i w:val="0"/>
          <w:iCs w:val="0"/>
          <w:caps w:val="0"/>
          <w:smallCaps w:val="0"/>
          <w:noProof w:val="0"/>
          <w:color w:val="auto"/>
          <w:sz w:val="22"/>
          <w:szCs w:val="22"/>
          <w:lang w:val="en-US"/>
        </w:rPr>
        <w:t xml:space="preserve"> Staffordshire County</w:t>
      </w:r>
      <w:r w:rsidRPr="238B8832" w:rsidR="3AE68CDA">
        <w:rPr>
          <w:rFonts w:ascii="Arial" w:hAnsi="Arial" w:eastAsia="Arial" w:cs="Arial"/>
          <w:b w:val="0"/>
          <w:bCs w:val="0"/>
          <w:i w:val="0"/>
          <w:iCs w:val="0"/>
          <w:caps w:val="0"/>
          <w:smallCaps w:val="0"/>
          <w:noProof w:val="0"/>
          <w:color w:val="auto"/>
          <w:sz w:val="22"/>
          <w:szCs w:val="22"/>
          <w:lang w:val="en-US"/>
        </w:rPr>
        <w:t xml:space="preserve"> excels in accessibility but could strengthen detail on thresholds and processes.</w:t>
      </w:r>
    </w:p>
    <w:p w:rsidR="3AE68CDA" w:rsidP="238B8832" w:rsidRDefault="3AE68CDA" w14:paraId="19EC42BB" w14:textId="28E1856A">
      <w:pPr>
        <w:spacing w:before="210" w:beforeAutospacing="off" w:after="210" w:afterAutospacing="off" w:line="360" w:lineRule="auto"/>
        <w:rPr>
          <w:rFonts w:ascii="Arial" w:hAnsi="Arial" w:eastAsia="Arial" w:cs="Arial"/>
          <w:b w:val="0"/>
          <w:bCs w:val="0"/>
          <w:i w:val="0"/>
          <w:iCs w:val="0"/>
          <w:caps w:val="0"/>
          <w:smallCaps w:val="0"/>
          <w:noProof w:val="0"/>
          <w:color w:val="auto"/>
          <w:sz w:val="22"/>
          <w:szCs w:val="22"/>
          <w:lang w:val="en-US"/>
        </w:rPr>
      </w:pPr>
      <w:r w:rsidRPr="238B8832" w:rsidR="3AE68CDA">
        <w:rPr>
          <w:rFonts w:ascii="Arial" w:hAnsi="Arial" w:eastAsia="Arial" w:cs="Arial"/>
          <w:b w:val="0"/>
          <w:bCs w:val="0"/>
          <w:i w:val="0"/>
          <w:iCs w:val="0"/>
          <w:caps w:val="0"/>
          <w:smallCaps w:val="0"/>
          <w:noProof w:val="0"/>
          <w:color w:val="auto"/>
          <w:sz w:val="22"/>
          <w:szCs w:val="22"/>
          <w:lang w:val="en-US"/>
        </w:rPr>
        <w:t>Implementing the recommendations above would improve family awareness, empower early intervention, and ensure each website fully reflects national frameworks and safeguarding expectations.</w:t>
      </w:r>
    </w:p>
    <w:p w:rsidR="238B8832" w:rsidP="238B8832" w:rsidRDefault="238B8832" w14:paraId="74D19E76" w14:textId="58B622E1">
      <w:pPr>
        <w:spacing w:line="360" w:lineRule="auto"/>
        <w:rPr>
          <w:rFonts w:ascii="Arial" w:hAnsi="Arial" w:eastAsia="Arial" w:cs="Arial"/>
          <w:b w:val="0"/>
          <w:bCs w:val="0"/>
          <w:i w:val="0"/>
          <w:iCs w:val="0"/>
          <w:caps w:val="0"/>
          <w:smallCaps w:val="0"/>
          <w:noProof w:val="0"/>
          <w:color w:val="auto"/>
          <w:sz w:val="22"/>
          <w:szCs w:val="22"/>
          <w:lang w:val="en-US"/>
        </w:rPr>
      </w:pPr>
    </w:p>
    <w:p w:rsidR="238B8832" w:rsidP="238B8832" w:rsidRDefault="238B8832" w14:paraId="4465C8E4" w14:textId="74C082AB">
      <w:pPr>
        <w:spacing w:line="360" w:lineRule="auto"/>
        <w:rPr>
          <w:rFonts w:ascii="Arial" w:hAnsi="Arial" w:eastAsia="Arial" w:cs="Arial"/>
          <w:sz w:val="22"/>
          <w:szCs w:val="22"/>
        </w:rPr>
      </w:pPr>
    </w:p>
    <w:p w:rsidR="238B8832" w:rsidP="238B8832" w:rsidRDefault="238B8832" w14:paraId="6C93B192" w14:textId="001B3728">
      <w:pPr>
        <w:spacing w:line="360" w:lineRule="auto"/>
        <w:rPr>
          <w:rFonts w:ascii="Arial" w:hAnsi="Arial" w:eastAsia="Arial" w:cs="Arial"/>
          <w:sz w:val="22"/>
          <w:szCs w:val="22"/>
        </w:rPr>
      </w:pPr>
    </w:p>
    <w:p w:rsidR="4E7C4C96" w:rsidP="238B8832" w:rsidRDefault="4E7C4C96" w14:paraId="04C643FF" w14:textId="45D9324D">
      <w:pPr>
        <w:pStyle w:val="Heading2"/>
        <w:spacing w:before="0" w:beforeAutospacing="off" w:after="299" w:afterAutospacing="off" w:line="360" w:lineRule="auto"/>
        <w:rPr>
          <w:rFonts w:ascii="Arial" w:hAnsi="Arial" w:eastAsia="Arial" w:cs="Arial"/>
          <w:b w:val="1"/>
          <w:bCs w:val="1"/>
          <w:noProof w:val="0"/>
          <w:color w:val="auto"/>
          <w:sz w:val="22"/>
          <w:szCs w:val="22"/>
          <w:lang w:val="en-US"/>
        </w:rPr>
      </w:pPr>
      <w:r w:rsidRPr="238B8832" w:rsidR="4E7C4C96">
        <w:rPr>
          <w:rFonts w:ascii="Arial" w:hAnsi="Arial" w:eastAsia="Arial" w:cs="Arial"/>
          <w:b w:val="1"/>
          <w:bCs w:val="1"/>
          <w:noProof w:val="0"/>
          <w:color w:val="auto"/>
          <w:sz w:val="22"/>
          <w:szCs w:val="22"/>
          <w:lang w:val="en-US"/>
        </w:rPr>
        <w:t>References</w:t>
      </w:r>
    </w:p>
    <w:p w:rsidR="4E7C4C96" w:rsidP="238B8832" w:rsidRDefault="4E7C4C96" w14:paraId="23CF06A2" w14:textId="3137E04C">
      <w:pPr>
        <w:spacing w:before="0" w:beforeAutospacing="off" w:after="240" w:afterAutospacing="off" w:line="360" w:lineRule="auto"/>
        <w:rPr>
          <w:rFonts w:ascii="Arial" w:hAnsi="Arial" w:eastAsia="Arial" w:cs="Arial"/>
          <w:noProof w:val="0"/>
          <w:color w:val="auto"/>
          <w:sz w:val="22"/>
          <w:szCs w:val="22"/>
          <w:lang w:val="en-US"/>
        </w:rPr>
      </w:pPr>
      <w:r w:rsidRPr="238B8832" w:rsidR="4E7C4C96">
        <w:rPr>
          <w:rFonts w:ascii="Arial" w:hAnsi="Arial" w:eastAsia="Arial" w:cs="Arial"/>
          <w:noProof w:val="0"/>
          <w:color w:val="auto"/>
          <w:sz w:val="22"/>
          <w:szCs w:val="22"/>
          <w:lang w:val="en-US"/>
        </w:rPr>
        <w:t xml:space="preserve">Brandon, M., Sidebotham, P., Bailey, S. and </w:t>
      </w:r>
      <w:r w:rsidRPr="238B8832" w:rsidR="4E7C4C96">
        <w:rPr>
          <w:rFonts w:ascii="Arial" w:hAnsi="Arial" w:eastAsia="Arial" w:cs="Arial"/>
          <w:noProof w:val="0"/>
          <w:color w:val="auto"/>
          <w:sz w:val="22"/>
          <w:szCs w:val="22"/>
          <w:lang w:val="en-US"/>
        </w:rPr>
        <w:t>Belderson</w:t>
      </w:r>
      <w:r w:rsidRPr="238B8832" w:rsidR="4E7C4C96">
        <w:rPr>
          <w:rFonts w:ascii="Arial" w:hAnsi="Arial" w:eastAsia="Arial" w:cs="Arial"/>
          <w:noProof w:val="0"/>
          <w:color w:val="auto"/>
          <w:sz w:val="22"/>
          <w:szCs w:val="22"/>
          <w:lang w:val="en-US"/>
        </w:rPr>
        <w:t xml:space="preserve">, P. (2020) ‘The role of multi-agency working in child protection: A review of serious case reviews’, </w:t>
      </w:r>
      <w:r w:rsidRPr="238B8832" w:rsidR="4E7C4C96">
        <w:rPr>
          <w:rFonts w:ascii="Arial" w:hAnsi="Arial" w:eastAsia="Arial" w:cs="Arial"/>
          <w:i w:val="1"/>
          <w:iCs w:val="1"/>
          <w:noProof w:val="0"/>
          <w:color w:val="auto"/>
          <w:sz w:val="22"/>
          <w:szCs w:val="22"/>
          <w:lang w:val="en-US"/>
        </w:rPr>
        <w:t>Child Abuse Review</w:t>
      </w:r>
      <w:r w:rsidRPr="238B8832" w:rsidR="4E7C4C96">
        <w:rPr>
          <w:rFonts w:ascii="Arial" w:hAnsi="Arial" w:eastAsia="Arial" w:cs="Arial"/>
          <w:noProof w:val="0"/>
          <w:color w:val="auto"/>
          <w:sz w:val="22"/>
          <w:szCs w:val="22"/>
          <w:lang w:val="en-US"/>
        </w:rPr>
        <w:t>, 29(4), pp. 289–303.</w:t>
      </w:r>
    </w:p>
    <w:p w:rsidR="4E7C4C96" w:rsidP="238B8832" w:rsidRDefault="4E7C4C96" w14:paraId="51231A38" w14:textId="4E9BBD69">
      <w:pPr>
        <w:spacing w:before="0" w:beforeAutospacing="off" w:after="240" w:afterAutospacing="off" w:line="360" w:lineRule="auto"/>
        <w:rPr>
          <w:rFonts w:ascii="Arial" w:hAnsi="Arial" w:eastAsia="Arial" w:cs="Arial"/>
          <w:noProof w:val="0"/>
          <w:color w:val="auto"/>
          <w:sz w:val="22"/>
          <w:szCs w:val="22"/>
          <w:lang w:val="en-US"/>
        </w:rPr>
      </w:pPr>
      <w:r w:rsidRPr="238B8832" w:rsidR="4E7C4C96">
        <w:rPr>
          <w:rFonts w:ascii="Arial" w:hAnsi="Arial" w:eastAsia="Arial" w:cs="Arial"/>
          <w:noProof w:val="0"/>
          <w:color w:val="auto"/>
          <w:sz w:val="22"/>
          <w:szCs w:val="22"/>
          <w:lang w:val="en-US"/>
        </w:rPr>
        <w:t xml:space="preserve">Department for Education (2023) </w:t>
      </w:r>
      <w:r w:rsidRPr="238B8832" w:rsidR="4E7C4C96">
        <w:rPr>
          <w:rFonts w:ascii="Arial" w:hAnsi="Arial" w:eastAsia="Arial" w:cs="Arial"/>
          <w:i w:val="1"/>
          <w:iCs w:val="1"/>
          <w:noProof w:val="0"/>
          <w:color w:val="auto"/>
          <w:sz w:val="22"/>
          <w:szCs w:val="22"/>
          <w:lang w:val="en-US"/>
        </w:rPr>
        <w:t>Working Together to Safeguard Children 2023: A guide to multi-agency working to help, protect and promote the welfare of children</w:t>
      </w:r>
      <w:r w:rsidRPr="238B8832" w:rsidR="4E7C4C96">
        <w:rPr>
          <w:rFonts w:ascii="Arial" w:hAnsi="Arial" w:eastAsia="Arial" w:cs="Arial"/>
          <w:noProof w:val="0"/>
          <w:color w:val="auto"/>
          <w:sz w:val="22"/>
          <w:szCs w:val="22"/>
          <w:lang w:val="en-US"/>
        </w:rPr>
        <w:t>. London: HM Government.</w:t>
      </w:r>
    </w:p>
    <w:p w:rsidR="4E7C4C96" w:rsidP="238B8832" w:rsidRDefault="4E7C4C96" w14:paraId="58CDCDF4" w14:textId="084FA771">
      <w:pPr>
        <w:spacing w:before="0" w:beforeAutospacing="off" w:after="240" w:afterAutospacing="off" w:line="360" w:lineRule="auto"/>
        <w:rPr>
          <w:rFonts w:ascii="Arial" w:hAnsi="Arial" w:eastAsia="Arial" w:cs="Arial"/>
          <w:noProof w:val="0"/>
          <w:color w:val="auto"/>
          <w:sz w:val="22"/>
          <w:szCs w:val="22"/>
          <w:lang w:val="en-US"/>
        </w:rPr>
      </w:pPr>
      <w:r w:rsidRPr="238B8832" w:rsidR="4E7C4C96">
        <w:rPr>
          <w:rFonts w:ascii="Arial" w:hAnsi="Arial" w:eastAsia="Arial" w:cs="Arial"/>
          <w:noProof w:val="0"/>
          <w:color w:val="auto"/>
          <w:sz w:val="22"/>
          <w:szCs w:val="22"/>
          <w:lang w:val="en-US"/>
        </w:rPr>
        <w:t xml:space="preserve">Department for Levelling Up, Housing and Communities (2022) </w:t>
      </w:r>
      <w:r w:rsidRPr="238B8832" w:rsidR="4E7C4C96">
        <w:rPr>
          <w:rFonts w:ascii="Arial" w:hAnsi="Arial" w:eastAsia="Arial" w:cs="Arial"/>
          <w:i w:val="1"/>
          <w:iCs w:val="1"/>
          <w:noProof w:val="0"/>
          <w:color w:val="auto"/>
          <w:sz w:val="22"/>
          <w:szCs w:val="22"/>
          <w:lang w:val="en-US"/>
        </w:rPr>
        <w:t>The Early Help System Guide: A whole-system approach to early help</w:t>
      </w:r>
      <w:r w:rsidRPr="238B8832" w:rsidR="4E7C4C96">
        <w:rPr>
          <w:rFonts w:ascii="Arial" w:hAnsi="Arial" w:eastAsia="Arial" w:cs="Arial"/>
          <w:noProof w:val="0"/>
          <w:color w:val="auto"/>
          <w:sz w:val="22"/>
          <w:szCs w:val="22"/>
          <w:lang w:val="en-US"/>
        </w:rPr>
        <w:t>. London: HM Government.</w:t>
      </w:r>
    </w:p>
    <w:p w:rsidR="4E7C4C96" w:rsidP="238B8832" w:rsidRDefault="4E7C4C96" w14:paraId="660A3A92" w14:textId="7ACC2E13">
      <w:pPr>
        <w:spacing w:before="0" w:beforeAutospacing="off" w:after="240" w:afterAutospacing="off" w:line="360" w:lineRule="auto"/>
        <w:rPr>
          <w:rFonts w:ascii="Arial" w:hAnsi="Arial" w:eastAsia="Arial" w:cs="Arial"/>
          <w:noProof w:val="0"/>
          <w:color w:val="auto"/>
          <w:sz w:val="22"/>
          <w:szCs w:val="22"/>
          <w:lang w:val="en-US"/>
        </w:rPr>
      </w:pPr>
      <w:r w:rsidRPr="238B8832" w:rsidR="4E7C4C96">
        <w:rPr>
          <w:rFonts w:ascii="Arial" w:hAnsi="Arial" w:eastAsia="Arial" w:cs="Arial"/>
          <w:noProof w:val="0"/>
          <w:color w:val="auto"/>
          <w:sz w:val="22"/>
          <w:szCs w:val="22"/>
          <w:lang w:val="en-US"/>
        </w:rPr>
        <w:t xml:space="preserve">Early Intervention Foundation (2021) </w:t>
      </w:r>
      <w:r w:rsidRPr="238B8832" w:rsidR="4E7C4C96">
        <w:rPr>
          <w:rFonts w:ascii="Arial" w:hAnsi="Arial" w:eastAsia="Arial" w:cs="Arial"/>
          <w:i w:val="1"/>
          <w:iCs w:val="1"/>
          <w:noProof w:val="0"/>
          <w:color w:val="auto"/>
          <w:sz w:val="22"/>
          <w:szCs w:val="22"/>
          <w:lang w:val="en-US"/>
        </w:rPr>
        <w:t>Realising</w:t>
      </w:r>
      <w:r w:rsidRPr="238B8832" w:rsidR="4E7C4C96">
        <w:rPr>
          <w:rFonts w:ascii="Arial" w:hAnsi="Arial" w:eastAsia="Arial" w:cs="Arial"/>
          <w:i w:val="1"/>
          <w:iCs w:val="1"/>
          <w:noProof w:val="0"/>
          <w:color w:val="auto"/>
          <w:sz w:val="22"/>
          <w:szCs w:val="22"/>
          <w:lang w:val="en-US"/>
        </w:rPr>
        <w:t xml:space="preserve"> the Potential of Early Intervention</w:t>
      </w:r>
      <w:r w:rsidRPr="238B8832" w:rsidR="4E7C4C96">
        <w:rPr>
          <w:rFonts w:ascii="Arial" w:hAnsi="Arial" w:eastAsia="Arial" w:cs="Arial"/>
          <w:noProof w:val="0"/>
          <w:color w:val="auto"/>
          <w:sz w:val="22"/>
          <w:szCs w:val="22"/>
          <w:lang w:val="en-US"/>
        </w:rPr>
        <w:t>. London: EIF.</w:t>
      </w:r>
    </w:p>
    <w:p w:rsidR="4E7C4C96" w:rsidP="238B8832" w:rsidRDefault="4E7C4C96" w14:paraId="0B39B067" w14:textId="23BC730E">
      <w:pPr>
        <w:spacing w:before="0" w:beforeAutospacing="off" w:after="240" w:afterAutospacing="off" w:line="360" w:lineRule="auto"/>
        <w:rPr>
          <w:rFonts w:ascii="Arial" w:hAnsi="Arial" w:eastAsia="Arial" w:cs="Arial"/>
          <w:noProof w:val="0"/>
          <w:color w:val="auto"/>
          <w:sz w:val="22"/>
          <w:szCs w:val="22"/>
          <w:lang w:val="en-US"/>
        </w:rPr>
      </w:pPr>
      <w:r w:rsidRPr="238B8832" w:rsidR="4E7C4C96">
        <w:rPr>
          <w:rFonts w:ascii="Arial" w:hAnsi="Arial" w:eastAsia="Arial" w:cs="Arial"/>
          <w:noProof w:val="0"/>
          <w:color w:val="auto"/>
          <w:sz w:val="22"/>
          <w:szCs w:val="22"/>
          <w:lang w:val="en-US"/>
        </w:rPr>
        <w:t xml:space="preserve">Featherstone, B., Morris, K. and White, S. (2019) ‘Austerity, rights and the “welfare of the child”: Reframing family </w:t>
      </w:r>
      <w:r w:rsidRPr="238B8832" w:rsidR="010374D9">
        <w:rPr>
          <w:rFonts w:ascii="Arial" w:hAnsi="Arial" w:eastAsia="Arial" w:cs="Arial"/>
          <w:noProof w:val="0"/>
          <w:color w:val="auto"/>
          <w:sz w:val="22"/>
          <w:szCs w:val="22"/>
          <w:lang w:val="en-US"/>
        </w:rPr>
        <w:t>support,</w:t>
      </w:r>
      <w:r w:rsidRPr="238B8832" w:rsidR="4E7C4C96">
        <w:rPr>
          <w:rFonts w:ascii="Arial" w:hAnsi="Arial" w:eastAsia="Arial" w:cs="Arial"/>
          <w:noProof w:val="0"/>
          <w:color w:val="auto"/>
          <w:sz w:val="22"/>
          <w:szCs w:val="22"/>
          <w:lang w:val="en-US"/>
        </w:rPr>
        <w:t xml:space="preserve"> </w:t>
      </w:r>
      <w:r w:rsidRPr="238B8832" w:rsidR="4E7C4C96">
        <w:rPr>
          <w:rFonts w:ascii="Arial" w:hAnsi="Arial" w:eastAsia="Arial" w:cs="Arial"/>
          <w:i w:val="1"/>
          <w:iCs w:val="1"/>
          <w:noProof w:val="0"/>
          <w:color w:val="auto"/>
          <w:sz w:val="22"/>
          <w:szCs w:val="22"/>
          <w:lang w:val="en-US"/>
        </w:rPr>
        <w:t>Children and Youth Services Review</w:t>
      </w:r>
      <w:r w:rsidRPr="238B8832" w:rsidR="4E7C4C96">
        <w:rPr>
          <w:rFonts w:ascii="Arial" w:hAnsi="Arial" w:eastAsia="Arial" w:cs="Arial"/>
          <w:noProof w:val="0"/>
          <w:color w:val="auto"/>
          <w:sz w:val="22"/>
          <w:szCs w:val="22"/>
          <w:lang w:val="en-US"/>
        </w:rPr>
        <w:t>, 100, pp. 39–48.</w:t>
      </w:r>
    </w:p>
    <w:p w:rsidR="4E7C4C96" w:rsidP="238B8832" w:rsidRDefault="4E7C4C96" w14:paraId="56DF90D7" w14:textId="6AD7CCC1">
      <w:pPr>
        <w:spacing w:before="0" w:beforeAutospacing="off" w:after="240" w:afterAutospacing="off" w:line="360" w:lineRule="auto"/>
        <w:rPr>
          <w:rFonts w:ascii="Arial" w:hAnsi="Arial" w:eastAsia="Arial" w:cs="Arial"/>
          <w:noProof w:val="0"/>
          <w:color w:val="auto"/>
          <w:sz w:val="22"/>
          <w:szCs w:val="22"/>
          <w:lang w:val="en-US"/>
        </w:rPr>
      </w:pPr>
      <w:r w:rsidRPr="238B8832" w:rsidR="4E7C4C96">
        <w:rPr>
          <w:rFonts w:ascii="Arial" w:hAnsi="Arial" w:eastAsia="Arial" w:cs="Arial"/>
          <w:noProof w:val="0"/>
          <w:color w:val="auto"/>
          <w:sz w:val="22"/>
          <w:szCs w:val="22"/>
          <w:lang w:val="en-US"/>
        </w:rPr>
        <w:t xml:space="preserve">HM Government (2018) </w:t>
      </w:r>
      <w:r w:rsidRPr="238B8832" w:rsidR="4E7C4C96">
        <w:rPr>
          <w:rFonts w:ascii="Arial" w:hAnsi="Arial" w:eastAsia="Arial" w:cs="Arial"/>
          <w:i w:val="1"/>
          <w:iCs w:val="1"/>
          <w:noProof w:val="0"/>
          <w:color w:val="auto"/>
          <w:sz w:val="22"/>
          <w:szCs w:val="22"/>
          <w:lang w:val="en-US"/>
        </w:rPr>
        <w:t>Information Sharing: Advice for practitioners providing safeguarding services</w:t>
      </w:r>
      <w:r w:rsidRPr="238B8832" w:rsidR="4E7C4C96">
        <w:rPr>
          <w:rFonts w:ascii="Arial" w:hAnsi="Arial" w:eastAsia="Arial" w:cs="Arial"/>
          <w:noProof w:val="0"/>
          <w:color w:val="auto"/>
          <w:sz w:val="22"/>
          <w:szCs w:val="22"/>
          <w:lang w:val="en-US"/>
        </w:rPr>
        <w:t>. London: DfE.</w:t>
      </w:r>
    </w:p>
    <w:p w:rsidR="4E7C4C96" w:rsidP="238B8832" w:rsidRDefault="4E7C4C96" w14:paraId="3E12591F" w14:textId="083189AD">
      <w:pPr>
        <w:spacing w:before="0" w:beforeAutospacing="off" w:after="240" w:afterAutospacing="off" w:line="360" w:lineRule="auto"/>
        <w:rPr>
          <w:rFonts w:ascii="Arial" w:hAnsi="Arial" w:eastAsia="Arial" w:cs="Arial"/>
          <w:noProof w:val="0"/>
          <w:color w:val="auto"/>
          <w:sz w:val="22"/>
          <w:szCs w:val="22"/>
          <w:lang w:val="en-US"/>
        </w:rPr>
      </w:pPr>
      <w:r w:rsidRPr="238B8832" w:rsidR="4E7C4C96">
        <w:rPr>
          <w:rFonts w:ascii="Arial" w:hAnsi="Arial" w:eastAsia="Arial" w:cs="Arial"/>
          <w:noProof w:val="0"/>
          <w:color w:val="auto"/>
          <w:sz w:val="22"/>
          <w:szCs w:val="22"/>
          <w:lang w:val="en-US"/>
        </w:rPr>
        <w:t xml:space="preserve">Leicestershire County Council (2024) </w:t>
      </w:r>
      <w:r w:rsidRPr="238B8832" w:rsidR="4E7C4C96">
        <w:rPr>
          <w:rFonts w:ascii="Arial" w:hAnsi="Arial" w:eastAsia="Arial" w:cs="Arial"/>
          <w:i w:val="1"/>
          <w:iCs w:val="1"/>
          <w:noProof w:val="0"/>
          <w:color w:val="auto"/>
          <w:sz w:val="22"/>
          <w:szCs w:val="22"/>
          <w:lang w:val="en-US"/>
        </w:rPr>
        <w:t>Early Help and Family Hubs</w:t>
      </w:r>
      <w:r w:rsidRPr="238B8832" w:rsidR="4E7C4C96">
        <w:rPr>
          <w:rFonts w:ascii="Arial" w:hAnsi="Arial" w:eastAsia="Arial" w:cs="Arial"/>
          <w:noProof w:val="0"/>
          <w:color w:val="auto"/>
          <w:sz w:val="22"/>
          <w:szCs w:val="22"/>
          <w:lang w:val="en-US"/>
        </w:rPr>
        <w:t xml:space="preserve">. Available at: </w:t>
      </w:r>
      <w:hyperlink r:id="R40d9dc1e46294228">
        <w:r w:rsidRPr="238B8832" w:rsidR="4E7C4C96">
          <w:rPr>
            <w:rStyle w:val="Hyperlink"/>
            <w:rFonts w:ascii="Arial" w:hAnsi="Arial" w:eastAsia="Arial" w:cs="Arial"/>
            <w:noProof w:val="0"/>
            <w:color w:val="auto"/>
            <w:sz w:val="22"/>
            <w:szCs w:val="22"/>
            <w:lang w:val="en-US"/>
          </w:rPr>
          <w:t>https://www.leicestershire.gov.uk/education-and-children/social-care-and-supporting-families/early-help</w:t>
        </w:r>
      </w:hyperlink>
      <w:r w:rsidRPr="238B8832" w:rsidR="4E7C4C96">
        <w:rPr>
          <w:rFonts w:ascii="Arial" w:hAnsi="Arial" w:eastAsia="Arial" w:cs="Arial"/>
          <w:noProof w:val="0"/>
          <w:color w:val="auto"/>
          <w:sz w:val="22"/>
          <w:szCs w:val="22"/>
          <w:lang w:val="en-US"/>
        </w:rPr>
        <w:t xml:space="preserve"> (Accessed: 24 February 2026).</w:t>
      </w:r>
    </w:p>
    <w:p w:rsidR="4E7C4C96" w:rsidP="238B8832" w:rsidRDefault="4E7C4C96" w14:paraId="76CBA48D" w14:textId="7C690724">
      <w:pPr>
        <w:spacing w:before="0" w:beforeAutospacing="off" w:after="240" w:afterAutospacing="off" w:line="360" w:lineRule="auto"/>
        <w:rPr>
          <w:rFonts w:ascii="Arial" w:hAnsi="Arial" w:eastAsia="Arial" w:cs="Arial"/>
          <w:noProof w:val="0"/>
          <w:color w:val="auto"/>
          <w:sz w:val="22"/>
          <w:szCs w:val="22"/>
          <w:lang w:val="en-US"/>
        </w:rPr>
      </w:pPr>
      <w:r w:rsidRPr="238B8832" w:rsidR="4E7C4C96">
        <w:rPr>
          <w:rFonts w:ascii="Arial" w:hAnsi="Arial" w:eastAsia="Arial" w:cs="Arial"/>
          <w:noProof w:val="0"/>
          <w:color w:val="auto"/>
          <w:sz w:val="22"/>
          <w:szCs w:val="22"/>
          <w:lang w:val="en-US"/>
        </w:rPr>
        <w:t>Munro, E. (2011)</w:t>
      </w:r>
      <w:r w:rsidRPr="238B8832" w:rsidR="2A8D0B9F">
        <w:rPr>
          <w:rFonts w:ascii="Arial" w:hAnsi="Arial" w:eastAsia="Arial" w:cs="Arial"/>
          <w:noProof w:val="0"/>
          <w:color w:val="auto"/>
          <w:sz w:val="22"/>
          <w:szCs w:val="22"/>
          <w:lang w:val="en-US"/>
        </w:rPr>
        <w:t>. The</w:t>
      </w:r>
      <w:r w:rsidRPr="238B8832" w:rsidR="4E7C4C96">
        <w:rPr>
          <w:rFonts w:ascii="Arial" w:hAnsi="Arial" w:eastAsia="Arial" w:cs="Arial"/>
          <w:i w:val="1"/>
          <w:iCs w:val="1"/>
          <w:noProof w:val="0"/>
          <w:color w:val="auto"/>
          <w:sz w:val="22"/>
          <w:szCs w:val="22"/>
          <w:lang w:val="en-US"/>
        </w:rPr>
        <w:t xml:space="preserve"> Munro Review of Child Protection: Final Report – A child-</w:t>
      </w:r>
      <w:r w:rsidRPr="238B8832" w:rsidR="4E7C4C96">
        <w:rPr>
          <w:rFonts w:ascii="Arial" w:hAnsi="Arial" w:eastAsia="Arial" w:cs="Arial"/>
          <w:i w:val="1"/>
          <w:iCs w:val="1"/>
          <w:noProof w:val="0"/>
          <w:color w:val="auto"/>
          <w:sz w:val="22"/>
          <w:szCs w:val="22"/>
          <w:lang w:val="en-US"/>
        </w:rPr>
        <w:t>centred</w:t>
      </w:r>
      <w:r w:rsidRPr="238B8832" w:rsidR="4E7C4C96">
        <w:rPr>
          <w:rFonts w:ascii="Arial" w:hAnsi="Arial" w:eastAsia="Arial" w:cs="Arial"/>
          <w:i w:val="1"/>
          <w:iCs w:val="1"/>
          <w:noProof w:val="0"/>
          <w:color w:val="auto"/>
          <w:sz w:val="22"/>
          <w:szCs w:val="22"/>
          <w:lang w:val="en-US"/>
        </w:rPr>
        <w:t xml:space="preserve"> system</w:t>
      </w:r>
      <w:r w:rsidRPr="238B8832" w:rsidR="4E7C4C96">
        <w:rPr>
          <w:rFonts w:ascii="Arial" w:hAnsi="Arial" w:eastAsia="Arial" w:cs="Arial"/>
          <w:noProof w:val="0"/>
          <w:color w:val="auto"/>
          <w:sz w:val="22"/>
          <w:szCs w:val="22"/>
          <w:lang w:val="en-US"/>
        </w:rPr>
        <w:t xml:space="preserve">. London: Department </w:t>
      </w:r>
      <w:r w:rsidRPr="238B8832" w:rsidR="24C0FFB6">
        <w:rPr>
          <w:rFonts w:ascii="Arial" w:hAnsi="Arial" w:eastAsia="Arial" w:cs="Arial"/>
          <w:noProof w:val="0"/>
          <w:color w:val="auto"/>
          <w:sz w:val="22"/>
          <w:szCs w:val="22"/>
          <w:lang w:val="en-US"/>
        </w:rPr>
        <w:t>of</w:t>
      </w:r>
      <w:r w:rsidRPr="238B8832" w:rsidR="4E7C4C96">
        <w:rPr>
          <w:rFonts w:ascii="Arial" w:hAnsi="Arial" w:eastAsia="Arial" w:cs="Arial"/>
          <w:noProof w:val="0"/>
          <w:color w:val="auto"/>
          <w:sz w:val="22"/>
          <w:szCs w:val="22"/>
          <w:lang w:val="en-US"/>
        </w:rPr>
        <w:t xml:space="preserve"> Education.</w:t>
      </w:r>
    </w:p>
    <w:p w:rsidR="4E7C4C96" w:rsidP="238B8832" w:rsidRDefault="4E7C4C96" w14:paraId="17BAAD0D" w14:textId="07D71516">
      <w:pPr>
        <w:spacing w:before="0" w:beforeAutospacing="off" w:after="240" w:afterAutospacing="off" w:line="360" w:lineRule="auto"/>
        <w:rPr>
          <w:rFonts w:ascii="Arial" w:hAnsi="Arial" w:eastAsia="Arial" w:cs="Arial"/>
          <w:noProof w:val="0"/>
          <w:color w:val="auto"/>
          <w:sz w:val="22"/>
          <w:szCs w:val="22"/>
          <w:lang w:val="en-US"/>
        </w:rPr>
      </w:pPr>
      <w:r w:rsidRPr="238B8832" w:rsidR="4E7C4C96">
        <w:rPr>
          <w:rFonts w:ascii="Arial" w:hAnsi="Arial" w:eastAsia="Arial" w:cs="Arial"/>
          <w:noProof w:val="0"/>
          <w:color w:val="auto"/>
          <w:sz w:val="22"/>
          <w:szCs w:val="22"/>
          <w:lang w:val="en-US"/>
        </w:rPr>
        <w:t xml:space="preserve">Staffordshire County Council (2024) </w:t>
      </w:r>
      <w:r w:rsidRPr="238B8832" w:rsidR="4E7C4C96">
        <w:rPr>
          <w:rFonts w:ascii="Arial" w:hAnsi="Arial" w:eastAsia="Arial" w:cs="Arial"/>
          <w:i w:val="1"/>
          <w:iCs w:val="1"/>
          <w:noProof w:val="0"/>
          <w:color w:val="auto"/>
          <w:sz w:val="22"/>
          <w:szCs w:val="22"/>
          <w:lang w:val="en-US"/>
        </w:rPr>
        <w:t>Staffordshire Connects: Early Help</w:t>
      </w:r>
      <w:r w:rsidRPr="238B8832" w:rsidR="4E7C4C96">
        <w:rPr>
          <w:rFonts w:ascii="Arial" w:hAnsi="Arial" w:eastAsia="Arial" w:cs="Arial"/>
          <w:noProof w:val="0"/>
          <w:color w:val="auto"/>
          <w:sz w:val="22"/>
          <w:szCs w:val="22"/>
          <w:lang w:val="en-US"/>
        </w:rPr>
        <w:t xml:space="preserve">. Available at: </w:t>
      </w:r>
      <w:hyperlink r:id="R935f756461ec4abc">
        <w:r w:rsidRPr="238B8832" w:rsidR="4E7C4C96">
          <w:rPr>
            <w:rStyle w:val="Hyperlink"/>
            <w:rFonts w:ascii="Arial" w:hAnsi="Arial" w:eastAsia="Arial" w:cs="Arial"/>
            <w:noProof w:val="0"/>
            <w:color w:val="auto"/>
            <w:sz w:val="22"/>
            <w:szCs w:val="22"/>
            <w:lang w:val="en-US"/>
          </w:rPr>
          <w:t>https://www.staffordshireconnects.info/kb5/staffordshire/directory/home.page</w:t>
        </w:r>
      </w:hyperlink>
      <w:r w:rsidRPr="238B8832" w:rsidR="4E7C4C96">
        <w:rPr>
          <w:rFonts w:ascii="Arial" w:hAnsi="Arial" w:eastAsia="Arial" w:cs="Arial"/>
          <w:noProof w:val="0"/>
          <w:color w:val="auto"/>
          <w:sz w:val="22"/>
          <w:szCs w:val="22"/>
          <w:lang w:val="en-US"/>
        </w:rPr>
        <w:t xml:space="preserve"> (Accessed: 24 February 2026).</w:t>
      </w:r>
    </w:p>
    <w:p w:rsidR="4E7C4C96" w:rsidP="238B8832" w:rsidRDefault="4E7C4C96" w14:paraId="7388D58E" w14:textId="1794C676">
      <w:pPr>
        <w:spacing w:before="0" w:beforeAutospacing="off" w:after="240" w:afterAutospacing="off" w:line="360" w:lineRule="auto"/>
        <w:rPr>
          <w:rFonts w:ascii="Arial" w:hAnsi="Arial" w:eastAsia="Arial" w:cs="Arial"/>
          <w:noProof w:val="0"/>
          <w:color w:val="auto"/>
          <w:sz w:val="22"/>
          <w:szCs w:val="22"/>
          <w:lang w:val="en-US"/>
        </w:rPr>
      </w:pPr>
      <w:r w:rsidRPr="238B8832" w:rsidR="4E7C4C96">
        <w:rPr>
          <w:rFonts w:ascii="Arial" w:hAnsi="Arial" w:eastAsia="Arial" w:cs="Arial"/>
          <w:noProof w:val="0"/>
          <w:color w:val="auto"/>
          <w:sz w:val="22"/>
          <w:szCs w:val="22"/>
          <w:lang w:val="en-US"/>
        </w:rPr>
        <w:t xml:space="preserve">Tower Hamlets Council (2024) </w:t>
      </w:r>
      <w:r w:rsidRPr="238B8832" w:rsidR="4E7C4C96">
        <w:rPr>
          <w:rFonts w:ascii="Arial" w:hAnsi="Arial" w:eastAsia="Arial" w:cs="Arial"/>
          <w:i w:val="1"/>
          <w:iCs w:val="1"/>
          <w:noProof w:val="0"/>
          <w:color w:val="auto"/>
          <w:sz w:val="22"/>
          <w:szCs w:val="22"/>
          <w:lang w:val="en-US"/>
        </w:rPr>
        <w:t>Early Help for Families</w:t>
      </w:r>
      <w:r w:rsidRPr="238B8832" w:rsidR="4E7C4C96">
        <w:rPr>
          <w:rFonts w:ascii="Arial" w:hAnsi="Arial" w:eastAsia="Arial" w:cs="Arial"/>
          <w:noProof w:val="0"/>
          <w:color w:val="auto"/>
          <w:sz w:val="22"/>
          <w:szCs w:val="22"/>
          <w:lang w:val="en-US"/>
        </w:rPr>
        <w:t xml:space="preserve">. Available at: </w:t>
      </w:r>
      <w:hyperlink r:id="R8d1089253a124b29">
        <w:r w:rsidRPr="238B8832" w:rsidR="4E7C4C96">
          <w:rPr>
            <w:rStyle w:val="Hyperlink"/>
            <w:rFonts w:ascii="Arial" w:hAnsi="Arial" w:eastAsia="Arial" w:cs="Arial"/>
            <w:noProof w:val="0"/>
            <w:color w:val="auto"/>
            <w:sz w:val="22"/>
            <w:szCs w:val="22"/>
            <w:lang w:val="en-US"/>
          </w:rPr>
          <w:t>https://www.towerhamlets.gov.uk/lgnl/health__social_care/children_and_family_care/Early_Help/Early_Help.aspx</w:t>
        </w:r>
      </w:hyperlink>
      <w:r w:rsidRPr="238B8832" w:rsidR="4E7C4C96">
        <w:rPr>
          <w:rFonts w:ascii="Arial" w:hAnsi="Arial" w:eastAsia="Arial" w:cs="Arial"/>
          <w:noProof w:val="0"/>
          <w:color w:val="auto"/>
          <w:sz w:val="22"/>
          <w:szCs w:val="22"/>
          <w:lang w:val="en-US"/>
        </w:rPr>
        <w:t xml:space="preserve"> (Accessed: 24 February 2026).</w:t>
      </w:r>
    </w:p>
    <w:p w:rsidR="238B8832" w:rsidP="238B8832" w:rsidRDefault="238B8832" w14:paraId="27343C45" w14:textId="220C6226">
      <w:pPr>
        <w:pStyle w:val="Normal"/>
        <w:rPr>
          <w:noProof w:val="0"/>
          <w:lang w:val="en-US"/>
        </w:rPr>
      </w:pPr>
    </w:p>
    <w:p w:rsidR="00067522" w:rsidRDefault="00067522" w14:paraId="2C078E63" w14:textId="7E1513C9"/>
    <w:sectPr w:rsidR="00067522">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J0OE7YvXy3LhOj" int2:id="37vpbUpm">
      <int2:state int2:type="spell" int2:value="Rejected"/>
    </int2:textHash>
    <int2:textHash int2:hashCode="MJoNCQKUkZAFUN" int2:id="hfyF6pVi">
      <int2:state int2:type="spell" int2:value="Rejected"/>
    </int2:textHash>
    <int2:textHash int2:hashCode="NT12h6See3qwhk" int2:id="Ta9T07Yn">
      <int2:state int2:type="spell" int2:value="Rejected"/>
    </int2:textHash>
    <int2:textHash int2:hashCode="KVhdAyuwJG7Lhq" int2:id="oXcUHJeE">
      <int2:state int2:type="spell" int2:value="Rejected"/>
    </int2:textHash>
    <int2:textHash int2:hashCode="ZvyAP26axmr+eV" int2:id="Ysqx4saG">
      <int2:state int2:type="spell" int2:value="Rejected"/>
    </int2:textHash>
    <int2:textHash int2:hashCode="kQj1GeCWoHufQ2" int2:id="f6GZziEp">
      <int2:state int2:type="spell" int2:value="Rejected"/>
    </int2:textHash>
    <int2:textHash int2:hashCode="Dji+abMBs/wxDx" int2:id="THShszFx">
      <int2:state int2:type="spell" int2:value="Rejected"/>
    </int2:textHash>
    <int2:textHash int2:hashCode="WvycU+ezHS8WQx" int2:id="IqdnkPmW">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3">
    <w:nsid w:val="310466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2f329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85b8c6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76dfab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5e1f35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7f85df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94981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61553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7e34a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2b252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2c866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d8089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3e7e9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9c219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20a2e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f5853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aaee6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09109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495376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F297EFF"/>
    <w:multiLevelType w:val="hybridMultilevel"/>
    <w:tmpl w:val="26E0AB02"/>
    <w:lvl w:ilvl="0" w:tplc="18C80ABA">
      <w:start w:val="1"/>
      <w:numFmt w:val="decimal"/>
      <w:lvlText w:val="%1."/>
      <w:lvlJc w:val="left"/>
      <w:pPr>
        <w:ind w:left="720" w:hanging="360"/>
      </w:pPr>
    </w:lvl>
    <w:lvl w:ilvl="1" w:tplc="CE9AA57E">
      <w:start w:val="1"/>
      <w:numFmt w:val="lowerLetter"/>
      <w:lvlText w:val="%2."/>
      <w:lvlJc w:val="left"/>
      <w:pPr>
        <w:ind w:left="1440" w:hanging="360"/>
      </w:pPr>
    </w:lvl>
    <w:lvl w:ilvl="2" w:tplc="5A8C29E4">
      <w:start w:val="1"/>
      <w:numFmt w:val="lowerRoman"/>
      <w:lvlText w:val="%3."/>
      <w:lvlJc w:val="right"/>
      <w:pPr>
        <w:ind w:left="2160" w:hanging="180"/>
      </w:pPr>
    </w:lvl>
    <w:lvl w:ilvl="3" w:tplc="6962614C">
      <w:start w:val="1"/>
      <w:numFmt w:val="decimal"/>
      <w:lvlText w:val="%4."/>
      <w:lvlJc w:val="left"/>
      <w:pPr>
        <w:ind w:left="2880" w:hanging="360"/>
      </w:pPr>
    </w:lvl>
    <w:lvl w:ilvl="4" w:tplc="17C66A74">
      <w:start w:val="1"/>
      <w:numFmt w:val="lowerLetter"/>
      <w:lvlText w:val="%5."/>
      <w:lvlJc w:val="left"/>
      <w:pPr>
        <w:ind w:left="3600" w:hanging="360"/>
      </w:pPr>
    </w:lvl>
    <w:lvl w:ilvl="5" w:tplc="671C2580">
      <w:start w:val="1"/>
      <w:numFmt w:val="lowerRoman"/>
      <w:lvlText w:val="%6."/>
      <w:lvlJc w:val="right"/>
      <w:pPr>
        <w:ind w:left="4320" w:hanging="180"/>
      </w:pPr>
    </w:lvl>
    <w:lvl w:ilvl="6" w:tplc="1E1C8844">
      <w:start w:val="1"/>
      <w:numFmt w:val="decimal"/>
      <w:lvlText w:val="%7."/>
      <w:lvlJc w:val="left"/>
      <w:pPr>
        <w:ind w:left="5040" w:hanging="360"/>
      </w:pPr>
    </w:lvl>
    <w:lvl w:ilvl="7" w:tplc="360A951E">
      <w:start w:val="1"/>
      <w:numFmt w:val="lowerLetter"/>
      <w:lvlText w:val="%8."/>
      <w:lvlJc w:val="left"/>
      <w:pPr>
        <w:ind w:left="5760" w:hanging="360"/>
      </w:pPr>
    </w:lvl>
    <w:lvl w:ilvl="8" w:tplc="034239E4">
      <w:start w:val="1"/>
      <w:numFmt w:val="lowerRoman"/>
      <w:lvlText w:val="%9."/>
      <w:lvlJc w:val="right"/>
      <w:pPr>
        <w:ind w:left="6480" w:hanging="180"/>
      </w:pPr>
    </w:lvl>
  </w:abstractNum>
  <w:abstractNum w:abstractNumId="1" w15:restartNumberingAfterBreak="0">
    <w:nsid w:val="3F27B4C7"/>
    <w:multiLevelType w:val="hybridMultilevel"/>
    <w:tmpl w:val="E4F2A3DC"/>
    <w:lvl w:ilvl="0" w:tplc="BED8EF6A">
      <w:start w:val="1"/>
      <w:numFmt w:val="bullet"/>
      <w:lvlText w:val=""/>
      <w:lvlJc w:val="left"/>
      <w:pPr>
        <w:ind w:left="720" w:hanging="360"/>
      </w:pPr>
      <w:rPr>
        <w:rFonts w:hint="default" w:ascii="Symbol" w:hAnsi="Symbol"/>
      </w:rPr>
    </w:lvl>
    <w:lvl w:ilvl="1" w:tplc="4698C226">
      <w:start w:val="1"/>
      <w:numFmt w:val="bullet"/>
      <w:lvlText w:val="o"/>
      <w:lvlJc w:val="left"/>
      <w:pPr>
        <w:ind w:left="1440" w:hanging="360"/>
      </w:pPr>
      <w:rPr>
        <w:rFonts w:hint="default" w:ascii="Courier New" w:hAnsi="Courier New"/>
      </w:rPr>
    </w:lvl>
    <w:lvl w:ilvl="2" w:tplc="E5BAB4CA">
      <w:start w:val="1"/>
      <w:numFmt w:val="bullet"/>
      <w:lvlText w:val=""/>
      <w:lvlJc w:val="left"/>
      <w:pPr>
        <w:ind w:left="2160" w:hanging="360"/>
      </w:pPr>
      <w:rPr>
        <w:rFonts w:hint="default" w:ascii="Wingdings" w:hAnsi="Wingdings"/>
      </w:rPr>
    </w:lvl>
    <w:lvl w:ilvl="3" w:tplc="55C0407A">
      <w:start w:val="1"/>
      <w:numFmt w:val="bullet"/>
      <w:lvlText w:val=""/>
      <w:lvlJc w:val="left"/>
      <w:pPr>
        <w:ind w:left="2880" w:hanging="360"/>
      </w:pPr>
      <w:rPr>
        <w:rFonts w:hint="default" w:ascii="Symbol" w:hAnsi="Symbol"/>
      </w:rPr>
    </w:lvl>
    <w:lvl w:ilvl="4" w:tplc="0B7E32A2">
      <w:start w:val="1"/>
      <w:numFmt w:val="bullet"/>
      <w:lvlText w:val="o"/>
      <w:lvlJc w:val="left"/>
      <w:pPr>
        <w:ind w:left="3600" w:hanging="360"/>
      </w:pPr>
      <w:rPr>
        <w:rFonts w:hint="default" w:ascii="Courier New" w:hAnsi="Courier New"/>
      </w:rPr>
    </w:lvl>
    <w:lvl w:ilvl="5" w:tplc="D0BA0C38">
      <w:start w:val="1"/>
      <w:numFmt w:val="bullet"/>
      <w:lvlText w:val=""/>
      <w:lvlJc w:val="left"/>
      <w:pPr>
        <w:ind w:left="4320" w:hanging="360"/>
      </w:pPr>
      <w:rPr>
        <w:rFonts w:hint="default" w:ascii="Wingdings" w:hAnsi="Wingdings"/>
      </w:rPr>
    </w:lvl>
    <w:lvl w:ilvl="6" w:tplc="290062E8">
      <w:start w:val="1"/>
      <w:numFmt w:val="bullet"/>
      <w:lvlText w:val=""/>
      <w:lvlJc w:val="left"/>
      <w:pPr>
        <w:ind w:left="5040" w:hanging="360"/>
      </w:pPr>
      <w:rPr>
        <w:rFonts w:hint="default" w:ascii="Symbol" w:hAnsi="Symbol"/>
      </w:rPr>
    </w:lvl>
    <w:lvl w:ilvl="7" w:tplc="E75EBD5A">
      <w:start w:val="1"/>
      <w:numFmt w:val="bullet"/>
      <w:lvlText w:val="o"/>
      <w:lvlJc w:val="left"/>
      <w:pPr>
        <w:ind w:left="5760" w:hanging="360"/>
      </w:pPr>
      <w:rPr>
        <w:rFonts w:hint="default" w:ascii="Courier New" w:hAnsi="Courier New"/>
      </w:rPr>
    </w:lvl>
    <w:lvl w:ilvl="8" w:tplc="9B00C6CC">
      <w:start w:val="1"/>
      <w:numFmt w:val="bullet"/>
      <w:lvlText w:val=""/>
      <w:lvlJc w:val="left"/>
      <w:pPr>
        <w:ind w:left="6480" w:hanging="360"/>
      </w:pPr>
      <w:rPr>
        <w:rFonts w:hint="default" w:ascii="Wingdings" w:hAnsi="Wingdings"/>
      </w:rPr>
    </w:lvl>
  </w:abstractNum>
  <w:abstractNum w:abstractNumId="2" w15:restartNumberingAfterBreak="0">
    <w:nsid w:val="4817CB70"/>
    <w:multiLevelType w:val="hybridMultilevel"/>
    <w:tmpl w:val="96888F0C"/>
    <w:lvl w:ilvl="0" w:tplc="28582A38">
      <w:start w:val="1"/>
      <w:numFmt w:val="bullet"/>
      <w:lvlText w:val=""/>
      <w:lvlJc w:val="left"/>
      <w:pPr>
        <w:ind w:left="720" w:hanging="360"/>
      </w:pPr>
      <w:rPr>
        <w:rFonts w:hint="default" w:ascii="Symbol" w:hAnsi="Symbol"/>
      </w:rPr>
    </w:lvl>
    <w:lvl w:ilvl="1" w:tplc="0AA6DF90">
      <w:start w:val="1"/>
      <w:numFmt w:val="bullet"/>
      <w:lvlText w:val="o"/>
      <w:lvlJc w:val="left"/>
      <w:pPr>
        <w:ind w:left="1440" w:hanging="360"/>
      </w:pPr>
      <w:rPr>
        <w:rFonts w:hint="default" w:ascii="Courier New" w:hAnsi="Courier New"/>
      </w:rPr>
    </w:lvl>
    <w:lvl w:ilvl="2" w:tplc="4F7E2108">
      <w:start w:val="1"/>
      <w:numFmt w:val="bullet"/>
      <w:lvlText w:val=""/>
      <w:lvlJc w:val="left"/>
      <w:pPr>
        <w:ind w:left="2160" w:hanging="360"/>
      </w:pPr>
      <w:rPr>
        <w:rFonts w:hint="default" w:ascii="Wingdings" w:hAnsi="Wingdings"/>
      </w:rPr>
    </w:lvl>
    <w:lvl w:ilvl="3" w:tplc="BA9ED042">
      <w:start w:val="1"/>
      <w:numFmt w:val="bullet"/>
      <w:lvlText w:val=""/>
      <w:lvlJc w:val="left"/>
      <w:pPr>
        <w:ind w:left="2880" w:hanging="360"/>
      </w:pPr>
      <w:rPr>
        <w:rFonts w:hint="default" w:ascii="Symbol" w:hAnsi="Symbol"/>
      </w:rPr>
    </w:lvl>
    <w:lvl w:ilvl="4" w:tplc="16C61BE0">
      <w:start w:val="1"/>
      <w:numFmt w:val="bullet"/>
      <w:lvlText w:val="o"/>
      <w:lvlJc w:val="left"/>
      <w:pPr>
        <w:ind w:left="3600" w:hanging="360"/>
      </w:pPr>
      <w:rPr>
        <w:rFonts w:hint="default" w:ascii="Courier New" w:hAnsi="Courier New"/>
      </w:rPr>
    </w:lvl>
    <w:lvl w:ilvl="5" w:tplc="C5F03E7A">
      <w:start w:val="1"/>
      <w:numFmt w:val="bullet"/>
      <w:lvlText w:val=""/>
      <w:lvlJc w:val="left"/>
      <w:pPr>
        <w:ind w:left="4320" w:hanging="360"/>
      </w:pPr>
      <w:rPr>
        <w:rFonts w:hint="default" w:ascii="Wingdings" w:hAnsi="Wingdings"/>
      </w:rPr>
    </w:lvl>
    <w:lvl w:ilvl="6" w:tplc="5F268CB6">
      <w:start w:val="1"/>
      <w:numFmt w:val="bullet"/>
      <w:lvlText w:val=""/>
      <w:lvlJc w:val="left"/>
      <w:pPr>
        <w:ind w:left="5040" w:hanging="360"/>
      </w:pPr>
      <w:rPr>
        <w:rFonts w:hint="default" w:ascii="Symbol" w:hAnsi="Symbol"/>
      </w:rPr>
    </w:lvl>
    <w:lvl w:ilvl="7" w:tplc="CACEE298">
      <w:start w:val="1"/>
      <w:numFmt w:val="bullet"/>
      <w:lvlText w:val="o"/>
      <w:lvlJc w:val="left"/>
      <w:pPr>
        <w:ind w:left="5760" w:hanging="360"/>
      </w:pPr>
      <w:rPr>
        <w:rFonts w:hint="default" w:ascii="Courier New" w:hAnsi="Courier New"/>
      </w:rPr>
    </w:lvl>
    <w:lvl w:ilvl="8" w:tplc="8228E13E">
      <w:start w:val="1"/>
      <w:numFmt w:val="bullet"/>
      <w:lvlText w:val=""/>
      <w:lvlJc w:val="left"/>
      <w:pPr>
        <w:ind w:left="6480" w:hanging="360"/>
      </w:pPr>
      <w:rPr>
        <w:rFonts w:hint="default" w:ascii="Wingdings" w:hAnsi="Wingdings"/>
      </w:rPr>
    </w:lvl>
  </w:abstractNum>
  <w:abstractNum w:abstractNumId="3" w15:restartNumberingAfterBreak="0">
    <w:nsid w:val="6546B698"/>
    <w:multiLevelType w:val="hybridMultilevel"/>
    <w:tmpl w:val="0F907F46"/>
    <w:lvl w:ilvl="0" w:tplc="10D29DEC">
      <w:start w:val="1"/>
      <w:numFmt w:val="bullet"/>
      <w:lvlText w:val=""/>
      <w:lvlJc w:val="left"/>
      <w:pPr>
        <w:ind w:left="720" w:hanging="360"/>
      </w:pPr>
      <w:rPr>
        <w:rFonts w:hint="default" w:ascii="Symbol" w:hAnsi="Symbol"/>
      </w:rPr>
    </w:lvl>
    <w:lvl w:ilvl="1" w:tplc="F3523DD0">
      <w:start w:val="1"/>
      <w:numFmt w:val="bullet"/>
      <w:lvlText w:val="o"/>
      <w:lvlJc w:val="left"/>
      <w:pPr>
        <w:ind w:left="1440" w:hanging="360"/>
      </w:pPr>
      <w:rPr>
        <w:rFonts w:hint="default" w:ascii="Courier New" w:hAnsi="Courier New"/>
      </w:rPr>
    </w:lvl>
    <w:lvl w:ilvl="2" w:tplc="C79C2628">
      <w:start w:val="1"/>
      <w:numFmt w:val="bullet"/>
      <w:lvlText w:val=""/>
      <w:lvlJc w:val="left"/>
      <w:pPr>
        <w:ind w:left="2160" w:hanging="360"/>
      </w:pPr>
      <w:rPr>
        <w:rFonts w:hint="default" w:ascii="Wingdings" w:hAnsi="Wingdings"/>
      </w:rPr>
    </w:lvl>
    <w:lvl w:ilvl="3" w:tplc="42B2FC30">
      <w:start w:val="1"/>
      <w:numFmt w:val="bullet"/>
      <w:lvlText w:val=""/>
      <w:lvlJc w:val="left"/>
      <w:pPr>
        <w:ind w:left="2880" w:hanging="360"/>
      </w:pPr>
      <w:rPr>
        <w:rFonts w:hint="default" w:ascii="Symbol" w:hAnsi="Symbol"/>
      </w:rPr>
    </w:lvl>
    <w:lvl w:ilvl="4" w:tplc="795A0992">
      <w:start w:val="1"/>
      <w:numFmt w:val="bullet"/>
      <w:lvlText w:val="o"/>
      <w:lvlJc w:val="left"/>
      <w:pPr>
        <w:ind w:left="3600" w:hanging="360"/>
      </w:pPr>
      <w:rPr>
        <w:rFonts w:hint="default" w:ascii="Courier New" w:hAnsi="Courier New"/>
      </w:rPr>
    </w:lvl>
    <w:lvl w:ilvl="5" w:tplc="7460E246">
      <w:start w:val="1"/>
      <w:numFmt w:val="bullet"/>
      <w:lvlText w:val=""/>
      <w:lvlJc w:val="left"/>
      <w:pPr>
        <w:ind w:left="4320" w:hanging="360"/>
      </w:pPr>
      <w:rPr>
        <w:rFonts w:hint="default" w:ascii="Wingdings" w:hAnsi="Wingdings"/>
      </w:rPr>
    </w:lvl>
    <w:lvl w:ilvl="6" w:tplc="49246790">
      <w:start w:val="1"/>
      <w:numFmt w:val="bullet"/>
      <w:lvlText w:val=""/>
      <w:lvlJc w:val="left"/>
      <w:pPr>
        <w:ind w:left="5040" w:hanging="360"/>
      </w:pPr>
      <w:rPr>
        <w:rFonts w:hint="default" w:ascii="Symbol" w:hAnsi="Symbol"/>
      </w:rPr>
    </w:lvl>
    <w:lvl w:ilvl="7" w:tplc="7D1E70E6">
      <w:start w:val="1"/>
      <w:numFmt w:val="bullet"/>
      <w:lvlText w:val="o"/>
      <w:lvlJc w:val="left"/>
      <w:pPr>
        <w:ind w:left="5760" w:hanging="360"/>
      </w:pPr>
      <w:rPr>
        <w:rFonts w:hint="default" w:ascii="Courier New" w:hAnsi="Courier New"/>
      </w:rPr>
    </w:lvl>
    <w:lvl w:ilvl="8" w:tplc="926E1378">
      <w:start w:val="1"/>
      <w:numFmt w:val="bullet"/>
      <w:lvlText w:val=""/>
      <w:lvlJc w:val="left"/>
      <w:pPr>
        <w:ind w:left="6480" w:hanging="360"/>
      </w:pPr>
      <w:rPr>
        <w:rFonts w:hint="default" w:ascii="Wingdings" w:hAnsi="Wingdings"/>
      </w:rPr>
    </w:lvl>
  </w:abstractNum>
  <w:abstractNum w:abstractNumId="4" w15:restartNumberingAfterBreak="0">
    <w:nsid w:val="661B8438"/>
    <w:multiLevelType w:val="hybridMultilevel"/>
    <w:tmpl w:val="D354D736"/>
    <w:lvl w:ilvl="0" w:tplc="ECF87460">
      <w:start w:val="1"/>
      <w:numFmt w:val="bullet"/>
      <w:lvlText w:val=""/>
      <w:lvlJc w:val="left"/>
      <w:pPr>
        <w:ind w:left="720" w:hanging="360"/>
      </w:pPr>
      <w:rPr>
        <w:rFonts w:hint="default" w:ascii="Symbol" w:hAnsi="Symbol"/>
      </w:rPr>
    </w:lvl>
    <w:lvl w:ilvl="1" w:tplc="11D44670">
      <w:start w:val="1"/>
      <w:numFmt w:val="bullet"/>
      <w:lvlText w:val="o"/>
      <w:lvlJc w:val="left"/>
      <w:pPr>
        <w:ind w:left="1440" w:hanging="360"/>
      </w:pPr>
      <w:rPr>
        <w:rFonts w:hint="default" w:ascii="Courier New" w:hAnsi="Courier New"/>
      </w:rPr>
    </w:lvl>
    <w:lvl w:ilvl="2" w:tplc="8B223E06">
      <w:start w:val="1"/>
      <w:numFmt w:val="bullet"/>
      <w:lvlText w:val=""/>
      <w:lvlJc w:val="left"/>
      <w:pPr>
        <w:ind w:left="2160" w:hanging="360"/>
      </w:pPr>
      <w:rPr>
        <w:rFonts w:hint="default" w:ascii="Wingdings" w:hAnsi="Wingdings"/>
      </w:rPr>
    </w:lvl>
    <w:lvl w:ilvl="3" w:tplc="CD98F4A8">
      <w:start w:val="1"/>
      <w:numFmt w:val="bullet"/>
      <w:lvlText w:val=""/>
      <w:lvlJc w:val="left"/>
      <w:pPr>
        <w:ind w:left="2880" w:hanging="360"/>
      </w:pPr>
      <w:rPr>
        <w:rFonts w:hint="default" w:ascii="Symbol" w:hAnsi="Symbol"/>
      </w:rPr>
    </w:lvl>
    <w:lvl w:ilvl="4" w:tplc="9544D23A">
      <w:start w:val="1"/>
      <w:numFmt w:val="bullet"/>
      <w:lvlText w:val="o"/>
      <w:lvlJc w:val="left"/>
      <w:pPr>
        <w:ind w:left="3600" w:hanging="360"/>
      </w:pPr>
      <w:rPr>
        <w:rFonts w:hint="default" w:ascii="Courier New" w:hAnsi="Courier New"/>
      </w:rPr>
    </w:lvl>
    <w:lvl w:ilvl="5" w:tplc="B038E476">
      <w:start w:val="1"/>
      <w:numFmt w:val="bullet"/>
      <w:lvlText w:val=""/>
      <w:lvlJc w:val="left"/>
      <w:pPr>
        <w:ind w:left="4320" w:hanging="360"/>
      </w:pPr>
      <w:rPr>
        <w:rFonts w:hint="default" w:ascii="Wingdings" w:hAnsi="Wingdings"/>
      </w:rPr>
    </w:lvl>
    <w:lvl w:ilvl="6" w:tplc="1EC6E712">
      <w:start w:val="1"/>
      <w:numFmt w:val="bullet"/>
      <w:lvlText w:val=""/>
      <w:lvlJc w:val="left"/>
      <w:pPr>
        <w:ind w:left="5040" w:hanging="360"/>
      </w:pPr>
      <w:rPr>
        <w:rFonts w:hint="default" w:ascii="Symbol" w:hAnsi="Symbol"/>
      </w:rPr>
    </w:lvl>
    <w:lvl w:ilvl="7" w:tplc="27A8CED6">
      <w:start w:val="1"/>
      <w:numFmt w:val="bullet"/>
      <w:lvlText w:val="o"/>
      <w:lvlJc w:val="left"/>
      <w:pPr>
        <w:ind w:left="5760" w:hanging="360"/>
      </w:pPr>
      <w:rPr>
        <w:rFonts w:hint="default" w:ascii="Courier New" w:hAnsi="Courier New"/>
      </w:rPr>
    </w:lvl>
    <w:lvl w:ilvl="8" w:tplc="652017B0">
      <w:start w:val="1"/>
      <w:numFmt w:val="bullet"/>
      <w:lvlText w:val=""/>
      <w:lvlJc w:val="left"/>
      <w:pPr>
        <w:ind w:left="6480" w:hanging="360"/>
      </w:pPr>
      <w:rPr>
        <w:rFonts w:hint="default" w:ascii="Wingdings" w:hAnsi="Wingdings"/>
      </w:rPr>
    </w:lvl>
  </w:abstract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1" w16cid:durableId="55780844">
    <w:abstractNumId w:val="0"/>
  </w:num>
  <w:num w:numId="2" w16cid:durableId="1981425560">
    <w:abstractNumId w:val="1"/>
  </w:num>
  <w:num w:numId="3" w16cid:durableId="1141651272">
    <w:abstractNumId w:val="2"/>
  </w:num>
  <w:num w:numId="4" w16cid:durableId="1651862401">
    <w:abstractNumId w:val="3"/>
  </w:num>
  <w:num w:numId="5" w16cid:durableId="7598329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4D3005"/>
    <w:rsid w:val="00012E4F"/>
    <w:rsid w:val="00067522"/>
    <w:rsid w:val="000B21C3"/>
    <w:rsid w:val="00512A19"/>
    <w:rsid w:val="005E4519"/>
    <w:rsid w:val="00673A4C"/>
    <w:rsid w:val="00851281"/>
    <w:rsid w:val="00C02CE0"/>
    <w:rsid w:val="00C5140C"/>
    <w:rsid w:val="00D6CFCB"/>
    <w:rsid w:val="010374D9"/>
    <w:rsid w:val="02D8EAB9"/>
    <w:rsid w:val="0341D06C"/>
    <w:rsid w:val="051A7946"/>
    <w:rsid w:val="067095DF"/>
    <w:rsid w:val="067095DF"/>
    <w:rsid w:val="06E356F1"/>
    <w:rsid w:val="071111B8"/>
    <w:rsid w:val="07C959AC"/>
    <w:rsid w:val="08C2ABFB"/>
    <w:rsid w:val="08DAF9FA"/>
    <w:rsid w:val="09299CBE"/>
    <w:rsid w:val="0A5BB422"/>
    <w:rsid w:val="0A962197"/>
    <w:rsid w:val="0A962197"/>
    <w:rsid w:val="0ACE1EDB"/>
    <w:rsid w:val="0B3A1AD3"/>
    <w:rsid w:val="0D3C1BA0"/>
    <w:rsid w:val="0D55A308"/>
    <w:rsid w:val="0E2B34B9"/>
    <w:rsid w:val="0E2B34B9"/>
    <w:rsid w:val="0EA0C477"/>
    <w:rsid w:val="105DD88A"/>
    <w:rsid w:val="10BB83EB"/>
    <w:rsid w:val="10CA724B"/>
    <w:rsid w:val="11ECE7AE"/>
    <w:rsid w:val="123A924E"/>
    <w:rsid w:val="12DB633A"/>
    <w:rsid w:val="12F0E7BC"/>
    <w:rsid w:val="13DC9CF7"/>
    <w:rsid w:val="157FC5AF"/>
    <w:rsid w:val="16A49A37"/>
    <w:rsid w:val="16B5E04A"/>
    <w:rsid w:val="17ECBA51"/>
    <w:rsid w:val="18878F2E"/>
    <w:rsid w:val="19154636"/>
    <w:rsid w:val="19A9AB61"/>
    <w:rsid w:val="1AACB441"/>
    <w:rsid w:val="1AFEFBE8"/>
    <w:rsid w:val="1AFEFBE8"/>
    <w:rsid w:val="1BA1B0C8"/>
    <w:rsid w:val="1BA1B0C8"/>
    <w:rsid w:val="1C1CD054"/>
    <w:rsid w:val="1C1CD054"/>
    <w:rsid w:val="1CFF9598"/>
    <w:rsid w:val="1F21CBB8"/>
    <w:rsid w:val="1F5A7022"/>
    <w:rsid w:val="21373B2C"/>
    <w:rsid w:val="21373B2C"/>
    <w:rsid w:val="2253D5EA"/>
    <w:rsid w:val="2253D5EA"/>
    <w:rsid w:val="22B70DB5"/>
    <w:rsid w:val="238B8832"/>
    <w:rsid w:val="23A1DE91"/>
    <w:rsid w:val="24C0FFB6"/>
    <w:rsid w:val="257B0B48"/>
    <w:rsid w:val="2597C49A"/>
    <w:rsid w:val="28BB9925"/>
    <w:rsid w:val="28F4A460"/>
    <w:rsid w:val="293394F8"/>
    <w:rsid w:val="2A8330D3"/>
    <w:rsid w:val="2A8D0B9F"/>
    <w:rsid w:val="2C076666"/>
    <w:rsid w:val="2CC241C2"/>
    <w:rsid w:val="2D026787"/>
    <w:rsid w:val="2EECBF89"/>
    <w:rsid w:val="2EF97481"/>
    <w:rsid w:val="2F8E9175"/>
    <w:rsid w:val="2FE7CB37"/>
    <w:rsid w:val="2FEE2677"/>
    <w:rsid w:val="30991A32"/>
    <w:rsid w:val="317A9179"/>
    <w:rsid w:val="3519493B"/>
    <w:rsid w:val="3694651E"/>
    <w:rsid w:val="374355FB"/>
    <w:rsid w:val="37B450B4"/>
    <w:rsid w:val="389F4A08"/>
    <w:rsid w:val="389F4A08"/>
    <w:rsid w:val="38C326E5"/>
    <w:rsid w:val="38D5B5D1"/>
    <w:rsid w:val="390C7E5F"/>
    <w:rsid w:val="3AE68CDA"/>
    <w:rsid w:val="3C3A8998"/>
    <w:rsid w:val="3C3A8998"/>
    <w:rsid w:val="3CF93369"/>
    <w:rsid w:val="3D8B3F50"/>
    <w:rsid w:val="3D8B3F50"/>
    <w:rsid w:val="3D8E159D"/>
    <w:rsid w:val="3DC7A435"/>
    <w:rsid w:val="40118127"/>
    <w:rsid w:val="404D3005"/>
    <w:rsid w:val="412293E0"/>
    <w:rsid w:val="416C6E69"/>
    <w:rsid w:val="42F95ECF"/>
    <w:rsid w:val="430E2D88"/>
    <w:rsid w:val="430E2D88"/>
    <w:rsid w:val="43167137"/>
    <w:rsid w:val="43408F56"/>
    <w:rsid w:val="4427C811"/>
    <w:rsid w:val="44B73AF7"/>
    <w:rsid w:val="44CAFDE1"/>
    <w:rsid w:val="45C4B4CE"/>
    <w:rsid w:val="45F33556"/>
    <w:rsid w:val="45F33556"/>
    <w:rsid w:val="46758A3F"/>
    <w:rsid w:val="46758A3F"/>
    <w:rsid w:val="4974AC2C"/>
    <w:rsid w:val="4B654212"/>
    <w:rsid w:val="4B74B77F"/>
    <w:rsid w:val="4C2793C2"/>
    <w:rsid w:val="4C476E0B"/>
    <w:rsid w:val="4DC81958"/>
    <w:rsid w:val="4E07A2BA"/>
    <w:rsid w:val="4E413B2B"/>
    <w:rsid w:val="4E413B2B"/>
    <w:rsid w:val="4E5E26C2"/>
    <w:rsid w:val="4E7C4C96"/>
    <w:rsid w:val="50A09D36"/>
    <w:rsid w:val="5316D3A2"/>
    <w:rsid w:val="534A41D6"/>
    <w:rsid w:val="537D3EF3"/>
    <w:rsid w:val="54E8F59F"/>
    <w:rsid w:val="557C3125"/>
    <w:rsid w:val="55B3A2C9"/>
    <w:rsid w:val="55C48594"/>
    <w:rsid w:val="56081802"/>
    <w:rsid w:val="560FC1E7"/>
    <w:rsid w:val="560FC1E7"/>
    <w:rsid w:val="5633729D"/>
    <w:rsid w:val="5803268A"/>
    <w:rsid w:val="59561334"/>
    <w:rsid w:val="596A18B5"/>
    <w:rsid w:val="5BBA625D"/>
    <w:rsid w:val="5C232FA4"/>
    <w:rsid w:val="5C35A28B"/>
    <w:rsid w:val="5C9A934B"/>
    <w:rsid w:val="5D400098"/>
    <w:rsid w:val="5D400098"/>
    <w:rsid w:val="5D7A9177"/>
    <w:rsid w:val="5D7A9177"/>
    <w:rsid w:val="5DEAFA63"/>
    <w:rsid w:val="5EE977BF"/>
    <w:rsid w:val="5FFA06DD"/>
    <w:rsid w:val="60B6D81E"/>
    <w:rsid w:val="61086DF1"/>
    <w:rsid w:val="61086DF1"/>
    <w:rsid w:val="61378485"/>
    <w:rsid w:val="619CDFA5"/>
    <w:rsid w:val="61C92357"/>
    <w:rsid w:val="61D7B081"/>
    <w:rsid w:val="6696C60C"/>
    <w:rsid w:val="66F8D6B8"/>
    <w:rsid w:val="674DEFA8"/>
    <w:rsid w:val="67561315"/>
    <w:rsid w:val="67AE8F93"/>
    <w:rsid w:val="67AE8F93"/>
    <w:rsid w:val="6B534FC8"/>
    <w:rsid w:val="6C2143C4"/>
    <w:rsid w:val="6C3DB3A0"/>
    <w:rsid w:val="6C3DB3A0"/>
    <w:rsid w:val="6C4D9FB1"/>
    <w:rsid w:val="6C926603"/>
    <w:rsid w:val="6C926603"/>
    <w:rsid w:val="6D3EC619"/>
    <w:rsid w:val="6FF80D4C"/>
    <w:rsid w:val="708C9044"/>
    <w:rsid w:val="710AB70D"/>
    <w:rsid w:val="720F2D28"/>
    <w:rsid w:val="7446DEB3"/>
    <w:rsid w:val="744E70E6"/>
    <w:rsid w:val="75AD764A"/>
    <w:rsid w:val="75E56199"/>
    <w:rsid w:val="760B912B"/>
    <w:rsid w:val="760B912B"/>
    <w:rsid w:val="7634C6D6"/>
    <w:rsid w:val="769207AA"/>
    <w:rsid w:val="76DC394F"/>
    <w:rsid w:val="771DA1BB"/>
    <w:rsid w:val="78E03C2D"/>
    <w:rsid w:val="78FCB358"/>
    <w:rsid w:val="78FCB358"/>
    <w:rsid w:val="79C55708"/>
    <w:rsid w:val="79CBE6B5"/>
    <w:rsid w:val="7A1A5D7A"/>
    <w:rsid w:val="7AB0AF61"/>
    <w:rsid w:val="7AB0AF61"/>
    <w:rsid w:val="7B9E3B3D"/>
    <w:rsid w:val="7BD4EDB0"/>
    <w:rsid w:val="7EFD83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69DBE"/>
  <w15:chartTrackingRefBased/>
  <w15:docId w15:val="{1AA7493E-6F45-44A5-85C1-1A3F34ADF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9299CB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09299CB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09299CBE"/>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9299CBE"/>
    <w:pPr>
      <w:ind w:left="720"/>
      <w:contextualSpacing/>
    </w:pPr>
  </w:style>
  <w:style w:type="character" w:styleId="Hyperlink">
    <w:name w:val="Hyperlink"/>
    <w:basedOn w:val="DefaultParagraphFont"/>
    <w:uiPriority w:val="99"/>
    <w:unhideWhenUsed/>
    <w:rsid w:val="09299CBE"/>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image" Target="/media/image.png" Id="rId1522948096" /><Relationship Type="http://schemas.openxmlformats.org/officeDocument/2006/relationships/image" Target="/media/image2.png" Id="rId410060752" /><Relationship Type="http://schemas.openxmlformats.org/officeDocument/2006/relationships/image" Target="/media/image3.png" Id="rId1749361788" /><Relationship Type="http://schemas.openxmlformats.org/officeDocument/2006/relationships/hyperlink" Target="https://www.leicestershire.gov.uk/education-and-children/social-care-and-supporting-families/early-help" TargetMode="External" Id="R40d9dc1e46294228" /><Relationship Type="http://schemas.openxmlformats.org/officeDocument/2006/relationships/hyperlink" Target="https://www.staffordshireconnects.info/kb5/staffordshire/directory/home.page" TargetMode="External" Id="R935f756461ec4abc" /><Relationship Type="http://schemas.openxmlformats.org/officeDocument/2006/relationships/hyperlink" Target="https://www.towerhamlets.gov.uk/lgnl/health__social_care/children_and_family_care/Early_Help/Early_Help.aspx" TargetMode="External" Id="R8d1089253a124b29" /><Relationship Type="http://schemas.microsoft.com/office/2020/10/relationships/intelligence" Target="intelligence2.xml" Id="Rd87d6f360b704f8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Nashwa Elbouhy (2408300)</dc:creator>
  <keywords/>
  <dc:description/>
  <lastModifiedBy>Nashwa Elbouhy (2408300)</lastModifiedBy>
  <revision>6</revision>
  <dcterms:created xsi:type="dcterms:W3CDTF">2026-02-24T13:59:00.0000000Z</dcterms:created>
  <dcterms:modified xsi:type="dcterms:W3CDTF">2026-03-26T01:32:53.9407461Z</dcterms:modified>
</coreProperties>
</file>