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2635" w:rsidRPr="00C37814" w:rsidRDefault="00C37814" w:rsidP="00C37814">
      <w:pPr>
        <w:jc w:val="center"/>
        <w:rPr>
          <w:b/>
          <w:bCs/>
          <w:sz w:val="44"/>
          <w:szCs w:val="44"/>
        </w:rPr>
      </w:pPr>
      <w:r w:rsidRPr="00C37814">
        <w:rPr>
          <w:b/>
          <w:bCs/>
          <w:sz w:val="44"/>
          <w:szCs w:val="44"/>
        </w:rPr>
        <w:t>Financial Management for the Hotel Industry</w:t>
      </w:r>
    </w:p>
    <w:p w:rsidR="00C37814" w:rsidRPr="00C37814" w:rsidRDefault="00C37814" w:rsidP="00C37814">
      <w:pPr>
        <w:jc w:val="center"/>
        <w:rPr>
          <w:sz w:val="32"/>
          <w:szCs w:val="32"/>
        </w:rPr>
      </w:pPr>
      <w:r w:rsidRPr="00C37814">
        <w:rPr>
          <w:sz w:val="32"/>
          <w:szCs w:val="32"/>
        </w:rPr>
        <w:t>Student Name:</w:t>
      </w:r>
      <w:r w:rsidR="002E2FBB" w:rsidRPr="002E2FBB">
        <w:t xml:space="preserve"> </w:t>
      </w:r>
      <w:r w:rsidR="002E2FBB" w:rsidRPr="006615FA">
        <w:t xml:space="preserve">Mohammed </w:t>
      </w:r>
      <w:proofErr w:type="spellStart"/>
      <w:r w:rsidR="002E2FBB" w:rsidRPr="006615FA">
        <w:t>Majid</w:t>
      </w:r>
      <w:proofErr w:type="spellEnd"/>
    </w:p>
    <w:p w:rsidR="00C37814" w:rsidRDefault="00C37814" w:rsidP="00C37814">
      <w:pPr>
        <w:jc w:val="center"/>
        <w:rPr>
          <w:sz w:val="32"/>
          <w:szCs w:val="32"/>
        </w:rPr>
      </w:pPr>
      <w:r w:rsidRPr="00C37814">
        <w:rPr>
          <w:sz w:val="32"/>
          <w:szCs w:val="32"/>
        </w:rPr>
        <w:t>Student ID:</w:t>
      </w:r>
      <w:r w:rsidR="002E2FBB" w:rsidRPr="002E2FBB">
        <w:t xml:space="preserve"> </w:t>
      </w:r>
      <w:r w:rsidR="002E2FBB" w:rsidRPr="006615FA">
        <w:t>2013090</w:t>
      </w:r>
    </w:p>
    <w:p w:rsidR="00C37814" w:rsidRDefault="00C37814">
      <w:pPr>
        <w:spacing w:line="259" w:lineRule="auto"/>
        <w:jc w:val="left"/>
        <w:rPr>
          <w:sz w:val="32"/>
          <w:szCs w:val="32"/>
        </w:rPr>
      </w:pPr>
      <w:r>
        <w:rPr>
          <w:sz w:val="32"/>
          <w:szCs w:val="32"/>
        </w:rPr>
        <w:br w:type="page"/>
      </w:r>
    </w:p>
    <w:sdt>
      <w:sdtPr>
        <w:rPr>
          <w:rFonts w:ascii="Times New Roman" w:eastAsiaTheme="minorHAnsi" w:hAnsi="Times New Roman" w:cstheme="minorBidi"/>
          <w:color w:val="auto"/>
          <w:sz w:val="24"/>
          <w:szCs w:val="22"/>
        </w:rPr>
        <w:id w:val="1928227483"/>
        <w:docPartObj>
          <w:docPartGallery w:val="Table of Contents"/>
          <w:docPartUnique/>
        </w:docPartObj>
      </w:sdtPr>
      <w:sdtEndPr>
        <w:rPr>
          <w:b/>
          <w:bCs/>
          <w:noProof/>
        </w:rPr>
      </w:sdtEndPr>
      <w:sdtContent>
        <w:p w:rsidR="001F1D0F" w:rsidRPr="001F1D0F" w:rsidRDefault="001F1D0F">
          <w:pPr>
            <w:pStyle w:val="TOCHeading"/>
            <w:rPr>
              <w:b/>
              <w:bCs/>
              <w:u w:val="single"/>
            </w:rPr>
          </w:pPr>
          <w:r w:rsidRPr="001F1D0F">
            <w:rPr>
              <w:b/>
              <w:bCs/>
              <w:u w:val="single"/>
            </w:rPr>
            <w:t>Table of Contents</w:t>
          </w:r>
        </w:p>
        <w:p w:rsidR="001F1D0F" w:rsidRDefault="00BC7BCC">
          <w:pPr>
            <w:pStyle w:val="TOC1"/>
            <w:tabs>
              <w:tab w:val="right" w:leader="dot" w:pos="9350"/>
            </w:tabs>
            <w:rPr>
              <w:noProof/>
            </w:rPr>
          </w:pPr>
          <w:r w:rsidRPr="00BC7BCC">
            <w:fldChar w:fldCharType="begin"/>
          </w:r>
          <w:r w:rsidR="001F1D0F">
            <w:instrText xml:space="preserve"> TOC \o "1-3" \h \z \u </w:instrText>
          </w:r>
          <w:r w:rsidRPr="00BC7BCC">
            <w:fldChar w:fldCharType="separate"/>
          </w:r>
          <w:hyperlink w:anchor="_Toc117129624" w:history="1">
            <w:r w:rsidR="001F1D0F" w:rsidRPr="00B82EF9">
              <w:rPr>
                <w:rStyle w:val="Hyperlink"/>
                <w:noProof/>
              </w:rPr>
              <w:t>Introduction</w:t>
            </w:r>
            <w:r w:rsidR="001F1D0F">
              <w:rPr>
                <w:noProof/>
                <w:webHidden/>
              </w:rPr>
              <w:tab/>
            </w:r>
            <w:r>
              <w:rPr>
                <w:noProof/>
                <w:webHidden/>
              </w:rPr>
              <w:fldChar w:fldCharType="begin"/>
            </w:r>
            <w:r w:rsidR="001F1D0F">
              <w:rPr>
                <w:noProof/>
                <w:webHidden/>
              </w:rPr>
              <w:instrText xml:space="preserve"> PAGEREF _Toc117129624 \h </w:instrText>
            </w:r>
            <w:r>
              <w:rPr>
                <w:noProof/>
                <w:webHidden/>
              </w:rPr>
            </w:r>
            <w:r>
              <w:rPr>
                <w:noProof/>
                <w:webHidden/>
              </w:rPr>
              <w:fldChar w:fldCharType="separate"/>
            </w:r>
            <w:r w:rsidR="001F1D0F">
              <w:rPr>
                <w:noProof/>
                <w:webHidden/>
              </w:rPr>
              <w:t>3</w:t>
            </w:r>
            <w:r>
              <w:rPr>
                <w:noProof/>
                <w:webHidden/>
              </w:rPr>
              <w:fldChar w:fldCharType="end"/>
            </w:r>
          </w:hyperlink>
        </w:p>
        <w:p w:rsidR="001F1D0F" w:rsidRDefault="00BC7BCC">
          <w:pPr>
            <w:pStyle w:val="TOC1"/>
            <w:tabs>
              <w:tab w:val="right" w:leader="dot" w:pos="9350"/>
            </w:tabs>
            <w:rPr>
              <w:noProof/>
            </w:rPr>
          </w:pPr>
          <w:hyperlink w:anchor="_Toc117129625" w:history="1">
            <w:r w:rsidR="001F1D0F" w:rsidRPr="00B82EF9">
              <w:rPr>
                <w:rStyle w:val="Hyperlink"/>
                <w:noProof/>
              </w:rPr>
              <w:t>Analysis of the Financial Statements of Hilton Hotels</w:t>
            </w:r>
            <w:r w:rsidR="001F1D0F">
              <w:rPr>
                <w:noProof/>
                <w:webHidden/>
              </w:rPr>
              <w:tab/>
            </w:r>
            <w:r>
              <w:rPr>
                <w:noProof/>
                <w:webHidden/>
              </w:rPr>
              <w:fldChar w:fldCharType="begin"/>
            </w:r>
            <w:r w:rsidR="001F1D0F">
              <w:rPr>
                <w:noProof/>
                <w:webHidden/>
              </w:rPr>
              <w:instrText xml:space="preserve"> PAGEREF _Toc117129625 \h </w:instrText>
            </w:r>
            <w:r>
              <w:rPr>
                <w:noProof/>
                <w:webHidden/>
              </w:rPr>
            </w:r>
            <w:r>
              <w:rPr>
                <w:noProof/>
                <w:webHidden/>
              </w:rPr>
              <w:fldChar w:fldCharType="separate"/>
            </w:r>
            <w:r w:rsidR="001F1D0F">
              <w:rPr>
                <w:noProof/>
                <w:webHidden/>
              </w:rPr>
              <w:t>4</w:t>
            </w:r>
            <w:r>
              <w:rPr>
                <w:noProof/>
                <w:webHidden/>
              </w:rPr>
              <w:fldChar w:fldCharType="end"/>
            </w:r>
          </w:hyperlink>
        </w:p>
        <w:p w:rsidR="001F1D0F" w:rsidRDefault="00BC7BCC">
          <w:pPr>
            <w:pStyle w:val="TOC2"/>
            <w:tabs>
              <w:tab w:val="right" w:leader="dot" w:pos="9350"/>
            </w:tabs>
            <w:rPr>
              <w:noProof/>
            </w:rPr>
          </w:pPr>
          <w:hyperlink w:anchor="_Toc117129626" w:history="1">
            <w:r w:rsidR="001F1D0F" w:rsidRPr="00B82EF9">
              <w:rPr>
                <w:rStyle w:val="Hyperlink"/>
                <w:noProof/>
              </w:rPr>
              <w:t>A discussion on the ratio</w:t>
            </w:r>
            <w:r w:rsidR="001F1D0F">
              <w:rPr>
                <w:noProof/>
                <w:webHidden/>
              </w:rPr>
              <w:tab/>
            </w:r>
            <w:r>
              <w:rPr>
                <w:noProof/>
                <w:webHidden/>
              </w:rPr>
              <w:fldChar w:fldCharType="begin"/>
            </w:r>
            <w:r w:rsidR="001F1D0F">
              <w:rPr>
                <w:noProof/>
                <w:webHidden/>
              </w:rPr>
              <w:instrText xml:space="preserve"> PAGEREF _Toc117129626 \h </w:instrText>
            </w:r>
            <w:r>
              <w:rPr>
                <w:noProof/>
                <w:webHidden/>
              </w:rPr>
            </w:r>
            <w:r>
              <w:rPr>
                <w:noProof/>
                <w:webHidden/>
              </w:rPr>
              <w:fldChar w:fldCharType="separate"/>
            </w:r>
            <w:r w:rsidR="001F1D0F">
              <w:rPr>
                <w:noProof/>
                <w:webHidden/>
              </w:rPr>
              <w:t>4</w:t>
            </w:r>
            <w:r>
              <w:rPr>
                <w:noProof/>
                <w:webHidden/>
              </w:rPr>
              <w:fldChar w:fldCharType="end"/>
            </w:r>
          </w:hyperlink>
        </w:p>
        <w:p w:rsidR="001F1D0F" w:rsidRDefault="00BC7BCC">
          <w:pPr>
            <w:pStyle w:val="TOC2"/>
            <w:tabs>
              <w:tab w:val="right" w:leader="dot" w:pos="9350"/>
            </w:tabs>
            <w:rPr>
              <w:noProof/>
            </w:rPr>
          </w:pPr>
          <w:hyperlink w:anchor="_Toc117129627" w:history="1">
            <w:r w:rsidR="001F1D0F" w:rsidRPr="00B82EF9">
              <w:rPr>
                <w:rStyle w:val="Hyperlink"/>
                <w:noProof/>
              </w:rPr>
              <w:t>Computing the Financial Performance of Hilton Worldwide Holdings Inc for the year 2019-2020.</w:t>
            </w:r>
            <w:r w:rsidR="001F1D0F">
              <w:rPr>
                <w:noProof/>
                <w:webHidden/>
              </w:rPr>
              <w:tab/>
            </w:r>
            <w:r>
              <w:rPr>
                <w:noProof/>
                <w:webHidden/>
              </w:rPr>
              <w:fldChar w:fldCharType="begin"/>
            </w:r>
            <w:r w:rsidR="001F1D0F">
              <w:rPr>
                <w:noProof/>
                <w:webHidden/>
              </w:rPr>
              <w:instrText xml:space="preserve"> PAGEREF _Toc117129627 \h </w:instrText>
            </w:r>
            <w:r>
              <w:rPr>
                <w:noProof/>
                <w:webHidden/>
              </w:rPr>
            </w:r>
            <w:r>
              <w:rPr>
                <w:noProof/>
                <w:webHidden/>
              </w:rPr>
              <w:fldChar w:fldCharType="separate"/>
            </w:r>
            <w:r w:rsidR="001F1D0F">
              <w:rPr>
                <w:noProof/>
                <w:webHidden/>
              </w:rPr>
              <w:t>4</w:t>
            </w:r>
            <w:r>
              <w:rPr>
                <w:noProof/>
                <w:webHidden/>
              </w:rPr>
              <w:fldChar w:fldCharType="end"/>
            </w:r>
          </w:hyperlink>
        </w:p>
        <w:p w:rsidR="001F1D0F" w:rsidRDefault="00BC7BCC">
          <w:pPr>
            <w:pStyle w:val="TOC3"/>
            <w:tabs>
              <w:tab w:val="right" w:leader="dot" w:pos="9350"/>
            </w:tabs>
            <w:rPr>
              <w:noProof/>
            </w:rPr>
          </w:pPr>
          <w:hyperlink w:anchor="_Toc117129628" w:history="1">
            <w:r w:rsidR="001F1D0F" w:rsidRPr="00B82EF9">
              <w:rPr>
                <w:rStyle w:val="Hyperlink"/>
                <w:noProof/>
              </w:rPr>
              <w:t>Computing Profitability Ratio</w:t>
            </w:r>
            <w:r w:rsidR="001F1D0F">
              <w:rPr>
                <w:noProof/>
                <w:webHidden/>
              </w:rPr>
              <w:tab/>
            </w:r>
            <w:r>
              <w:rPr>
                <w:noProof/>
                <w:webHidden/>
              </w:rPr>
              <w:fldChar w:fldCharType="begin"/>
            </w:r>
            <w:r w:rsidR="001F1D0F">
              <w:rPr>
                <w:noProof/>
                <w:webHidden/>
              </w:rPr>
              <w:instrText xml:space="preserve"> PAGEREF _Toc117129628 \h </w:instrText>
            </w:r>
            <w:r>
              <w:rPr>
                <w:noProof/>
                <w:webHidden/>
              </w:rPr>
            </w:r>
            <w:r>
              <w:rPr>
                <w:noProof/>
                <w:webHidden/>
              </w:rPr>
              <w:fldChar w:fldCharType="separate"/>
            </w:r>
            <w:r w:rsidR="001F1D0F">
              <w:rPr>
                <w:noProof/>
                <w:webHidden/>
              </w:rPr>
              <w:t>4</w:t>
            </w:r>
            <w:r>
              <w:rPr>
                <w:noProof/>
                <w:webHidden/>
              </w:rPr>
              <w:fldChar w:fldCharType="end"/>
            </w:r>
          </w:hyperlink>
        </w:p>
        <w:p w:rsidR="001F1D0F" w:rsidRDefault="00BC7BCC">
          <w:pPr>
            <w:pStyle w:val="TOC3"/>
            <w:tabs>
              <w:tab w:val="right" w:leader="dot" w:pos="9350"/>
            </w:tabs>
            <w:rPr>
              <w:noProof/>
            </w:rPr>
          </w:pPr>
          <w:hyperlink w:anchor="_Toc117129629" w:history="1">
            <w:r w:rsidR="001F1D0F" w:rsidRPr="00B82EF9">
              <w:rPr>
                <w:rStyle w:val="Hyperlink"/>
                <w:noProof/>
              </w:rPr>
              <w:t>Computing Liquidity Ratio</w:t>
            </w:r>
            <w:r w:rsidR="001F1D0F">
              <w:rPr>
                <w:noProof/>
                <w:webHidden/>
              </w:rPr>
              <w:tab/>
            </w:r>
            <w:r>
              <w:rPr>
                <w:noProof/>
                <w:webHidden/>
              </w:rPr>
              <w:fldChar w:fldCharType="begin"/>
            </w:r>
            <w:r w:rsidR="001F1D0F">
              <w:rPr>
                <w:noProof/>
                <w:webHidden/>
              </w:rPr>
              <w:instrText xml:space="preserve"> PAGEREF _Toc117129629 \h </w:instrText>
            </w:r>
            <w:r>
              <w:rPr>
                <w:noProof/>
                <w:webHidden/>
              </w:rPr>
            </w:r>
            <w:r>
              <w:rPr>
                <w:noProof/>
                <w:webHidden/>
              </w:rPr>
              <w:fldChar w:fldCharType="separate"/>
            </w:r>
            <w:r w:rsidR="001F1D0F">
              <w:rPr>
                <w:noProof/>
                <w:webHidden/>
              </w:rPr>
              <w:t>6</w:t>
            </w:r>
            <w:r>
              <w:rPr>
                <w:noProof/>
                <w:webHidden/>
              </w:rPr>
              <w:fldChar w:fldCharType="end"/>
            </w:r>
          </w:hyperlink>
        </w:p>
        <w:p w:rsidR="001F1D0F" w:rsidRDefault="00BC7BCC">
          <w:pPr>
            <w:pStyle w:val="TOC1"/>
            <w:tabs>
              <w:tab w:val="right" w:leader="dot" w:pos="9350"/>
            </w:tabs>
            <w:rPr>
              <w:noProof/>
            </w:rPr>
          </w:pPr>
          <w:hyperlink w:anchor="_Toc117129630" w:history="1">
            <w:r w:rsidR="001F1D0F" w:rsidRPr="00B82EF9">
              <w:rPr>
                <w:rStyle w:val="Hyperlink"/>
                <w:noProof/>
              </w:rPr>
              <w:t>Outlining the importance of using the ratio analysis in order to make an effective decision making.</w:t>
            </w:r>
            <w:r w:rsidR="001F1D0F">
              <w:rPr>
                <w:noProof/>
                <w:webHidden/>
              </w:rPr>
              <w:tab/>
            </w:r>
            <w:r>
              <w:rPr>
                <w:noProof/>
                <w:webHidden/>
              </w:rPr>
              <w:fldChar w:fldCharType="begin"/>
            </w:r>
            <w:r w:rsidR="001F1D0F">
              <w:rPr>
                <w:noProof/>
                <w:webHidden/>
              </w:rPr>
              <w:instrText xml:space="preserve"> PAGEREF _Toc117129630 \h </w:instrText>
            </w:r>
            <w:r>
              <w:rPr>
                <w:noProof/>
                <w:webHidden/>
              </w:rPr>
            </w:r>
            <w:r>
              <w:rPr>
                <w:noProof/>
                <w:webHidden/>
              </w:rPr>
              <w:fldChar w:fldCharType="separate"/>
            </w:r>
            <w:r w:rsidR="001F1D0F">
              <w:rPr>
                <w:noProof/>
                <w:webHidden/>
              </w:rPr>
              <w:t>7</w:t>
            </w:r>
            <w:r>
              <w:rPr>
                <w:noProof/>
                <w:webHidden/>
              </w:rPr>
              <w:fldChar w:fldCharType="end"/>
            </w:r>
          </w:hyperlink>
        </w:p>
        <w:p w:rsidR="001F1D0F" w:rsidRDefault="00BC7BCC">
          <w:pPr>
            <w:pStyle w:val="TOC1"/>
            <w:tabs>
              <w:tab w:val="right" w:leader="dot" w:pos="9350"/>
            </w:tabs>
            <w:rPr>
              <w:noProof/>
            </w:rPr>
          </w:pPr>
          <w:hyperlink w:anchor="_Toc117129631" w:history="1">
            <w:r w:rsidR="001F1D0F" w:rsidRPr="00B82EF9">
              <w:rPr>
                <w:rStyle w:val="Hyperlink"/>
                <w:noProof/>
              </w:rPr>
              <w:t>Limitations of Ratio Analysis</w:t>
            </w:r>
            <w:r w:rsidR="001F1D0F">
              <w:rPr>
                <w:noProof/>
                <w:webHidden/>
              </w:rPr>
              <w:tab/>
            </w:r>
            <w:r>
              <w:rPr>
                <w:noProof/>
                <w:webHidden/>
              </w:rPr>
              <w:fldChar w:fldCharType="begin"/>
            </w:r>
            <w:r w:rsidR="001F1D0F">
              <w:rPr>
                <w:noProof/>
                <w:webHidden/>
              </w:rPr>
              <w:instrText xml:space="preserve"> PAGEREF _Toc117129631 \h </w:instrText>
            </w:r>
            <w:r>
              <w:rPr>
                <w:noProof/>
                <w:webHidden/>
              </w:rPr>
            </w:r>
            <w:r>
              <w:rPr>
                <w:noProof/>
                <w:webHidden/>
              </w:rPr>
              <w:fldChar w:fldCharType="separate"/>
            </w:r>
            <w:r w:rsidR="001F1D0F">
              <w:rPr>
                <w:noProof/>
                <w:webHidden/>
              </w:rPr>
              <w:t>8</w:t>
            </w:r>
            <w:r>
              <w:rPr>
                <w:noProof/>
                <w:webHidden/>
              </w:rPr>
              <w:fldChar w:fldCharType="end"/>
            </w:r>
          </w:hyperlink>
        </w:p>
        <w:p w:rsidR="001F1D0F" w:rsidRDefault="00BC7BCC">
          <w:pPr>
            <w:pStyle w:val="TOC1"/>
            <w:tabs>
              <w:tab w:val="right" w:leader="dot" w:pos="9350"/>
            </w:tabs>
            <w:rPr>
              <w:noProof/>
            </w:rPr>
          </w:pPr>
          <w:hyperlink w:anchor="_Toc117129632" w:history="1">
            <w:r w:rsidR="001F1D0F" w:rsidRPr="00B82EF9">
              <w:rPr>
                <w:rStyle w:val="Hyperlink"/>
                <w:noProof/>
              </w:rPr>
              <w:t>Conclusion</w:t>
            </w:r>
            <w:r w:rsidR="001F1D0F">
              <w:rPr>
                <w:noProof/>
                <w:webHidden/>
              </w:rPr>
              <w:tab/>
            </w:r>
            <w:r>
              <w:rPr>
                <w:noProof/>
                <w:webHidden/>
              </w:rPr>
              <w:fldChar w:fldCharType="begin"/>
            </w:r>
            <w:r w:rsidR="001F1D0F">
              <w:rPr>
                <w:noProof/>
                <w:webHidden/>
              </w:rPr>
              <w:instrText xml:space="preserve"> PAGEREF _Toc117129632 \h </w:instrText>
            </w:r>
            <w:r>
              <w:rPr>
                <w:noProof/>
                <w:webHidden/>
              </w:rPr>
            </w:r>
            <w:r>
              <w:rPr>
                <w:noProof/>
                <w:webHidden/>
              </w:rPr>
              <w:fldChar w:fldCharType="separate"/>
            </w:r>
            <w:r w:rsidR="001F1D0F">
              <w:rPr>
                <w:noProof/>
                <w:webHidden/>
              </w:rPr>
              <w:t>10</w:t>
            </w:r>
            <w:r>
              <w:rPr>
                <w:noProof/>
                <w:webHidden/>
              </w:rPr>
              <w:fldChar w:fldCharType="end"/>
            </w:r>
          </w:hyperlink>
        </w:p>
        <w:p w:rsidR="001F1D0F" w:rsidRDefault="00BC7BCC">
          <w:pPr>
            <w:pStyle w:val="TOC1"/>
            <w:tabs>
              <w:tab w:val="right" w:leader="dot" w:pos="9350"/>
            </w:tabs>
            <w:rPr>
              <w:noProof/>
            </w:rPr>
          </w:pPr>
          <w:hyperlink w:anchor="_Toc117129633" w:history="1">
            <w:r w:rsidR="001F1D0F" w:rsidRPr="00B82EF9">
              <w:rPr>
                <w:rStyle w:val="Hyperlink"/>
                <w:noProof/>
              </w:rPr>
              <w:t>References</w:t>
            </w:r>
            <w:r w:rsidR="001F1D0F">
              <w:rPr>
                <w:noProof/>
                <w:webHidden/>
              </w:rPr>
              <w:tab/>
            </w:r>
            <w:r>
              <w:rPr>
                <w:noProof/>
                <w:webHidden/>
              </w:rPr>
              <w:fldChar w:fldCharType="begin"/>
            </w:r>
            <w:r w:rsidR="001F1D0F">
              <w:rPr>
                <w:noProof/>
                <w:webHidden/>
              </w:rPr>
              <w:instrText xml:space="preserve"> PAGEREF _Toc117129633 \h </w:instrText>
            </w:r>
            <w:r>
              <w:rPr>
                <w:noProof/>
                <w:webHidden/>
              </w:rPr>
            </w:r>
            <w:r>
              <w:rPr>
                <w:noProof/>
                <w:webHidden/>
              </w:rPr>
              <w:fldChar w:fldCharType="separate"/>
            </w:r>
            <w:r w:rsidR="001F1D0F">
              <w:rPr>
                <w:noProof/>
                <w:webHidden/>
              </w:rPr>
              <w:t>11</w:t>
            </w:r>
            <w:r>
              <w:rPr>
                <w:noProof/>
                <w:webHidden/>
              </w:rPr>
              <w:fldChar w:fldCharType="end"/>
            </w:r>
          </w:hyperlink>
        </w:p>
        <w:p w:rsidR="001F1D0F" w:rsidRDefault="00BC7BCC">
          <w:r>
            <w:rPr>
              <w:b/>
              <w:bCs/>
              <w:noProof/>
            </w:rPr>
            <w:fldChar w:fldCharType="end"/>
          </w:r>
        </w:p>
      </w:sdtContent>
    </w:sdt>
    <w:p w:rsidR="00C37814" w:rsidRDefault="00C37814">
      <w:pPr>
        <w:spacing w:line="259" w:lineRule="auto"/>
        <w:jc w:val="left"/>
        <w:rPr>
          <w:sz w:val="32"/>
          <w:szCs w:val="32"/>
        </w:rPr>
      </w:pPr>
      <w:r>
        <w:rPr>
          <w:sz w:val="32"/>
          <w:szCs w:val="32"/>
        </w:rPr>
        <w:br w:type="page"/>
      </w:r>
    </w:p>
    <w:p w:rsidR="00C37814" w:rsidRDefault="00C37814" w:rsidP="00C37814">
      <w:pPr>
        <w:pStyle w:val="Heading1"/>
      </w:pPr>
      <w:bookmarkStart w:id="0" w:name="_Toc117129624"/>
      <w:r>
        <w:lastRenderedPageBreak/>
        <w:t>Introduction</w:t>
      </w:r>
      <w:bookmarkEnd w:id="0"/>
    </w:p>
    <w:p w:rsidR="003E42F1" w:rsidRPr="003E42F1" w:rsidRDefault="00481C21" w:rsidP="003E42F1">
      <w:r w:rsidRPr="00481C21">
        <w:t>The term "financial management" refers to the process of systematically arranging and analyzing monetary data with the purpose of improving operational efficiency. On top of that, good financial management helps businesses make the kind of decisions that will position them to seize new opportunities with both hands. Therefore, this report will emphasize the many ratios that will be calculated for Hilton Hotels with the overarching theme of the significance of finance being the primary focus. In essence, the corporation in question is a hotel chain whose primary business is the administration of a global chain of lodging establishments. The purpose of this section is to calculate several ratios that will reveal Hilton Hotels' financial health in 2019 and 2020. The benefits of the ratios will be explored, though, as they pertain to the specific business in question. To further demonstrate the importance of the financial statistics, we will also discuss the caveats of using them in the context of Hilton Hotels.</w:t>
      </w:r>
    </w:p>
    <w:p w:rsidR="00C37814" w:rsidRDefault="00C37814" w:rsidP="00C37814">
      <w:r>
        <w:br w:type="page"/>
      </w:r>
    </w:p>
    <w:p w:rsidR="00C37814" w:rsidRDefault="00030811" w:rsidP="00481C21">
      <w:pPr>
        <w:pStyle w:val="Heading1"/>
      </w:pPr>
      <w:bookmarkStart w:id="1" w:name="_Toc117129625"/>
      <w:r>
        <w:lastRenderedPageBreak/>
        <w:t>Analysis of the Financial Statements of Hilton Hotels</w:t>
      </w:r>
      <w:bookmarkEnd w:id="1"/>
    </w:p>
    <w:p w:rsidR="00030811" w:rsidRDefault="00CB4227" w:rsidP="00030811">
      <w:pPr>
        <w:pStyle w:val="Heading2"/>
      </w:pPr>
      <w:bookmarkStart w:id="2" w:name="_Toc117129626"/>
      <w:r w:rsidRPr="00CB4227">
        <w:t>A discussion on the ratio</w:t>
      </w:r>
      <w:bookmarkEnd w:id="2"/>
    </w:p>
    <w:p w:rsidR="00CB4227" w:rsidRDefault="00973409" w:rsidP="00CB4227">
      <w:r w:rsidRPr="00973409">
        <w:t>The ratio, also known as a financial ratio, is the result of the calculation and determination of such numbers by a corporation or business organization for the purpose of evaluating its financial health. In addition, the ratio aids the financial management in summarizing the analyzed financial transactions and the outcomes in order to make important financial decisions in order to seize greater possibilities in the future</w:t>
      </w:r>
      <w:r w:rsidR="00951E4D">
        <w:t xml:space="preserve"> (</w:t>
      </w:r>
      <w:proofErr w:type="spellStart"/>
      <w:r w:rsidR="00951E4D">
        <w:t>Gogolinskii</w:t>
      </w:r>
      <w:proofErr w:type="spellEnd"/>
      <w:r w:rsidR="00951E4D">
        <w:t xml:space="preserve"> et al., 2020)</w:t>
      </w:r>
      <w:r w:rsidRPr="00973409">
        <w:t>. Here, Hilton Hotels' ratio analysis has been calculated for the forthcoming and following years.</w:t>
      </w:r>
    </w:p>
    <w:p w:rsidR="00973409" w:rsidRDefault="00973409" w:rsidP="00973409">
      <w:pPr>
        <w:pStyle w:val="Heading2"/>
      </w:pPr>
      <w:bookmarkStart w:id="3" w:name="_Toc117129627"/>
      <w:r>
        <w:t xml:space="preserve">Computing the Financial Performance of Hilton Worldwide Holdings </w:t>
      </w:r>
      <w:r w:rsidR="000E7E8A">
        <w:t>I</w:t>
      </w:r>
      <w:r>
        <w:t>nc for the year 2019-2020.</w:t>
      </w:r>
      <w:bookmarkEnd w:id="3"/>
    </w:p>
    <w:p w:rsidR="000E7E8A" w:rsidRDefault="00DC0B9D" w:rsidP="000E7E8A">
      <w:r w:rsidRPr="00DC0B9D">
        <w:t xml:space="preserve">The ratios have been computed with a correct assessment in order to match the present trend that has been retrieved from the calculations in order to facilitate the analysis of the monetary performance of the firm that is in question, Hilton </w:t>
      </w:r>
      <w:r>
        <w:t>Worldwide Holdings inc</w:t>
      </w:r>
      <w:r w:rsidRPr="00DC0B9D">
        <w:t>.</w:t>
      </w:r>
    </w:p>
    <w:p w:rsidR="00DC0B9D" w:rsidRDefault="00DC0B9D" w:rsidP="00DC0B9D">
      <w:pPr>
        <w:pStyle w:val="Subtitle"/>
      </w:pPr>
      <w:bookmarkStart w:id="4" w:name="_Toc117129628"/>
      <w:r>
        <w:t>Computing Profitability Ratio</w:t>
      </w:r>
      <w:bookmarkEnd w:id="4"/>
    </w:p>
    <w:p w:rsidR="00DC0B9D" w:rsidRDefault="00DC0B9D" w:rsidP="00DC0B9D"/>
    <w:p w:rsidR="00147C29" w:rsidRPr="00EB1868" w:rsidRDefault="00DC0B9D" w:rsidP="00EB1868">
      <w:pPr>
        <w:pStyle w:val="ListParagraph"/>
        <w:numPr>
          <w:ilvl w:val="0"/>
          <w:numId w:val="1"/>
        </w:numPr>
        <w:rPr>
          <w:rFonts w:eastAsiaTheme="minorEastAsia"/>
          <w:b/>
          <w:bCs/>
        </w:rPr>
      </w:pPr>
      <w:r w:rsidRPr="00EB1868">
        <w:rPr>
          <w:b/>
          <w:bCs/>
        </w:rPr>
        <w:t>Gross Profit</w:t>
      </w:r>
      <w:r w:rsidR="00E659DF" w:rsidRPr="00EB1868">
        <w:rPr>
          <w:b/>
          <w:bCs/>
        </w:rPr>
        <w:t xml:space="preserve"> for 2019</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Gross Profit</m:t>
            </m:r>
          </m:num>
          <m:den>
            <m:r>
              <m:rPr>
                <m:sty m:val="bi"/>
              </m:rPr>
              <w:rPr>
                <w:rFonts w:ascii="Cambria Math" w:hAnsi="Cambria Math"/>
                <w:sz w:val="32"/>
                <w:szCs w:val="32"/>
              </w:rPr>
              <m:t>Sales</m:t>
            </m:r>
          </m:den>
        </m:f>
        <m:r>
          <m:rPr>
            <m:sty m:val="bi"/>
          </m:rPr>
          <w:rPr>
            <w:rFonts w:ascii="Cambria Math" w:hAnsi="Cambria Math"/>
            <w:sz w:val="32"/>
            <w:szCs w:val="32"/>
          </w:rPr>
          <m:t xml:space="preserve"> ×100</m:t>
        </m:r>
      </m:oMath>
    </w:p>
    <w:p w:rsidR="00DC0B9D" w:rsidRDefault="00E659DF" w:rsidP="00DC0B9D">
      <w:pPr>
        <w:rPr>
          <w:rFonts w:eastAsiaTheme="minorEastAsia"/>
          <w:b/>
          <w:bCs/>
        </w:rPr>
      </w:pPr>
      <w:r>
        <w:rPr>
          <w:rFonts w:eastAsiaTheme="minorEastAsia"/>
          <w:b/>
          <w:bCs/>
        </w:rPr>
        <w:t xml:space="preserve">                      = </w:t>
      </w:r>
      <w:r w:rsidRPr="00E659DF">
        <w:rPr>
          <w:rFonts w:eastAsiaTheme="minorEastAsia"/>
          <w:b/>
          <w:bCs/>
        </w:rPr>
        <w:t>2435000</w:t>
      </w:r>
      <w:r>
        <w:rPr>
          <w:rFonts w:eastAsiaTheme="minorEastAsia"/>
          <w:b/>
          <w:bCs/>
        </w:rPr>
        <w:t xml:space="preserve">/ </w:t>
      </w:r>
      <w:r w:rsidRPr="00E659DF">
        <w:rPr>
          <w:rFonts w:eastAsiaTheme="minorEastAsia"/>
          <w:b/>
          <w:bCs/>
        </w:rPr>
        <w:t>9452000</w:t>
      </w:r>
      <w:r w:rsidR="00D174E6">
        <w:rPr>
          <w:rFonts w:eastAsiaTheme="minorEastAsia"/>
          <w:b/>
          <w:bCs/>
        </w:rPr>
        <w:t>* 100</w:t>
      </w:r>
    </w:p>
    <w:p w:rsidR="00E659DF" w:rsidRDefault="00E659DF" w:rsidP="00DC0B9D">
      <w:pPr>
        <w:rPr>
          <w:rFonts w:eastAsiaTheme="minorEastAsia"/>
          <w:b/>
          <w:bCs/>
        </w:rPr>
      </w:pPr>
      <w:r>
        <w:rPr>
          <w:rFonts w:eastAsiaTheme="minorEastAsia"/>
          <w:b/>
          <w:bCs/>
        </w:rPr>
        <w:t xml:space="preserve">                      = 25.76%</w:t>
      </w:r>
    </w:p>
    <w:p w:rsidR="00E659DF" w:rsidRPr="00EB1868" w:rsidRDefault="00E659DF" w:rsidP="00EB1868">
      <w:pPr>
        <w:pStyle w:val="ListParagraph"/>
        <w:numPr>
          <w:ilvl w:val="0"/>
          <w:numId w:val="1"/>
        </w:numPr>
        <w:rPr>
          <w:rFonts w:eastAsiaTheme="minorEastAsia"/>
          <w:b/>
          <w:bCs/>
        </w:rPr>
      </w:pPr>
      <w:r w:rsidRPr="00EB1868">
        <w:rPr>
          <w:b/>
          <w:bCs/>
        </w:rPr>
        <w:t xml:space="preserve">Gross Profit for 2020 = </w:t>
      </w:r>
      <m:oMath>
        <m:f>
          <m:fPr>
            <m:ctrlPr>
              <w:rPr>
                <w:rFonts w:ascii="Cambria Math" w:hAnsi="Cambria Math"/>
                <w:b/>
                <w:bCs/>
                <w:i/>
                <w:sz w:val="32"/>
                <w:szCs w:val="32"/>
              </w:rPr>
            </m:ctrlPr>
          </m:fPr>
          <m:num>
            <m:r>
              <m:rPr>
                <m:sty m:val="bi"/>
              </m:rPr>
              <w:rPr>
                <w:rFonts w:ascii="Cambria Math" w:hAnsi="Cambria Math"/>
                <w:sz w:val="32"/>
                <w:szCs w:val="32"/>
              </w:rPr>
              <m:t>Gross Profit</m:t>
            </m:r>
          </m:num>
          <m:den>
            <m:r>
              <m:rPr>
                <m:sty m:val="bi"/>
              </m:rPr>
              <w:rPr>
                <w:rFonts w:ascii="Cambria Math" w:hAnsi="Cambria Math"/>
                <w:sz w:val="32"/>
                <w:szCs w:val="32"/>
              </w:rPr>
              <m:t>Sales</m:t>
            </m:r>
          </m:den>
        </m:f>
        <m:r>
          <m:rPr>
            <m:sty m:val="bi"/>
          </m:rPr>
          <w:rPr>
            <w:rFonts w:ascii="Cambria Math" w:hAnsi="Cambria Math"/>
            <w:sz w:val="32"/>
            <w:szCs w:val="32"/>
          </w:rPr>
          <m:t xml:space="preserve"> ×100</m:t>
        </m:r>
      </m:oMath>
    </w:p>
    <w:p w:rsidR="00E659DF" w:rsidRDefault="00E659DF" w:rsidP="00E659DF">
      <w:pPr>
        <w:rPr>
          <w:rFonts w:eastAsiaTheme="minorEastAsia"/>
          <w:b/>
          <w:bCs/>
        </w:rPr>
      </w:pPr>
      <w:r>
        <w:rPr>
          <w:rFonts w:eastAsiaTheme="minorEastAsia"/>
          <w:b/>
          <w:bCs/>
        </w:rPr>
        <w:t xml:space="preserve">                      = 583000/ 4307000</w:t>
      </w:r>
      <w:r w:rsidR="00D174E6">
        <w:rPr>
          <w:rFonts w:eastAsiaTheme="minorEastAsia"/>
          <w:b/>
          <w:bCs/>
        </w:rPr>
        <w:t>* 100</w:t>
      </w:r>
    </w:p>
    <w:p w:rsidR="00E659DF" w:rsidRDefault="00E659DF" w:rsidP="00E659DF">
      <w:pPr>
        <w:rPr>
          <w:rFonts w:eastAsiaTheme="minorEastAsia"/>
          <w:b/>
          <w:bCs/>
        </w:rPr>
      </w:pPr>
      <w:r>
        <w:rPr>
          <w:rFonts w:eastAsiaTheme="minorEastAsia"/>
          <w:b/>
          <w:bCs/>
        </w:rPr>
        <w:t xml:space="preserve">                      = 14%</w:t>
      </w:r>
    </w:p>
    <w:p w:rsidR="00EB1868" w:rsidRPr="00EB1868" w:rsidRDefault="00EB1868" w:rsidP="00EB1868">
      <w:pPr>
        <w:pStyle w:val="ListParagraph"/>
        <w:numPr>
          <w:ilvl w:val="0"/>
          <w:numId w:val="1"/>
        </w:numPr>
        <w:rPr>
          <w:rFonts w:eastAsiaTheme="minorEastAsia"/>
          <w:b/>
          <w:bCs/>
        </w:rPr>
      </w:pPr>
      <w:r w:rsidRPr="00EB1868">
        <w:rPr>
          <w:b/>
          <w:bCs/>
        </w:rPr>
        <w:t xml:space="preserve">Net Profit for 2019 = </w:t>
      </w:r>
      <m:oMath>
        <m:f>
          <m:fPr>
            <m:ctrlPr>
              <w:rPr>
                <w:rFonts w:ascii="Cambria Math" w:hAnsi="Cambria Math"/>
                <w:b/>
                <w:bCs/>
                <w:i/>
                <w:sz w:val="32"/>
                <w:szCs w:val="32"/>
              </w:rPr>
            </m:ctrlPr>
          </m:fPr>
          <m:num>
            <m:r>
              <m:rPr>
                <m:sty m:val="bi"/>
              </m:rPr>
              <w:rPr>
                <w:rFonts w:ascii="Cambria Math" w:hAnsi="Cambria Math"/>
                <w:sz w:val="32"/>
                <w:szCs w:val="32"/>
              </w:rPr>
              <m:t>Net Profit</m:t>
            </m:r>
          </m:num>
          <m:den>
            <m:r>
              <m:rPr>
                <m:sty m:val="bi"/>
              </m:rPr>
              <w:rPr>
                <w:rFonts w:ascii="Cambria Math" w:hAnsi="Cambria Math"/>
                <w:sz w:val="32"/>
                <w:szCs w:val="32"/>
              </w:rPr>
              <m:t>Sales</m:t>
            </m:r>
          </m:den>
        </m:f>
        <m:r>
          <m:rPr>
            <m:sty m:val="bi"/>
          </m:rPr>
          <w:rPr>
            <w:rFonts w:ascii="Cambria Math" w:hAnsi="Cambria Math"/>
            <w:sz w:val="32"/>
            <w:szCs w:val="32"/>
          </w:rPr>
          <m:t xml:space="preserve"> ×100</m:t>
        </m:r>
      </m:oMath>
    </w:p>
    <w:p w:rsidR="00EB1868" w:rsidRDefault="00EB1868" w:rsidP="00EB1868">
      <w:pPr>
        <w:rPr>
          <w:rFonts w:eastAsiaTheme="minorEastAsia"/>
          <w:b/>
          <w:bCs/>
        </w:rPr>
      </w:pPr>
      <w:r>
        <w:rPr>
          <w:rFonts w:eastAsiaTheme="minorEastAsia"/>
          <w:b/>
          <w:bCs/>
        </w:rPr>
        <w:t xml:space="preserve">                      = 881</w:t>
      </w:r>
      <w:r w:rsidRPr="00E659DF">
        <w:rPr>
          <w:rFonts w:eastAsiaTheme="minorEastAsia"/>
          <w:b/>
          <w:bCs/>
        </w:rPr>
        <w:t>000</w:t>
      </w:r>
      <w:r>
        <w:rPr>
          <w:rFonts w:eastAsiaTheme="minorEastAsia"/>
          <w:b/>
          <w:bCs/>
        </w:rPr>
        <w:t xml:space="preserve">/ </w:t>
      </w:r>
      <w:r w:rsidRPr="00E659DF">
        <w:rPr>
          <w:rFonts w:eastAsiaTheme="minorEastAsia"/>
          <w:b/>
          <w:bCs/>
        </w:rPr>
        <w:t>9452000</w:t>
      </w:r>
      <w:r w:rsidR="00D174E6">
        <w:rPr>
          <w:rFonts w:eastAsiaTheme="minorEastAsia"/>
          <w:b/>
          <w:bCs/>
        </w:rPr>
        <w:t>* 100</w:t>
      </w:r>
    </w:p>
    <w:p w:rsidR="00EB1868" w:rsidRDefault="00EB1868" w:rsidP="00EB1868">
      <w:pPr>
        <w:rPr>
          <w:rFonts w:eastAsiaTheme="minorEastAsia"/>
          <w:b/>
          <w:bCs/>
        </w:rPr>
      </w:pPr>
      <w:r>
        <w:rPr>
          <w:rFonts w:eastAsiaTheme="minorEastAsia"/>
          <w:b/>
          <w:bCs/>
        </w:rPr>
        <w:lastRenderedPageBreak/>
        <w:t xml:space="preserve">                      = 9.32%</w:t>
      </w:r>
    </w:p>
    <w:p w:rsidR="00EB1868" w:rsidRPr="00EB1868" w:rsidRDefault="00EB1868" w:rsidP="00EB1868">
      <w:pPr>
        <w:pStyle w:val="ListParagraph"/>
        <w:numPr>
          <w:ilvl w:val="0"/>
          <w:numId w:val="1"/>
        </w:numPr>
        <w:rPr>
          <w:rFonts w:eastAsiaTheme="minorEastAsia"/>
          <w:b/>
          <w:bCs/>
        </w:rPr>
      </w:pPr>
      <w:r>
        <w:rPr>
          <w:b/>
          <w:bCs/>
        </w:rPr>
        <w:t>Net</w:t>
      </w:r>
      <w:r w:rsidRPr="00EB1868">
        <w:rPr>
          <w:b/>
          <w:bCs/>
        </w:rPr>
        <w:t xml:space="preserve"> Profit</w:t>
      </w:r>
      <w:r w:rsidR="001B05A4">
        <w:rPr>
          <w:b/>
          <w:bCs/>
        </w:rPr>
        <w:t>/Loss</w:t>
      </w:r>
      <w:r w:rsidRPr="00EB1868">
        <w:rPr>
          <w:b/>
          <w:bCs/>
        </w:rPr>
        <w:t xml:space="preserve"> for 2020 = </w:t>
      </w:r>
      <m:oMath>
        <m:f>
          <m:fPr>
            <m:ctrlPr>
              <w:rPr>
                <w:rFonts w:ascii="Cambria Math" w:hAnsi="Cambria Math"/>
                <w:b/>
                <w:bCs/>
                <w:i/>
                <w:sz w:val="32"/>
                <w:szCs w:val="32"/>
              </w:rPr>
            </m:ctrlPr>
          </m:fPr>
          <m:num>
            <m:r>
              <m:rPr>
                <m:sty m:val="bi"/>
              </m:rPr>
              <w:rPr>
                <w:rFonts w:ascii="Cambria Math" w:hAnsi="Cambria Math"/>
                <w:sz w:val="32"/>
                <w:szCs w:val="32"/>
              </w:rPr>
              <m:t>Net Profit</m:t>
            </m:r>
          </m:num>
          <m:den>
            <m:r>
              <m:rPr>
                <m:sty m:val="bi"/>
              </m:rPr>
              <w:rPr>
                <w:rFonts w:ascii="Cambria Math" w:hAnsi="Cambria Math"/>
                <w:sz w:val="32"/>
                <w:szCs w:val="32"/>
              </w:rPr>
              <m:t>Sales</m:t>
            </m:r>
          </m:den>
        </m:f>
        <m:r>
          <m:rPr>
            <m:sty m:val="bi"/>
          </m:rPr>
          <w:rPr>
            <w:rFonts w:ascii="Cambria Math" w:hAnsi="Cambria Math"/>
            <w:sz w:val="32"/>
            <w:szCs w:val="32"/>
          </w:rPr>
          <m:t xml:space="preserve"> ×100</m:t>
        </m:r>
      </m:oMath>
    </w:p>
    <w:p w:rsidR="00EB1868" w:rsidRDefault="00EB1868" w:rsidP="00EB1868">
      <w:pPr>
        <w:rPr>
          <w:rFonts w:eastAsiaTheme="minorEastAsia"/>
          <w:b/>
          <w:bCs/>
        </w:rPr>
      </w:pPr>
      <w:r>
        <w:rPr>
          <w:rFonts w:eastAsiaTheme="minorEastAsia"/>
          <w:b/>
          <w:bCs/>
        </w:rPr>
        <w:t xml:space="preserve">                      = </w:t>
      </w:r>
      <w:r w:rsidRPr="00EB1868">
        <w:rPr>
          <w:rFonts w:eastAsiaTheme="minorEastAsia"/>
          <w:b/>
          <w:bCs/>
        </w:rPr>
        <w:t>-715,000</w:t>
      </w:r>
      <w:r>
        <w:rPr>
          <w:rFonts w:eastAsiaTheme="minorEastAsia"/>
          <w:b/>
          <w:bCs/>
        </w:rPr>
        <w:t xml:space="preserve">/ </w:t>
      </w:r>
      <w:r w:rsidRPr="00E659DF">
        <w:rPr>
          <w:rFonts w:eastAsiaTheme="minorEastAsia"/>
          <w:b/>
          <w:bCs/>
        </w:rPr>
        <w:t>9452000</w:t>
      </w:r>
      <w:r w:rsidR="00D174E6">
        <w:rPr>
          <w:rFonts w:eastAsiaTheme="minorEastAsia"/>
          <w:b/>
          <w:bCs/>
        </w:rPr>
        <w:t>* 100</w:t>
      </w:r>
    </w:p>
    <w:p w:rsidR="00EB1868" w:rsidRDefault="00EB1868" w:rsidP="00EB1868">
      <w:pPr>
        <w:rPr>
          <w:rFonts w:eastAsiaTheme="minorEastAsia"/>
          <w:b/>
          <w:bCs/>
        </w:rPr>
      </w:pPr>
      <w:r>
        <w:rPr>
          <w:rFonts w:eastAsiaTheme="minorEastAsia"/>
          <w:b/>
          <w:bCs/>
        </w:rPr>
        <w:t xml:space="preserve">                      = </w:t>
      </w:r>
      <w:r w:rsidR="001B05A4">
        <w:rPr>
          <w:rFonts w:eastAsiaTheme="minorEastAsia"/>
          <w:b/>
          <w:bCs/>
        </w:rPr>
        <w:t>-17</w:t>
      </w:r>
      <w:r>
        <w:rPr>
          <w:rFonts w:eastAsiaTheme="minorEastAsia"/>
          <w:b/>
          <w:bCs/>
        </w:rPr>
        <w:t>%</w:t>
      </w:r>
    </w:p>
    <w:p w:rsidR="001B05A4" w:rsidRPr="00EB1868" w:rsidRDefault="001B05A4" w:rsidP="001B05A4">
      <w:pPr>
        <w:pStyle w:val="ListParagraph"/>
        <w:numPr>
          <w:ilvl w:val="0"/>
          <w:numId w:val="1"/>
        </w:numPr>
        <w:rPr>
          <w:rFonts w:eastAsiaTheme="minorEastAsia"/>
          <w:b/>
          <w:bCs/>
        </w:rPr>
      </w:pPr>
      <w:r>
        <w:rPr>
          <w:b/>
          <w:bCs/>
        </w:rPr>
        <w:t>ROCE for</w:t>
      </w:r>
      <w:r w:rsidRPr="00EB1868">
        <w:rPr>
          <w:b/>
          <w:bCs/>
        </w:rPr>
        <w:t xml:space="preserve"> 20</w:t>
      </w:r>
      <w:r>
        <w:rPr>
          <w:b/>
          <w:bCs/>
        </w:rPr>
        <w:t>19</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EBIT</m:t>
            </m:r>
          </m:num>
          <m:den>
            <m:r>
              <m:rPr>
                <m:sty m:val="bi"/>
              </m:rPr>
              <w:rPr>
                <w:rFonts w:ascii="Cambria Math" w:hAnsi="Cambria Math"/>
                <w:sz w:val="32"/>
                <w:szCs w:val="32"/>
              </w:rPr>
              <m:t>Capital employed</m:t>
            </m:r>
          </m:den>
        </m:f>
        <m:r>
          <m:rPr>
            <m:sty m:val="bi"/>
          </m:rPr>
          <w:rPr>
            <w:rFonts w:ascii="Cambria Math" w:hAnsi="Cambria Math"/>
            <w:sz w:val="32"/>
            <w:szCs w:val="32"/>
          </w:rPr>
          <m:t xml:space="preserve"> ×100</m:t>
        </m:r>
      </m:oMath>
    </w:p>
    <w:p w:rsidR="001B05A4" w:rsidRDefault="001B05A4" w:rsidP="001B05A4">
      <w:pPr>
        <w:rPr>
          <w:rFonts w:eastAsiaTheme="minorEastAsia"/>
          <w:b/>
          <w:bCs/>
        </w:rPr>
      </w:pPr>
      <w:r>
        <w:rPr>
          <w:rFonts w:eastAsiaTheme="minorEastAsia"/>
          <w:b/>
          <w:bCs/>
        </w:rPr>
        <w:t xml:space="preserve">                      = </w:t>
      </w:r>
      <w:r w:rsidR="00D174E6" w:rsidRPr="00D174E6">
        <w:rPr>
          <w:rFonts w:eastAsiaTheme="minorEastAsia"/>
          <w:b/>
          <w:bCs/>
        </w:rPr>
        <w:t>1,244,000</w:t>
      </w:r>
      <w:r>
        <w:rPr>
          <w:rFonts w:eastAsiaTheme="minorEastAsia"/>
          <w:b/>
          <w:bCs/>
        </w:rPr>
        <w:t xml:space="preserve">/ </w:t>
      </w:r>
      <w:r w:rsidR="00D174E6">
        <w:rPr>
          <w:rFonts w:eastAsiaTheme="minorEastAsia"/>
          <w:b/>
          <w:bCs/>
        </w:rPr>
        <w:t>12086000 * 100</w:t>
      </w:r>
    </w:p>
    <w:p w:rsidR="001B05A4" w:rsidRDefault="001B05A4" w:rsidP="001B05A4">
      <w:pPr>
        <w:rPr>
          <w:rFonts w:eastAsiaTheme="minorEastAsia"/>
          <w:b/>
          <w:bCs/>
        </w:rPr>
      </w:pPr>
      <w:r>
        <w:rPr>
          <w:rFonts w:eastAsiaTheme="minorEastAsia"/>
          <w:b/>
          <w:bCs/>
        </w:rPr>
        <w:t xml:space="preserve">                      = </w:t>
      </w:r>
      <w:r w:rsidR="00D174E6">
        <w:rPr>
          <w:rFonts w:eastAsiaTheme="minorEastAsia"/>
          <w:b/>
          <w:bCs/>
        </w:rPr>
        <w:t>10.29</w:t>
      </w:r>
      <w:r>
        <w:rPr>
          <w:rFonts w:eastAsiaTheme="minorEastAsia"/>
          <w:b/>
          <w:bCs/>
        </w:rPr>
        <w:t>%</w:t>
      </w:r>
    </w:p>
    <w:p w:rsidR="00D174E6" w:rsidRPr="00EB1868" w:rsidRDefault="00D174E6" w:rsidP="00D174E6">
      <w:pPr>
        <w:pStyle w:val="ListParagraph"/>
        <w:numPr>
          <w:ilvl w:val="0"/>
          <w:numId w:val="1"/>
        </w:numPr>
        <w:rPr>
          <w:rFonts w:eastAsiaTheme="minorEastAsia"/>
          <w:b/>
          <w:bCs/>
        </w:rPr>
      </w:pPr>
      <w:r>
        <w:rPr>
          <w:b/>
          <w:bCs/>
        </w:rPr>
        <w:t>ROCE for</w:t>
      </w:r>
      <w:r w:rsidRPr="00EB1868">
        <w:rPr>
          <w:b/>
          <w:bCs/>
        </w:rPr>
        <w:t xml:space="preserve"> 20</w:t>
      </w:r>
      <w:r w:rsidR="003C370B">
        <w:rPr>
          <w:b/>
          <w:bCs/>
        </w:rPr>
        <w:t>20</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EBIT</m:t>
            </m:r>
          </m:num>
          <m:den>
            <m:r>
              <m:rPr>
                <m:sty m:val="bi"/>
              </m:rPr>
              <w:rPr>
                <w:rFonts w:ascii="Cambria Math" w:hAnsi="Cambria Math"/>
                <w:sz w:val="32"/>
                <w:szCs w:val="32"/>
              </w:rPr>
              <m:t>Capital employed</m:t>
            </m:r>
          </m:den>
        </m:f>
        <m:r>
          <m:rPr>
            <m:sty m:val="bi"/>
          </m:rPr>
          <w:rPr>
            <w:rFonts w:ascii="Cambria Math" w:hAnsi="Cambria Math"/>
            <w:sz w:val="32"/>
            <w:szCs w:val="32"/>
          </w:rPr>
          <m:t xml:space="preserve"> ×100</m:t>
        </m:r>
      </m:oMath>
    </w:p>
    <w:p w:rsidR="00D174E6" w:rsidRPr="00D174E6" w:rsidRDefault="00D174E6" w:rsidP="00D174E6">
      <w:pPr>
        <w:pStyle w:val="ListParagraph"/>
        <w:rPr>
          <w:rFonts w:eastAsiaTheme="minorEastAsia"/>
          <w:b/>
          <w:bCs/>
        </w:rPr>
      </w:pPr>
      <w:r w:rsidRPr="00D174E6">
        <w:rPr>
          <w:rFonts w:eastAsiaTheme="minorEastAsia"/>
          <w:b/>
          <w:bCs/>
        </w:rPr>
        <w:t xml:space="preserve">= </w:t>
      </w:r>
      <w:r w:rsidR="003C370B" w:rsidRPr="003C370B">
        <w:rPr>
          <w:rFonts w:eastAsiaTheme="minorEastAsia"/>
          <w:b/>
          <w:bCs/>
        </w:rPr>
        <w:t>-924,000</w:t>
      </w:r>
      <w:r w:rsidRPr="00D174E6">
        <w:rPr>
          <w:rFonts w:eastAsiaTheme="minorEastAsia"/>
          <w:b/>
          <w:bCs/>
        </w:rPr>
        <w:t xml:space="preserve">/ </w:t>
      </w:r>
      <w:r w:rsidR="003C370B">
        <w:rPr>
          <w:rFonts w:eastAsiaTheme="minorEastAsia"/>
          <w:b/>
          <w:bCs/>
        </w:rPr>
        <w:t>14324000</w:t>
      </w:r>
      <w:r w:rsidRPr="00D174E6">
        <w:rPr>
          <w:rFonts w:eastAsiaTheme="minorEastAsia"/>
          <w:b/>
          <w:bCs/>
        </w:rPr>
        <w:t xml:space="preserve"> * 100</w:t>
      </w:r>
    </w:p>
    <w:p w:rsidR="00D174E6" w:rsidRDefault="00D174E6" w:rsidP="00D174E6">
      <w:pPr>
        <w:pStyle w:val="ListParagraph"/>
        <w:rPr>
          <w:rFonts w:eastAsiaTheme="minorEastAsia"/>
          <w:b/>
          <w:bCs/>
        </w:rPr>
      </w:pPr>
      <w:r w:rsidRPr="00D174E6">
        <w:rPr>
          <w:rFonts w:eastAsiaTheme="minorEastAsia"/>
          <w:b/>
          <w:bCs/>
        </w:rPr>
        <w:t xml:space="preserve">    = </w:t>
      </w:r>
      <w:r w:rsidR="003C370B">
        <w:rPr>
          <w:rFonts w:eastAsiaTheme="minorEastAsia"/>
          <w:b/>
          <w:bCs/>
        </w:rPr>
        <w:t>-6</w:t>
      </w:r>
      <w:r w:rsidRPr="00D174E6">
        <w:rPr>
          <w:rFonts w:eastAsiaTheme="minorEastAsia"/>
          <w:b/>
          <w:bCs/>
        </w:rPr>
        <w:t>%</w:t>
      </w:r>
    </w:p>
    <w:p w:rsidR="003C370B" w:rsidRDefault="003C370B" w:rsidP="003C370B">
      <w:pPr>
        <w:rPr>
          <w:b/>
          <w:bCs/>
          <w:u w:val="single"/>
        </w:rPr>
      </w:pPr>
      <w:r w:rsidRPr="003C370B">
        <w:rPr>
          <w:b/>
          <w:bCs/>
          <w:u w:val="single"/>
        </w:rPr>
        <w:t xml:space="preserve">Interpretation: </w:t>
      </w:r>
    </w:p>
    <w:p w:rsidR="00093CC8" w:rsidRDefault="00093CC8" w:rsidP="003C370B">
      <w:r w:rsidRPr="00093CC8">
        <w:t>The aforementioned math was performed to illustrate a profitability ratio; this class of ratios includes gross profit, net profit, and return on capital used. It has been determined what the GP would be for Hilton Hotel in 2019 and 2020. It can be observed from this that the GP for the year 2019 has been calculated to be 25.76%, and the GP for the year 2020 has been calculated to be 14%, respectively. It is clear that the GP for the year has decreased; hence, Hilton Hotel has to take effective actions for the purpose of increasing their GP in a manner that is proportional</w:t>
      </w:r>
      <w:r w:rsidR="00951E4D">
        <w:t xml:space="preserve"> (</w:t>
      </w:r>
      <w:r w:rsidR="00951E4D" w:rsidRPr="00CD5767">
        <w:t>Jackson, 2021</w:t>
      </w:r>
      <w:r w:rsidR="00951E4D">
        <w:t>)</w:t>
      </w:r>
      <w:r w:rsidRPr="00093CC8">
        <w:t xml:space="preserve">. </w:t>
      </w:r>
    </w:p>
    <w:p w:rsidR="003C370B" w:rsidRDefault="00093CC8" w:rsidP="003C370B">
      <w:r w:rsidRPr="00093CC8">
        <w:t xml:space="preserve">The NP for Hilton Hotel has been determined for the years 2019 and 2020 respectively. It can be observed from this that the NP for the year 2019 has been determined to be 9.32%, and the NP for the year 2020 has been determined to be -17%, respectively. It can be observed that the NP for the year 2020 is going to be lower than the NP for the year 2019, and as a result, the performance has gone down appropriately. The ROCE for the Hilton Hotel has been figured up for the years 2019 and 2020. It is possible to deduce from the information shown here that the ROCE for the year 2019 will be 10.29%, while the ROCE for the year 2020 will be -6%, </w:t>
      </w:r>
      <w:r w:rsidRPr="00093CC8">
        <w:lastRenderedPageBreak/>
        <w:t>respectively. It is possible to see that the ROCE for the year 2020 is likewise lower than that of 2019, and as a result, the performance has also decreased in 2020 correspondingly. Everything that took place was precipitated by the fact that the business did not generate any profits in the year 2020.</w:t>
      </w:r>
    </w:p>
    <w:p w:rsidR="00093CC8" w:rsidRDefault="00093CC8" w:rsidP="00093CC8">
      <w:pPr>
        <w:pStyle w:val="Subtitle"/>
      </w:pPr>
      <w:bookmarkStart w:id="5" w:name="_Toc117129629"/>
      <w:r>
        <w:t>Computing Liquidity Ratio</w:t>
      </w:r>
      <w:bookmarkEnd w:id="5"/>
    </w:p>
    <w:p w:rsidR="00093CC8" w:rsidRPr="0011772A" w:rsidRDefault="00093CC8" w:rsidP="0011772A">
      <w:pPr>
        <w:pStyle w:val="ListParagraph"/>
        <w:numPr>
          <w:ilvl w:val="0"/>
          <w:numId w:val="1"/>
        </w:numPr>
        <w:rPr>
          <w:rFonts w:eastAsiaTheme="minorEastAsia"/>
          <w:b/>
          <w:bCs/>
        </w:rPr>
      </w:pPr>
      <w:r>
        <w:rPr>
          <w:b/>
          <w:bCs/>
        </w:rPr>
        <w:t>Current Ratio</w:t>
      </w:r>
      <w:r w:rsidRPr="00EB1868">
        <w:rPr>
          <w:b/>
          <w:bCs/>
        </w:rPr>
        <w:t xml:space="preserve"> for 2019 = </w:t>
      </w:r>
      <m:oMath>
        <m:f>
          <m:fPr>
            <m:ctrlPr>
              <w:rPr>
                <w:rFonts w:ascii="Cambria Math" w:hAnsi="Cambria Math"/>
                <w:b/>
                <w:bCs/>
                <w:i/>
                <w:sz w:val="32"/>
                <w:szCs w:val="32"/>
              </w:rPr>
            </m:ctrlPr>
          </m:fPr>
          <m:num>
            <m:r>
              <m:rPr>
                <m:sty m:val="bi"/>
              </m:rPr>
              <w:rPr>
                <w:rFonts w:ascii="Cambria Math" w:hAnsi="Cambria Math"/>
                <w:sz w:val="32"/>
                <w:szCs w:val="32"/>
              </w:rPr>
              <m:t>Current Asset</m:t>
            </m:r>
          </m:num>
          <m:den>
            <m:r>
              <m:rPr>
                <m:sty m:val="bi"/>
              </m:rPr>
              <w:rPr>
                <w:rFonts w:ascii="Cambria Math" w:hAnsi="Cambria Math"/>
                <w:sz w:val="32"/>
                <w:szCs w:val="32"/>
              </w:rPr>
              <m:t>Current Liabilities</m:t>
            </m:r>
          </m:den>
        </m:f>
      </m:oMath>
    </w:p>
    <w:p w:rsidR="00093CC8" w:rsidRDefault="00093CC8" w:rsidP="00093CC8">
      <w:pPr>
        <w:rPr>
          <w:rFonts w:eastAsiaTheme="minorEastAsia"/>
          <w:b/>
          <w:bCs/>
        </w:rPr>
      </w:pPr>
      <w:r>
        <w:rPr>
          <w:rFonts w:eastAsiaTheme="minorEastAsia"/>
          <w:b/>
          <w:bCs/>
        </w:rPr>
        <w:t xml:space="preserve">= </w:t>
      </w:r>
      <m:oMath>
        <m:f>
          <m:fPr>
            <m:ctrlPr>
              <w:rPr>
                <w:rFonts w:ascii="Cambria Math" w:hAnsi="Cambria Math"/>
                <w:b/>
                <w:bCs/>
                <w:i/>
                <w:sz w:val="32"/>
                <w:szCs w:val="32"/>
              </w:rPr>
            </m:ctrlPr>
          </m:fPr>
          <m:num>
            <m:r>
              <m:rPr>
                <m:sty m:val="bi"/>
              </m:rPr>
              <w:rPr>
                <w:rFonts w:ascii="Cambria Math" w:hAnsi="Cambria Math"/>
                <w:sz w:val="32"/>
                <w:szCs w:val="32"/>
              </w:rPr>
              <m:t>2,093,000</m:t>
            </m:r>
          </m:num>
          <m:den>
            <m:r>
              <m:rPr>
                <m:sty m:val="bi"/>
              </m:rPr>
              <w:rPr>
                <w:rFonts w:ascii="Cambria Math" w:hAnsi="Cambria Math"/>
                <w:sz w:val="32"/>
                <w:szCs w:val="32"/>
              </w:rPr>
              <m:t>2,871,000</m:t>
            </m:r>
          </m:den>
        </m:f>
      </m:oMath>
    </w:p>
    <w:p w:rsidR="00093CC8" w:rsidRDefault="00093CC8" w:rsidP="00093CC8">
      <w:pPr>
        <w:rPr>
          <w:rFonts w:eastAsiaTheme="minorEastAsia"/>
          <w:b/>
          <w:bCs/>
        </w:rPr>
      </w:pPr>
      <w:r>
        <w:rPr>
          <w:rFonts w:eastAsiaTheme="minorEastAsia"/>
          <w:b/>
          <w:bCs/>
        </w:rPr>
        <w:t xml:space="preserve">  = </w:t>
      </w:r>
      <w:r w:rsidR="005E23AB" w:rsidRPr="005E23AB">
        <w:rPr>
          <w:rFonts w:eastAsiaTheme="minorEastAsia"/>
          <w:b/>
          <w:bCs/>
        </w:rPr>
        <w:t>0.71:1</w:t>
      </w:r>
    </w:p>
    <w:p w:rsidR="005E23AB" w:rsidRPr="0011772A" w:rsidRDefault="005E23AB" w:rsidP="005E23AB">
      <w:pPr>
        <w:pStyle w:val="ListParagraph"/>
        <w:numPr>
          <w:ilvl w:val="0"/>
          <w:numId w:val="1"/>
        </w:numPr>
        <w:rPr>
          <w:rFonts w:eastAsiaTheme="minorEastAsia"/>
          <w:b/>
          <w:bCs/>
        </w:rPr>
      </w:pPr>
      <w:r>
        <w:rPr>
          <w:b/>
          <w:bCs/>
        </w:rPr>
        <w:t>Current Ratio</w:t>
      </w:r>
      <w:r w:rsidRPr="00EB1868">
        <w:rPr>
          <w:b/>
          <w:bCs/>
        </w:rPr>
        <w:t xml:space="preserve"> for 20</w:t>
      </w:r>
      <w:r>
        <w:rPr>
          <w:b/>
          <w:bCs/>
        </w:rPr>
        <w:t>20</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Current Asset</m:t>
            </m:r>
          </m:num>
          <m:den>
            <m:r>
              <m:rPr>
                <m:sty m:val="bi"/>
              </m:rPr>
              <w:rPr>
                <w:rFonts w:ascii="Cambria Math" w:hAnsi="Cambria Math"/>
                <w:sz w:val="32"/>
                <w:szCs w:val="32"/>
              </w:rPr>
              <m:t>Current Liabilities</m:t>
            </m:r>
          </m:den>
        </m:f>
      </m:oMath>
    </w:p>
    <w:p w:rsidR="005E23AB" w:rsidRDefault="005E23AB" w:rsidP="005E23AB">
      <w:pPr>
        <w:rPr>
          <w:rFonts w:eastAsiaTheme="minorEastAsia"/>
          <w:b/>
          <w:bCs/>
        </w:rPr>
      </w:pPr>
      <w:r>
        <w:rPr>
          <w:rFonts w:eastAsiaTheme="minorEastAsia"/>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4202000</m:t>
            </m:r>
          </m:num>
          <m:den>
            <m:r>
              <m:rPr>
                <m:sty m:val="bi"/>
              </m:rPr>
              <w:rPr>
                <w:rFonts w:ascii="Cambria Math" w:hAnsi="Cambria Math"/>
                <w:sz w:val="32"/>
                <w:szCs w:val="32"/>
              </w:rPr>
              <m:t>2,431,000</m:t>
            </m:r>
          </m:den>
        </m:f>
      </m:oMath>
    </w:p>
    <w:p w:rsidR="005E23AB" w:rsidRDefault="005E23AB" w:rsidP="005E23AB">
      <w:pPr>
        <w:rPr>
          <w:rFonts w:eastAsiaTheme="minorEastAsia"/>
          <w:b/>
          <w:bCs/>
        </w:rPr>
      </w:pPr>
      <w:r>
        <w:rPr>
          <w:rFonts w:eastAsiaTheme="minorEastAsia"/>
          <w:b/>
          <w:bCs/>
        </w:rPr>
        <w:t xml:space="preserve">                                                    = </w:t>
      </w:r>
      <w:r w:rsidR="00D05492" w:rsidRPr="00D05492">
        <w:rPr>
          <w:rFonts w:eastAsiaTheme="minorEastAsia"/>
          <w:b/>
          <w:bCs/>
        </w:rPr>
        <w:t>1.8:1</w:t>
      </w:r>
    </w:p>
    <w:p w:rsidR="00D05492" w:rsidRPr="0011772A" w:rsidRDefault="00D05492" w:rsidP="00D05492">
      <w:pPr>
        <w:pStyle w:val="ListParagraph"/>
        <w:numPr>
          <w:ilvl w:val="0"/>
          <w:numId w:val="1"/>
        </w:numPr>
        <w:rPr>
          <w:rFonts w:eastAsiaTheme="minorEastAsia"/>
          <w:b/>
          <w:bCs/>
        </w:rPr>
      </w:pPr>
      <w:r>
        <w:rPr>
          <w:b/>
          <w:bCs/>
        </w:rPr>
        <w:t>Quick Ratio</w:t>
      </w:r>
      <w:r w:rsidRPr="00EB1868">
        <w:rPr>
          <w:b/>
          <w:bCs/>
        </w:rPr>
        <w:t xml:space="preserve"> for 20</w:t>
      </w:r>
      <w:r>
        <w:rPr>
          <w:b/>
          <w:bCs/>
        </w:rPr>
        <w:t>19</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Quick Assets</m:t>
            </m:r>
          </m:num>
          <m:den>
            <m:r>
              <m:rPr>
                <m:sty m:val="bi"/>
              </m:rPr>
              <w:rPr>
                <w:rFonts w:ascii="Cambria Math" w:hAnsi="Cambria Math"/>
                <w:sz w:val="32"/>
                <w:szCs w:val="32"/>
              </w:rPr>
              <m:t>Current Liabilities</m:t>
            </m:r>
          </m:den>
        </m:f>
      </m:oMath>
    </w:p>
    <w:p w:rsidR="00D05492" w:rsidRDefault="00D05492" w:rsidP="00D05492">
      <w:pPr>
        <w:rPr>
          <w:rFonts w:eastAsiaTheme="minorEastAsia"/>
          <w:b/>
          <w:bCs/>
        </w:rPr>
      </w:pPr>
      <w:r>
        <w:rPr>
          <w:rFonts w:eastAsiaTheme="minorEastAsia"/>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2093000-3000</m:t>
            </m:r>
          </m:num>
          <m:den>
            <m:r>
              <m:rPr>
                <m:sty m:val="bi"/>
              </m:rPr>
              <w:rPr>
                <w:rFonts w:ascii="Cambria Math" w:hAnsi="Cambria Math"/>
                <w:sz w:val="32"/>
                <w:szCs w:val="32"/>
              </w:rPr>
              <m:t>2,871,000</m:t>
            </m:r>
          </m:den>
        </m:f>
      </m:oMath>
    </w:p>
    <w:p w:rsidR="00D05492" w:rsidRDefault="00D05492" w:rsidP="00D05492">
      <w:pPr>
        <w:rPr>
          <w:rFonts w:eastAsiaTheme="minorEastAsia"/>
          <w:b/>
          <w:bCs/>
        </w:rPr>
      </w:pPr>
      <w:r>
        <w:rPr>
          <w:rFonts w:eastAsiaTheme="minorEastAsia"/>
          <w:b/>
          <w:bCs/>
        </w:rPr>
        <w:t xml:space="preserve">                                                    = </w:t>
      </w:r>
      <w:r w:rsidR="000B2A40" w:rsidRPr="000B2A40">
        <w:rPr>
          <w:rFonts w:eastAsiaTheme="minorEastAsia"/>
          <w:b/>
          <w:bCs/>
        </w:rPr>
        <w:t>0.10:1</w:t>
      </w:r>
    </w:p>
    <w:p w:rsidR="000B2A40" w:rsidRPr="0011772A" w:rsidRDefault="000B2A40" w:rsidP="000B2A40">
      <w:pPr>
        <w:pStyle w:val="ListParagraph"/>
        <w:numPr>
          <w:ilvl w:val="0"/>
          <w:numId w:val="1"/>
        </w:numPr>
        <w:rPr>
          <w:rFonts w:eastAsiaTheme="minorEastAsia"/>
          <w:b/>
          <w:bCs/>
        </w:rPr>
      </w:pPr>
      <w:r>
        <w:rPr>
          <w:b/>
          <w:bCs/>
        </w:rPr>
        <w:t>Quick Ratio</w:t>
      </w:r>
      <w:r w:rsidRPr="00EB1868">
        <w:rPr>
          <w:b/>
          <w:bCs/>
        </w:rPr>
        <w:t xml:space="preserve"> for 20</w:t>
      </w:r>
      <w:r>
        <w:rPr>
          <w:b/>
          <w:bCs/>
        </w:rPr>
        <w:t>20</w:t>
      </w:r>
      <w:r w:rsidRPr="00EB1868">
        <w:rPr>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Quick Assets</m:t>
            </m:r>
          </m:num>
          <m:den>
            <m:r>
              <m:rPr>
                <m:sty m:val="bi"/>
              </m:rPr>
              <w:rPr>
                <w:rFonts w:ascii="Cambria Math" w:hAnsi="Cambria Math"/>
                <w:sz w:val="32"/>
                <w:szCs w:val="32"/>
              </w:rPr>
              <m:t>Current Liabilities</m:t>
            </m:r>
          </m:den>
        </m:f>
      </m:oMath>
    </w:p>
    <w:p w:rsidR="000B2A40" w:rsidRDefault="000B2A40" w:rsidP="000B2A40">
      <w:pPr>
        <w:rPr>
          <w:rFonts w:eastAsiaTheme="minorEastAsia"/>
          <w:b/>
          <w:bCs/>
        </w:rPr>
      </w:pPr>
      <w:r>
        <w:rPr>
          <w:rFonts w:eastAsiaTheme="minorEastAsia"/>
          <w:b/>
          <w:bCs/>
        </w:rPr>
        <w:t xml:space="preserve">                                                    = </w:t>
      </w:r>
      <m:oMath>
        <m:f>
          <m:fPr>
            <m:ctrlPr>
              <w:rPr>
                <w:rFonts w:ascii="Cambria Math" w:hAnsi="Cambria Math"/>
                <w:b/>
                <w:bCs/>
                <w:i/>
                <w:sz w:val="32"/>
                <w:szCs w:val="32"/>
              </w:rPr>
            </m:ctrlPr>
          </m:fPr>
          <m:num>
            <m:r>
              <m:rPr>
                <m:sty m:val="bi"/>
              </m:rPr>
              <w:rPr>
                <w:rFonts w:ascii="Cambria Math" w:hAnsi="Cambria Math"/>
                <w:sz w:val="32"/>
                <w:szCs w:val="32"/>
              </w:rPr>
              <m:t>4202000-3000</m:t>
            </m:r>
          </m:num>
          <m:den>
            <m:r>
              <m:rPr>
                <m:sty m:val="bi"/>
              </m:rPr>
              <w:rPr>
                <w:rFonts w:ascii="Cambria Math" w:hAnsi="Cambria Math"/>
                <w:sz w:val="32"/>
                <w:szCs w:val="32"/>
              </w:rPr>
              <m:t>2,431,000</m:t>
            </m:r>
          </m:den>
        </m:f>
      </m:oMath>
    </w:p>
    <w:p w:rsidR="000B2A40" w:rsidRDefault="000B2A40" w:rsidP="000B2A40">
      <w:pPr>
        <w:rPr>
          <w:rFonts w:eastAsiaTheme="minorEastAsia"/>
          <w:b/>
          <w:bCs/>
        </w:rPr>
      </w:pPr>
      <w:r>
        <w:rPr>
          <w:rFonts w:eastAsiaTheme="minorEastAsia"/>
          <w:b/>
          <w:bCs/>
        </w:rPr>
        <w:t xml:space="preserve">                                                    = </w:t>
      </w:r>
      <w:r w:rsidR="00223C85" w:rsidRPr="00223C85">
        <w:rPr>
          <w:rFonts w:eastAsiaTheme="minorEastAsia"/>
          <w:b/>
          <w:bCs/>
        </w:rPr>
        <w:t>1.8:1</w:t>
      </w:r>
    </w:p>
    <w:p w:rsidR="00D05492" w:rsidRDefault="000B2A40" w:rsidP="000B2A40">
      <w:pPr>
        <w:rPr>
          <w:b/>
          <w:bCs/>
          <w:u w:val="single"/>
        </w:rPr>
      </w:pPr>
      <w:r w:rsidRPr="000B2A40">
        <w:rPr>
          <w:b/>
          <w:bCs/>
          <w:u w:val="single"/>
        </w:rPr>
        <w:t>Interpretation:</w:t>
      </w:r>
    </w:p>
    <w:p w:rsidR="009B3539" w:rsidRDefault="009B3539" w:rsidP="009B3539">
      <w:r>
        <w:lastRenderedPageBreak/>
        <w:t>The calculation that was just presented was carried out in order to provide an interpretation of Hilton Hotel's liquidity ratio while taking into account the years 2019 and 2020. In addition, the liquidity ratio encompasses two other ratio types: the current ratio and the quick ratio. The following chart provides an evaluation of the various ratios:</w:t>
      </w:r>
    </w:p>
    <w:p w:rsidR="009B3539" w:rsidRDefault="009B3539" w:rsidP="009B3539">
      <w:r>
        <w:t>In order to assess Hilton Hotel's financial health, a current ratio was determined for 2019 and 2020. It can be seen here that the current ratio for the year 2019 has been determined to be 0.71 for the year 2019, and that the current ratio for the year 2020 has been determined to be 1.8, respectively</w:t>
      </w:r>
      <w:r w:rsidR="00F02161">
        <w:t xml:space="preserve"> (</w:t>
      </w:r>
      <w:proofErr w:type="spellStart"/>
      <w:r w:rsidR="00F02161">
        <w:t>Maisharoh</w:t>
      </w:r>
      <w:proofErr w:type="spellEnd"/>
      <w:r w:rsidR="00F02161">
        <w:t xml:space="preserve">, and </w:t>
      </w:r>
      <w:proofErr w:type="spellStart"/>
      <w:r w:rsidR="00F02161">
        <w:t>Riyanto</w:t>
      </w:r>
      <w:proofErr w:type="spellEnd"/>
      <w:r w:rsidR="00F02161">
        <w:t>, 2020)</w:t>
      </w:r>
      <w:r>
        <w:t>. The improved yearly GP indicates that the individual firm is making better use of its resources, which in turn leads to higher profits.</w:t>
      </w:r>
    </w:p>
    <w:p w:rsidR="000B2A40" w:rsidRDefault="009B3539" w:rsidP="009B3539">
      <w:r>
        <w:t>Hilton Hotel's 2019 and 2020 quick ratios are presented. It can be observed that the quick ratio for 2019 has been calculated to be 0.10, while the quick ratio for 2020 has been calculated to be 1.8. It can be seen that the GP for the year has improved, which indicates that the particular firm has utilized their stocks in a better way in order to produce greater revenues. This can be observed from the fact that the improvement can be noticed.</w:t>
      </w:r>
    </w:p>
    <w:p w:rsidR="009B3539" w:rsidRDefault="00345BAB" w:rsidP="00345BAB">
      <w:pPr>
        <w:pStyle w:val="Heading1"/>
        <w:rPr>
          <w:rFonts w:eastAsiaTheme="minorEastAsia"/>
        </w:rPr>
      </w:pPr>
      <w:bookmarkStart w:id="6" w:name="_Toc117129630"/>
      <w:r w:rsidRPr="00345BAB">
        <w:rPr>
          <w:rFonts w:eastAsiaTheme="minorEastAsia"/>
        </w:rPr>
        <w:t>Outlining the importance of using the ratio analysis in order to make an effectivedecision making</w:t>
      </w:r>
      <w:r>
        <w:rPr>
          <w:rFonts w:eastAsiaTheme="minorEastAsia"/>
        </w:rPr>
        <w:t>.</w:t>
      </w:r>
      <w:bookmarkEnd w:id="6"/>
    </w:p>
    <w:p w:rsidR="0008016D" w:rsidRDefault="0008016D" w:rsidP="0008016D">
      <w:r>
        <w:t>One of the most common responsibilities of management accountants is to analyze interdependencies among operational components and present the results in a way that can inform strategic choices. Ratio Analysis is one method that can help with this. Ratios are convenient for management accountants because they are pre-made from information already available in the form of financial statements, which are the primary focus of the financial accounting department. The flexibility of management accounting allows it to use any data it can get its hands on, regardless of its original source</w:t>
      </w:r>
      <w:r w:rsidR="00D406B1">
        <w:t xml:space="preserve"> (</w:t>
      </w:r>
      <w:r w:rsidR="00D406B1" w:rsidRPr="00585247">
        <w:t xml:space="preserve">Drake, and </w:t>
      </w:r>
      <w:proofErr w:type="spellStart"/>
      <w:r w:rsidR="00D406B1" w:rsidRPr="00585247">
        <w:t>Fabozzi</w:t>
      </w:r>
      <w:proofErr w:type="spellEnd"/>
      <w:r w:rsidR="00D406B1" w:rsidRPr="00585247">
        <w:t>, 2012</w:t>
      </w:r>
      <w:r w:rsidR="00D406B1">
        <w:t>)</w:t>
      </w:r>
      <w:r>
        <w:t>. The very definition of a ratio is a comparison between two or more numerical values. Ratios are relationships used in business that are derived from a company's financial data, most notably its financial statements. These comparisons lack significance regardless of the reliability of the sources used or the sophistication of the calculations employed</w:t>
      </w:r>
      <w:r w:rsidR="00F02161">
        <w:t xml:space="preserve"> (Sadeghi et al., 2020</w:t>
      </w:r>
      <w:r w:rsidR="001F1D0F">
        <w:t>)</w:t>
      </w:r>
      <w:r>
        <w:t xml:space="preserve">. The only way to get meaningful insight from ratios is to compare them to others of the same kind from other companies or sectors. They are also useful for comparing one time period to another of the same </w:t>
      </w:r>
      <w:r>
        <w:lastRenderedPageBreak/>
        <w:t>entity. While the ratio itself may be correct, the benchmark against which it is measured may be completely off.</w:t>
      </w:r>
    </w:p>
    <w:p w:rsidR="0008016D" w:rsidRDefault="0008016D" w:rsidP="0008016D">
      <w:r>
        <w:t>The financial ratio is the method or process by which financial ratios are calculated and interpreted, and its definition reflects the significance of these steps. These ratios are calculated so that one can assess the financial health of a company over a specified time frame. To ensure a more consistent flow and better prospects in the future, however, the ratio's computation is essential. But we'll talk about why that financial ratio is so crucial down below:</w:t>
      </w:r>
    </w:p>
    <w:p w:rsidR="0008016D" w:rsidRDefault="0008016D" w:rsidP="0008016D">
      <w:pPr>
        <w:pStyle w:val="ListParagraph"/>
        <w:numPr>
          <w:ilvl w:val="0"/>
          <w:numId w:val="1"/>
        </w:numPr>
      </w:pPr>
      <w:r>
        <w:t>Companies rely heavily on ratio analysis because it helps them evaluate their financial health over specified time periods</w:t>
      </w:r>
      <w:r w:rsidR="00F02161">
        <w:t xml:space="preserve"> (</w:t>
      </w:r>
      <w:proofErr w:type="spellStart"/>
      <w:r w:rsidR="00F02161">
        <w:t>Muttakin</w:t>
      </w:r>
      <w:proofErr w:type="spellEnd"/>
      <w:r w:rsidR="00F02161">
        <w:t xml:space="preserve"> et al, 2020)</w:t>
      </w:r>
      <w:r>
        <w:t>.</w:t>
      </w:r>
    </w:p>
    <w:p w:rsidR="0008016D" w:rsidRDefault="0008016D" w:rsidP="0008016D">
      <w:pPr>
        <w:pStyle w:val="ListParagraph"/>
        <w:numPr>
          <w:ilvl w:val="0"/>
          <w:numId w:val="1"/>
        </w:numPr>
      </w:pPr>
      <w:r>
        <w:t>By calculating the ratio analysis, a company can better assess its profitability, risk, and efficiency, and allocate its resources accordingly.</w:t>
      </w:r>
    </w:p>
    <w:p w:rsidR="0008016D" w:rsidRDefault="0008016D" w:rsidP="0008016D">
      <w:pPr>
        <w:pStyle w:val="ListParagraph"/>
        <w:numPr>
          <w:ilvl w:val="0"/>
          <w:numId w:val="1"/>
        </w:numPr>
      </w:pPr>
      <w:r>
        <w:t>Moreover, it aids the financial management in making sound decisions that improve the business's operations and position it to seize better opportunities in the future.</w:t>
      </w:r>
    </w:p>
    <w:p w:rsidR="0008016D" w:rsidRDefault="0008016D" w:rsidP="0008016D">
      <w:pPr>
        <w:pStyle w:val="ListParagraph"/>
        <w:numPr>
          <w:ilvl w:val="0"/>
          <w:numId w:val="1"/>
        </w:numPr>
      </w:pPr>
      <w:r>
        <w:t>By calculating the financial ratio, a company can assess the risks facing it and make informed decisions about its future.</w:t>
      </w:r>
    </w:p>
    <w:p w:rsidR="00345BAB" w:rsidRDefault="0008016D" w:rsidP="0008016D">
      <w:pPr>
        <w:pStyle w:val="ListParagraph"/>
        <w:numPr>
          <w:ilvl w:val="0"/>
          <w:numId w:val="1"/>
        </w:numPr>
      </w:pPr>
      <w:r>
        <w:t>Companies can use ratio analysis to evaluate their financial standing over time and assess how well they have performed financially.</w:t>
      </w:r>
    </w:p>
    <w:p w:rsidR="0008016D" w:rsidRDefault="002B35B1" w:rsidP="002B35B1">
      <w:pPr>
        <w:pStyle w:val="Heading1"/>
      </w:pPr>
      <w:bookmarkStart w:id="7" w:name="_Toc117129631"/>
      <w:r>
        <w:t>Limitations of Ratio Analysis</w:t>
      </w:r>
      <w:bookmarkEnd w:id="7"/>
    </w:p>
    <w:p w:rsidR="00AD723B" w:rsidRDefault="00AD723B" w:rsidP="00AD723B">
      <w:r>
        <w:t>The purpose of ratio analysis is to get a broad comprehension of a company's performance, financial condition, and cash flows by comparing data extracted from the financial statements. An objective observer like a credit analyst, lender, or stock analyst can benefit much from this approach. These professionals must draw conclusions about a company's financial performance and standing based on its financial statements alone. However, there are a few caveats to ratio analysis that you should be aware of. You'll find a list of them down below.</w:t>
      </w:r>
    </w:p>
    <w:p w:rsidR="00AD723B" w:rsidRDefault="00AD723B" w:rsidP="00AD723B">
      <w:pPr>
        <w:pStyle w:val="ListParagraph"/>
        <w:numPr>
          <w:ilvl w:val="0"/>
          <w:numId w:val="2"/>
        </w:numPr>
      </w:pPr>
      <w:r>
        <w:t>All of the data utilized in a ratio analysis comes straight out of the past. Just because something works now doesn't ensure it will continue to work in the future.</w:t>
      </w:r>
    </w:p>
    <w:p w:rsidR="00AD723B" w:rsidRDefault="00AD723B" w:rsidP="00AD723B">
      <w:pPr>
        <w:pStyle w:val="ListParagraph"/>
        <w:numPr>
          <w:ilvl w:val="0"/>
          <w:numId w:val="2"/>
        </w:numPr>
      </w:pPr>
      <w:r>
        <w:t>Some aspects of the balance sheet may be reported at historical cost, although the information on the income statement is stated at current costs (or near to it). Unusual ratios may emerge as a result of this discrepancy.</w:t>
      </w:r>
    </w:p>
    <w:p w:rsidR="00AD723B" w:rsidRDefault="00AD723B" w:rsidP="00AD723B">
      <w:pPr>
        <w:pStyle w:val="ListParagraph"/>
        <w:numPr>
          <w:ilvl w:val="0"/>
          <w:numId w:val="2"/>
        </w:numPr>
      </w:pPr>
      <w:r>
        <w:lastRenderedPageBreak/>
        <w:t>Numbers may not be comparable across time periods if inflation rates have varied over the study period</w:t>
      </w:r>
      <w:r w:rsidR="00D406B1">
        <w:t xml:space="preserve"> (</w:t>
      </w:r>
      <w:r w:rsidR="00D406B1" w:rsidRPr="00585247">
        <w:t>Babalola, and Abiola, 2013</w:t>
      </w:r>
      <w:r w:rsidR="00D406B1">
        <w:t>)</w:t>
      </w:r>
      <w:r>
        <w:t>. To illustrate, if inflation were to increase by 100% in a given year, then sales would appear to have doubled from the previous year, even if they had remained same.</w:t>
      </w:r>
    </w:p>
    <w:p w:rsidR="00AD723B" w:rsidRDefault="00AD723B" w:rsidP="00AD723B">
      <w:pPr>
        <w:pStyle w:val="ListParagraph"/>
        <w:numPr>
          <w:ilvl w:val="0"/>
          <w:numId w:val="2"/>
        </w:numPr>
      </w:pPr>
      <w:r>
        <w:t>As a result, doing a ratio analysis on a trend line may not compare the same data for the whole trend period because the data in the financial statement line item you are utilizing for the study may have previously been aggregated in a different way.</w:t>
      </w:r>
    </w:p>
    <w:p w:rsidR="00AD723B" w:rsidRDefault="00AD723B" w:rsidP="00AD723B">
      <w:pPr>
        <w:pStyle w:val="ListParagraph"/>
        <w:numPr>
          <w:ilvl w:val="0"/>
          <w:numId w:val="2"/>
        </w:numPr>
      </w:pPr>
      <w:r>
        <w:t>Depending on how much a firm has evolved over the years, comparing results from a ratio determined a few years ago with the same ratio now might be deceptive.</w:t>
      </w:r>
    </w:p>
    <w:p w:rsidR="00AD723B" w:rsidRDefault="00AD723B" w:rsidP="00AD723B">
      <w:pPr>
        <w:pStyle w:val="ListParagraph"/>
        <w:numPr>
          <w:ilvl w:val="0"/>
          <w:numId w:val="2"/>
        </w:numPr>
      </w:pPr>
      <w:r>
        <w:t>There is a possibility that two businesses with the identical accounting transaction may report it differently. As a result, it may be difficult to draw meaningful comparisons between the ratio outcomes of different businesses.</w:t>
      </w:r>
    </w:p>
    <w:p w:rsidR="00AD723B" w:rsidRDefault="00AD723B" w:rsidP="00AD723B">
      <w:pPr>
        <w:pStyle w:val="ListParagraph"/>
        <w:numPr>
          <w:ilvl w:val="0"/>
          <w:numId w:val="2"/>
        </w:numPr>
      </w:pPr>
      <w:r>
        <w:t>It might be fairly difficult to establish the rationale behind the outcomes of a ratio. A current ratio of 2:1, for instance, can look great at first glance, but it could mask the fact that the firm recently sold a lot of shares to improve its liquidity. There is a possibility that a further investigation will show that the present ratio will only be at that level momentarily and will eventually decrease</w:t>
      </w:r>
      <w:r w:rsidR="001F1D0F">
        <w:t xml:space="preserve"> (</w:t>
      </w:r>
      <w:proofErr w:type="spellStart"/>
      <w:r w:rsidR="001F1D0F" w:rsidRPr="00585247">
        <w:t>Supriyanto</w:t>
      </w:r>
      <w:proofErr w:type="spellEnd"/>
      <w:r w:rsidR="001F1D0F" w:rsidRPr="00585247">
        <w:t xml:space="preserve">, and </w:t>
      </w:r>
      <w:proofErr w:type="spellStart"/>
      <w:r w:rsidR="001F1D0F" w:rsidRPr="00585247">
        <w:t>Darmawan</w:t>
      </w:r>
      <w:proofErr w:type="spellEnd"/>
      <w:r w:rsidR="001F1D0F" w:rsidRPr="00585247">
        <w:t>, 2018</w:t>
      </w:r>
      <w:r w:rsidR="001F1D0F">
        <w:t>)</w:t>
      </w:r>
      <w:r>
        <w:t>.</w:t>
      </w:r>
    </w:p>
    <w:p w:rsidR="00AD723B" w:rsidRDefault="00AD723B" w:rsidP="00AD723B">
      <w:pPr>
        <w:pStyle w:val="ListParagraph"/>
        <w:numPr>
          <w:ilvl w:val="0"/>
          <w:numId w:val="2"/>
        </w:numPr>
      </w:pPr>
      <w:r>
        <w:t>The use of ratio analysis to compare the performance of two companies with divergent strategies is fraught with peril. One firm may adopt a low-price strategy and be ready to forego some gross profit in order to gain market share</w:t>
      </w:r>
      <w:r w:rsidR="00F02161">
        <w:t xml:space="preserve"> (</w:t>
      </w:r>
      <w:r w:rsidR="00F02161" w:rsidRPr="00CD5767">
        <w:t>Penman, and Penman, 2010</w:t>
      </w:r>
      <w:r w:rsidR="00F02161">
        <w:t>)</w:t>
      </w:r>
      <w:r>
        <w:t>. On the other hand, a competitor in the same market that adopts a different approach, focused on providing exceptional customer service at a premium price and gross margin, can never catch up to the former in terms of revenue.</w:t>
      </w:r>
    </w:p>
    <w:p w:rsidR="00AD723B" w:rsidRDefault="00AD723B" w:rsidP="00AD723B">
      <w:pPr>
        <w:pStyle w:val="ListParagraph"/>
        <w:numPr>
          <w:ilvl w:val="0"/>
          <w:numId w:val="2"/>
        </w:numPr>
      </w:pPr>
      <w:r>
        <w:t>Information for certain ratios is taken directly from the financial statement. Keep in mind that the balance sheet only reflects data as of the end of the accounting quarter. The conclusion of the ratio analysis may be impacted if the account balance had an unexpected increase or decrease on the last day of the reporting period</w:t>
      </w:r>
      <w:r w:rsidR="001F1D0F">
        <w:t xml:space="preserve"> (</w:t>
      </w:r>
      <w:proofErr w:type="spellStart"/>
      <w:r w:rsidR="001F1D0F" w:rsidRPr="00F104EF">
        <w:t>Welc</w:t>
      </w:r>
      <w:proofErr w:type="spellEnd"/>
      <w:r w:rsidR="001F1D0F" w:rsidRPr="00F104EF">
        <w:t>, 2022</w:t>
      </w:r>
      <w:r w:rsidR="001F1D0F">
        <w:t>)</w:t>
      </w:r>
      <w:r>
        <w:t>.</w:t>
      </w:r>
    </w:p>
    <w:p w:rsidR="007D65D8" w:rsidRPr="007D65D8" w:rsidRDefault="00AD723B" w:rsidP="00AD723B">
      <w:r>
        <w:t>To sum up, there are several factors that limit the use of ratio analysis. Ratio analysis still has its applications so long as its limitations are recognized and other, complementary methodologies are used for data collection and interpretation.</w:t>
      </w:r>
    </w:p>
    <w:p w:rsidR="002B35B1" w:rsidRPr="002B35B1" w:rsidRDefault="002B35B1" w:rsidP="002B35B1"/>
    <w:p w:rsidR="005E23AB" w:rsidRDefault="00AD723B" w:rsidP="00AD723B">
      <w:pPr>
        <w:pStyle w:val="Heading1"/>
        <w:rPr>
          <w:rFonts w:eastAsiaTheme="minorEastAsia"/>
        </w:rPr>
      </w:pPr>
      <w:bookmarkStart w:id="8" w:name="_Toc117129632"/>
      <w:r>
        <w:rPr>
          <w:rFonts w:eastAsiaTheme="minorEastAsia"/>
        </w:rPr>
        <w:t>Conclusion</w:t>
      </w:r>
      <w:bookmarkEnd w:id="8"/>
    </w:p>
    <w:p w:rsidR="00AD723B" w:rsidRDefault="004841EC" w:rsidP="00AD723B">
      <w:r w:rsidRPr="004841EC">
        <w:t>In the</w:t>
      </w:r>
      <w:r>
        <w:t xml:space="preserve"> previous</w:t>
      </w:r>
      <w:r w:rsidRPr="004841EC">
        <w:t xml:space="preserve"> study, we </w:t>
      </w:r>
      <w:proofErr w:type="gramStart"/>
      <w:r>
        <w:t>has</w:t>
      </w:r>
      <w:proofErr w:type="gramEnd"/>
      <w:r w:rsidRPr="004841EC">
        <w:t xml:space="preserve"> examine</w:t>
      </w:r>
      <w:r>
        <w:t>d</w:t>
      </w:r>
      <w:r w:rsidRPr="004841EC">
        <w:t xml:space="preserve"> the various ratios that have been calculated for Hilton Hotels. Therefore, all the various ratios have been calculated to determine Hilton Hotels' financial standing in 2019 and 2020. The ratios' significance, however, has been explored in terms of the firm in question. Hilton Hotels' financial ratios' significance has been demonstrated, and their limits have been spelled out for clarity's sake.</w:t>
      </w:r>
      <w:r w:rsidR="00C633E7">
        <w:t xml:space="preserve"> After the total analysis in the report it can be said as a limitations that</w:t>
      </w:r>
      <w:proofErr w:type="gramStart"/>
      <w:r w:rsidR="00C633E7">
        <w:t>,</w:t>
      </w:r>
      <w:r w:rsidR="00C633E7" w:rsidRPr="00C633E7">
        <w:t>Accounting</w:t>
      </w:r>
      <w:proofErr w:type="gramEnd"/>
      <w:r w:rsidR="00C633E7" w:rsidRPr="00C633E7">
        <w:t xml:space="preserve"> ratio preparation does not address any financial issues; rather, it aids in evaluating and comparing a company's financial performance and health.</w:t>
      </w:r>
    </w:p>
    <w:p w:rsidR="00C633E7" w:rsidRDefault="00C633E7">
      <w:pPr>
        <w:spacing w:line="259" w:lineRule="auto"/>
        <w:jc w:val="left"/>
      </w:pPr>
      <w:r>
        <w:br w:type="page"/>
      </w:r>
    </w:p>
    <w:p w:rsidR="00C633E7" w:rsidRDefault="00C633E7" w:rsidP="00C633E7">
      <w:pPr>
        <w:pStyle w:val="Heading1"/>
      </w:pPr>
      <w:bookmarkStart w:id="9" w:name="_Toc117129633"/>
      <w:r>
        <w:lastRenderedPageBreak/>
        <w:t>References</w:t>
      </w:r>
      <w:bookmarkEnd w:id="9"/>
    </w:p>
    <w:p w:rsidR="00CD5767" w:rsidRDefault="00CD5767" w:rsidP="00D406B1">
      <w:pPr>
        <w:ind w:left="720" w:hanging="720"/>
        <w:jc w:val="left"/>
      </w:pPr>
      <w:r w:rsidRPr="00585247">
        <w:t>Babalola, Y.A. and Abiola, F.R., 2013. Financial ratio analysis of firms: A tool for decision making. International journal of management sciences, 1(4), pp.132-137.</w:t>
      </w:r>
    </w:p>
    <w:p w:rsidR="00CD5767" w:rsidRDefault="00CD5767" w:rsidP="00D406B1">
      <w:pPr>
        <w:ind w:left="720" w:hanging="720"/>
        <w:jc w:val="left"/>
      </w:pPr>
      <w:r w:rsidRPr="00585247">
        <w:t xml:space="preserve">Drake, P.P. and </w:t>
      </w:r>
      <w:proofErr w:type="spellStart"/>
      <w:r w:rsidRPr="00585247">
        <w:t>Fabozzi</w:t>
      </w:r>
      <w:proofErr w:type="spellEnd"/>
      <w:r w:rsidRPr="00585247">
        <w:t>, F.J., 2012. Financial ratio analysis. Encyclopedia of Financial Models.</w:t>
      </w:r>
    </w:p>
    <w:p w:rsidR="00CD5767" w:rsidRDefault="00CD5767" w:rsidP="00D406B1">
      <w:pPr>
        <w:ind w:left="720" w:hanging="720"/>
        <w:jc w:val="left"/>
      </w:pPr>
      <w:proofErr w:type="spellStart"/>
      <w:r>
        <w:t>Gogolinskii</w:t>
      </w:r>
      <w:proofErr w:type="spellEnd"/>
      <w:r>
        <w:t xml:space="preserve">, K.V., </w:t>
      </w:r>
      <w:proofErr w:type="spellStart"/>
      <w:r>
        <w:t>Syasko</w:t>
      </w:r>
      <w:proofErr w:type="spellEnd"/>
      <w:r>
        <w:t xml:space="preserve">, V.A., </w:t>
      </w:r>
      <w:proofErr w:type="spellStart"/>
      <w:r>
        <w:t>Umanskii</w:t>
      </w:r>
      <w:proofErr w:type="spellEnd"/>
      <w:r>
        <w:t xml:space="preserve">, A.S., </w:t>
      </w:r>
      <w:proofErr w:type="spellStart"/>
      <w:r>
        <w:t>Nikazov</w:t>
      </w:r>
      <w:proofErr w:type="spellEnd"/>
      <w:r>
        <w:t xml:space="preserve">, A.A. and </w:t>
      </w:r>
      <w:proofErr w:type="spellStart"/>
      <w:r>
        <w:t>Bobkova</w:t>
      </w:r>
      <w:proofErr w:type="spellEnd"/>
      <w:r>
        <w:t>, T.I., 20</w:t>
      </w:r>
      <w:r w:rsidR="00951E4D">
        <w:t>20</w:t>
      </w:r>
      <w:r>
        <w:t>,November. Mechanical properties measurements with portable hardness testers: advantages,limitations, prospects. In Journal of Physics: Conference Series (Vol. 1384, No. 1, p. 012012).IOP Publishing.</w:t>
      </w:r>
    </w:p>
    <w:p w:rsidR="00CD5767" w:rsidRPr="00C633E7" w:rsidRDefault="00CD5767" w:rsidP="00D406B1">
      <w:pPr>
        <w:ind w:left="720" w:hanging="720"/>
        <w:jc w:val="left"/>
      </w:pPr>
      <w:r w:rsidRPr="00CD5767">
        <w:t>Jackson, A.B., 2021. Financial statement analysis: a review and current issues. China Finance Review International.</w:t>
      </w:r>
    </w:p>
    <w:p w:rsidR="00CD5767" w:rsidRDefault="00CD5767" w:rsidP="00D406B1">
      <w:pPr>
        <w:ind w:left="720" w:hanging="720"/>
        <w:jc w:val="left"/>
      </w:pPr>
      <w:proofErr w:type="spellStart"/>
      <w:r>
        <w:t>Maisharoh</w:t>
      </w:r>
      <w:proofErr w:type="spellEnd"/>
      <w:r>
        <w:t xml:space="preserve">, T. and </w:t>
      </w:r>
      <w:proofErr w:type="spellStart"/>
      <w:r>
        <w:t>Riyanto</w:t>
      </w:r>
      <w:proofErr w:type="spellEnd"/>
      <w:r>
        <w:t xml:space="preserve">, S., 2020. Financial Statements Analysis in Measuring FinancialPerformance of the PT. </w:t>
      </w:r>
      <w:proofErr w:type="spellStart"/>
      <w:r>
        <w:t>Mayora</w:t>
      </w:r>
      <w:proofErr w:type="spellEnd"/>
      <w:r>
        <w:t xml:space="preserve"> Indah </w:t>
      </w:r>
      <w:proofErr w:type="spellStart"/>
      <w:r>
        <w:t>Tbk</w:t>
      </w:r>
      <w:proofErr w:type="spellEnd"/>
      <w:r>
        <w:t>, Period 2014-2018. Journal of ContemporaryInformation Technology, Management, and Accounting, 1(2), pp.63-71.</w:t>
      </w:r>
    </w:p>
    <w:p w:rsidR="00CD5767" w:rsidRDefault="00CD5767" w:rsidP="00D406B1">
      <w:pPr>
        <w:ind w:left="720" w:hanging="720"/>
        <w:jc w:val="left"/>
      </w:pPr>
      <w:proofErr w:type="spellStart"/>
      <w:r>
        <w:t>Muttakin</w:t>
      </w:r>
      <w:proofErr w:type="spellEnd"/>
      <w:r>
        <w:t xml:space="preserve">, F., Wang, J.T., </w:t>
      </w:r>
      <w:proofErr w:type="spellStart"/>
      <w:r>
        <w:t>Mulyanto</w:t>
      </w:r>
      <w:proofErr w:type="spellEnd"/>
      <w:r>
        <w:t>, M. and Leu, J.S., 202</w:t>
      </w:r>
      <w:r w:rsidR="00F02161">
        <w:t>0</w:t>
      </w:r>
      <w:r>
        <w:t>. Evaluation of Feature SelectionMethods on Psychosocial Education Data Using Additive Ratio Assessment. Electronics, 11(1),p.114.</w:t>
      </w:r>
    </w:p>
    <w:p w:rsidR="00CD5767" w:rsidRDefault="00CD5767" w:rsidP="00D406B1">
      <w:pPr>
        <w:ind w:left="720" w:hanging="720"/>
        <w:jc w:val="left"/>
      </w:pPr>
      <w:r w:rsidRPr="00CD5767">
        <w:t>Penman, S.H. and Penman, S.H., 2010. Financial statement analysis and security valuation. New York: McGraw-Hill/Irwin.</w:t>
      </w:r>
    </w:p>
    <w:p w:rsidR="00CD5767" w:rsidRDefault="00CD5767" w:rsidP="00D406B1">
      <w:pPr>
        <w:ind w:left="720" w:hanging="720"/>
        <w:jc w:val="left"/>
      </w:pPr>
      <w:r>
        <w:t xml:space="preserve">Sadeghi, H., Davey, K., </w:t>
      </w:r>
      <w:proofErr w:type="spellStart"/>
      <w:r>
        <w:t>Darvizeh</w:t>
      </w:r>
      <w:proofErr w:type="spellEnd"/>
      <w:r>
        <w:t xml:space="preserve">, R., </w:t>
      </w:r>
      <w:proofErr w:type="spellStart"/>
      <w:r>
        <w:t>Rajabiehfard</w:t>
      </w:r>
      <w:proofErr w:type="spellEnd"/>
      <w:r>
        <w:t xml:space="preserve">, R. and </w:t>
      </w:r>
      <w:proofErr w:type="spellStart"/>
      <w:r>
        <w:t>Darvizeh</w:t>
      </w:r>
      <w:proofErr w:type="spellEnd"/>
      <w:r>
        <w:t>, A., 2020. Aninvestigation into finite similitude for high-rate loading processes: advantages in comparison todimensional analysis and its practical implementation. International Journal of ImpactEngineering, 140, p.103554.</w:t>
      </w:r>
    </w:p>
    <w:p w:rsidR="00CD5767" w:rsidRDefault="00CD5767" w:rsidP="00D406B1">
      <w:pPr>
        <w:ind w:left="720" w:hanging="720"/>
        <w:jc w:val="left"/>
      </w:pPr>
      <w:proofErr w:type="spellStart"/>
      <w:r w:rsidRPr="00585247">
        <w:t>Supriyanto</w:t>
      </w:r>
      <w:proofErr w:type="spellEnd"/>
      <w:r w:rsidRPr="00585247">
        <w:t xml:space="preserve">, J. and </w:t>
      </w:r>
      <w:proofErr w:type="spellStart"/>
      <w:r w:rsidRPr="00585247">
        <w:t>Darmawan</w:t>
      </w:r>
      <w:proofErr w:type="spellEnd"/>
      <w:r w:rsidRPr="00585247">
        <w:t>, A., 2018. The effect of financial ratio on financial distress in predicting bankruptcy. Journal of Applied Managerial Accounting, 2(1), pp.110-120.</w:t>
      </w:r>
    </w:p>
    <w:p w:rsidR="00CD5767" w:rsidRDefault="00CD5767" w:rsidP="00D406B1">
      <w:pPr>
        <w:ind w:left="720" w:hanging="720"/>
        <w:jc w:val="left"/>
      </w:pPr>
      <w:proofErr w:type="spellStart"/>
      <w:r w:rsidRPr="00F104EF">
        <w:t>Welc</w:t>
      </w:r>
      <w:proofErr w:type="spellEnd"/>
      <w:r w:rsidRPr="00F104EF">
        <w:t>, J., 2022. Financial statement analysis. In Evaluating Corporate Financial Performance (pp. 131-212). Palgrave Macmillan, Cham.</w:t>
      </w:r>
    </w:p>
    <w:p w:rsidR="00973409" w:rsidRPr="00973409" w:rsidRDefault="00973409" w:rsidP="00973409"/>
    <w:sectPr w:rsidR="00973409" w:rsidRPr="00973409" w:rsidSect="00BC7BCC">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1BEE" w:rsidRDefault="00A01BEE" w:rsidP="00C37814">
      <w:pPr>
        <w:spacing w:after="0" w:line="240" w:lineRule="auto"/>
      </w:pPr>
      <w:r>
        <w:separator/>
      </w:r>
    </w:p>
  </w:endnote>
  <w:endnote w:type="continuationSeparator" w:id="1">
    <w:p w:rsidR="00A01BEE" w:rsidRDefault="00A01BEE" w:rsidP="00C378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1485077"/>
      <w:docPartObj>
        <w:docPartGallery w:val="Page Numbers (Bottom of Page)"/>
        <w:docPartUnique/>
      </w:docPartObj>
    </w:sdtPr>
    <w:sdtEndPr>
      <w:rPr>
        <w:noProof/>
      </w:rPr>
    </w:sdtEndPr>
    <w:sdtContent>
      <w:p w:rsidR="00C37814" w:rsidRDefault="00BC7BCC">
        <w:pPr>
          <w:pStyle w:val="Footer"/>
          <w:jc w:val="right"/>
        </w:pPr>
        <w:r>
          <w:fldChar w:fldCharType="begin"/>
        </w:r>
        <w:r w:rsidR="00C37814">
          <w:instrText xml:space="preserve"> PAGE   \* MERGEFORMAT </w:instrText>
        </w:r>
        <w:r>
          <w:fldChar w:fldCharType="separate"/>
        </w:r>
        <w:r w:rsidR="002E2FBB">
          <w:rPr>
            <w:noProof/>
          </w:rPr>
          <w:t>2</w:t>
        </w:r>
        <w:r>
          <w:rPr>
            <w:noProof/>
          </w:rPr>
          <w:fldChar w:fldCharType="end"/>
        </w:r>
      </w:p>
    </w:sdtContent>
  </w:sdt>
  <w:p w:rsidR="00C37814" w:rsidRDefault="00C378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1BEE" w:rsidRDefault="00A01BEE" w:rsidP="00C37814">
      <w:pPr>
        <w:spacing w:after="0" w:line="240" w:lineRule="auto"/>
      </w:pPr>
      <w:r>
        <w:separator/>
      </w:r>
    </w:p>
  </w:footnote>
  <w:footnote w:type="continuationSeparator" w:id="1">
    <w:p w:rsidR="00A01BEE" w:rsidRDefault="00A01BEE" w:rsidP="00C3781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259D5"/>
    <w:multiLevelType w:val="hybridMultilevel"/>
    <w:tmpl w:val="14264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30F5461"/>
    <w:multiLevelType w:val="hybridMultilevel"/>
    <w:tmpl w:val="8C38C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C37814"/>
    <w:rsid w:val="00030811"/>
    <w:rsid w:val="000559A4"/>
    <w:rsid w:val="0008016D"/>
    <w:rsid w:val="00093CC8"/>
    <w:rsid w:val="000B2A40"/>
    <w:rsid w:val="000E7E8A"/>
    <w:rsid w:val="0011772A"/>
    <w:rsid w:val="00147C29"/>
    <w:rsid w:val="00154ECC"/>
    <w:rsid w:val="00186CB6"/>
    <w:rsid w:val="001B05A4"/>
    <w:rsid w:val="001F1D0F"/>
    <w:rsid w:val="00223C85"/>
    <w:rsid w:val="002B35B1"/>
    <w:rsid w:val="002E2FBB"/>
    <w:rsid w:val="00345BAB"/>
    <w:rsid w:val="003C370B"/>
    <w:rsid w:val="003E42F1"/>
    <w:rsid w:val="00481C21"/>
    <w:rsid w:val="004841EC"/>
    <w:rsid w:val="00585247"/>
    <w:rsid w:val="005E23AB"/>
    <w:rsid w:val="00757C5C"/>
    <w:rsid w:val="007D65D8"/>
    <w:rsid w:val="00951E4D"/>
    <w:rsid w:val="00973409"/>
    <w:rsid w:val="00983438"/>
    <w:rsid w:val="009B3539"/>
    <w:rsid w:val="00A01BEE"/>
    <w:rsid w:val="00AD723B"/>
    <w:rsid w:val="00BC7BCC"/>
    <w:rsid w:val="00C35CD5"/>
    <w:rsid w:val="00C37814"/>
    <w:rsid w:val="00C633E7"/>
    <w:rsid w:val="00CB4227"/>
    <w:rsid w:val="00CD5767"/>
    <w:rsid w:val="00D05492"/>
    <w:rsid w:val="00D174E6"/>
    <w:rsid w:val="00D406B1"/>
    <w:rsid w:val="00DC0B9D"/>
    <w:rsid w:val="00E659DF"/>
    <w:rsid w:val="00EB1868"/>
    <w:rsid w:val="00F02161"/>
    <w:rsid w:val="00F104EF"/>
    <w:rsid w:val="00FD26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4EC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54ECC"/>
    <w:pPr>
      <w:keepNext/>
      <w:keepLines/>
      <w:spacing w:before="240" w:after="0"/>
      <w:outlineLvl w:val="0"/>
    </w:pPr>
    <w:rPr>
      <w:rFonts w:eastAsiaTheme="majorEastAsia" w:cstheme="majorBidi"/>
      <w:b/>
      <w:i/>
      <w:color w:val="1F4E79" w:themeColor="accent5" w:themeShade="80"/>
      <w:sz w:val="36"/>
      <w:szCs w:val="32"/>
    </w:rPr>
  </w:style>
  <w:style w:type="paragraph" w:styleId="Heading2">
    <w:name w:val="heading 2"/>
    <w:basedOn w:val="Normal"/>
    <w:next w:val="Normal"/>
    <w:link w:val="Heading2Char"/>
    <w:uiPriority w:val="9"/>
    <w:unhideWhenUsed/>
    <w:qFormat/>
    <w:rsid w:val="000559A4"/>
    <w:pPr>
      <w:keepNext/>
      <w:keepLines/>
      <w:spacing w:before="40" w:after="0"/>
      <w:outlineLvl w:val="1"/>
    </w:pPr>
    <w:rPr>
      <w:rFonts w:eastAsiaTheme="majorEastAsia" w:cstheme="majorBidi"/>
      <w:b/>
      <w:color w:val="2F5496" w:themeColor="accent1" w:themeShade="BF"/>
      <w:sz w:val="32"/>
      <w:szCs w:val="26"/>
    </w:rPr>
  </w:style>
  <w:style w:type="paragraph" w:styleId="Heading3">
    <w:name w:val="heading 3"/>
    <w:basedOn w:val="Normal"/>
    <w:next w:val="Normal"/>
    <w:link w:val="Heading3Char"/>
    <w:uiPriority w:val="9"/>
    <w:semiHidden/>
    <w:unhideWhenUsed/>
    <w:qFormat/>
    <w:rsid w:val="00154E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ECC"/>
    <w:rPr>
      <w:rFonts w:ascii="Times New Roman" w:eastAsiaTheme="majorEastAsia" w:hAnsi="Times New Roman" w:cstheme="majorBidi"/>
      <w:b/>
      <w:i/>
      <w:color w:val="1F4E79" w:themeColor="accent5" w:themeShade="80"/>
      <w:sz w:val="36"/>
      <w:szCs w:val="32"/>
    </w:rPr>
  </w:style>
  <w:style w:type="paragraph" w:styleId="Subtitle">
    <w:name w:val="Subtitle"/>
    <w:basedOn w:val="Heading3"/>
    <w:next w:val="Normal"/>
    <w:link w:val="SubtitleChar"/>
    <w:autoRedefine/>
    <w:uiPriority w:val="11"/>
    <w:qFormat/>
    <w:rsid w:val="00154ECC"/>
    <w:pPr>
      <w:numPr>
        <w:ilvl w:val="1"/>
      </w:numPr>
    </w:pPr>
    <w:rPr>
      <w:rFonts w:ascii="Times New Roman" w:eastAsiaTheme="minorEastAsia" w:hAnsi="Times New Roman"/>
      <w:b/>
      <w:color w:val="5B9BD5" w:themeColor="accent5"/>
      <w:spacing w:val="15"/>
      <w:sz w:val="28"/>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semiHidden/>
    <w:rsid w:val="00154EC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0559A4"/>
    <w:rPr>
      <w:rFonts w:ascii="Times New Roman" w:eastAsiaTheme="majorEastAsia" w:hAnsi="Times New Roman" w:cstheme="majorBidi"/>
      <w:b/>
      <w:color w:val="2F5496" w:themeColor="accent1" w:themeShade="BF"/>
      <w:sz w:val="32"/>
      <w:szCs w:val="26"/>
    </w:rPr>
  </w:style>
  <w:style w:type="paragraph" w:styleId="Header">
    <w:name w:val="header"/>
    <w:basedOn w:val="Normal"/>
    <w:link w:val="HeaderChar"/>
    <w:uiPriority w:val="99"/>
    <w:unhideWhenUsed/>
    <w:rsid w:val="00C378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814"/>
    <w:rPr>
      <w:rFonts w:ascii="Times New Roman" w:hAnsi="Times New Roman"/>
      <w:sz w:val="24"/>
    </w:rPr>
  </w:style>
  <w:style w:type="paragraph" w:styleId="Footer">
    <w:name w:val="footer"/>
    <w:basedOn w:val="Normal"/>
    <w:link w:val="FooterChar"/>
    <w:uiPriority w:val="99"/>
    <w:unhideWhenUsed/>
    <w:rsid w:val="00C378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814"/>
    <w:rPr>
      <w:rFonts w:ascii="Times New Roman" w:hAnsi="Times New Roman"/>
      <w:sz w:val="24"/>
    </w:rPr>
  </w:style>
  <w:style w:type="character" w:styleId="PlaceholderText">
    <w:name w:val="Placeholder Text"/>
    <w:basedOn w:val="DefaultParagraphFont"/>
    <w:uiPriority w:val="99"/>
    <w:semiHidden/>
    <w:rsid w:val="00DC0B9D"/>
    <w:rPr>
      <w:color w:val="808080"/>
    </w:rPr>
  </w:style>
  <w:style w:type="paragraph" w:styleId="ListParagraph">
    <w:name w:val="List Paragraph"/>
    <w:basedOn w:val="Normal"/>
    <w:uiPriority w:val="34"/>
    <w:qFormat/>
    <w:rsid w:val="00EB1868"/>
    <w:pPr>
      <w:ind w:left="720"/>
      <w:contextualSpacing/>
    </w:pPr>
  </w:style>
  <w:style w:type="paragraph" w:styleId="TOCHeading">
    <w:name w:val="TOC Heading"/>
    <w:basedOn w:val="Heading1"/>
    <w:next w:val="Normal"/>
    <w:uiPriority w:val="39"/>
    <w:unhideWhenUsed/>
    <w:qFormat/>
    <w:rsid w:val="001F1D0F"/>
    <w:pPr>
      <w:spacing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1F1D0F"/>
    <w:pPr>
      <w:spacing w:after="100"/>
    </w:pPr>
  </w:style>
  <w:style w:type="paragraph" w:styleId="TOC2">
    <w:name w:val="toc 2"/>
    <w:basedOn w:val="Normal"/>
    <w:next w:val="Normal"/>
    <w:autoRedefine/>
    <w:uiPriority w:val="39"/>
    <w:unhideWhenUsed/>
    <w:rsid w:val="001F1D0F"/>
    <w:pPr>
      <w:spacing w:after="100"/>
      <w:ind w:left="240"/>
    </w:pPr>
  </w:style>
  <w:style w:type="paragraph" w:styleId="TOC3">
    <w:name w:val="toc 3"/>
    <w:basedOn w:val="Normal"/>
    <w:next w:val="Normal"/>
    <w:autoRedefine/>
    <w:uiPriority w:val="39"/>
    <w:unhideWhenUsed/>
    <w:rsid w:val="001F1D0F"/>
    <w:pPr>
      <w:spacing w:after="100"/>
      <w:ind w:left="480"/>
    </w:pPr>
  </w:style>
  <w:style w:type="character" w:styleId="Hyperlink">
    <w:name w:val="Hyperlink"/>
    <w:basedOn w:val="DefaultParagraphFont"/>
    <w:uiPriority w:val="99"/>
    <w:unhideWhenUsed/>
    <w:rsid w:val="001F1D0F"/>
    <w:rPr>
      <w:color w:val="0563C1" w:themeColor="hyperlink"/>
      <w:u w:val="single"/>
    </w:rPr>
  </w:style>
  <w:style w:type="paragraph" w:styleId="BalloonText">
    <w:name w:val="Balloon Text"/>
    <w:basedOn w:val="Normal"/>
    <w:link w:val="BalloonTextChar"/>
    <w:uiPriority w:val="99"/>
    <w:semiHidden/>
    <w:unhideWhenUsed/>
    <w:rsid w:val="002E2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FB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1E5CB-5F26-4168-9E4A-3385669E2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2435</Words>
  <Characters>13883</Characters>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lastModifiedBy>
  <dcterms:created xsi:type="dcterms:W3CDTF">2022-10-19T21:40:00Z</dcterms:created>
  <dcterms:modified xsi:type="dcterms:W3CDTF">2022-10-22T01:48:00Z</dcterms:modified>
</cp:coreProperties>
</file>