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sdt>
      <w:sdtPr>
        <w:id w:val="2129659715"/>
        <w:docPartObj>
          <w:docPartGallery w:val="Cover Pages"/>
          <w:docPartUnique/>
        </w:docPartObj>
      </w:sdtPr>
      <w:sdtContent>
        <w:p w:rsidR="002054B9" w:rsidRDefault="002054B9" w14:paraId="225DE3F8" w14:textId="77777777">
          <w:r>
            <w:rPr>
              <w:noProof/>
              <w:lang w:eastAsia="en-GB"/>
            </w:rPr>
            <mc:AlternateContent>
              <mc:Choice Requires="wpg">
                <w:drawing>
                  <wp:anchor distT="0" distB="0" distL="114300" distR="114300" simplePos="0" relativeHeight="251659264" behindDoc="1" locked="0" layoutInCell="1" allowOverlap="1" wp14:anchorId="1F74C78C" wp14:editId="5E180FA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2054B9" w:rsidRDefault="002054B9" w14:paraId="5C1DC360" w14:textId="77777777">
                                      <w:pPr>
                                        <w:pStyle w:val="NoSpacing"/>
                                        <w:rPr>
                                          <w:color w:val="FFFFFF" w:themeColor="background1"/>
                                          <w:sz w:val="32"/>
                                          <w:szCs w:val="32"/>
                                        </w:rPr>
                                      </w:pPr>
                                      <w:r>
                                        <w:rPr>
                                          <w:color w:val="FFFFFF" w:themeColor="background1"/>
                                          <w:sz w:val="32"/>
                                          <w:szCs w:val="32"/>
                                        </w:rPr>
                                        <w:t>Thomas Llewellyn (1706822)</w:t>
                                      </w:r>
                                    </w:p>
                                  </w:sdtContent>
                                </w:sdt>
                                <w:p w:rsidR="002054B9" w:rsidRDefault="002054B9" w14:paraId="7CDD12D0" w14:textId="7777777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2054B9" w:rsidRDefault="002054B9" w14:paraId="34332C05" w14:textId="77777777">
                                      <w:pPr>
                                        <w:pStyle w:val="NoSpacing"/>
                                        <w:pBdr>
                                          <w:bottom w:val="single" w:color="7F7F7F" w:themeColor="text1" w:themeTint="80" w:sz="6" w:space="4"/>
                                        </w:pBdr>
                                        <w:rPr>
                                          <w:rFonts w:asciiTheme="majorHAnsi" w:hAnsiTheme="majorHAnsi" w:eastAsiaTheme="majorEastAsia" w:cstheme="majorBidi"/>
                                          <w:color w:val="595959" w:themeColor="text1" w:themeTint="A6"/>
                                          <w:sz w:val="108"/>
                                          <w:szCs w:val="108"/>
                                        </w:rPr>
                                      </w:pPr>
                                      <w:r>
                                        <w:rPr>
                                          <w:rFonts w:asciiTheme="majorHAnsi" w:hAnsiTheme="majorHAnsi" w:eastAsiaTheme="majorEastAsia" w:cstheme="majorBidi"/>
                                          <w:color w:val="595959" w:themeColor="text1" w:themeTint="A6"/>
                                          <w:sz w:val="108"/>
                                          <w:szCs w:val="108"/>
                                        </w:rPr>
                                        <w:t xml:space="preserve">ECAD5001 </w:t>
                                      </w:r>
                                    </w:p>
                                  </w:sdtContent>
                                </w:sdt>
                                <w:sdt>
                                  <w:sdtPr>
                                    <w:rPr>
                                      <w:caps/>
                                      <w:color w:val="1485A4"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2054B9" w:rsidRDefault="002054B9" w14:paraId="2A2C937C" w14:textId="77777777">
                                      <w:pPr>
                                        <w:pStyle w:val="NoSpacing"/>
                                        <w:spacing w:before="240"/>
                                        <w:rPr>
                                          <w:caps/>
                                          <w:color w:val="1485A4" w:themeColor="text2"/>
                                          <w:sz w:val="36"/>
                                          <w:szCs w:val="36"/>
                                        </w:rPr>
                                      </w:pPr>
                                      <w:r w:rsidRPr="002054B9">
                                        <w:rPr>
                                          <w:caps/>
                                          <w:color w:val="1485A4" w:themeColor="text2"/>
                                          <w:sz w:val="36"/>
                                          <w:szCs w:val="36"/>
                                        </w:rPr>
                                        <w:t>Discuss the importance and effectiveness of developing Assessment for Learning throughout the primary school, including critical analysis of personal implementation of ONE AfL strategy from Professional Teaching Experience.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spid="_x0000_s1026" w14:anchorId="1F74C7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style="position:absolute;top:73152;width:68580;height:1431;visibility:visible;mso-wrap-style:square;v-text-anchor:middle" o:spid="_x0000_s1027" fillcolor="#1cade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v:rect id="Rectangle 121" style="position:absolute;top:74390;width:68580;height:18327;visibility:visible;mso-wrap-style:square;v-text-anchor:bottom" o:spid="_x0000_s1028" fillcolor="#2683c6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2054B9" w:rsidRDefault="002054B9" w14:paraId="5C1DC360" w14:textId="77777777">
                                <w:pPr>
                                  <w:pStyle w:val="NoSpacing"/>
                                  <w:rPr>
                                    <w:color w:val="FFFFFF" w:themeColor="background1"/>
                                    <w:sz w:val="32"/>
                                    <w:szCs w:val="32"/>
                                  </w:rPr>
                                </w:pPr>
                                <w:r>
                                  <w:rPr>
                                    <w:color w:val="FFFFFF" w:themeColor="background1"/>
                                    <w:sz w:val="32"/>
                                    <w:szCs w:val="32"/>
                                  </w:rPr>
                                  <w:t>Thomas Llewellyn (1706822)</w:t>
                                </w:r>
                              </w:p>
                            </w:sdtContent>
                          </w:sdt>
                          <w:p w:rsidR="002054B9" w:rsidRDefault="002054B9" w14:paraId="7CDD12D0" w14:textId="7777777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style="position:absolute;width:68580;height:73152;visibility:visible;mso-wrap-style:square;v-text-anchor:middle" o:spid="_x0000_s1029"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v:textbox inset="36pt,36pt,36pt,36pt">
                        <w:txbxContent>
                          <w:sdt>
                            <w:sdtPr>
                              <w:rPr>
                                <w:rFonts w:asciiTheme="majorHAnsi" w:hAnsiTheme="majorHAnsi" w:eastAsiaTheme="majorEastAsia"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2054B9" w:rsidRDefault="002054B9" w14:paraId="34332C05" w14:textId="77777777">
                                <w:pPr>
                                  <w:pStyle w:val="NoSpacing"/>
                                  <w:pBdr>
                                    <w:bottom w:val="single" w:color="7F7F7F" w:themeColor="text1" w:themeTint="80" w:sz="6" w:space="4"/>
                                  </w:pBdr>
                                  <w:rPr>
                                    <w:rFonts w:asciiTheme="majorHAnsi" w:hAnsiTheme="majorHAnsi" w:eastAsiaTheme="majorEastAsia" w:cstheme="majorBidi"/>
                                    <w:color w:val="595959" w:themeColor="text1" w:themeTint="A6"/>
                                    <w:sz w:val="108"/>
                                    <w:szCs w:val="108"/>
                                  </w:rPr>
                                </w:pPr>
                                <w:r>
                                  <w:rPr>
                                    <w:rFonts w:asciiTheme="majorHAnsi" w:hAnsiTheme="majorHAnsi" w:eastAsiaTheme="majorEastAsia" w:cstheme="majorBidi"/>
                                    <w:color w:val="595959" w:themeColor="text1" w:themeTint="A6"/>
                                    <w:sz w:val="108"/>
                                    <w:szCs w:val="108"/>
                                  </w:rPr>
                                  <w:t xml:space="preserve">ECAD5001 </w:t>
                                </w:r>
                              </w:p>
                            </w:sdtContent>
                          </w:sdt>
                          <w:sdt>
                            <w:sdtPr>
                              <w:rPr>
                                <w:caps/>
                                <w:color w:val="1485A4"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2054B9" w:rsidRDefault="002054B9" w14:paraId="2A2C937C" w14:textId="77777777">
                                <w:pPr>
                                  <w:pStyle w:val="NoSpacing"/>
                                  <w:spacing w:before="240"/>
                                  <w:rPr>
                                    <w:caps/>
                                    <w:color w:val="1485A4" w:themeColor="text2"/>
                                    <w:sz w:val="36"/>
                                    <w:szCs w:val="36"/>
                                  </w:rPr>
                                </w:pPr>
                                <w:r w:rsidRPr="002054B9">
                                  <w:rPr>
                                    <w:caps/>
                                    <w:color w:val="1485A4" w:themeColor="text2"/>
                                    <w:sz w:val="36"/>
                                    <w:szCs w:val="36"/>
                                  </w:rPr>
                                  <w:t>Discuss the importance and effectiveness of developing Assessment for Learning throughout the primary school, including critical analysis of personal implementation of ONE AfL strategy from Professional Teaching Experience.</w:t>
                                </w:r>
                              </w:p>
                            </w:sdtContent>
                          </w:sdt>
                        </w:txbxContent>
                      </v:textbox>
                    </v:shape>
                    <w10:wrap anchorx="page" anchory="page"/>
                  </v:group>
                </w:pict>
              </mc:Fallback>
            </mc:AlternateContent>
          </w:r>
        </w:p>
        <w:p w:rsidR="002054B9" w:rsidRDefault="002054B9" w14:paraId="06FF5B9E" w14:textId="77777777">
          <w:r>
            <w:br w:type="page"/>
          </w:r>
        </w:p>
      </w:sdtContent>
    </w:sdt>
    <w:p w:rsidR="002054B9" w:rsidP="16EF18E6" w:rsidRDefault="002054B9" w14:noSpellErr="1" w14:paraId="556E8ED4" w14:textId="3162F0C3">
      <w:pPr>
        <w:rPr>
          <w:rFonts w:ascii="Calibri" w:hAnsi="Calibri" w:cs="Calibri"/>
          <w:b w:val="1"/>
          <w:bCs w:val="1"/>
          <w:sz w:val="24"/>
          <w:szCs w:val="24"/>
        </w:rPr>
      </w:pPr>
    </w:p>
    <w:p w:rsidR="002054B9" w:rsidP="16EF18E6" w:rsidRDefault="002054B9" w14:noSpellErr="1" w14:paraId="6CA2F03F" w14:textId="2623C30E">
      <w:pPr>
        <w:rPr>
          <w:rFonts w:ascii="Calibri" w:hAnsi="Calibri" w:cs="Calibri"/>
          <w:b w:val="1"/>
          <w:bCs w:val="1"/>
          <w:sz w:val="24"/>
          <w:szCs w:val="24"/>
        </w:rPr>
      </w:pPr>
    </w:p>
    <w:p w:rsidR="002054B9" w:rsidP="16EF18E6" w:rsidRDefault="002054B9" w14:noSpellErr="1" w14:paraId="2E8822FC" w14:textId="58C080B3">
      <w:pPr>
        <w:pStyle w:val="Normal"/>
      </w:pPr>
      <w:r>
        <w:drawing>
          <wp:inline wp14:editId="7E347A72" wp14:anchorId="0623CADC">
            <wp:extent cx="5334000" cy="6252782"/>
            <wp:effectExtent l="0" t="0" r="0" b="0"/>
            <wp:docPr id="1874281341" name="Picture" title=""/>
            <wp:cNvGraphicFramePr>
              <a:graphicFrameLocks noChangeAspect="1"/>
            </wp:cNvGraphicFramePr>
            <a:graphic>
              <a:graphicData uri="http://schemas.openxmlformats.org/drawingml/2006/picture">
                <pic:pic>
                  <pic:nvPicPr>
                    <pic:cNvPr id="0" name="Picture"/>
                    <pic:cNvPicPr/>
                  </pic:nvPicPr>
                  <pic:blipFill>
                    <a:blip r:embed="R121d76d5f106469e">
                      <a:extLst>
                        <a:ext xmlns:a="http://schemas.openxmlformats.org/drawingml/2006/main" uri="{28A0092B-C50C-407E-A947-70E740481C1C}">
                          <a14:useLocalDpi val="0"/>
                        </a:ext>
                      </a:extLst>
                    </a:blip>
                    <a:srcRect l="9791" t="12962" r="52709" b="8888"/>
                    <a:stretch>
                      <a:fillRect/>
                    </a:stretch>
                  </pic:blipFill>
                  <pic:spPr xmlns:pic="http://schemas.openxmlformats.org/drawingml/2006/picture">
                    <a:xfrm xmlns:a="http://schemas.openxmlformats.org/drawingml/2006/main" rot="0" flipH="0" flipV="0">
                      <a:off x="0" y="0"/>
                      <a:ext cx="5334000" cy="6252782"/>
                    </a:xfrm>
                    <a:prstGeom xmlns:a="http://schemas.openxmlformats.org/drawingml/2006/main" prst="rect">
                      <a:avLst/>
                    </a:prstGeom>
                  </pic:spPr>
                </pic:pic>
              </a:graphicData>
            </a:graphic>
          </wp:inline>
        </w:drawing>
      </w:r>
    </w:p>
    <w:p w:rsidR="002054B9" w:rsidP="16EF18E6" w:rsidRDefault="002054B9" w14:noSpellErr="1" w14:paraId="1D06BA7B" w14:textId="79E222EC">
      <w:pPr>
        <w:rPr>
          <w:rFonts w:ascii="Calibri" w:hAnsi="Calibri" w:cs="Calibri"/>
          <w:b w:val="1"/>
          <w:bCs w:val="1"/>
          <w:sz w:val="24"/>
          <w:szCs w:val="24"/>
        </w:rPr>
      </w:pPr>
    </w:p>
    <w:p w:rsidR="002054B9" w:rsidP="16EF18E6" w:rsidRDefault="002054B9" w14:noSpellErr="1" w14:paraId="0C89770C" w14:textId="4E37D10A">
      <w:pPr>
        <w:rPr>
          <w:rFonts w:ascii="Calibri" w:hAnsi="Calibri" w:cs="Calibri"/>
          <w:b w:val="1"/>
          <w:bCs w:val="1"/>
          <w:sz w:val="24"/>
          <w:szCs w:val="24"/>
        </w:rPr>
      </w:pPr>
    </w:p>
    <w:p w:rsidR="002054B9" w:rsidP="16EF18E6" w:rsidRDefault="002054B9" w14:noSpellErr="1" w14:paraId="3E615725" w14:textId="4F6FC278">
      <w:pPr>
        <w:rPr>
          <w:rFonts w:ascii="Calibri" w:hAnsi="Calibri" w:cs="Calibri"/>
          <w:b w:val="1"/>
          <w:bCs w:val="1"/>
          <w:sz w:val="24"/>
          <w:szCs w:val="24"/>
        </w:rPr>
      </w:pPr>
    </w:p>
    <w:p w:rsidR="002054B9" w:rsidP="16EF18E6" w:rsidRDefault="002054B9" w14:noSpellErr="1" w14:paraId="1CDCDAB2" w14:textId="6881C9DD">
      <w:pPr>
        <w:rPr>
          <w:rFonts w:ascii="Calibri" w:hAnsi="Calibri" w:cs="Calibri"/>
          <w:b w:val="1"/>
          <w:bCs w:val="1"/>
          <w:sz w:val="24"/>
          <w:szCs w:val="24"/>
        </w:rPr>
      </w:pPr>
    </w:p>
    <w:p w:rsidR="002054B9" w:rsidP="16EF18E6" w:rsidRDefault="002054B9" w14:noSpellErr="1" w14:paraId="66A590BA" w14:textId="53A97372">
      <w:pPr>
        <w:rPr>
          <w:rFonts w:ascii="Calibri" w:hAnsi="Calibri" w:cs="Calibri"/>
          <w:b w:val="1"/>
          <w:bCs w:val="1"/>
          <w:sz w:val="24"/>
          <w:szCs w:val="24"/>
        </w:rPr>
      </w:pPr>
    </w:p>
    <w:p w:rsidR="002054B9" w:rsidP="16EF18E6" w:rsidRDefault="002054B9" w14:paraId="0D6A6A8F" w14:noSpellErr="1" w14:textId="2AAC45F9">
      <w:pPr>
        <w:pStyle w:val="Normal"/>
        <w:rPr>
          <w:rFonts w:ascii="Calibri" w:hAnsi="Calibri" w:cs="Calibri"/>
          <w:b w:val="1"/>
          <w:bCs w:val="1"/>
          <w:sz w:val="24"/>
          <w:szCs w:val="24"/>
        </w:rPr>
      </w:pPr>
      <w:r w:rsidRPr="16EF18E6" w:rsidR="16EF18E6">
        <w:rPr>
          <w:rFonts w:ascii="Calibri" w:hAnsi="Calibri" w:cs="Calibri"/>
          <w:b w:val="1"/>
          <w:bCs w:val="1"/>
          <w:sz w:val="24"/>
          <w:szCs w:val="24"/>
        </w:rPr>
        <w:t xml:space="preserve">Introduction </w:t>
      </w:r>
    </w:p>
    <w:p w:rsidR="002054B9" w:rsidRDefault="002054B9" w14:paraId="46869F3B" w14:textId="77777777">
      <w:pPr>
        <w:rPr>
          <w:rFonts w:ascii="Calibri" w:hAnsi="Calibri" w:cs="Calibri"/>
        </w:rPr>
      </w:pPr>
      <w:r>
        <w:rPr>
          <w:rFonts w:ascii="Calibri" w:hAnsi="Calibri" w:cs="Calibri"/>
        </w:rPr>
        <w:t xml:space="preserve">AFL (Assessment for Learning) </w:t>
      </w:r>
      <w:r w:rsidR="001758F5">
        <w:rPr>
          <w:rFonts w:ascii="Calibri" w:hAnsi="Calibri" w:cs="Calibri"/>
        </w:rPr>
        <w:t xml:space="preserve">is the awareness </w:t>
      </w:r>
      <w:r>
        <w:rPr>
          <w:rFonts w:ascii="Calibri" w:hAnsi="Calibri" w:cs="Calibri"/>
        </w:rPr>
        <w:t>of a learners understanding</w:t>
      </w:r>
      <w:r w:rsidR="00DF3FCC">
        <w:rPr>
          <w:rFonts w:ascii="Calibri" w:hAnsi="Calibri" w:cs="Calibri"/>
        </w:rPr>
        <w:t xml:space="preserve"> and adapting to those learners needs, whether the child is high ability and requires additional challenging, to the lower ability who are continuously struggling in certain areas</w:t>
      </w:r>
      <w:r w:rsidR="000557FE">
        <w:rPr>
          <w:rFonts w:ascii="Calibri" w:hAnsi="Calibri" w:cs="Calibri"/>
        </w:rPr>
        <w:t xml:space="preserve">. Paul Black and Dylan Wiliam both support this through their document </w:t>
      </w:r>
      <w:r w:rsidR="000557FE">
        <w:rPr>
          <w:rFonts w:ascii="Calibri" w:hAnsi="Calibri" w:cs="Calibri"/>
          <w:i/>
        </w:rPr>
        <w:t>Inside the black box (1998)</w:t>
      </w:r>
      <w:r w:rsidR="00DF3FCC">
        <w:rPr>
          <w:rFonts w:ascii="Calibri" w:hAnsi="Calibri" w:cs="Calibri"/>
        </w:rPr>
        <w:t xml:space="preserve"> </w:t>
      </w:r>
      <w:r w:rsidR="000557FE">
        <w:rPr>
          <w:rFonts w:ascii="Calibri" w:hAnsi="Calibri" w:cs="Calibri"/>
        </w:rPr>
        <w:t>where it states:</w:t>
      </w:r>
    </w:p>
    <w:p w:rsidR="000557FE" w:rsidP="000557FE" w:rsidRDefault="000557FE" w14:paraId="35976583" w14:textId="77777777">
      <w:pPr>
        <w:ind w:left="720"/>
        <w:rPr>
          <w:rFonts w:ascii="Calibri" w:hAnsi="Calibri" w:cs="Calibri"/>
        </w:rPr>
      </w:pPr>
      <w:r>
        <w:rPr>
          <w:rFonts w:ascii="Calibri" w:hAnsi="Calibri" w:cs="Calibri"/>
        </w:rPr>
        <w:t xml:space="preserve">The term ‘assessment’ refers to all those activities undertaken by teachers, </w:t>
      </w:r>
      <w:r>
        <w:rPr>
          <w:rFonts w:ascii="Calibri" w:hAnsi="Calibri" w:cs="Calibri"/>
          <w:i/>
        </w:rPr>
        <w:t xml:space="preserve">and by their students in assessing themselves, </w:t>
      </w:r>
      <w:r>
        <w:rPr>
          <w:rFonts w:ascii="Calibri" w:hAnsi="Calibri" w:cs="Calibri"/>
        </w:rPr>
        <w:t xml:space="preserve">which provide information to be used as feedback to modify the teaching and learning activities in which they are engaged </w:t>
      </w:r>
      <w:r w:rsidR="000D0FD2">
        <w:rPr>
          <w:rFonts w:ascii="Calibri" w:hAnsi="Calibri" w:cs="Calibri"/>
        </w:rPr>
        <w:t>(Black and Wiliam, 1998, pp. 2).</w:t>
      </w:r>
    </w:p>
    <w:p w:rsidR="2F83E44B" w:rsidP="16EF18E6" w:rsidRDefault="2F83E44B" w14:paraId="0E80B8D1" w14:textId="7EED2C23">
      <w:pPr>
        <w:pStyle w:val="Normal"/>
        <w:rPr>
          <w:rFonts w:ascii="Calibri" w:hAnsi="Calibri" w:cs="Calibri"/>
        </w:rPr>
      </w:pPr>
      <w:r w:rsidRPr="16EF18E6" w:rsidR="16EF18E6">
        <w:rPr>
          <w:rFonts w:ascii="Calibri" w:hAnsi="Calibri" w:cs="Calibri"/>
        </w:rPr>
        <w:t xml:space="preserve">This differentiation could be found from various questioning within either the introduction to the lesson or the plenary, whereas a class teacher asking how the children found the lesson/ activity and  using simple questioning may not give an accurate evaluation of the learning within the classroom and in cases not enough as children who maybe lower ability might have low self-esteem and say they understood the lesson/ activity in order to not feel foolish, whereas the high ability may have found the activity too simple therefore disengaging from future activities from overconfidence, as for the middle ability the on times go unnoticed and are often invisible to the teacher questioning.   From here the use of AFL strategies can insure inclusion from all ability groups where the class teacher may request feedback anonymously so the lower ability have the confidence to voice their opinion without the potential feeling of judgement from their peers, as for the higher ability they may state that the activity too easy, this information can be taken and applied to the next lesson, where the lower ability may revisit the subject with assistance from the class teacher/ teaching assistant while the children who found the activity too simple may be challenge with a more difficult activity to complete. This will promote confident in learners and allow them to express themselves more honestly in both future questioning and learning, this is crucial for the new curriculum as AFL strategies can help develop two if the four purposes of Professor Graham Donaldson report </w:t>
      </w:r>
      <w:r w:rsidRPr="16EF18E6" w:rsidR="16EF18E6">
        <w:rPr>
          <w:rFonts w:ascii="Calibri" w:hAnsi="Calibri" w:cs="Calibri"/>
          <w:i w:val="1"/>
          <w:iCs w:val="1"/>
        </w:rPr>
        <w:t xml:space="preserve">successful futures </w:t>
      </w:r>
      <w:r w:rsidRPr="16EF18E6" w:rsidR="16EF18E6">
        <w:rPr>
          <w:rFonts w:ascii="Calibri" w:hAnsi="Calibri" w:cs="Calibri"/>
        </w:rPr>
        <w:t>(2015), where children can begin to be “healthy, confident individuals” which they can then becoming “ambitious, capable learners” (Donaldson, 2015, pp.29- 30). “Student responses provide the bases for inferring the depth of their learning” (Sadler, D R, 2013), supports the writers statement on differentiation through AFL as the more the learners question the deeper the understanding the teacher can provide through answering said question, Robert Coe also supports this when he says “learning happens when people have to think hard” (Coe, R, 2015), where the learners will need to deeply consider the questions they ask the class teacher to further deepen their understanding of the activity, Robert Coe’ quote also applies when higher ability children are challenged with a task which was devised from their feedback from a previous lesson, also for the lower ability activating prior knowledge to deepen their understanding of the skills from a task/ activity. One of the key four strands of ALF is self and peer assessment, where learners will undergo the evaluation of their own work and the work of their peers, such activities will include the learners analysing a piece of their work and providing comments, usually a positive and a negative. This shows the learner where they can develop from their personal comment, D. Royce Sadler believes that “</w:t>
      </w:r>
      <w:r w:rsidRPr="16EF18E6" w:rsidR="16EF18E6">
        <w:rPr>
          <w:rFonts w:ascii="Calibri" w:hAnsi="Calibri" w:eastAsia="Calibri" w:cs="Calibri"/>
          <w:noProof w:val="0"/>
          <w:sz w:val="22"/>
          <w:szCs w:val="22"/>
          <w:lang w:val="en-GB"/>
        </w:rPr>
        <w:t>in order to develop and become competent and confident in self-assessment, students need experience in doing it independently of their teachers and peers.” (</w:t>
      </w:r>
      <w:r w:rsidRPr="16EF18E6" w:rsidR="16EF18E6">
        <w:rPr>
          <w:rFonts w:ascii="Calibri" w:hAnsi="Calibri" w:cs="Calibri"/>
        </w:rPr>
        <w:t xml:space="preserve">2013). However, David </w:t>
      </w:r>
      <w:proofErr w:type="spellStart"/>
      <w:r w:rsidRPr="16EF18E6" w:rsidR="16EF18E6">
        <w:rPr>
          <w:rFonts w:ascii="Calibri" w:hAnsi="Calibri" w:cs="Calibri"/>
        </w:rPr>
        <w:t>Didau</w:t>
      </w:r>
      <w:proofErr w:type="spellEnd"/>
      <w:r w:rsidRPr="16EF18E6" w:rsidR="16EF18E6">
        <w:rPr>
          <w:rFonts w:ascii="Calibri" w:hAnsi="Calibri" w:cs="Calibri"/>
        </w:rPr>
        <w:t xml:space="preserve"> disagrees with the concept of ALF as he states “I don’t believe in tick lists, I don’t believe there is a strategy or a thing that you can do. I am very much about finding your own lists”</w:t>
      </w:r>
      <w:r w:rsidRPr="16EF18E6" w:rsidR="16EF18E6">
        <w:rPr>
          <w:rFonts w:ascii="Calibri" w:hAnsi="Calibri" w:eastAsia="Calibri" w:cs="Calibri"/>
          <w:noProof w:val="0"/>
          <w:sz w:val="22"/>
          <w:szCs w:val="22"/>
          <w:lang w:val="en-GB"/>
        </w:rPr>
        <w:t>(</w:t>
      </w:r>
      <w:proofErr w:type="spellStart"/>
      <w:r w:rsidRPr="16EF18E6" w:rsidR="16EF18E6">
        <w:rPr>
          <w:rFonts w:ascii="Calibri" w:hAnsi="Calibri" w:eastAsia="Calibri" w:cs="Calibri"/>
          <w:noProof w:val="0"/>
          <w:sz w:val="22"/>
          <w:szCs w:val="22"/>
          <w:lang w:val="en-GB"/>
        </w:rPr>
        <w:t>Didau</w:t>
      </w:r>
      <w:proofErr w:type="spellEnd"/>
      <w:r w:rsidRPr="16EF18E6" w:rsidR="16EF18E6">
        <w:rPr>
          <w:rFonts w:ascii="Calibri" w:hAnsi="Calibri" w:eastAsia="Calibri" w:cs="Calibri"/>
          <w:noProof w:val="0"/>
          <w:sz w:val="22"/>
          <w:szCs w:val="22"/>
          <w:lang w:val="en-GB"/>
        </w:rPr>
        <w:t>, 2018</w:t>
      </w:r>
      <w:r w:rsidRPr="16EF18E6" w:rsidR="16EF18E6">
        <w:rPr>
          <w:rFonts w:ascii="Calibri" w:hAnsi="Calibri" w:eastAsia="Calibri" w:cs="Calibri"/>
          <w:noProof w:val="0"/>
          <w:sz w:val="19"/>
          <w:szCs w:val="19"/>
          <w:lang w:val="en-GB"/>
        </w:rPr>
        <w:t>)</w:t>
      </w:r>
      <w:r w:rsidRPr="16EF18E6" w:rsidR="16EF18E6">
        <w:rPr>
          <w:rFonts w:ascii="Calibri" w:hAnsi="Calibri" w:cs="Calibri"/>
        </w:rPr>
        <w:t xml:space="preserve">, he feels that using the same AFL strategy cannot be used for all the children.  </w:t>
      </w:r>
    </w:p>
    <w:p w:rsidR="003252B0" w:rsidP="000D0FD2" w:rsidRDefault="003252B0" w14:paraId="20F1C432" w14:textId="77777777">
      <w:pPr>
        <w:rPr>
          <w:rFonts w:ascii="Calibri" w:hAnsi="Calibri" w:cs="Calibri"/>
        </w:rPr>
      </w:pPr>
    </w:p>
    <w:p w:rsidR="16EF18E6" w:rsidRDefault="16EF18E6" w14:noSpellErr="1" w14:paraId="42DEC1B9" w14:textId="27CCEE9E">
      <w:r>
        <w:br w:type="page"/>
      </w:r>
    </w:p>
    <w:p w:rsidRPr="003252B0" w:rsidR="003252B0" w:rsidP="2F83E44B" w:rsidRDefault="003252B0" w14:paraId="7C0EE651" w14:textId="0CEB9095">
      <w:pPr>
        <w:pStyle w:val="Normal"/>
        <w:rPr>
          <w:rFonts w:ascii="Calibri" w:hAnsi="Calibri" w:cs="Calibri"/>
          <w:b w:val="1"/>
          <w:bCs w:val="1"/>
        </w:rPr>
      </w:pPr>
      <w:r w:rsidRPr="2F83E44B" w:rsidR="2F83E44B">
        <w:rPr>
          <w:rFonts w:ascii="Calibri" w:hAnsi="Calibri" w:cs="Calibri"/>
          <w:b w:val="1"/>
          <w:bCs w:val="1"/>
        </w:rPr>
        <w:t>Main body</w:t>
      </w:r>
    </w:p>
    <w:p w:rsidRPr="00B90316" w:rsidR="000B74B6" w:rsidP="16EF18E6" w:rsidRDefault="000B74B6" w14:paraId="67D45AB6" w14:textId="4B6927D5">
      <w:pPr>
        <w:rPr>
          <w:rFonts w:ascii="Calibri" w:hAnsi="Calibri" w:cs="Calibri"/>
        </w:rPr>
      </w:pPr>
      <w:r w:rsidRPr="16EF18E6" w:rsidR="16EF18E6">
        <w:rPr>
          <w:rFonts w:ascii="Calibri" w:hAnsi="Calibri" w:cs="Calibri"/>
        </w:rPr>
        <w:t xml:space="preserve">The ALF strategy the writer has used is </w:t>
      </w:r>
      <w:proofErr w:type="gramStart"/>
      <w:r w:rsidRPr="16EF18E6" w:rsidR="16EF18E6">
        <w:rPr>
          <w:rFonts w:ascii="Calibri" w:hAnsi="Calibri" w:cs="Calibri"/>
        </w:rPr>
        <w:t>similar to</w:t>
      </w:r>
      <w:proofErr w:type="gramEnd"/>
      <w:r w:rsidRPr="16EF18E6" w:rsidR="16EF18E6">
        <w:rPr>
          <w:rFonts w:ascii="Calibri" w:hAnsi="Calibri" w:cs="Calibri"/>
        </w:rPr>
        <w:t xml:space="preserve"> the smiley face slips, where the learners will colour in the appropriate face according to their understanding of the activity, green for good understanding, yellow for might require help and red for no understanding and a comment. The way the writers ALF strategy is </w:t>
      </w:r>
      <w:proofErr w:type="gramStart"/>
      <w:r w:rsidRPr="16EF18E6" w:rsidR="16EF18E6">
        <w:rPr>
          <w:rFonts w:ascii="Calibri" w:hAnsi="Calibri" w:cs="Calibri"/>
        </w:rPr>
        <w:t>similar to</w:t>
      </w:r>
      <w:proofErr w:type="gramEnd"/>
      <w:r w:rsidRPr="16EF18E6" w:rsidR="16EF18E6">
        <w:rPr>
          <w:rFonts w:ascii="Calibri" w:hAnsi="Calibri" w:cs="Calibri"/>
        </w:rPr>
        <w:t xml:space="preserve"> the smiley face slip is that the learners were assessing their understanding of the activity and the skills entailed within and also their work itself through an aspect of the activity they enjoyed and an area where they can improve. The noticeable differences between the two strategies is that firstly, the writer only provided two faces one happy and one sad, this is because the learners use the smiley and sad face to show whether they enjoyed the activity and within the face they chose, they use the RAG rating to show their understanding of the activity, this not only gives the teacher feedback on the learner's understanding but also and insight into how the child felt about the activity and how you can use this feedback to shape future lessons, whether they really enjoyed an aspect of the lesson a teacher can use in future lessons such as a visual aid or prop, or whether an aspect of the lesson was poor or disengaging, where the teacher would speak for an extensive period of time, this strategy also links to another AFL strategy used in </w:t>
      </w:r>
      <w:proofErr w:type="spellStart"/>
      <w:r w:rsidRPr="16EF18E6" w:rsidR="16EF18E6">
        <w:rPr>
          <w:rFonts w:ascii="Calibri" w:hAnsi="Calibri" w:cs="Calibri"/>
        </w:rPr>
        <w:t>Tonnau</w:t>
      </w:r>
      <w:proofErr w:type="spellEnd"/>
      <w:r w:rsidRPr="16EF18E6" w:rsidR="16EF18E6">
        <w:rPr>
          <w:rFonts w:ascii="Calibri" w:hAnsi="Calibri" w:cs="Calibri"/>
        </w:rPr>
        <w:t xml:space="preserve"> primary school, where they implemented ‘success slips’( see appendix A for example) where children make both a positive and negative comment on their work, however, the noticeable difference between the two is that the success slips includes a learning intention and the success criteria for a lesson, whereas the smiley face slips have the learner write the success criteria</w:t>
      </w:r>
      <w:r w:rsidRPr="16EF18E6" w:rsidR="16EF18E6">
        <w:rPr>
          <w:rFonts w:ascii="Calibri" w:hAnsi="Calibri" w:cs="Calibri"/>
        </w:rPr>
        <w:t xml:space="preserve">. The success slips are an update to the skill slips prior to the current version as the acting deputy head had brought them from the primary </w:t>
      </w:r>
      <w:r w:rsidRPr="16EF18E6" w:rsidR="16EF18E6">
        <w:rPr>
          <w:rFonts w:ascii="Calibri" w:hAnsi="Calibri" w:cs="Calibri"/>
        </w:rPr>
        <w:t>school</w:t>
      </w:r>
      <w:r w:rsidRPr="16EF18E6" w:rsidR="16EF18E6">
        <w:rPr>
          <w:rFonts w:ascii="Calibri" w:hAnsi="Calibri" w:cs="Calibri"/>
        </w:rPr>
        <w:t xml:space="preserve"> he was </w:t>
      </w:r>
      <w:r w:rsidRPr="16EF18E6" w:rsidR="16EF18E6">
        <w:rPr>
          <w:rFonts w:ascii="Calibri" w:hAnsi="Calibri" w:cs="Calibri"/>
        </w:rPr>
        <w:t>previously employed in 2015</w:t>
      </w:r>
      <w:r w:rsidRPr="16EF18E6" w:rsidR="16EF18E6">
        <w:rPr>
          <w:rFonts w:ascii="Calibri" w:hAnsi="Calibri" w:cs="Calibri"/>
        </w:rPr>
        <w:t xml:space="preserve">, teachers at </w:t>
      </w:r>
      <w:r w:rsidRPr="16EF18E6" w:rsidR="16EF18E6">
        <w:rPr>
          <w:rFonts w:ascii="Calibri" w:hAnsi="Calibri" w:cs="Calibri"/>
        </w:rPr>
        <w:t xml:space="preserve">the teachers of </w:t>
      </w:r>
      <w:proofErr w:type="spellStart"/>
      <w:r w:rsidRPr="16EF18E6" w:rsidR="16EF18E6">
        <w:rPr>
          <w:rFonts w:ascii="Calibri" w:hAnsi="Calibri" w:cs="Calibri"/>
        </w:rPr>
        <w:t>Tonnau</w:t>
      </w:r>
      <w:proofErr w:type="spellEnd"/>
      <w:r w:rsidRPr="16EF18E6" w:rsidR="16EF18E6">
        <w:rPr>
          <w:rFonts w:ascii="Calibri" w:hAnsi="Calibri" w:cs="Calibri"/>
        </w:rPr>
        <w:t xml:space="preserve"> primary school have reported the </w:t>
      </w:r>
      <w:r w:rsidRPr="16EF18E6" w:rsidR="16EF18E6">
        <w:rPr>
          <w:rFonts w:ascii="Calibri" w:hAnsi="Calibri" w:cs="Calibri"/>
        </w:rPr>
        <w:t>effectiveness</w:t>
      </w:r>
      <w:r w:rsidRPr="16EF18E6" w:rsidR="16EF18E6">
        <w:rPr>
          <w:rFonts w:ascii="Calibri" w:hAnsi="Calibri" w:cs="Calibri"/>
        </w:rPr>
        <w:t xml:space="preserve"> of the success </w:t>
      </w:r>
      <w:r w:rsidRPr="16EF18E6" w:rsidR="16EF18E6">
        <w:rPr>
          <w:rFonts w:ascii="Calibri" w:hAnsi="Calibri" w:cs="Calibri"/>
        </w:rPr>
        <w:t xml:space="preserve">slips, as the learners </w:t>
      </w:r>
      <w:r w:rsidRPr="16EF18E6" w:rsidR="16EF18E6">
        <w:rPr>
          <w:rFonts w:ascii="Calibri" w:hAnsi="Calibri" w:cs="Calibri"/>
        </w:rPr>
        <w:t xml:space="preserve">have </w:t>
      </w:r>
      <w:r w:rsidRPr="16EF18E6" w:rsidR="16EF18E6">
        <w:rPr>
          <w:rFonts w:ascii="Calibri" w:hAnsi="Calibri" w:cs="Calibri"/>
        </w:rPr>
        <w:t xml:space="preserve">analysed their work and the teacher has </w:t>
      </w:r>
      <w:r w:rsidRPr="16EF18E6" w:rsidR="16EF18E6">
        <w:rPr>
          <w:rFonts w:ascii="Calibri" w:hAnsi="Calibri" w:cs="Calibri"/>
        </w:rPr>
        <w:t>implemented</w:t>
      </w:r>
      <w:r w:rsidRPr="16EF18E6" w:rsidR="16EF18E6">
        <w:rPr>
          <w:rFonts w:ascii="Calibri" w:hAnsi="Calibri" w:cs="Calibri"/>
        </w:rPr>
        <w:t xml:space="preserve"> changes to future lessons</w:t>
      </w:r>
      <w:r w:rsidRPr="16EF18E6" w:rsidR="16EF18E6">
        <w:rPr>
          <w:rFonts w:ascii="Calibri" w:hAnsi="Calibri" w:cs="Calibri"/>
        </w:rPr>
        <w:t>.</w:t>
      </w:r>
      <w:r w:rsidRPr="16EF18E6" w:rsidR="16EF18E6">
        <w:rPr>
          <w:rFonts w:ascii="Calibri" w:hAnsi="Calibri" w:cs="Calibri"/>
        </w:rPr>
        <w:t xml:space="preserve"> The writer implemented this strategy into a reception class with the aim of the strategy to be carried on through to year 6, where it begins with the learner simple dictating their opinions to a teacher or member of staff who scribes their opinion to their sheet, this will develop slowly where the children will begin to scribe their own opinions and notes, beginning with very basic comments such as “I liked the  gluing ” where you would normally find in a year one class through to year 6 where the learners can fully justify why they enjoyed or didn’t enjoy an activity. The main activity this ALF strategy was chosen was for a topic lesson where the learners were junk modelling, they began by stating what they were going to build, be it a car, robot or rocket. The learners then had to draw what they wanted their model to look like, from this they had to identify parts to their modals, for example for a car they could identify parts such as doors, windows, wheels, etc. And the number of parts labelled would depend on their ability where learners of higher ability identifying 4 parts of their model whereas the lower ability are to identify 2 parts, this activity is a prime example of learners creating their own success criteria as they are creating models according to their design. The third box of the activity is for the learners to list the materials they will need for this activity, again this was differentiated as children of higher ability would use emersion writing to list the material whereas the lower ability would simply draw the materials. The second sheet is used for the learner's self-assessment which is to be completed by the learners after they have finished their junk modelling as the learner will have their picture taken and placed in the fourth box, where the learner can compare their original design to their final outcome and the can begin to fill out the final part of the sheet which is the AFL strategy the writer is highlighted (see appendix B for blank work sheet), to support this, the writer has provided an example from a learner in one of the higher ability groups within the class (see appendix C for example). The writer believes this AFL strategy would be primarily based within design and technology lessons such as the lesson highlighted as the learners will create their own success criteria and would prove difficult in other areas such as maths.</w:t>
      </w:r>
      <w:r w:rsidRPr="16EF18E6" w:rsidR="16EF18E6">
        <w:rPr>
          <w:rFonts w:ascii="Calibri" w:hAnsi="Calibri" w:cs="Calibri"/>
        </w:rPr>
        <w:t xml:space="preserve"> </w:t>
      </w:r>
      <w:bookmarkStart w:name="_GoBack" w:id="0"/>
      <w:bookmarkEnd w:id="0"/>
    </w:p>
    <w:p w:rsidR="16EF18E6" w:rsidRDefault="16EF18E6" w14:noSpellErr="1" w14:paraId="251E83F5" w14:textId="352AA23E">
      <w:r>
        <w:br w:type="page"/>
      </w:r>
    </w:p>
    <w:p w:rsidR="16EF18E6" w:rsidP="16EF18E6" w:rsidRDefault="16EF18E6" w14:noSpellErr="1" w14:paraId="38938822" w14:textId="4A6B6A28">
      <w:pPr>
        <w:pStyle w:val="Normal"/>
        <w:rPr>
          <w:rFonts w:ascii="Calibri" w:hAnsi="Calibri" w:cs="Calibri"/>
        </w:rPr>
      </w:pPr>
      <w:r w:rsidRPr="16EF18E6" w:rsidR="16EF18E6">
        <w:rPr>
          <w:rFonts w:ascii="Calibri" w:hAnsi="Calibri" w:cs="Calibri"/>
          <w:b w:val="1"/>
          <w:bCs w:val="1"/>
        </w:rPr>
        <w:t>Conclusion</w:t>
      </w:r>
    </w:p>
    <w:p w:rsidR="16EF18E6" w:rsidP="16EF18E6" w:rsidRDefault="16EF18E6" w14:paraId="15D07BCE" w14:textId="7DDDE56B">
      <w:pPr>
        <w:pStyle w:val="Normal"/>
        <w:rPr>
          <w:rFonts w:ascii="Calibri" w:hAnsi="Calibri" w:cs="Calibri"/>
          <w:b w:val="0"/>
          <w:bCs w:val="0"/>
          <w:i w:val="0"/>
          <w:iCs w:val="0"/>
        </w:rPr>
      </w:pPr>
      <w:r w:rsidRPr="16EF18E6" w:rsidR="16EF18E6">
        <w:rPr>
          <w:rFonts w:ascii="Calibri" w:hAnsi="Calibri" w:cs="Calibri"/>
          <w:b w:val="0"/>
          <w:bCs w:val="0"/>
        </w:rPr>
        <w:t>To conclude, the writers believes that the AFL strategy created and any likeness to the strategy (smiley face slips, success slips) are successful as the learners can understand show their understanding and provide somewhat feedback for the class teacher through comments such as “I liked the painting aspect” or “assembly was hard”, this leads the teacher to discuss with the learner why perhaps they found the task difficult, using student feedback to develop future lessons. Dylan William addresses David Didau’s point on how ALF takes too long with regards to results of feedback, as posted through David Didau’s post D</w:t>
      </w:r>
      <w:r w:rsidRPr="16EF18E6" w:rsidR="16EF18E6">
        <w:rPr>
          <w:rFonts w:ascii="Calibri" w:hAnsi="Calibri" w:cs="Calibri"/>
          <w:b w:val="0"/>
          <w:bCs w:val="0"/>
          <w:i w:val="1"/>
          <w:iCs w:val="1"/>
        </w:rPr>
        <w:t xml:space="preserve">ylan Wiliam’s defence of formative assessment </w:t>
      </w:r>
      <w:r w:rsidRPr="16EF18E6" w:rsidR="16EF18E6">
        <w:rPr>
          <w:rFonts w:ascii="Calibri" w:hAnsi="Calibri" w:cs="Calibri"/>
          <w:b w:val="0"/>
          <w:bCs w:val="0"/>
          <w:i w:val="0"/>
          <w:iCs w:val="0"/>
        </w:rPr>
        <w:t>(2018)</w:t>
      </w:r>
      <w:r w:rsidRPr="16EF18E6" w:rsidR="16EF18E6">
        <w:rPr>
          <w:rFonts w:ascii="Calibri" w:hAnsi="Calibri" w:cs="Calibri"/>
          <w:b w:val="0"/>
          <w:bCs w:val="0"/>
          <w:i w:val="1"/>
          <w:iCs w:val="1"/>
        </w:rPr>
        <w:t xml:space="preserve"> </w:t>
      </w:r>
      <w:r w:rsidRPr="16EF18E6" w:rsidR="16EF18E6">
        <w:rPr>
          <w:rFonts w:ascii="Calibri" w:hAnsi="Calibri" w:cs="Calibri"/>
          <w:b w:val="0"/>
          <w:bCs w:val="0"/>
        </w:rPr>
        <w:t>“</w:t>
      </w:r>
      <w:r w:rsidRPr="16EF18E6" w:rsidR="16EF18E6">
        <w:rPr>
          <w:rFonts w:ascii="Calibri" w:hAnsi="Calibri" w:eastAsia="Calibri" w:cs="Calibri"/>
          <w:noProof w:val="0"/>
          <w:color w:val="auto"/>
          <w:sz w:val="22"/>
          <w:szCs w:val="22"/>
          <w:lang w:val="en-GB"/>
        </w:rPr>
        <w:t>The problem with such an approach to teaching is that if we wait until we see the long-term evidence, it will be too late</w:t>
      </w:r>
      <w:r w:rsidRPr="16EF18E6" w:rsidR="16EF18E6">
        <w:rPr>
          <w:rFonts w:ascii="Calibri" w:hAnsi="Calibri" w:eastAsia="Calibri" w:cs="Calibri"/>
          <w:noProof w:val="0"/>
          <w:color w:val="555555"/>
          <w:sz w:val="22"/>
          <w:szCs w:val="22"/>
          <w:lang w:val="en-GB"/>
        </w:rPr>
        <w:t>.</w:t>
      </w:r>
      <w:r w:rsidRPr="16EF18E6" w:rsidR="16EF18E6">
        <w:rPr>
          <w:rFonts w:ascii="Calibri" w:hAnsi="Calibri" w:cs="Calibri"/>
          <w:b w:val="0"/>
          <w:bCs w:val="0"/>
        </w:rPr>
        <w:t xml:space="preserve">” this is one of the problems facing most AFL strategies including the writers as the strategies require time to be implemented, however the writer believes that these type of strategies (smiley face slips, success slips) should be implemented at this early stage of education (reception) as the teachers can begin to imbed the skills involve, and the learner can build and develop said skills in self-assessment as they progress through their education, however this is requires the teachers who are assigned the class in each year to aid and support both the children and the strategy develop, this is one of the drawbacks to the writers strategy  as not only is it a long term plan to develop the skill, but the support of other teachers is required to build the trust of the class to be able to complete the sheet/ slip honestly, this opinion is also shared by David </w:t>
      </w:r>
      <w:proofErr w:type="spellStart"/>
      <w:r w:rsidRPr="16EF18E6" w:rsidR="16EF18E6">
        <w:rPr>
          <w:rFonts w:ascii="Calibri" w:hAnsi="Calibri" w:cs="Calibri"/>
          <w:b w:val="0"/>
          <w:bCs w:val="0"/>
        </w:rPr>
        <w:t>Didau</w:t>
      </w:r>
      <w:proofErr w:type="spellEnd"/>
      <w:r w:rsidRPr="16EF18E6" w:rsidR="16EF18E6">
        <w:rPr>
          <w:rFonts w:ascii="Calibri" w:hAnsi="Calibri" w:cs="Calibri"/>
          <w:b w:val="0"/>
          <w:bCs w:val="0"/>
        </w:rPr>
        <w:t xml:space="preserve"> in his blog post </w:t>
      </w:r>
      <w:r w:rsidRPr="16EF18E6" w:rsidR="16EF18E6">
        <w:rPr>
          <w:rFonts w:ascii="Calibri" w:hAnsi="Calibri" w:cs="Calibri"/>
          <w:b w:val="0"/>
          <w:bCs w:val="0"/>
          <w:i w:val="1"/>
          <w:iCs w:val="1"/>
        </w:rPr>
        <w:t xml:space="preserve">Why </w:t>
      </w:r>
      <w:proofErr w:type="spellStart"/>
      <w:r w:rsidRPr="16EF18E6" w:rsidR="16EF18E6">
        <w:rPr>
          <w:rFonts w:ascii="Calibri" w:hAnsi="Calibri" w:cs="Calibri"/>
          <w:b w:val="0"/>
          <w:bCs w:val="0"/>
          <w:i w:val="1"/>
          <w:iCs w:val="1"/>
        </w:rPr>
        <w:t>AfL</w:t>
      </w:r>
      <w:proofErr w:type="spellEnd"/>
      <w:r w:rsidRPr="16EF18E6" w:rsidR="16EF18E6">
        <w:rPr>
          <w:rFonts w:ascii="Calibri" w:hAnsi="Calibri" w:cs="Calibri"/>
          <w:b w:val="0"/>
          <w:bCs w:val="0"/>
          <w:i w:val="1"/>
          <w:iCs w:val="1"/>
        </w:rPr>
        <w:t xml:space="preserve"> might be wrong, and what to do about it where he says (2018) </w:t>
      </w:r>
      <w:r w:rsidRPr="16EF18E6" w:rsidR="16EF18E6">
        <w:rPr>
          <w:rFonts w:ascii="Calibri" w:hAnsi="Calibri" w:cs="Calibri"/>
          <w:b w:val="0"/>
          <w:bCs w:val="0"/>
          <w:i w:val="0"/>
          <w:iCs w:val="0"/>
        </w:rPr>
        <w:t>where he believes that performance is effected by 2 factors one of which being</w:t>
      </w:r>
      <w:r w:rsidRPr="16EF18E6" w:rsidR="16EF18E6">
        <w:rPr>
          <w:rFonts w:ascii="Calibri" w:hAnsi="Calibri" w:cs="Calibri"/>
          <w:b w:val="0"/>
          <w:bCs w:val="0"/>
          <w:i w:val="1"/>
          <w:iCs w:val="1"/>
        </w:rPr>
        <w:t xml:space="preserve"> “</w:t>
      </w:r>
      <w:r w:rsidRPr="16EF18E6" w:rsidR="16EF18E6">
        <w:rPr>
          <w:rFonts w:ascii="Calibri" w:hAnsi="Calibri" w:eastAsia="Calibri" w:cs="Calibri"/>
          <w:noProof w:val="0"/>
          <w:sz w:val="22"/>
          <w:szCs w:val="22"/>
          <w:lang w:val="en-GB"/>
        </w:rPr>
        <w:t>performance in the classroom is highly dependent on the cues and stimuli provided by the teacher</w:t>
      </w:r>
      <w:r w:rsidRPr="16EF18E6" w:rsidR="16EF18E6">
        <w:rPr>
          <w:rFonts w:ascii="Calibri" w:hAnsi="Calibri" w:cs="Calibri"/>
          <w:b w:val="0"/>
          <w:bCs w:val="0"/>
          <w:i w:val="1"/>
          <w:iCs w:val="1"/>
        </w:rPr>
        <w:t xml:space="preserve">” </w:t>
      </w:r>
      <w:r w:rsidRPr="16EF18E6" w:rsidR="16EF18E6">
        <w:rPr>
          <w:rFonts w:ascii="Calibri" w:hAnsi="Calibri" w:cs="Calibri"/>
          <w:b w:val="0"/>
          <w:bCs w:val="0"/>
          <w:i w:val="0"/>
          <w:iCs w:val="0"/>
        </w:rPr>
        <w:t xml:space="preserve">implying that should the teacher not attempt to promote engagement in the class, then the learners will not learn, the development of the skills within the strategy included. However, this was proven so far within the lesson highlighted by the writer that the learners even at the age that they are, can already begin to use the skills in which the writer is trying to promote, one of these said skills which the writer is promoting is within the LNF in the literacy area where </w:t>
      </w:r>
      <w:r w:rsidRPr="16EF18E6" w:rsidR="16EF18E6">
        <w:rPr>
          <w:rFonts w:ascii="Calibri" w:hAnsi="Calibri" w:cs="Calibri"/>
          <w:b w:val="0"/>
          <w:bCs w:val="0"/>
          <w:i w:val="0"/>
          <w:iCs w:val="0"/>
        </w:rPr>
        <w:t xml:space="preserve">“learners are able to: express their likes and </w:t>
      </w:r>
      <w:r w:rsidRPr="16EF18E6" w:rsidR="16EF18E6">
        <w:rPr>
          <w:rFonts w:ascii="Calibri" w:hAnsi="Calibri" w:cs="Calibri"/>
          <w:b w:val="0"/>
          <w:bCs w:val="0"/>
          <w:i w:val="0"/>
          <w:iCs w:val="0"/>
        </w:rPr>
        <w:t>dislikes” (</w:t>
      </w:r>
      <w:r w:rsidRPr="16EF18E6" w:rsidR="16EF18E6">
        <w:rPr>
          <w:rFonts w:ascii="Calibri" w:hAnsi="Calibri" w:eastAsia="Calibri" w:cs="Calibri"/>
          <w:noProof w:val="0"/>
          <w:sz w:val="22"/>
          <w:szCs w:val="22"/>
          <w:lang w:val="en-GB"/>
        </w:rPr>
        <w:t>welsh government, 2014</w:t>
      </w:r>
      <w:r w:rsidRPr="16EF18E6" w:rsidR="16EF18E6">
        <w:rPr>
          <w:rFonts w:ascii="Calibri" w:hAnsi="Calibri" w:cs="Calibri"/>
          <w:b w:val="0"/>
          <w:bCs w:val="0"/>
          <w:i w:val="0"/>
          <w:iCs w:val="0"/>
        </w:rPr>
        <w:t xml:space="preserve">). Should the </w:t>
      </w:r>
      <w:r w:rsidRPr="16EF18E6" w:rsidR="16EF18E6">
        <w:rPr>
          <w:rFonts w:ascii="Calibri" w:hAnsi="Calibri" w:cs="Calibri"/>
          <w:b w:val="0"/>
          <w:bCs w:val="0"/>
          <w:i w:val="0"/>
          <w:iCs w:val="0"/>
        </w:rPr>
        <w:t>Strategy</w:t>
      </w:r>
      <w:r w:rsidRPr="16EF18E6" w:rsidR="16EF18E6">
        <w:rPr>
          <w:rFonts w:ascii="Calibri" w:hAnsi="Calibri" w:cs="Calibri"/>
          <w:b w:val="0"/>
          <w:bCs w:val="0"/>
          <w:i w:val="0"/>
          <w:iCs w:val="0"/>
        </w:rPr>
        <w:t xml:space="preserve"> be implemented </w:t>
      </w:r>
      <w:r w:rsidRPr="16EF18E6" w:rsidR="16EF18E6">
        <w:rPr>
          <w:rFonts w:ascii="Calibri" w:hAnsi="Calibri" w:cs="Calibri"/>
          <w:b w:val="0"/>
          <w:bCs w:val="0"/>
          <w:i w:val="0"/>
          <w:iCs w:val="0"/>
        </w:rPr>
        <w:t>in</w:t>
      </w:r>
      <w:r w:rsidRPr="16EF18E6" w:rsidR="16EF18E6">
        <w:rPr>
          <w:rFonts w:ascii="Calibri" w:hAnsi="Calibri" w:cs="Calibri"/>
          <w:b w:val="0"/>
          <w:bCs w:val="0"/>
          <w:i w:val="0"/>
          <w:iCs w:val="0"/>
        </w:rPr>
        <w:t xml:space="preserve"> the class, the learners should develop their confidence in voicing their opinions honestly therefore further developing social skills. Even though the AFL strategy was successful, the writer believes that the strategy can be developed further with regards to layout, </w:t>
      </w:r>
      <w:r w:rsidRPr="16EF18E6" w:rsidR="16EF18E6">
        <w:rPr>
          <w:rFonts w:ascii="Calibri" w:hAnsi="Calibri" w:cs="Calibri"/>
          <w:b w:val="0"/>
          <w:bCs w:val="0"/>
          <w:i w:val="0"/>
          <w:iCs w:val="0"/>
        </w:rPr>
        <w:t>perhaps</w:t>
      </w:r>
      <w:r w:rsidRPr="16EF18E6" w:rsidR="16EF18E6">
        <w:rPr>
          <w:rFonts w:ascii="Calibri" w:hAnsi="Calibri" w:cs="Calibri"/>
          <w:b w:val="0"/>
          <w:bCs w:val="0"/>
          <w:i w:val="0"/>
          <w:iCs w:val="0"/>
        </w:rPr>
        <w:t xml:space="preserve"> including </w:t>
      </w:r>
      <w:r w:rsidRPr="16EF18E6" w:rsidR="16EF18E6">
        <w:rPr>
          <w:rFonts w:ascii="Calibri" w:hAnsi="Calibri" w:cs="Calibri"/>
          <w:b w:val="0"/>
          <w:bCs w:val="0"/>
          <w:i w:val="0"/>
          <w:iCs w:val="0"/>
        </w:rPr>
        <w:t>a box</w:t>
      </w:r>
      <w:r w:rsidRPr="16EF18E6" w:rsidR="16EF18E6">
        <w:rPr>
          <w:rFonts w:ascii="Calibri" w:hAnsi="Calibri" w:cs="Calibri"/>
          <w:b w:val="0"/>
          <w:bCs w:val="0"/>
          <w:i w:val="0"/>
          <w:iCs w:val="0"/>
        </w:rPr>
        <w:t xml:space="preserve"> dedicated to </w:t>
      </w:r>
      <w:r w:rsidRPr="16EF18E6" w:rsidR="16EF18E6">
        <w:rPr>
          <w:rFonts w:ascii="Calibri" w:hAnsi="Calibri" w:cs="Calibri"/>
          <w:b w:val="0"/>
          <w:bCs w:val="0"/>
          <w:i w:val="0"/>
          <w:iCs w:val="0"/>
        </w:rPr>
        <w:t xml:space="preserve">the comments the learners make as </w:t>
      </w:r>
      <w:r w:rsidRPr="16EF18E6" w:rsidR="16EF18E6">
        <w:rPr>
          <w:rFonts w:ascii="Calibri" w:hAnsi="Calibri" w:cs="Calibri"/>
          <w:b w:val="0"/>
          <w:bCs w:val="0"/>
          <w:i w:val="0"/>
          <w:iCs w:val="0"/>
        </w:rPr>
        <w:t>appose</w:t>
      </w:r>
      <w:r w:rsidRPr="16EF18E6" w:rsidR="16EF18E6">
        <w:rPr>
          <w:rFonts w:ascii="Calibri" w:hAnsi="Calibri" w:cs="Calibri"/>
          <w:b w:val="0"/>
          <w:bCs w:val="0"/>
          <w:i w:val="0"/>
          <w:iCs w:val="0"/>
        </w:rPr>
        <w:t xml:space="preserve"> to the learner / scribe writing under the faces. </w:t>
      </w:r>
      <w:r w:rsidRPr="16EF18E6" w:rsidR="16EF18E6">
        <w:rPr>
          <w:rFonts w:ascii="Calibri" w:hAnsi="Calibri" w:cs="Calibri"/>
          <w:b w:val="0"/>
          <w:bCs w:val="0"/>
          <w:i w:val="0"/>
          <w:iCs w:val="0"/>
        </w:rPr>
        <w:t>Also,</w:t>
      </w:r>
      <w:r w:rsidRPr="16EF18E6" w:rsidR="16EF18E6">
        <w:rPr>
          <w:rFonts w:ascii="Calibri" w:hAnsi="Calibri" w:cs="Calibri"/>
          <w:b w:val="0"/>
          <w:bCs w:val="0"/>
          <w:i w:val="0"/>
          <w:iCs w:val="0"/>
        </w:rPr>
        <w:t xml:space="preserve"> the writer could include a key on the side of the faces for the learners, so they can refer to the key should they require assistance on filling out the sheet/ slip. The final adjustment the writer could make in future, would be to create an area for the children to briefly recap what the lesson objective was and what they hoped to achieve, however the writer </w:t>
      </w:r>
      <w:r w:rsidRPr="16EF18E6" w:rsidR="16EF18E6">
        <w:rPr>
          <w:rFonts w:ascii="Calibri" w:hAnsi="Calibri" w:cs="Calibri"/>
          <w:b w:val="0"/>
          <w:bCs w:val="0"/>
          <w:i w:val="0"/>
          <w:iCs w:val="0"/>
        </w:rPr>
        <w:t>recognises</w:t>
      </w:r>
      <w:r w:rsidRPr="16EF18E6" w:rsidR="16EF18E6">
        <w:rPr>
          <w:rFonts w:ascii="Calibri" w:hAnsi="Calibri" w:cs="Calibri"/>
          <w:b w:val="0"/>
          <w:bCs w:val="0"/>
          <w:i w:val="0"/>
          <w:iCs w:val="0"/>
        </w:rPr>
        <w:t xml:space="preserve"> that this would prove too difficult for learners in earlier year so this would be reserved for KS2 and above as they would have developed the skills to self-assess in detail.</w:t>
      </w:r>
    </w:p>
    <w:p w:rsidR="16EF18E6" w:rsidP="16EF18E6" w:rsidRDefault="16EF18E6" w14:paraId="7AD2F12C" w14:textId="10A97F17">
      <w:pPr>
        <w:pStyle w:val="Normal"/>
        <w:rPr>
          <w:rFonts w:ascii="Calibri" w:hAnsi="Calibri" w:cs="Calibri"/>
          <w:b w:val="1"/>
          <w:bCs w:val="1"/>
        </w:rPr>
      </w:pPr>
    </w:p>
    <w:p w:rsidR="000D0FD2" w:rsidP="16EF18E6" w:rsidRDefault="000D0FD2" w14:paraId="7CA1095F" w14:textId="23CBF77B">
      <w:pPr>
        <w:ind w:left="720"/>
        <w:rPr>
          <w:rFonts w:ascii="Calibri" w:hAnsi="Calibri" w:cs="Calibri"/>
        </w:rPr>
      </w:pPr>
      <w:r w:rsidRPr="16EF18E6" w:rsidR="16EF18E6">
        <w:rPr>
          <w:rFonts w:ascii="Calibri" w:hAnsi="Calibri" w:cs="Calibri"/>
        </w:rPr>
        <w:t xml:space="preserve"> </w:t>
      </w:r>
    </w:p>
    <w:p w:rsidR="000D0FD2" w:rsidRDefault="000D0FD2" w14:paraId="48F17906" w14:textId="77777777">
      <w:pPr>
        <w:rPr>
          <w:rFonts w:ascii="Calibri" w:hAnsi="Calibri" w:cs="Calibri"/>
        </w:rPr>
      </w:pPr>
      <w:r>
        <w:rPr>
          <w:rFonts w:ascii="Calibri" w:hAnsi="Calibri" w:cs="Calibri"/>
        </w:rPr>
        <w:br w:type="page"/>
      </w:r>
    </w:p>
    <w:p w:rsidRPr="000D0FD2" w:rsidR="000D0FD2" w:rsidP="000557FE" w:rsidRDefault="000D0FD2" w14:paraId="72BCAA3A" w14:textId="77777777">
      <w:pPr>
        <w:ind w:left="720"/>
        <w:rPr>
          <w:rFonts w:ascii="Calibri" w:hAnsi="Calibri" w:cs="Calibri"/>
          <w:b/>
        </w:rPr>
      </w:pPr>
      <w:r w:rsidRPr="000D0FD2">
        <w:rPr>
          <w:rFonts w:ascii="Calibri" w:hAnsi="Calibri" w:cs="Calibri"/>
          <w:b/>
        </w:rPr>
        <w:lastRenderedPageBreak/>
        <w:t>Reference list</w:t>
      </w:r>
    </w:p>
    <w:p w:rsidR="000D0FD2" w:rsidP="746CF07D" w:rsidRDefault="000D0FD2" w14:paraId="4ADB651C" w14:textId="77777777" w14:noSpellErr="1">
      <w:pPr>
        <w:pStyle w:val="ListParagraph"/>
        <w:numPr>
          <w:ilvl w:val="1"/>
          <w:numId w:val="1"/>
        </w:numPr>
        <w:ind/>
        <w:rPr>
          <w:sz w:val="22"/>
          <w:szCs w:val="22"/>
        </w:rPr>
      </w:pPr>
      <w:r w:rsidRPr="746CF07D" w:rsidR="746CF07D">
        <w:rPr>
          <w:rFonts w:ascii="Calibri" w:hAnsi="Calibri" w:cs="Calibri"/>
        </w:rPr>
        <w:t xml:space="preserve">Black, P &amp; Wiliam, D </w:t>
      </w:r>
      <w:r w:rsidRPr="746CF07D" w:rsidR="746CF07D">
        <w:rPr>
          <w:rFonts w:ascii="Calibri" w:hAnsi="Calibri" w:cs="Calibri"/>
        </w:rPr>
        <w:t>(</w:t>
      </w:r>
      <w:r w:rsidRPr="746CF07D" w:rsidR="746CF07D">
        <w:rPr>
          <w:rFonts w:ascii="Calibri" w:hAnsi="Calibri" w:cs="Calibri"/>
        </w:rPr>
        <w:t>1998</w:t>
      </w:r>
      <w:r w:rsidRPr="746CF07D" w:rsidR="746CF07D">
        <w:rPr>
          <w:rFonts w:ascii="Calibri" w:hAnsi="Calibri" w:cs="Calibri"/>
        </w:rPr>
        <w:t>)</w:t>
      </w:r>
      <w:r w:rsidRPr="746CF07D" w:rsidR="746CF07D">
        <w:rPr>
          <w:rFonts w:ascii="Calibri" w:hAnsi="Calibri" w:cs="Calibri"/>
        </w:rPr>
        <w:t xml:space="preserve">, </w:t>
      </w:r>
      <w:r w:rsidRPr="746CF07D" w:rsidR="746CF07D">
        <w:rPr>
          <w:rFonts w:ascii="Calibri" w:hAnsi="Calibri" w:cs="Calibri"/>
          <w:i w:val="1"/>
          <w:iCs w:val="1"/>
        </w:rPr>
        <w:t>Inside the Black Box: Raising standards through classroom assessment</w:t>
      </w:r>
      <w:r w:rsidRPr="746CF07D" w:rsidR="746CF07D">
        <w:rPr>
          <w:rFonts w:ascii="Calibri" w:hAnsi="Calibri" w:cs="Calibri"/>
        </w:rPr>
        <w:t>, School of Education, King’s College, London, United Kingdom.</w:t>
      </w:r>
    </w:p>
    <w:p w:rsidR="00BD5E56" w:rsidP="746CF07D" w:rsidRDefault="00BD5E56" w14:paraId="570456E7" w14:textId="48FDCA55" w14:noSpellErr="1">
      <w:pPr>
        <w:pStyle w:val="ListParagraph"/>
        <w:numPr>
          <w:ilvl w:val="1"/>
          <w:numId w:val="1"/>
        </w:numPr>
        <w:ind/>
        <w:rPr>
          <w:sz w:val="22"/>
          <w:szCs w:val="22"/>
        </w:rPr>
      </w:pPr>
      <w:r w:rsidRPr="16EF18E6" w:rsidR="16EF18E6">
        <w:rPr>
          <w:rFonts w:ascii="Calibri" w:hAnsi="Calibri" w:cs="Calibri"/>
        </w:rPr>
        <w:t xml:space="preserve">Coe, R (2015) </w:t>
      </w:r>
      <w:r w:rsidRPr="16EF18E6" w:rsidR="16EF18E6">
        <w:rPr>
          <w:rFonts w:ascii="Calibri" w:hAnsi="Calibri" w:cs="Calibri"/>
          <w:i w:val="1"/>
          <w:iCs w:val="1"/>
        </w:rPr>
        <w:t xml:space="preserve">what makes great teaching? </w:t>
      </w:r>
      <w:r w:rsidRPr="16EF18E6" w:rsidR="16EF18E6">
        <w:rPr>
          <w:rFonts w:ascii="Calibri" w:hAnsi="Calibri" w:cs="Calibri"/>
        </w:rPr>
        <w:t xml:space="preserve">Available at: </w:t>
      </w:r>
      <w:hyperlink r:id="R5ff7402c78344716">
        <w:r w:rsidRPr="16EF18E6" w:rsidR="16EF18E6">
          <w:rPr>
            <w:rStyle w:val="Hyperlink"/>
            <w:rFonts w:ascii="Calibri" w:hAnsi="Calibri" w:cs="Calibri"/>
          </w:rPr>
          <w:t>https://www.ibo.org/globalassets/events/aem/conferences/2015/robert-coe.pdf</w:t>
        </w:r>
      </w:hyperlink>
      <w:r w:rsidRPr="16EF18E6" w:rsidR="16EF18E6">
        <w:rPr>
          <w:rFonts w:ascii="Calibri" w:hAnsi="Calibri" w:cs="Calibri"/>
        </w:rPr>
        <w:t xml:space="preserve">  (accessed: 06/12/2018)</w:t>
      </w:r>
    </w:p>
    <w:p w:rsidR="16EF18E6" w:rsidP="16EF18E6" w:rsidRDefault="16EF18E6" w14:paraId="36500A01" w14:textId="740FD4A7">
      <w:pPr>
        <w:pStyle w:val="ListParagraph"/>
        <w:numPr>
          <w:ilvl w:val="1"/>
          <w:numId w:val="1"/>
        </w:numPr>
        <w:rPr>
          <w:sz w:val="19"/>
          <w:szCs w:val="19"/>
        </w:rPr>
      </w:pPr>
      <w:proofErr w:type="spellStart"/>
      <w:r w:rsidRPr="16EF18E6" w:rsidR="16EF18E6">
        <w:rPr>
          <w:rFonts w:ascii="Calibri" w:hAnsi="Calibri" w:eastAsia="Calibri" w:cs="Calibri"/>
          <w:noProof w:val="0"/>
          <w:sz w:val="22"/>
          <w:szCs w:val="22"/>
          <w:lang w:val="en-GB"/>
        </w:rPr>
        <w:t>Didau</w:t>
      </w:r>
      <w:proofErr w:type="spellEnd"/>
      <w:r w:rsidRPr="16EF18E6" w:rsidR="16EF18E6">
        <w:rPr>
          <w:rFonts w:ascii="Calibri" w:hAnsi="Calibri" w:eastAsia="Calibri" w:cs="Calibri"/>
          <w:noProof w:val="0"/>
          <w:sz w:val="22"/>
          <w:szCs w:val="22"/>
          <w:lang w:val="en-GB"/>
        </w:rPr>
        <w:t xml:space="preserve">, D. (2018). </w:t>
      </w:r>
      <w:r w:rsidRPr="16EF18E6" w:rsidR="16EF18E6">
        <w:rPr>
          <w:rFonts w:ascii="Calibri" w:hAnsi="Calibri" w:eastAsia="Calibri" w:cs="Calibri"/>
          <w:i w:val="1"/>
          <w:iCs w:val="1"/>
          <w:noProof w:val="0"/>
          <w:sz w:val="22"/>
          <w:szCs w:val="22"/>
          <w:lang w:val="en-GB"/>
        </w:rPr>
        <w:t>Dylan Wiliam's defence of formative assessment</w:t>
      </w:r>
      <w:r w:rsidRPr="16EF18E6" w:rsidR="16EF18E6">
        <w:rPr>
          <w:rFonts w:ascii="Calibri" w:hAnsi="Calibri" w:eastAsia="Calibri" w:cs="Calibri"/>
          <w:noProof w:val="0"/>
          <w:sz w:val="22"/>
          <w:szCs w:val="22"/>
          <w:lang w:val="en-GB"/>
        </w:rPr>
        <w:t xml:space="preserve">. [online] David </w:t>
      </w:r>
      <w:proofErr w:type="spellStart"/>
      <w:r w:rsidRPr="16EF18E6" w:rsidR="16EF18E6">
        <w:rPr>
          <w:rFonts w:ascii="Calibri" w:hAnsi="Calibri" w:eastAsia="Calibri" w:cs="Calibri"/>
          <w:noProof w:val="0"/>
          <w:sz w:val="22"/>
          <w:szCs w:val="22"/>
          <w:lang w:val="en-GB"/>
        </w:rPr>
        <w:t>Didau</w:t>
      </w:r>
      <w:proofErr w:type="spellEnd"/>
      <w:r w:rsidRPr="16EF18E6" w:rsidR="16EF18E6">
        <w:rPr>
          <w:rFonts w:ascii="Calibri" w:hAnsi="Calibri" w:eastAsia="Calibri" w:cs="Calibri"/>
          <w:noProof w:val="0"/>
          <w:sz w:val="22"/>
          <w:szCs w:val="22"/>
          <w:lang w:val="en-GB"/>
        </w:rPr>
        <w:t xml:space="preserve">. Available at: </w:t>
      </w:r>
      <w:hyperlink r:id="R82cd3eca878a413d">
        <w:r w:rsidRPr="16EF18E6" w:rsidR="16EF18E6">
          <w:rPr>
            <w:rStyle w:val="Hyperlink"/>
            <w:rFonts w:ascii="Calibri" w:hAnsi="Calibri" w:eastAsia="Calibri" w:cs="Calibri"/>
            <w:noProof w:val="0"/>
            <w:sz w:val="22"/>
            <w:szCs w:val="22"/>
            <w:lang w:val="en-GB"/>
          </w:rPr>
          <w:t>https://learningspy.co.uk/assessment/dylan-wiliams-defence-formative-assessment-2/</w:t>
        </w:r>
      </w:hyperlink>
      <w:r w:rsidRPr="16EF18E6" w:rsidR="16EF18E6">
        <w:rPr>
          <w:rFonts w:ascii="Calibri" w:hAnsi="Calibri" w:eastAsia="Calibri" w:cs="Calibri"/>
          <w:noProof w:val="0"/>
          <w:sz w:val="22"/>
          <w:szCs w:val="22"/>
          <w:lang w:val="en-GB"/>
        </w:rPr>
        <w:t xml:space="preserve">  [Accessed 12 Dec. 2018].</w:t>
      </w:r>
    </w:p>
    <w:p w:rsidR="2F83E44B" w:rsidP="16EF18E6" w:rsidRDefault="2F83E44B" w14:paraId="64749144" w14:textId="71182278">
      <w:pPr>
        <w:pStyle w:val="ListParagraph"/>
        <w:numPr>
          <w:ilvl w:val="1"/>
          <w:numId w:val="1"/>
        </w:numPr>
        <w:ind/>
        <w:rPr>
          <w:sz w:val="22"/>
          <w:szCs w:val="22"/>
        </w:rPr>
      </w:pPr>
      <w:proofErr w:type="spellStart"/>
      <w:r w:rsidRPr="16EF18E6" w:rsidR="16EF18E6">
        <w:rPr>
          <w:rFonts w:ascii="Calibri" w:hAnsi="Calibri" w:eastAsia="Calibri" w:cs="Calibri"/>
          <w:noProof w:val="0"/>
          <w:sz w:val="22"/>
          <w:szCs w:val="22"/>
          <w:lang w:val="en-GB"/>
        </w:rPr>
        <w:t>Didau</w:t>
      </w:r>
      <w:proofErr w:type="spellEnd"/>
      <w:r w:rsidRPr="16EF18E6" w:rsidR="16EF18E6">
        <w:rPr>
          <w:rFonts w:ascii="Calibri" w:hAnsi="Calibri" w:eastAsia="Calibri" w:cs="Calibri"/>
          <w:noProof w:val="0"/>
          <w:sz w:val="22"/>
          <w:szCs w:val="22"/>
          <w:lang w:val="en-GB"/>
        </w:rPr>
        <w:t xml:space="preserve">, D. (2018). </w:t>
      </w:r>
      <w:r w:rsidRPr="16EF18E6" w:rsidR="16EF18E6">
        <w:rPr>
          <w:rFonts w:ascii="Calibri" w:hAnsi="Calibri" w:eastAsia="Calibri" w:cs="Calibri"/>
          <w:i w:val="1"/>
          <w:iCs w:val="1"/>
          <w:noProof w:val="0"/>
          <w:sz w:val="22"/>
          <w:szCs w:val="22"/>
          <w:lang w:val="en-GB"/>
        </w:rPr>
        <w:t>Training &amp; Consultancy</w:t>
      </w:r>
      <w:r w:rsidRPr="16EF18E6" w:rsidR="16EF18E6">
        <w:rPr>
          <w:rFonts w:ascii="Calibri" w:hAnsi="Calibri" w:eastAsia="Calibri" w:cs="Calibri"/>
          <w:noProof w:val="0"/>
          <w:sz w:val="22"/>
          <w:szCs w:val="22"/>
          <w:lang w:val="en-GB"/>
        </w:rPr>
        <w:t xml:space="preserve">. [online] David </w:t>
      </w:r>
      <w:proofErr w:type="spellStart"/>
      <w:r w:rsidRPr="16EF18E6" w:rsidR="16EF18E6">
        <w:rPr>
          <w:rFonts w:ascii="Calibri" w:hAnsi="Calibri" w:eastAsia="Calibri" w:cs="Calibri"/>
          <w:noProof w:val="0"/>
          <w:sz w:val="22"/>
          <w:szCs w:val="22"/>
          <w:lang w:val="en-GB"/>
        </w:rPr>
        <w:t>Didau</w:t>
      </w:r>
      <w:proofErr w:type="spellEnd"/>
      <w:r w:rsidRPr="16EF18E6" w:rsidR="16EF18E6">
        <w:rPr>
          <w:rFonts w:ascii="Calibri" w:hAnsi="Calibri" w:eastAsia="Calibri" w:cs="Calibri"/>
          <w:noProof w:val="0"/>
          <w:sz w:val="22"/>
          <w:szCs w:val="22"/>
          <w:lang w:val="en-GB"/>
        </w:rPr>
        <w:t xml:space="preserve">. Available at: </w:t>
      </w:r>
      <w:hyperlink r:id="R7409801573b3448c">
        <w:r w:rsidRPr="16EF18E6" w:rsidR="16EF18E6">
          <w:rPr>
            <w:rStyle w:val="Hyperlink"/>
            <w:rFonts w:ascii="Calibri" w:hAnsi="Calibri" w:eastAsia="Calibri" w:cs="Calibri"/>
            <w:noProof w:val="0"/>
            <w:sz w:val="22"/>
            <w:szCs w:val="22"/>
            <w:lang w:val="en-GB"/>
          </w:rPr>
          <w:t>https://learningspy.co.uk/</w:t>
        </w:r>
      </w:hyperlink>
      <w:r w:rsidRPr="16EF18E6" w:rsidR="16EF18E6">
        <w:rPr>
          <w:rFonts w:ascii="Calibri" w:hAnsi="Calibri" w:eastAsia="Calibri" w:cs="Calibri"/>
          <w:noProof w:val="0"/>
          <w:sz w:val="22"/>
          <w:szCs w:val="22"/>
          <w:lang w:val="en-GB"/>
        </w:rPr>
        <w:t xml:space="preserve"> </w:t>
      </w:r>
      <w:r w:rsidRPr="16EF18E6" w:rsidR="16EF18E6">
        <w:rPr>
          <w:rFonts w:ascii="Calibri" w:hAnsi="Calibri" w:eastAsia="Calibri" w:cs="Calibri"/>
          <w:noProof w:val="0"/>
          <w:sz w:val="22"/>
          <w:szCs w:val="22"/>
          <w:lang w:val="en-GB"/>
        </w:rPr>
        <w:t xml:space="preserve"> </w:t>
      </w:r>
      <w:r w:rsidRPr="16EF18E6" w:rsidR="16EF18E6">
        <w:rPr>
          <w:rFonts w:ascii="Calibri" w:hAnsi="Calibri" w:eastAsia="Calibri" w:cs="Calibri"/>
          <w:noProof w:val="0"/>
          <w:sz w:val="22"/>
          <w:szCs w:val="22"/>
          <w:lang w:val="en-GB"/>
        </w:rPr>
        <w:t>[Accessed 12 Dec. 2018].</w:t>
      </w:r>
    </w:p>
    <w:p w:rsidR="16EF18E6" w:rsidP="16EF18E6" w:rsidRDefault="16EF18E6" w14:paraId="650FFD5E" w14:textId="05B0BDDB">
      <w:pPr>
        <w:pStyle w:val="ListParagraph"/>
        <w:numPr>
          <w:ilvl w:val="1"/>
          <w:numId w:val="1"/>
        </w:numPr>
        <w:rPr>
          <w:noProof w:val="0"/>
          <w:sz w:val="19"/>
          <w:szCs w:val="19"/>
          <w:lang w:val="en-GB"/>
        </w:rPr>
      </w:pPr>
      <w:proofErr w:type="spellStart"/>
      <w:r w:rsidRPr="16EF18E6" w:rsidR="16EF18E6">
        <w:rPr>
          <w:rFonts w:ascii="Calibri" w:hAnsi="Calibri" w:eastAsia="Calibri" w:cs="Calibri"/>
          <w:noProof w:val="0"/>
          <w:sz w:val="22"/>
          <w:szCs w:val="22"/>
          <w:lang w:val="en-GB"/>
        </w:rPr>
        <w:t>Didau</w:t>
      </w:r>
      <w:proofErr w:type="spellEnd"/>
      <w:r w:rsidRPr="16EF18E6" w:rsidR="16EF18E6">
        <w:rPr>
          <w:rFonts w:ascii="Calibri" w:hAnsi="Calibri" w:eastAsia="Calibri" w:cs="Calibri"/>
          <w:noProof w:val="0"/>
          <w:sz w:val="22"/>
          <w:szCs w:val="22"/>
          <w:lang w:val="en-GB"/>
        </w:rPr>
        <w:t xml:space="preserve">, D. (2018). </w:t>
      </w:r>
      <w:r w:rsidRPr="16EF18E6" w:rsidR="16EF18E6">
        <w:rPr>
          <w:rFonts w:ascii="Calibri" w:hAnsi="Calibri" w:eastAsia="Calibri" w:cs="Calibri"/>
          <w:i w:val="1"/>
          <w:iCs w:val="1"/>
          <w:noProof w:val="0"/>
          <w:sz w:val="22"/>
          <w:szCs w:val="22"/>
          <w:lang w:val="en-GB"/>
        </w:rPr>
        <w:t xml:space="preserve">Why </w:t>
      </w:r>
      <w:proofErr w:type="spellStart"/>
      <w:r w:rsidRPr="16EF18E6" w:rsidR="16EF18E6">
        <w:rPr>
          <w:rFonts w:ascii="Calibri" w:hAnsi="Calibri" w:eastAsia="Calibri" w:cs="Calibri"/>
          <w:i w:val="1"/>
          <w:iCs w:val="1"/>
          <w:noProof w:val="0"/>
          <w:sz w:val="22"/>
          <w:szCs w:val="22"/>
          <w:lang w:val="en-GB"/>
        </w:rPr>
        <w:t>AfL</w:t>
      </w:r>
      <w:proofErr w:type="spellEnd"/>
      <w:r w:rsidRPr="16EF18E6" w:rsidR="16EF18E6">
        <w:rPr>
          <w:rFonts w:ascii="Calibri" w:hAnsi="Calibri" w:eastAsia="Calibri" w:cs="Calibri"/>
          <w:i w:val="1"/>
          <w:iCs w:val="1"/>
          <w:noProof w:val="0"/>
          <w:sz w:val="22"/>
          <w:szCs w:val="22"/>
          <w:lang w:val="en-GB"/>
        </w:rPr>
        <w:t xml:space="preserve"> might be wrong, and what to do about it</w:t>
      </w:r>
      <w:r w:rsidRPr="16EF18E6" w:rsidR="16EF18E6">
        <w:rPr>
          <w:rFonts w:ascii="Calibri" w:hAnsi="Calibri" w:eastAsia="Calibri" w:cs="Calibri"/>
          <w:noProof w:val="0"/>
          <w:sz w:val="22"/>
          <w:szCs w:val="22"/>
          <w:lang w:val="en-GB"/>
        </w:rPr>
        <w:t xml:space="preserve">. [online] David </w:t>
      </w:r>
      <w:proofErr w:type="spellStart"/>
      <w:r w:rsidRPr="16EF18E6" w:rsidR="16EF18E6">
        <w:rPr>
          <w:rFonts w:ascii="Calibri" w:hAnsi="Calibri" w:eastAsia="Calibri" w:cs="Calibri"/>
          <w:noProof w:val="0"/>
          <w:sz w:val="22"/>
          <w:szCs w:val="22"/>
          <w:lang w:val="en-GB"/>
        </w:rPr>
        <w:t>Didau</w:t>
      </w:r>
      <w:proofErr w:type="spellEnd"/>
      <w:r w:rsidRPr="16EF18E6" w:rsidR="16EF18E6">
        <w:rPr>
          <w:rFonts w:ascii="Calibri" w:hAnsi="Calibri" w:eastAsia="Calibri" w:cs="Calibri"/>
          <w:noProof w:val="0"/>
          <w:sz w:val="22"/>
          <w:szCs w:val="22"/>
          <w:lang w:val="en-GB"/>
        </w:rPr>
        <w:t xml:space="preserve">. Available at: </w:t>
      </w:r>
      <w:hyperlink r:id="R8eaaa91097b94b97">
        <w:r w:rsidRPr="16EF18E6" w:rsidR="16EF18E6">
          <w:rPr>
            <w:rStyle w:val="Hyperlink"/>
            <w:rFonts w:ascii="Calibri" w:hAnsi="Calibri" w:eastAsia="Calibri" w:cs="Calibri"/>
            <w:noProof w:val="0"/>
            <w:sz w:val="22"/>
            <w:szCs w:val="22"/>
            <w:lang w:val="en-GB"/>
          </w:rPr>
          <w:t>https://learningspy.co.uk/myths/afl-might-wrong/</w:t>
        </w:r>
      </w:hyperlink>
      <w:r w:rsidRPr="16EF18E6" w:rsidR="16EF18E6">
        <w:rPr>
          <w:rFonts w:ascii="Calibri" w:hAnsi="Calibri" w:eastAsia="Calibri" w:cs="Calibri"/>
          <w:noProof w:val="0"/>
          <w:sz w:val="22"/>
          <w:szCs w:val="22"/>
          <w:lang w:val="en-GB"/>
        </w:rPr>
        <w:t xml:space="preserve">  [Accessed 12 Dec. 2018].</w:t>
      </w:r>
    </w:p>
    <w:p w:rsidR="000D0FD2" w:rsidP="746CF07D" w:rsidRDefault="00552461" w14:paraId="5DC2CEB1" w14:textId="0AAAD6EF" w14:noSpellErr="1">
      <w:pPr>
        <w:pStyle w:val="ListParagraph"/>
        <w:numPr>
          <w:ilvl w:val="1"/>
          <w:numId w:val="1"/>
        </w:numPr>
        <w:ind/>
        <w:rPr>
          <w:sz w:val="22"/>
          <w:szCs w:val="22"/>
        </w:rPr>
      </w:pPr>
      <w:r w:rsidRPr="746CF07D" w:rsidR="746CF07D">
        <w:rPr>
          <w:rFonts w:ascii="Calibri" w:hAnsi="Calibri" w:cs="Calibri"/>
        </w:rPr>
        <w:t xml:space="preserve">Donaldson, G (2015), </w:t>
      </w:r>
      <w:r w:rsidRPr="746CF07D" w:rsidR="746CF07D">
        <w:rPr>
          <w:rFonts w:ascii="Calibri" w:hAnsi="Calibri" w:cs="Calibri"/>
          <w:i w:val="1"/>
          <w:iCs w:val="1"/>
        </w:rPr>
        <w:t xml:space="preserve">successful futures, </w:t>
      </w:r>
      <w:r w:rsidRPr="746CF07D" w:rsidR="746CF07D">
        <w:rPr>
          <w:rFonts w:ascii="Calibri" w:hAnsi="Calibri" w:cs="Calibri"/>
        </w:rPr>
        <w:t xml:space="preserve">available at: </w:t>
      </w:r>
      <w:hyperlink r:id="R143cb931421543b2">
        <w:r w:rsidRPr="746CF07D" w:rsidR="746CF07D">
          <w:rPr>
            <w:rStyle w:val="Hyperlink"/>
            <w:rFonts w:ascii="Calibri" w:hAnsi="Calibri" w:cs="Calibri"/>
          </w:rPr>
          <w:t>file:///C:/Users/1706822/Downloads/Donaldson%20Report%20-%20Successful%20Futures%20-%20Independent%20Review%20of%20Curriculum%20and%20Assessment%20Arrangements%20in%20Wales.pdf</w:t>
        </w:r>
      </w:hyperlink>
      <w:r w:rsidRPr="746CF07D" w:rsidR="746CF07D">
        <w:rPr>
          <w:rFonts w:ascii="Calibri" w:hAnsi="Calibri" w:cs="Calibri"/>
        </w:rPr>
        <w:t xml:space="preserve">  (accessed: 06/12/2018)</w:t>
      </w:r>
    </w:p>
    <w:p w:rsidR="2F83E44B" w:rsidP="16EF18E6" w:rsidRDefault="2F83E44B" w14:paraId="5151B8FD" w14:textId="4F6078E3">
      <w:pPr>
        <w:pStyle w:val="ListParagraph"/>
        <w:numPr>
          <w:ilvl w:val="1"/>
          <w:numId w:val="1"/>
        </w:numPr>
        <w:ind/>
        <w:rPr>
          <w:sz w:val="22"/>
          <w:szCs w:val="22"/>
        </w:rPr>
      </w:pPr>
      <w:r w:rsidRPr="16EF18E6" w:rsidR="16EF18E6">
        <w:rPr>
          <w:rFonts w:ascii="Calibri" w:hAnsi="Calibri" w:eastAsia="Calibri" w:cs="Calibri"/>
          <w:noProof w:val="0"/>
          <w:sz w:val="22"/>
          <w:szCs w:val="22"/>
          <w:lang w:val="en-GB"/>
        </w:rPr>
        <w:t xml:space="preserve">Sadler, D. R. (2013) 'Opening up feedback: Teaching learners to see'. In Merry, S., Price, M., Carless, D., &amp; </w:t>
      </w:r>
      <w:proofErr w:type="spellStart"/>
      <w:r w:rsidRPr="16EF18E6" w:rsidR="16EF18E6">
        <w:rPr>
          <w:rFonts w:ascii="Calibri" w:hAnsi="Calibri" w:eastAsia="Calibri" w:cs="Calibri"/>
          <w:noProof w:val="0"/>
          <w:sz w:val="22"/>
          <w:szCs w:val="22"/>
          <w:lang w:val="en-GB"/>
        </w:rPr>
        <w:t>Taras</w:t>
      </w:r>
      <w:proofErr w:type="spellEnd"/>
      <w:r w:rsidRPr="16EF18E6" w:rsidR="16EF18E6">
        <w:rPr>
          <w:rFonts w:ascii="Calibri" w:hAnsi="Calibri" w:eastAsia="Calibri" w:cs="Calibri"/>
          <w:noProof w:val="0"/>
          <w:sz w:val="22"/>
          <w:szCs w:val="22"/>
          <w:lang w:val="en-GB"/>
        </w:rPr>
        <w:t>, M. (Eds.) Reconceptualising Feedback in Higher Education: developing dialogue with students. (Ch. 5, 54-63). London: Routledge.</w:t>
      </w:r>
    </w:p>
    <w:p w:rsidR="16EF18E6" w:rsidP="16EF18E6" w:rsidRDefault="16EF18E6" w14:paraId="7BCF81AD" w14:textId="7AB9B613">
      <w:pPr>
        <w:pStyle w:val="ListParagraph"/>
        <w:numPr>
          <w:ilvl w:val="1"/>
          <w:numId w:val="1"/>
        </w:numPr>
        <w:rPr>
          <w:noProof w:val="0"/>
          <w:sz w:val="19"/>
          <w:szCs w:val="19"/>
          <w:lang w:val="en-GB"/>
        </w:rPr>
      </w:pPr>
      <w:r w:rsidRPr="16EF18E6" w:rsidR="16EF18E6">
        <w:rPr>
          <w:rFonts w:ascii="Calibri" w:hAnsi="Calibri" w:eastAsia="Calibri" w:cs="Calibri"/>
          <w:noProof w:val="0"/>
          <w:sz w:val="22"/>
          <w:szCs w:val="22"/>
          <w:lang w:val="en-GB"/>
        </w:rPr>
        <w:t xml:space="preserve">Welsh Government (2014). </w:t>
      </w:r>
      <w:r w:rsidRPr="16EF18E6" w:rsidR="16EF18E6">
        <w:rPr>
          <w:rFonts w:ascii="Calibri" w:hAnsi="Calibri" w:eastAsia="Calibri" w:cs="Calibri"/>
          <w:i w:val="1"/>
          <w:iCs w:val="1"/>
          <w:noProof w:val="0"/>
          <w:sz w:val="22"/>
          <w:szCs w:val="22"/>
          <w:lang w:val="en-GB"/>
        </w:rPr>
        <w:t>National Literacy and Numeracy Framework</w:t>
      </w:r>
      <w:r w:rsidRPr="16EF18E6" w:rsidR="16EF18E6">
        <w:rPr>
          <w:rFonts w:ascii="Calibri" w:hAnsi="Calibri" w:eastAsia="Calibri" w:cs="Calibri"/>
          <w:noProof w:val="0"/>
          <w:sz w:val="22"/>
          <w:szCs w:val="22"/>
          <w:lang w:val="en-GB"/>
        </w:rPr>
        <w:t xml:space="preserve">. </w:t>
      </w:r>
      <w:proofErr w:type="spellStart"/>
      <w:r w:rsidRPr="16EF18E6" w:rsidR="16EF18E6">
        <w:rPr>
          <w:rFonts w:ascii="Calibri" w:hAnsi="Calibri" w:eastAsia="Calibri" w:cs="Calibri"/>
          <w:noProof w:val="0"/>
          <w:sz w:val="22"/>
          <w:szCs w:val="22"/>
          <w:lang w:val="en-GB"/>
        </w:rPr>
        <w:t>cardiff</w:t>
      </w:r>
      <w:proofErr w:type="spellEnd"/>
      <w:r w:rsidRPr="16EF18E6" w:rsidR="16EF18E6">
        <w:rPr>
          <w:rFonts w:ascii="Calibri" w:hAnsi="Calibri" w:eastAsia="Calibri" w:cs="Calibri"/>
          <w:noProof w:val="0"/>
          <w:sz w:val="22"/>
          <w:szCs w:val="22"/>
          <w:lang w:val="en-GB"/>
        </w:rPr>
        <w:t>: Welsh Government</w:t>
      </w:r>
      <w:r w:rsidRPr="16EF18E6" w:rsidR="16EF18E6">
        <w:rPr>
          <w:noProof w:val="0"/>
          <w:sz w:val="19"/>
          <w:szCs w:val="19"/>
          <w:lang w:val="en-GB"/>
        </w:rPr>
        <w:t>.</w:t>
      </w:r>
    </w:p>
    <w:p w:rsidR="16EF18E6" w:rsidP="16EF18E6" w:rsidRDefault="16EF18E6" w14:paraId="6AB76FF2" w14:textId="563BF0FD">
      <w:pPr>
        <w:pStyle w:val="Normal"/>
        <w:rPr>
          <w:noProof w:val="0"/>
          <w:sz w:val="19"/>
          <w:szCs w:val="19"/>
          <w:lang w:val="en-GB"/>
        </w:rPr>
      </w:pPr>
    </w:p>
    <w:p w:rsidR="16EF18E6" w:rsidRDefault="16EF18E6" w14:paraId="1EB57301" w14:textId="1767FD97">
      <w:r>
        <w:br w:type="page"/>
      </w:r>
    </w:p>
    <w:p w:rsidR="16EF18E6" w:rsidP="16EF18E6" w:rsidRDefault="16EF18E6" w14:noSpellErr="1" w14:paraId="4998AEB0" w14:textId="1F1582DC">
      <w:pPr>
        <w:pStyle w:val="Normal"/>
        <w:rPr>
          <w:noProof w:val="0"/>
          <w:sz w:val="19"/>
          <w:szCs w:val="19"/>
          <w:lang w:val="en-GB"/>
        </w:rPr>
      </w:pPr>
      <w:r w:rsidRPr="16EF18E6" w:rsidR="16EF18E6">
        <w:rPr>
          <w:rFonts w:ascii="Calibri" w:hAnsi="Calibri" w:eastAsia="Calibri" w:cs="Calibri"/>
          <w:b w:val="1"/>
          <w:bCs w:val="1"/>
          <w:noProof w:val="0"/>
          <w:sz w:val="22"/>
          <w:szCs w:val="22"/>
          <w:lang w:val="en-GB"/>
        </w:rPr>
        <w:t>Appendix</w:t>
      </w:r>
    </w:p>
    <w:p w:rsidR="16EF18E6" w:rsidP="16EF18E6" w:rsidRDefault="16EF18E6" w14:noSpellErr="1" w14:paraId="42D56740" w14:textId="644CED54">
      <w:pPr>
        <w:pStyle w:val="Normal"/>
      </w:pPr>
      <w:r w:rsidRPr="16EF18E6" w:rsidR="16EF18E6">
        <w:rPr>
          <w:rFonts w:ascii="Calibri" w:hAnsi="Calibri" w:eastAsia="Calibri" w:cs="Calibri"/>
          <w:b w:val="0"/>
          <w:bCs w:val="0"/>
          <w:noProof w:val="0"/>
          <w:sz w:val="22"/>
          <w:szCs w:val="22"/>
          <w:lang w:val="en-GB"/>
        </w:rPr>
        <w:t xml:space="preserve">A) </w:t>
      </w:r>
    </w:p>
    <w:p w:rsidR="16EF18E6" w:rsidP="16EF18E6" w:rsidRDefault="16EF18E6" w14:noSpellErr="1" w14:paraId="3EF8AEA1" w14:textId="0157C5BC">
      <w:pPr>
        <w:pStyle w:val="Normal"/>
      </w:pPr>
      <w:r>
        <w:drawing>
          <wp:inline wp14:editId="32AFD3A6" wp14:anchorId="4548E108">
            <wp:extent cx="2394759" cy="3191684"/>
            <wp:effectExtent l="0" t="0" r="0" b="0"/>
            <wp:docPr id="1255200701" name="Picture" title=""/>
            <wp:cNvGraphicFramePr>
              <a:graphicFrameLocks noChangeAspect="1"/>
            </wp:cNvGraphicFramePr>
            <a:graphic>
              <a:graphicData uri="http://schemas.openxmlformats.org/drawingml/2006/picture">
                <pic:pic>
                  <pic:nvPicPr>
                    <pic:cNvPr id="0" name="Picture"/>
                    <pic:cNvPicPr/>
                  </pic:nvPicPr>
                  <pic:blipFill>
                    <a:blip r:embed="R74ece266c1a04dcd">
                      <a:extLst>
                        <a:ext xmlns:a="http://schemas.openxmlformats.org/drawingml/2006/main" uri="{28A0092B-C50C-407E-A947-70E740481C1C}">
                          <a14:useLocalDpi val="0"/>
                        </a:ext>
                      </a:extLst>
                    </a:blip>
                    <a:stretch>
                      <a:fillRect/>
                    </a:stretch>
                  </pic:blipFill>
                  <pic:spPr>
                    <a:xfrm>
                      <a:off x="0" y="0"/>
                      <a:ext cx="2394759" cy="3191684"/>
                    </a:xfrm>
                    <a:prstGeom prst="rect">
                      <a:avLst/>
                    </a:prstGeom>
                  </pic:spPr>
                </pic:pic>
              </a:graphicData>
            </a:graphic>
          </wp:inline>
        </w:drawing>
      </w:r>
      <w:r>
        <w:drawing>
          <wp:inline wp14:editId="56DD440E" wp14:anchorId="234D4ED1">
            <wp:extent cx="2381250" cy="3183844"/>
            <wp:effectExtent l="0" t="0" r="0" b="0"/>
            <wp:docPr id="1443153346" name="Picture" title=""/>
            <wp:cNvGraphicFramePr>
              <a:graphicFrameLocks noChangeAspect="1"/>
            </wp:cNvGraphicFramePr>
            <a:graphic>
              <a:graphicData uri="http://schemas.openxmlformats.org/drawingml/2006/picture">
                <pic:pic>
                  <pic:nvPicPr>
                    <pic:cNvPr id="0" name="Picture"/>
                    <pic:cNvPicPr/>
                  </pic:nvPicPr>
                  <pic:blipFill>
                    <a:blip r:embed="R1666db553cf648bf">
                      <a:extLst>
                        <a:ext xmlns:a="http://schemas.openxmlformats.org/drawingml/2006/main" uri="{28A0092B-C50C-407E-A947-70E740481C1C}">
                          <a14:useLocalDpi val="0"/>
                        </a:ext>
                      </a:extLst>
                    </a:blip>
                    <a:stretch>
                      <a:fillRect/>
                    </a:stretch>
                  </pic:blipFill>
                  <pic:spPr>
                    <a:xfrm>
                      <a:off x="0" y="0"/>
                      <a:ext cx="2381250" cy="3183844"/>
                    </a:xfrm>
                    <a:prstGeom prst="rect">
                      <a:avLst/>
                    </a:prstGeom>
                  </pic:spPr>
                </pic:pic>
              </a:graphicData>
            </a:graphic>
          </wp:inline>
        </w:drawing>
      </w:r>
    </w:p>
    <w:p w:rsidR="16EF18E6" w:rsidP="16EF18E6" w:rsidRDefault="16EF18E6" w14:paraId="588CDBC0" w14:textId="340E5347">
      <w:pPr>
        <w:pStyle w:val="Normal"/>
        <w:rPr>
          <w:noProof w:val="0"/>
          <w:sz w:val="19"/>
          <w:szCs w:val="19"/>
          <w:lang w:val="en-GB"/>
        </w:rPr>
      </w:pPr>
      <w:r w:rsidRPr="16EF18E6" w:rsidR="16EF18E6">
        <w:rPr>
          <w:noProof w:val="0"/>
          <w:sz w:val="19"/>
          <w:szCs w:val="19"/>
          <w:lang w:val="en-GB"/>
        </w:rPr>
        <w:t xml:space="preserve">Examples of the success slips from </w:t>
      </w:r>
      <w:proofErr w:type="spellStart"/>
      <w:r w:rsidRPr="16EF18E6" w:rsidR="16EF18E6">
        <w:rPr>
          <w:noProof w:val="0"/>
          <w:sz w:val="19"/>
          <w:szCs w:val="19"/>
          <w:lang w:val="en-GB"/>
        </w:rPr>
        <w:t>T</w:t>
      </w:r>
      <w:r w:rsidRPr="16EF18E6" w:rsidR="16EF18E6">
        <w:rPr>
          <w:noProof w:val="0"/>
          <w:sz w:val="19"/>
          <w:szCs w:val="19"/>
          <w:lang w:val="en-GB"/>
        </w:rPr>
        <w:t>onnau</w:t>
      </w:r>
      <w:proofErr w:type="spellEnd"/>
      <w:r w:rsidRPr="16EF18E6" w:rsidR="16EF18E6">
        <w:rPr>
          <w:noProof w:val="0"/>
          <w:sz w:val="19"/>
          <w:szCs w:val="19"/>
          <w:lang w:val="en-GB"/>
        </w:rPr>
        <w:t xml:space="preserve"> primary school. </w:t>
      </w:r>
    </w:p>
    <w:p w:rsidR="16EF18E6" w:rsidP="16EF18E6" w:rsidRDefault="16EF18E6" w14:noSpellErr="1" w14:paraId="457B5348" w14:textId="093BAAEB">
      <w:pPr>
        <w:pStyle w:val="Normal"/>
        <w:rPr>
          <w:noProof w:val="0"/>
          <w:sz w:val="19"/>
          <w:szCs w:val="19"/>
          <w:lang w:val="en-GB"/>
        </w:rPr>
      </w:pPr>
    </w:p>
    <w:p w:rsidR="16EF18E6" w:rsidP="16EF18E6" w:rsidRDefault="16EF18E6" w14:noSpellErr="1" w14:paraId="62240294" w14:textId="2F9463AF">
      <w:pPr>
        <w:pStyle w:val="Normal"/>
        <w:rPr>
          <w:noProof w:val="0"/>
          <w:sz w:val="19"/>
          <w:szCs w:val="19"/>
          <w:lang w:val="en-GB"/>
        </w:rPr>
      </w:pPr>
      <w:r w:rsidRPr="16EF18E6" w:rsidR="16EF18E6">
        <w:rPr>
          <w:noProof w:val="0"/>
          <w:sz w:val="19"/>
          <w:szCs w:val="19"/>
          <w:lang w:val="en-GB"/>
        </w:rPr>
        <w:t>B)</w:t>
      </w:r>
    </w:p>
    <w:p w:rsidR="16EF18E6" w:rsidP="16EF18E6" w:rsidRDefault="16EF18E6" w14:noSpellErr="1" w14:paraId="50571C56" w14:textId="7D224EC5">
      <w:pPr>
        <w:pStyle w:val="Normal"/>
      </w:pPr>
      <w:r>
        <w:drawing>
          <wp:inline wp14:editId="5444DB37" wp14:anchorId="04263928">
            <wp:extent cx="2914736" cy="2662824"/>
            <wp:effectExtent l="0" t="0" r="0" b="0"/>
            <wp:docPr id="1789214079" name="Picture" title=""/>
            <wp:cNvGraphicFramePr>
              <a:graphicFrameLocks noChangeAspect="1"/>
            </wp:cNvGraphicFramePr>
            <a:graphic>
              <a:graphicData uri="http://schemas.openxmlformats.org/drawingml/2006/picture">
                <pic:pic>
                  <pic:nvPicPr>
                    <pic:cNvPr id="0" name="Picture"/>
                    <pic:cNvPicPr/>
                  </pic:nvPicPr>
                  <pic:blipFill>
                    <a:blip r:embed="Rd457d8b10f374893">
                      <a:extLst>
                        <a:ext xmlns:a="http://schemas.openxmlformats.org/drawingml/2006/main" uri="{28A0092B-C50C-407E-A947-70E740481C1C}">
                          <a14:useLocalDpi val="0"/>
                        </a:ext>
                      </a:extLst>
                    </a:blip>
                    <a:srcRect l="32708" t="37407" r="33541" b="7777"/>
                    <a:stretch>
                      <a:fillRect/>
                    </a:stretch>
                  </pic:blipFill>
                  <pic:spPr xmlns:pic="http://schemas.openxmlformats.org/drawingml/2006/picture">
                    <a:xfrm xmlns:a="http://schemas.openxmlformats.org/drawingml/2006/main" rot="0" flipH="0" flipV="0">
                      <a:off x="0" y="0"/>
                      <a:ext cx="2914736" cy="2662824"/>
                    </a:xfrm>
                    <a:prstGeom xmlns:a="http://schemas.openxmlformats.org/drawingml/2006/main" prst="rect">
                      <a:avLst/>
                    </a:prstGeom>
                  </pic:spPr>
                </pic:pic>
              </a:graphicData>
            </a:graphic>
          </wp:inline>
        </w:drawing>
      </w:r>
    </w:p>
    <w:p w:rsidR="16EF18E6" w:rsidP="16EF18E6" w:rsidRDefault="16EF18E6" w14:paraId="32D4B8A5" w14:textId="3E15DF35">
      <w:pPr>
        <w:pStyle w:val="Normal"/>
        <w:rPr>
          <w:noProof w:val="0"/>
          <w:sz w:val="19"/>
          <w:szCs w:val="19"/>
          <w:lang w:val="en-GB"/>
        </w:rPr>
      </w:pPr>
    </w:p>
    <w:p w:rsidR="16EF18E6" w:rsidP="16EF18E6" w:rsidRDefault="16EF18E6" w14:noSpellErr="1" w14:paraId="2F5CDB2B" w14:textId="2393BA13">
      <w:pPr>
        <w:pStyle w:val="Normal"/>
        <w:rPr>
          <w:noProof w:val="0"/>
          <w:sz w:val="19"/>
          <w:szCs w:val="19"/>
          <w:lang w:val="en-GB"/>
        </w:rPr>
      </w:pPr>
      <w:r w:rsidRPr="16EF18E6" w:rsidR="16EF18E6">
        <w:rPr>
          <w:noProof w:val="0"/>
          <w:sz w:val="19"/>
          <w:szCs w:val="19"/>
          <w:lang w:val="en-GB"/>
        </w:rPr>
        <w:t>The second sheet to the junk modelling sheet use while on PTE 2 in reception.</w:t>
      </w:r>
    </w:p>
    <w:p w:rsidR="16EF18E6" w:rsidP="16EF18E6" w:rsidRDefault="16EF18E6" w14:paraId="5E96D79F" w14:textId="5C75CE83">
      <w:pPr>
        <w:pStyle w:val="Normal"/>
        <w:rPr>
          <w:noProof w:val="0"/>
          <w:sz w:val="19"/>
          <w:szCs w:val="19"/>
          <w:lang w:val="en-GB"/>
        </w:rPr>
      </w:pPr>
    </w:p>
    <w:p w:rsidR="16EF18E6" w:rsidP="16EF18E6" w:rsidRDefault="16EF18E6" w14:paraId="69F92873" w14:textId="1797C978">
      <w:pPr>
        <w:pStyle w:val="Normal"/>
        <w:rPr>
          <w:noProof w:val="0"/>
          <w:sz w:val="19"/>
          <w:szCs w:val="19"/>
          <w:lang w:val="en-GB"/>
        </w:rPr>
      </w:pPr>
    </w:p>
    <w:p w:rsidR="16EF18E6" w:rsidP="16EF18E6" w:rsidRDefault="16EF18E6" w14:paraId="609A4C10" w14:textId="4BC30512">
      <w:pPr>
        <w:pStyle w:val="Normal"/>
        <w:rPr>
          <w:noProof w:val="0"/>
          <w:sz w:val="19"/>
          <w:szCs w:val="19"/>
          <w:lang w:val="en-GB"/>
        </w:rPr>
      </w:pPr>
    </w:p>
    <w:p w:rsidR="16EF18E6" w:rsidP="16EF18E6" w:rsidRDefault="16EF18E6" w14:paraId="6941C3E1" w14:textId="4B4516A4">
      <w:pPr>
        <w:pStyle w:val="Normal"/>
        <w:rPr>
          <w:noProof w:val="0"/>
          <w:sz w:val="19"/>
          <w:szCs w:val="19"/>
          <w:lang w:val="en-GB"/>
        </w:rPr>
      </w:pPr>
    </w:p>
    <w:p w:rsidR="16EF18E6" w:rsidP="16EF18E6" w:rsidRDefault="16EF18E6" w14:paraId="2405307B" w14:textId="43FE77A4">
      <w:pPr>
        <w:pStyle w:val="Normal"/>
        <w:rPr>
          <w:noProof w:val="0"/>
          <w:sz w:val="19"/>
          <w:szCs w:val="19"/>
          <w:lang w:val="en-GB"/>
        </w:rPr>
      </w:pPr>
    </w:p>
    <w:p w:rsidR="16EF18E6" w:rsidP="16EF18E6" w:rsidRDefault="16EF18E6" w14:noSpellErr="1" w14:paraId="57C8FF04" w14:textId="22D4B3FC">
      <w:pPr>
        <w:pStyle w:val="Normal"/>
        <w:rPr>
          <w:noProof w:val="0"/>
          <w:sz w:val="19"/>
          <w:szCs w:val="19"/>
          <w:lang w:val="en-GB"/>
        </w:rPr>
      </w:pPr>
      <w:r w:rsidRPr="16EF18E6" w:rsidR="16EF18E6">
        <w:rPr>
          <w:noProof w:val="0"/>
          <w:sz w:val="19"/>
          <w:szCs w:val="19"/>
          <w:lang w:val="en-GB"/>
        </w:rPr>
        <w:t>C)</w:t>
      </w:r>
    </w:p>
    <w:p w:rsidR="16EF18E6" w:rsidP="16EF18E6" w:rsidRDefault="16EF18E6" w14:noSpellErr="1" w14:paraId="082E1804" w14:textId="64008CE6">
      <w:pPr>
        <w:pStyle w:val="Normal"/>
      </w:pPr>
      <w:r>
        <w:drawing>
          <wp:inline wp14:editId="733AFCFC" wp14:anchorId="09FA10F9">
            <wp:extent cx="2571750" cy="4572000"/>
            <wp:effectExtent l="0" t="0" r="0" b="0"/>
            <wp:docPr id="1612779520" name="Picture" title=""/>
            <wp:cNvGraphicFramePr>
              <a:graphicFrameLocks noChangeAspect="1"/>
            </wp:cNvGraphicFramePr>
            <a:graphic>
              <a:graphicData uri="http://schemas.openxmlformats.org/drawingml/2006/picture">
                <pic:pic>
                  <pic:nvPicPr>
                    <pic:cNvPr id="0" name="Picture"/>
                    <pic:cNvPicPr/>
                  </pic:nvPicPr>
                  <pic:blipFill>
                    <a:blip r:embed="R8bd4916b10f4405f">
                      <a:extLst>
                        <a:ext xmlns:a="http://schemas.openxmlformats.org/drawingml/2006/main" uri="{28A0092B-C50C-407E-A947-70E740481C1C}">
                          <a14:useLocalDpi val="0"/>
                        </a:ext>
                      </a:extLst>
                    </a:blip>
                    <a:stretch>
                      <a:fillRect/>
                    </a:stretch>
                  </pic:blipFill>
                  <pic:spPr>
                    <a:xfrm>
                      <a:off x="0" y="0"/>
                      <a:ext cx="2571750" cy="4572000"/>
                    </a:xfrm>
                    <a:prstGeom prst="rect">
                      <a:avLst/>
                    </a:prstGeom>
                  </pic:spPr>
                </pic:pic>
              </a:graphicData>
            </a:graphic>
          </wp:inline>
        </w:drawing>
      </w:r>
    </w:p>
    <w:p w:rsidR="16EF18E6" w:rsidP="16EF18E6" w:rsidRDefault="16EF18E6" w14:noSpellErr="1" w14:paraId="58F8DB4D" w14:textId="09EA19DF">
      <w:pPr>
        <w:pStyle w:val="Normal"/>
        <w:rPr>
          <w:noProof w:val="0"/>
          <w:sz w:val="19"/>
          <w:szCs w:val="19"/>
          <w:lang w:val="en-GB"/>
        </w:rPr>
      </w:pPr>
      <w:r w:rsidRPr="16EF18E6" w:rsidR="16EF18E6">
        <w:rPr>
          <w:noProof w:val="0"/>
          <w:sz w:val="19"/>
          <w:szCs w:val="19"/>
          <w:lang w:val="en-GB"/>
        </w:rPr>
        <w:t>Example of the ALF strategy used on PTE 2.</w:t>
      </w:r>
    </w:p>
    <w:p w:rsidR="2F83E44B" w:rsidP="2F83E44B" w:rsidRDefault="2F83E44B" w14:noSpellErr="1" w14:paraId="58F1E25F" w14:textId="18BE1E9B">
      <w:pPr>
        <w:pStyle w:val="Normal"/>
        <w:ind w:left="720"/>
        <w:rPr>
          <w:rFonts w:ascii="Calibri" w:hAnsi="Calibri" w:cs="Calibri"/>
        </w:rPr>
      </w:pPr>
    </w:p>
    <w:p w:rsidRPr="00552461" w:rsidR="00552461" w:rsidP="000557FE" w:rsidRDefault="00552461" w14:paraId="15804F3E" w14:textId="77777777">
      <w:pPr>
        <w:ind w:left="720"/>
        <w:rPr>
          <w:rFonts w:ascii="Calibri" w:hAnsi="Calibri" w:cs="Calibri"/>
        </w:rPr>
      </w:pPr>
    </w:p>
    <w:sectPr w:rsidRPr="00552461" w:rsidR="00552461" w:rsidSect="002054B9">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54B9"/>
    <w:rsid w:val="000557FE"/>
    <w:rsid w:val="000B74B6"/>
    <w:rsid w:val="000D0FD2"/>
    <w:rsid w:val="001758F5"/>
    <w:rsid w:val="002054B9"/>
    <w:rsid w:val="003252B0"/>
    <w:rsid w:val="003E63AF"/>
    <w:rsid w:val="00446E1D"/>
    <w:rsid w:val="00552461"/>
    <w:rsid w:val="006753D0"/>
    <w:rsid w:val="007068F6"/>
    <w:rsid w:val="007D6CA6"/>
    <w:rsid w:val="007F7A63"/>
    <w:rsid w:val="009D1A91"/>
    <w:rsid w:val="00AC173D"/>
    <w:rsid w:val="00B90316"/>
    <w:rsid w:val="00BD5E56"/>
    <w:rsid w:val="00C20B4D"/>
    <w:rsid w:val="00C47F4E"/>
    <w:rsid w:val="00CF18E4"/>
    <w:rsid w:val="00DF20B6"/>
    <w:rsid w:val="00DF3FCC"/>
    <w:rsid w:val="00E927CA"/>
    <w:rsid w:val="00EE159B"/>
    <w:rsid w:val="00F469A6"/>
    <w:rsid w:val="1519152D"/>
    <w:rsid w:val="16EF18E6"/>
    <w:rsid w:val="2F83E44B"/>
    <w:rsid w:val="746CF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3F66F"/>
  <w15:chartTrackingRefBased/>
  <w15:docId w15:val="{3FDD9CF2-3AE5-4DB0-98F9-D645065FC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2054B9"/>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2054B9"/>
    <w:rPr>
      <w:rFonts w:eastAsiaTheme="minorEastAsia"/>
      <w:lang w:val="en-US"/>
    </w:rPr>
  </w:style>
  <w:style w:type="character" w:styleId="Hyperlink">
    <w:name w:val="Hyperlink"/>
    <w:basedOn w:val="DefaultParagraphFont"/>
    <w:uiPriority w:val="99"/>
    <w:unhideWhenUsed/>
    <w:rsid w:val="00552461"/>
    <w:rPr>
      <w:color w:val="F49100"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glossaryDocument" Target="/word/glossary/document.xml" Id="R1b2be7f65e2545a5" /><Relationship Type="http://schemas.openxmlformats.org/officeDocument/2006/relationships/hyperlink" Target="file:///C:/Users/1706822/Downloads/Donaldson%20Report%20-%20Successful%20Futures%20-%20Independent%20Review%20of%20Curriculum%20and%20Assessment%20Arrangements%20in%20Wales.pdf" TargetMode="External" Id="R143cb931421543b2" /><Relationship Type="http://schemas.openxmlformats.org/officeDocument/2006/relationships/numbering" Target="/word/numbering.xml" Id="Rc1717fc39c9248af" /><Relationship Type="http://schemas.openxmlformats.org/officeDocument/2006/relationships/image" Target="/media/image.png" Id="R121d76d5f106469e" /><Relationship Type="http://schemas.openxmlformats.org/officeDocument/2006/relationships/hyperlink" Target="https://www.ibo.org/globalassets/events/aem/conferences/2015/robert-coe.pdf" TargetMode="External" Id="R5ff7402c78344716" /><Relationship Type="http://schemas.openxmlformats.org/officeDocument/2006/relationships/hyperlink" Target="https://learningspy.co.uk/assessment/dylan-wiliams-defence-formative-assessment-2/" TargetMode="External" Id="R82cd3eca878a413d" /><Relationship Type="http://schemas.openxmlformats.org/officeDocument/2006/relationships/hyperlink" Target="https://learningspy.co.uk/" TargetMode="External" Id="R7409801573b3448c" /><Relationship Type="http://schemas.openxmlformats.org/officeDocument/2006/relationships/hyperlink" Target="https://learningspy.co.uk/myths/afl-might-wrong/" TargetMode="External" Id="R8eaaa91097b94b97" /><Relationship Type="http://schemas.openxmlformats.org/officeDocument/2006/relationships/image" Target="/media/image2.png" Id="R74ece266c1a04dcd" /><Relationship Type="http://schemas.openxmlformats.org/officeDocument/2006/relationships/image" Target="/media/image3.png" Id="R1666db553cf648bf" /><Relationship Type="http://schemas.openxmlformats.org/officeDocument/2006/relationships/image" Target="/media/image4.png" Id="Rd457d8b10f374893" /><Relationship Type="http://schemas.openxmlformats.org/officeDocument/2006/relationships/image" Target="/media/image5.png" Id="R8bd4916b10f4405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433f448-1ab3-490c-8a75-3d96ba8598ac}"/>
      </w:docPartPr>
      <w:docPartBody>
        <w:p w14:paraId="672BC274">
          <w:r>
            <w:rPr>
              <w:rStyle w:val="PlaceholderText"/>
            </w:rPr>
            <w:t/>
          </w:r>
        </w:p>
      </w:docPartBody>
    </w:docPart>
  </w:docParts>
</w:glossaryDocument>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ECAD5001</dc:title>
  <dc:subject>Discuss the importance and effectiveness of developing Assessment for Learning throughout the primary school, including critical analysis of personal implementation of ONE AfL strategy from Professional Teaching Experience.</dc:subject>
  <dc:creator>Thomas Llewellyn (1706822)</dc:creator>
  <keywords/>
  <dc:description/>
  <lastModifiedBy>Thomas Llewellyn (1706822)</lastModifiedBy>
  <revision>6</revision>
  <dcterms:created xsi:type="dcterms:W3CDTF">2018-12-06T10:39:00.0000000Z</dcterms:created>
  <dcterms:modified xsi:type="dcterms:W3CDTF">2018-12-13T18:18:53.4573445Z</dcterms:modified>
</coreProperties>
</file>