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2E8557" w14:textId="77777777" w:rsidR="005A2A06" w:rsidRPr="005A2A06" w:rsidRDefault="005A2A06" w:rsidP="005A2A06">
      <w:pPr>
        <w:spacing w:after="120"/>
        <w:jc w:val="center"/>
        <w:rPr>
          <w:rFonts w:eastAsia="Arial" w:cs="Arial"/>
          <w:bCs/>
          <w:sz w:val="32"/>
          <w:szCs w:val="32"/>
        </w:rPr>
      </w:pPr>
      <w:r w:rsidRPr="005A2A06">
        <w:rPr>
          <w:rFonts w:eastAsia="Arial" w:cs="Arial"/>
          <w:bCs/>
          <w:sz w:val="32"/>
          <w:szCs w:val="32"/>
        </w:rPr>
        <w:t>Terrorism and Cybercrime</w:t>
      </w:r>
    </w:p>
    <w:p w14:paraId="47C65C01" w14:textId="12B92DEA" w:rsidR="00D5413C" w:rsidRDefault="005A2A06">
      <w:pPr>
        <w:pStyle w:val="Photo"/>
      </w:pPr>
      <w:r>
        <w:fldChar w:fldCharType="begin"/>
      </w:r>
      <w:r>
        <w:instrText xml:space="preserve"> INCLUDEPICTURE "/Users/Sadiemason/Library/Group Containers/UBF8T346G9.ms/WebArchiveCopyPasteTempFiles/com.microsoft.Word/9k=" \* MERGEFORMATINET </w:instrText>
      </w:r>
      <w:r>
        <w:fldChar w:fldCharType="separate"/>
      </w:r>
      <w:r>
        <w:rPr>
          <w:noProof/>
        </w:rPr>
        <w:drawing>
          <wp:inline distT="0" distB="0" distL="0" distR="0" wp14:anchorId="65232713" wp14:editId="109EDF2B">
            <wp:extent cx="4114800" cy="1963420"/>
            <wp:effectExtent l="0" t="0" r="0" b="5080"/>
            <wp:docPr id="148141109" name="Picture 1" descr="Cyber Policing - A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kdNeaYzxHKG8hbIPhbPQ-Ao_5" descr="Cyber Policing - A Journe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1963420"/>
                    </a:xfrm>
                    <a:prstGeom prst="rect">
                      <a:avLst/>
                    </a:prstGeom>
                    <a:noFill/>
                    <a:ln>
                      <a:noFill/>
                    </a:ln>
                  </pic:spPr>
                </pic:pic>
              </a:graphicData>
            </a:graphic>
          </wp:inline>
        </w:drawing>
      </w:r>
      <w:r>
        <w:fldChar w:fldCharType="end"/>
      </w:r>
    </w:p>
    <w:p w14:paraId="3FA99A7D" w14:textId="13D45400" w:rsidR="005A2A06" w:rsidRDefault="00875C40" w:rsidP="00685B10">
      <w:pPr>
        <w:spacing w:after="120"/>
        <w:jc w:val="center"/>
        <w:rPr>
          <w:rFonts w:ascii="Arial" w:eastAsia="Arial" w:hAnsi="Arial" w:cs="Arial"/>
          <w:bCs/>
          <w:sz w:val="32"/>
          <w:szCs w:val="32"/>
        </w:rPr>
      </w:pPr>
      <w:r w:rsidRPr="00875C40">
        <w:rPr>
          <w:rFonts w:ascii="-webkit-standard" w:hAnsi="-webkit-standard"/>
          <w:i/>
          <w:iCs/>
          <w:color w:val="000000"/>
          <w:sz w:val="20"/>
          <w:szCs w:val="20"/>
        </w:rPr>
        <w:t>Cover image source: Hoare, P. (2019) “Cyber Policing – A Journey”, LinkedIn.</w:t>
      </w:r>
    </w:p>
    <w:p w14:paraId="3B9855CE" w14:textId="1CB265FC" w:rsidR="005A2A06" w:rsidRDefault="005A2A06" w:rsidP="00685B10">
      <w:pPr>
        <w:spacing w:after="120"/>
        <w:jc w:val="center"/>
        <w:rPr>
          <w:rFonts w:ascii="Arial" w:eastAsia="Arial" w:hAnsi="Arial" w:cs="Arial"/>
          <w:bCs/>
          <w:sz w:val="32"/>
          <w:szCs w:val="32"/>
        </w:rPr>
      </w:pPr>
    </w:p>
    <w:p w14:paraId="3E1C8AEE" w14:textId="77777777" w:rsidR="005A2A06" w:rsidRDefault="005A2A06" w:rsidP="00685B10">
      <w:pPr>
        <w:spacing w:after="120"/>
        <w:jc w:val="center"/>
        <w:rPr>
          <w:rFonts w:eastAsia="Arial" w:cs="Arial"/>
          <w:bCs/>
          <w:sz w:val="32"/>
          <w:szCs w:val="32"/>
        </w:rPr>
      </w:pPr>
    </w:p>
    <w:p w14:paraId="098D0B85" w14:textId="77777777" w:rsidR="00875C40" w:rsidRDefault="00875C40" w:rsidP="00685B10">
      <w:pPr>
        <w:spacing w:after="120"/>
        <w:jc w:val="center"/>
        <w:rPr>
          <w:rFonts w:eastAsia="Arial" w:cs="Arial"/>
          <w:bCs/>
          <w:sz w:val="32"/>
          <w:szCs w:val="32"/>
        </w:rPr>
      </w:pPr>
    </w:p>
    <w:p w14:paraId="238080A7" w14:textId="77777777" w:rsidR="00875C40" w:rsidRPr="005A2A06" w:rsidRDefault="00875C40" w:rsidP="00685B10">
      <w:pPr>
        <w:spacing w:after="120"/>
        <w:jc w:val="center"/>
        <w:rPr>
          <w:rFonts w:eastAsia="Arial" w:cs="Arial"/>
          <w:bCs/>
          <w:sz w:val="32"/>
          <w:szCs w:val="32"/>
        </w:rPr>
      </w:pPr>
    </w:p>
    <w:p w14:paraId="15FE210E" w14:textId="07082310" w:rsidR="005A2A06" w:rsidRPr="005A2A06" w:rsidRDefault="005A2A06" w:rsidP="00685B10">
      <w:pPr>
        <w:spacing w:after="120"/>
        <w:jc w:val="center"/>
        <w:rPr>
          <w:color w:val="000000"/>
          <w:sz w:val="27"/>
          <w:szCs w:val="27"/>
        </w:rPr>
      </w:pPr>
      <w:r w:rsidRPr="005A2A06">
        <w:rPr>
          <w:color w:val="000000"/>
          <w:sz w:val="27"/>
          <w:szCs w:val="27"/>
        </w:rPr>
        <w:t>Policing Cybercrime: Strategies, Tools and Collaborative Responses</w:t>
      </w:r>
    </w:p>
    <w:p w14:paraId="7D2A37AA" w14:textId="77777777" w:rsidR="005A2A06" w:rsidRPr="005A2A06" w:rsidRDefault="005A2A06" w:rsidP="00685B10">
      <w:pPr>
        <w:spacing w:after="120"/>
        <w:jc w:val="center"/>
        <w:rPr>
          <w:rFonts w:cs="Arial"/>
          <w:b/>
          <w:sz w:val="32"/>
          <w:szCs w:val="32"/>
        </w:rPr>
      </w:pPr>
    </w:p>
    <w:p w14:paraId="71C7FBE3" w14:textId="77777777" w:rsidR="00875C40" w:rsidRDefault="00685B10" w:rsidP="003422FF">
      <w:pPr>
        <w:pStyle w:val="ContactInfo"/>
        <w:rPr>
          <w:rFonts w:cs="Arial"/>
        </w:rPr>
      </w:pPr>
      <w:r w:rsidRPr="005A2A06">
        <w:rPr>
          <w:rFonts w:cs="Arial"/>
        </w:rPr>
        <w:t>Sadie May Mason</w:t>
      </w:r>
      <w:r w:rsidR="00D5413C" w:rsidRPr="005A2A06">
        <w:rPr>
          <w:rFonts w:cs="Arial"/>
          <w:lang w:val="en-GB" w:bidi="en-GB"/>
        </w:rPr>
        <w:t xml:space="preserve"> | </w:t>
      </w:r>
      <w:r w:rsidRPr="005A2A06">
        <w:rPr>
          <w:rFonts w:cs="Arial"/>
        </w:rPr>
        <w:t>2204171</w:t>
      </w:r>
      <w:r w:rsidR="00D5413C" w:rsidRPr="005A2A06">
        <w:rPr>
          <w:rFonts w:cs="Arial"/>
          <w:lang w:val="en-GB" w:bidi="en-GB"/>
        </w:rPr>
        <w:t xml:space="preserve"> | </w:t>
      </w:r>
      <w:r w:rsidRPr="005A2A06">
        <w:rPr>
          <w:rFonts w:cs="Arial"/>
        </w:rPr>
        <w:t>BMCJ7008D</w:t>
      </w:r>
    </w:p>
    <w:p w14:paraId="33DB67AB" w14:textId="77777777" w:rsidR="00875C40" w:rsidRDefault="00875C40" w:rsidP="003422FF">
      <w:pPr>
        <w:pStyle w:val="ContactInfo"/>
        <w:rPr>
          <w:rFonts w:cs="Arial"/>
        </w:rPr>
      </w:pPr>
    </w:p>
    <w:p w14:paraId="35A7CE9F" w14:textId="77777777" w:rsidR="00875C40" w:rsidRDefault="00875C40" w:rsidP="003422FF">
      <w:pPr>
        <w:pStyle w:val="ContactInfo"/>
        <w:rPr>
          <w:rFonts w:cs="Arial"/>
        </w:rPr>
      </w:pPr>
    </w:p>
    <w:p w14:paraId="20126714" w14:textId="77777777" w:rsidR="00875C40" w:rsidRDefault="00875C40" w:rsidP="003422FF">
      <w:pPr>
        <w:pStyle w:val="ContactInfo"/>
        <w:rPr>
          <w:rFonts w:cs="Arial"/>
        </w:rPr>
      </w:pPr>
    </w:p>
    <w:p w14:paraId="63AF94B6" w14:textId="77777777" w:rsidR="00875C40" w:rsidRDefault="00875C40" w:rsidP="003422FF">
      <w:pPr>
        <w:pStyle w:val="ContactInfo"/>
        <w:rPr>
          <w:rFonts w:cs="Arial"/>
        </w:rPr>
      </w:pPr>
    </w:p>
    <w:p w14:paraId="41525F16" w14:textId="77777777" w:rsidR="00875C40" w:rsidRDefault="00875C40" w:rsidP="003422FF">
      <w:pPr>
        <w:pStyle w:val="ContactInfo"/>
        <w:rPr>
          <w:rFonts w:cs="Arial"/>
        </w:rPr>
      </w:pPr>
    </w:p>
    <w:p w14:paraId="4FDF0A7B" w14:textId="77777777" w:rsidR="00875C40" w:rsidRDefault="00875C40" w:rsidP="003422FF">
      <w:pPr>
        <w:pStyle w:val="ContactInfo"/>
        <w:rPr>
          <w:rFonts w:cs="Arial"/>
        </w:rPr>
      </w:pPr>
    </w:p>
    <w:p w14:paraId="738EC73E" w14:textId="77777777" w:rsidR="00875C40" w:rsidRDefault="00875C40" w:rsidP="003422FF">
      <w:pPr>
        <w:pStyle w:val="ContactInfo"/>
        <w:rPr>
          <w:rFonts w:cs="Arial"/>
        </w:rPr>
      </w:pPr>
    </w:p>
    <w:p w14:paraId="154662AF" w14:textId="50190441" w:rsidR="003422FF" w:rsidRPr="00875C40" w:rsidRDefault="003422FF" w:rsidP="00875C40">
      <w:pPr>
        <w:pStyle w:val="ContactInfo"/>
        <w:jc w:val="left"/>
        <w:rPr>
          <w:i/>
          <w:iCs/>
          <w:sz w:val="20"/>
          <w:szCs w:val="20"/>
        </w:rPr>
      </w:pPr>
    </w:p>
    <w:sdt>
      <w:sdtPr>
        <w:rPr>
          <w:rFonts w:asciiTheme="minorHAnsi" w:eastAsiaTheme="minorEastAsia" w:hAnsiTheme="minorHAnsi" w:cstheme="minorBidi"/>
          <w:color w:val="4D322D" w:themeColor="text2"/>
          <w:sz w:val="22"/>
          <w:szCs w:val="22"/>
        </w:rPr>
        <w:id w:val="683634489"/>
        <w:docPartObj>
          <w:docPartGallery w:val="Table of Contents"/>
          <w:docPartUnique/>
        </w:docPartObj>
      </w:sdtPr>
      <w:sdtEndPr>
        <w:rPr>
          <w:b/>
          <w:bCs/>
          <w:noProof/>
        </w:rPr>
      </w:sdtEndPr>
      <w:sdtContent>
        <w:p w14:paraId="32443BE3" w14:textId="4D4CBF9D" w:rsidR="00F24D23" w:rsidRDefault="00F24D23">
          <w:pPr>
            <w:pStyle w:val="TOCHeading"/>
          </w:pPr>
          <w:r>
            <w:t>Table of Contents</w:t>
          </w:r>
        </w:p>
        <w:p w14:paraId="45EB52EB" w14:textId="02843994" w:rsidR="00CE4CAA" w:rsidRDefault="00F24D23">
          <w:pPr>
            <w:pStyle w:val="TOC1"/>
            <w:tabs>
              <w:tab w:val="left" w:pos="423"/>
              <w:tab w:val="right" w:leader="dot" w:pos="8630"/>
            </w:tabs>
            <w:rPr>
              <w:b w:val="0"/>
              <w:bCs w:val="0"/>
              <w:caps w:val="0"/>
              <w:noProof/>
              <w:color w:val="auto"/>
              <w:kern w:val="2"/>
              <w:sz w:val="24"/>
              <w:szCs w:val="24"/>
              <w:u w:val="none"/>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8764792" w:history="1">
            <w:r w:rsidR="00CE4CAA" w:rsidRPr="008010BD">
              <w:rPr>
                <w:rStyle w:val="Hyperlink"/>
                <w:noProof/>
              </w:rPr>
              <w:t>1.</w:t>
            </w:r>
            <w:r w:rsidR="00CE4CAA">
              <w:rPr>
                <w:b w:val="0"/>
                <w:bCs w:val="0"/>
                <w:caps w:val="0"/>
                <w:noProof/>
                <w:color w:val="auto"/>
                <w:kern w:val="2"/>
                <w:sz w:val="24"/>
                <w:szCs w:val="24"/>
                <w:u w:val="none"/>
                <w:lang w:val="en-GB" w:eastAsia="en-GB"/>
                <w14:ligatures w14:val="standardContextual"/>
              </w:rPr>
              <w:tab/>
            </w:r>
            <w:r w:rsidR="00CE4CAA" w:rsidRPr="008010BD">
              <w:rPr>
                <w:rStyle w:val="Hyperlink"/>
                <w:noProof/>
              </w:rPr>
              <w:t>Introduction 341</w:t>
            </w:r>
            <w:r w:rsidR="00CE4CAA">
              <w:rPr>
                <w:noProof/>
                <w:webHidden/>
              </w:rPr>
              <w:tab/>
            </w:r>
            <w:r w:rsidR="00CE4CAA">
              <w:rPr>
                <w:noProof/>
                <w:webHidden/>
              </w:rPr>
              <w:fldChar w:fldCharType="begin"/>
            </w:r>
            <w:r w:rsidR="00CE4CAA">
              <w:rPr>
                <w:noProof/>
                <w:webHidden/>
              </w:rPr>
              <w:instrText xml:space="preserve"> PAGEREF _Toc218764792 \h </w:instrText>
            </w:r>
            <w:r w:rsidR="00CE4CAA">
              <w:rPr>
                <w:noProof/>
                <w:webHidden/>
              </w:rPr>
            </w:r>
            <w:r w:rsidR="00CE4CAA">
              <w:rPr>
                <w:noProof/>
                <w:webHidden/>
              </w:rPr>
              <w:fldChar w:fldCharType="separate"/>
            </w:r>
            <w:r w:rsidR="00CE4CAA">
              <w:rPr>
                <w:noProof/>
                <w:webHidden/>
              </w:rPr>
              <w:t>3</w:t>
            </w:r>
            <w:r w:rsidR="00CE4CAA">
              <w:rPr>
                <w:noProof/>
                <w:webHidden/>
              </w:rPr>
              <w:fldChar w:fldCharType="end"/>
            </w:r>
          </w:hyperlink>
        </w:p>
        <w:p w14:paraId="6FD8CF5E" w14:textId="2EC9E780"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793" w:history="1">
            <w:r w:rsidRPr="008010BD">
              <w:rPr>
                <w:rStyle w:val="Hyperlink"/>
                <w:noProof/>
              </w:rPr>
              <w:t>2. Contemporary Terrorist Threats, Trends and Methods</w:t>
            </w:r>
            <w:r>
              <w:rPr>
                <w:noProof/>
                <w:webHidden/>
              </w:rPr>
              <w:tab/>
            </w:r>
            <w:r>
              <w:rPr>
                <w:noProof/>
                <w:webHidden/>
              </w:rPr>
              <w:fldChar w:fldCharType="begin"/>
            </w:r>
            <w:r>
              <w:rPr>
                <w:noProof/>
                <w:webHidden/>
              </w:rPr>
              <w:instrText xml:space="preserve"> PAGEREF _Toc218764793 \h </w:instrText>
            </w:r>
            <w:r>
              <w:rPr>
                <w:noProof/>
                <w:webHidden/>
              </w:rPr>
            </w:r>
            <w:r>
              <w:rPr>
                <w:noProof/>
                <w:webHidden/>
              </w:rPr>
              <w:fldChar w:fldCharType="separate"/>
            </w:r>
            <w:r>
              <w:rPr>
                <w:noProof/>
                <w:webHidden/>
              </w:rPr>
              <w:t>4</w:t>
            </w:r>
            <w:r>
              <w:rPr>
                <w:noProof/>
                <w:webHidden/>
              </w:rPr>
              <w:fldChar w:fldCharType="end"/>
            </w:r>
          </w:hyperlink>
        </w:p>
        <w:p w14:paraId="6B984CB8" w14:textId="4D42880E"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794" w:history="1">
            <w:r w:rsidRPr="008010BD">
              <w:rPr>
                <w:rStyle w:val="Hyperlink"/>
                <w:noProof/>
              </w:rPr>
              <w:t>2.1 Evolution of the terrorist threat landscape 126</w:t>
            </w:r>
            <w:r>
              <w:rPr>
                <w:noProof/>
                <w:webHidden/>
              </w:rPr>
              <w:tab/>
            </w:r>
            <w:r>
              <w:rPr>
                <w:noProof/>
                <w:webHidden/>
              </w:rPr>
              <w:fldChar w:fldCharType="begin"/>
            </w:r>
            <w:r>
              <w:rPr>
                <w:noProof/>
                <w:webHidden/>
              </w:rPr>
              <w:instrText xml:space="preserve"> PAGEREF _Toc218764794 \h </w:instrText>
            </w:r>
            <w:r>
              <w:rPr>
                <w:noProof/>
                <w:webHidden/>
              </w:rPr>
            </w:r>
            <w:r>
              <w:rPr>
                <w:noProof/>
                <w:webHidden/>
              </w:rPr>
              <w:fldChar w:fldCharType="separate"/>
            </w:r>
            <w:r>
              <w:rPr>
                <w:noProof/>
                <w:webHidden/>
              </w:rPr>
              <w:t>4</w:t>
            </w:r>
            <w:r>
              <w:rPr>
                <w:noProof/>
                <w:webHidden/>
              </w:rPr>
              <w:fldChar w:fldCharType="end"/>
            </w:r>
          </w:hyperlink>
        </w:p>
        <w:p w14:paraId="4CC42D8C" w14:textId="1F7B094C"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795" w:history="1">
            <w:r w:rsidRPr="008010BD">
              <w:rPr>
                <w:rStyle w:val="Hyperlink"/>
                <w:noProof/>
              </w:rPr>
              <w:t>2.2 Digital radicalisation and online ecosystems 146</w:t>
            </w:r>
            <w:r>
              <w:rPr>
                <w:noProof/>
                <w:webHidden/>
              </w:rPr>
              <w:tab/>
            </w:r>
            <w:r>
              <w:rPr>
                <w:noProof/>
                <w:webHidden/>
              </w:rPr>
              <w:fldChar w:fldCharType="begin"/>
            </w:r>
            <w:r>
              <w:rPr>
                <w:noProof/>
                <w:webHidden/>
              </w:rPr>
              <w:instrText xml:space="preserve"> PAGEREF _Toc218764795 \h </w:instrText>
            </w:r>
            <w:r>
              <w:rPr>
                <w:noProof/>
                <w:webHidden/>
              </w:rPr>
            </w:r>
            <w:r>
              <w:rPr>
                <w:noProof/>
                <w:webHidden/>
              </w:rPr>
              <w:fldChar w:fldCharType="separate"/>
            </w:r>
            <w:r>
              <w:rPr>
                <w:noProof/>
                <w:webHidden/>
              </w:rPr>
              <w:t>5</w:t>
            </w:r>
            <w:r>
              <w:rPr>
                <w:noProof/>
                <w:webHidden/>
              </w:rPr>
              <w:fldChar w:fldCharType="end"/>
            </w:r>
          </w:hyperlink>
        </w:p>
        <w:p w14:paraId="1D1433B2" w14:textId="174F07C2"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796" w:history="1">
            <w:r w:rsidRPr="008010BD">
              <w:rPr>
                <w:rStyle w:val="Hyperlink"/>
                <w:noProof/>
              </w:rPr>
              <w:t>2.3 Encrypted communications and operational security 109</w:t>
            </w:r>
            <w:r>
              <w:rPr>
                <w:noProof/>
                <w:webHidden/>
              </w:rPr>
              <w:tab/>
            </w:r>
            <w:r>
              <w:rPr>
                <w:noProof/>
                <w:webHidden/>
              </w:rPr>
              <w:fldChar w:fldCharType="begin"/>
            </w:r>
            <w:r>
              <w:rPr>
                <w:noProof/>
                <w:webHidden/>
              </w:rPr>
              <w:instrText xml:space="preserve"> PAGEREF _Toc218764796 \h </w:instrText>
            </w:r>
            <w:r>
              <w:rPr>
                <w:noProof/>
                <w:webHidden/>
              </w:rPr>
            </w:r>
            <w:r>
              <w:rPr>
                <w:noProof/>
                <w:webHidden/>
              </w:rPr>
              <w:fldChar w:fldCharType="separate"/>
            </w:r>
            <w:r>
              <w:rPr>
                <w:noProof/>
                <w:webHidden/>
              </w:rPr>
              <w:t>5</w:t>
            </w:r>
            <w:r>
              <w:rPr>
                <w:noProof/>
                <w:webHidden/>
              </w:rPr>
              <w:fldChar w:fldCharType="end"/>
            </w:r>
          </w:hyperlink>
        </w:p>
        <w:p w14:paraId="2B0FF35B" w14:textId="74137962"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797" w:history="1">
            <w:r w:rsidRPr="008010BD">
              <w:rPr>
                <w:rStyle w:val="Hyperlink"/>
                <w:noProof/>
              </w:rPr>
              <w:t>2.4 Terrorist financing and cyber-enabled methods 336</w:t>
            </w:r>
            <w:r>
              <w:rPr>
                <w:noProof/>
                <w:webHidden/>
              </w:rPr>
              <w:tab/>
            </w:r>
            <w:r>
              <w:rPr>
                <w:noProof/>
                <w:webHidden/>
              </w:rPr>
              <w:fldChar w:fldCharType="begin"/>
            </w:r>
            <w:r>
              <w:rPr>
                <w:noProof/>
                <w:webHidden/>
              </w:rPr>
              <w:instrText xml:space="preserve"> PAGEREF _Toc218764797 \h </w:instrText>
            </w:r>
            <w:r>
              <w:rPr>
                <w:noProof/>
                <w:webHidden/>
              </w:rPr>
            </w:r>
            <w:r>
              <w:rPr>
                <w:noProof/>
                <w:webHidden/>
              </w:rPr>
              <w:fldChar w:fldCharType="separate"/>
            </w:r>
            <w:r>
              <w:rPr>
                <w:noProof/>
                <w:webHidden/>
              </w:rPr>
              <w:t>6</w:t>
            </w:r>
            <w:r>
              <w:rPr>
                <w:noProof/>
                <w:webHidden/>
              </w:rPr>
              <w:fldChar w:fldCharType="end"/>
            </w:r>
          </w:hyperlink>
        </w:p>
        <w:p w14:paraId="1DF7ACAC" w14:textId="2F14900D"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798" w:history="1">
            <w:r w:rsidRPr="008010BD">
              <w:rPr>
                <w:rStyle w:val="Hyperlink"/>
                <w:noProof/>
              </w:rPr>
              <w:t>2.5 Blurring boundaries between terrorism and cybercrime 84</w:t>
            </w:r>
            <w:r>
              <w:rPr>
                <w:noProof/>
                <w:webHidden/>
              </w:rPr>
              <w:tab/>
            </w:r>
            <w:r>
              <w:rPr>
                <w:noProof/>
                <w:webHidden/>
              </w:rPr>
              <w:fldChar w:fldCharType="begin"/>
            </w:r>
            <w:r>
              <w:rPr>
                <w:noProof/>
                <w:webHidden/>
              </w:rPr>
              <w:instrText xml:space="preserve"> PAGEREF _Toc218764798 \h </w:instrText>
            </w:r>
            <w:r>
              <w:rPr>
                <w:noProof/>
                <w:webHidden/>
              </w:rPr>
            </w:r>
            <w:r>
              <w:rPr>
                <w:noProof/>
                <w:webHidden/>
              </w:rPr>
              <w:fldChar w:fldCharType="separate"/>
            </w:r>
            <w:r>
              <w:rPr>
                <w:noProof/>
                <w:webHidden/>
              </w:rPr>
              <w:t>7</w:t>
            </w:r>
            <w:r>
              <w:rPr>
                <w:noProof/>
                <w:webHidden/>
              </w:rPr>
              <w:fldChar w:fldCharType="end"/>
            </w:r>
          </w:hyperlink>
        </w:p>
        <w:p w14:paraId="41A80851" w14:textId="448DB2B6"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799" w:history="1">
            <w:r w:rsidRPr="008010BD">
              <w:rPr>
                <w:rStyle w:val="Hyperlink"/>
                <w:noProof/>
              </w:rPr>
              <w:t>3. Global and Governmental Responses to Contemporary Terrorism</w:t>
            </w:r>
            <w:r>
              <w:rPr>
                <w:noProof/>
                <w:webHidden/>
              </w:rPr>
              <w:tab/>
            </w:r>
            <w:r>
              <w:rPr>
                <w:noProof/>
                <w:webHidden/>
              </w:rPr>
              <w:fldChar w:fldCharType="begin"/>
            </w:r>
            <w:r>
              <w:rPr>
                <w:noProof/>
                <w:webHidden/>
              </w:rPr>
              <w:instrText xml:space="preserve"> PAGEREF _Toc218764799 \h </w:instrText>
            </w:r>
            <w:r>
              <w:rPr>
                <w:noProof/>
                <w:webHidden/>
              </w:rPr>
            </w:r>
            <w:r>
              <w:rPr>
                <w:noProof/>
                <w:webHidden/>
              </w:rPr>
              <w:fldChar w:fldCharType="separate"/>
            </w:r>
            <w:r>
              <w:rPr>
                <w:noProof/>
                <w:webHidden/>
              </w:rPr>
              <w:t>8</w:t>
            </w:r>
            <w:r>
              <w:rPr>
                <w:noProof/>
                <w:webHidden/>
              </w:rPr>
              <w:fldChar w:fldCharType="end"/>
            </w:r>
          </w:hyperlink>
        </w:p>
        <w:p w14:paraId="6653F05A" w14:textId="44457E18"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00" w:history="1">
            <w:r w:rsidRPr="008010BD">
              <w:rPr>
                <w:rStyle w:val="Hyperlink"/>
                <w:rFonts w:cs="Arial"/>
                <w:noProof/>
              </w:rPr>
              <w:t>3.1 UK counter-terrorism strategy 102</w:t>
            </w:r>
            <w:r>
              <w:rPr>
                <w:noProof/>
                <w:webHidden/>
              </w:rPr>
              <w:tab/>
            </w:r>
            <w:r>
              <w:rPr>
                <w:noProof/>
                <w:webHidden/>
              </w:rPr>
              <w:fldChar w:fldCharType="begin"/>
            </w:r>
            <w:r>
              <w:rPr>
                <w:noProof/>
                <w:webHidden/>
              </w:rPr>
              <w:instrText xml:space="preserve"> PAGEREF _Toc218764800 \h </w:instrText>
            </w:r>
            <w:r>
              <w:rPr>
                <w:noProof/>
                <w:webHidden/>
              </w:rPr>
            </w:r>
            <w:r>
              <w:rPr>
                <w:noProof/>
                <w:webHidden/>
              </w:rPr>
              <w:fldChar w:fldCharType="separate"/>
            </w:r>
            <w:r>
              <w:rPr>
                <w:noProof/>
                <w:webHidden/>
              </w:rPr>
              <w:t>8</w:t>
            </w:r>
            <w:r>
              <w:rPr>
                <w:noProof/>
                <w:webHidden/>
              </w:rPr>
              <w:fldChar w:fldCharType="end"/>
            </w:r>
          </w:hyperlink>
        </w:p>
        <w:p w14:paraId="3D38A03C" w14:textId="4A9AAD66"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01" w:history="1">
            <w:r w:rsidRPr="008010BD">
              <w:rPr>
                <w:rStyle w:val="Hyperlink"/>
                <w:rFonts w:cs="Arial"/>
                <w:noProof/>
              </w:rPr>
              <w:t>3.2 International and global responses 120</w:t>
            </w:r>
            <w:r>
              <w:rPr>
                <w:noProof/>
                <w:webHidden/>
              </w:rPr>
              <w:tab/>
            </w:r>
            <w:r>
              <w:rPr>
                <w:noProof/>
                <w:webHidden/>
              </w:rPr>
              <w:fldChar w:fldCharType="begin"/>
            </w:r>
            <w:r>
              <w:rPr>
                <w:noProof/>
                <w:webHidden/>
              </w:rPr>
              <w:instrText xml:space="preserve"> PAGEREF _Toc218764801 \h </w:instrText>
            </w:r>
            <w:r>
              <w:rPr>
                <w:noProof/>
                <w:webHidden/>
              </w:rPr>
            </w:r>
            <w:r>
              <w:rPr>
                <w:noProof/>
                <w:webHidden/>
              </w:rPr>
              <w:fldChar w:fldCharType="separate"/>
            </w:r>
            <w:r>
              <w:rPr>
                <w:noProof/>
                <w:webHidden/>
              </w:rPr>
              <w:t>8</w:t>
            </w:r>
            <w:r>
              <w:rPr>
                <w:noProof/>
                <w:webHidden/>
              </w:rPr>
              <w:fldChar w:fldCharType="end"/>
            </w:r>
          </w:hyperlink>
        </w:p>
        <w:p w14:paraId="4067FB15" w14:textId="2FE5C9E2"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02" w:history="1">
            <w:r w:rsidRPr="008010BD">
              <w:rPr>
                <w:rStyle w:val="Hyperlink"/>
                <w:noProof/>
              </w:rPr>
              <w:t>3.3 Critical evaluation of effectiveness 88</w:t>
            </w:r>
            <w:r>
              <w:rPr>
                <w:noProof/>
                <w:webHidden/>
              </w:rPr>
              <w:tab/>
            </w:r>
            <w:r>
              <w:rPr>
                <w:noProof/>
                <w:webHidden/>
              </w:rPr>
              <w:fldChar w:fldCharType="begin"/>
            </w:r>
            <w:r>
              <w:rPr>
                <w:noProof/>
                <w:webHidden/>
              </w:rPr>
              <w:instrText xml:space="preserve"> PAGEREF _Toc218764802 \h </w:instrText>
            </w:r>
            <w:r>
              <w:rPr>
                <w:noProof/>
                <w:webHidden/>
              </w:rPr>
            </w:r>
            <w:r>
              <w:rPr>
                <w:noProof/>
                <w:webHidden/>
              </w:rPr>
              <w:fldChar w:fldCharType="separate"/>
            </w:r>
            <w:r>
              <w:rPr>
                <w:noProof/>
                <w:webHidden/>
              </w:rPr>
              <w:t>9</w:t>
            </w:r>
            <w:r>
              <w:rPr>
                <w:noProof/>
                <w:webHidden/>
              </w:rPr>
              <w:fldChar w:fldCharType="end"/>
            </w:r>
          </w:hyperlink>
        </w:p>
        <w:p w14:paraId="701833EF" w14:textId="6A15E80F"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03" w:history="1">
            <w:r w:rsidRPr="008010BD">
              <w:rPr>
                <w:rStyle w:val="Hyperlink"/>
                <w:noProof/>
              </w:rPr>
              <w:t>4. Cybercrime in Modern Society: Scale, Impact and Challenges 262</w:t>
            </w:r>
            <w:r>
              <w:rPr>
                <w:noProof/>
                <w:webHidden/>
              </w:rPr>
              <w:tab/>
            </w:r>
            <w:r>
              <w:rPr>
                <w:noProof/>
                <w:webHidden/>
              </w:rPr>
              <w:fldChar w:fldCharType="begin"/>
            </w:r>
            <w:r>
              <w:rPr>
                <w:noProof/>
                <w:webHidden/>
              </w:rPr>
              <w:instrText xml:space="preserve"> PAGEREF _Toc218764803 \h </w:instrText>
            </w:r>
            <w:r>
              <w:rPr>
                <w:noProof/>
                <w:webHidden/>
              </w:rPr>
            </w:r>
            <w:r>
              <w:rPr>
                <w:noProof/>
                <w:webHidden/>
              </w:rPr>
              <w:fldChar w:fldCharType="separate"/>
            </w:r>
            <w:r>
              <w:rPr>
                <w:noProof/>
                <w:webHidden/>
              </w:rPr>
              <w:t>9</w:t>
            </w:r>
            <w:r>
              <w:rPr>
                <w:noProof/>
                <w:webHidden/>
              </w:rPr>
              <w:fldChar w:fldCharType="end"/>
            </w:r>
          </w:hyperlink>
        </w:p>
        <w:p w14:paraId="6B8D59D3" w14:textId="2A7E6DCB"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04" w:history="1">
            <w:r w:rsidRPr="008010BD">
              <w:rPr>
                <w:rStyle w:val="Hyperlink"/>
                <w:noProof/>
              </w:rPr>
              <w:t>5. Defining Key Areas of Cybercrime</w:t>
            </w:r>
            <w:r>
              <w:rPr>
                <w:noProof/>
                <w:webHidden/>
              </w:rPr>
              <w:tab/>
            </w:r>
            <w:r>
              <w:rPr>
                <w:noProof/>
                <w:webHidden/>
              </w:rPr>
              <w:fldChar w:fldCharType="begin"/>
            </w:r>
            <w:r>
              <w:rPr>
                <w:noProof/>
                <w:webHidden/>
              </w:rPr>
              <w:instrText xml:space="preserve"> PAGEREF _Toc218764804 \h </w:instrText>
            </w:r>
            <w:r>
              <w:rPr>
                <w:noProof/>
                <w:webHidden/>
              </w:rPr>
            </w:r>
            <w:r>
              <w:rPr>
                <w:noProof/>
                <w:webHidden/>
              </w:rPr>
              <w:fldChar w:fldCharType="separate"/>
            </w:r>
            <w:r>
              <w:rPr>
                <w:noProof/>
                <w:webHidden/>
              </w:rPr>
              <w:t>10</w:t>
            </w:r>
            <w:r>
              <w:rPr>
                <w:noProof/>
                <w:webHidden/>
              </w:rPr>
              <w:fldChar w:fldCharType="end"/>
            </w:r>
          </w:hyperlink>
        </w:p>
        <w:p w14:paraId="28BBD330" w14:textId="7B325491"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05" w:history="1">
            <w:r w:rsidRPr="008010BD">
              <w:rPr>
                <w:rStyle w:val="Hyperlink"/>
                <w:noProof/>
              </w:rPr>
              <w:t>5.1 Ransomware 111</w:t>
            </w:r>
            <w:r>
              <w:rPr>
                <w:noProof/>
                <w:webHidden/>
              </w:rPr>
              <w:tab/>
            </w:r>
            <w:r>
              <w:rPr>
                <w:noProof/>
                <w:webHidden/>
              </w:rPr>
              <w:fldChar w:fldCharType="begin"/>
            </w:r>
            <w:r>
              <w:rPr>
                <w:noProof/>
                <w:webHidden/>
              </w:rPr>
              <w:instrText xml:space="preserve"> PAGEREF _Toc218764805 \h </w:instrText>
            </w:r>
            <w:r>
              <w:rPr>
                <w:noProof/>
                <w:webHidden/>
              </w:rPr>
            </w:r>
            <w:r>
              <w:rPr>
                <w:noProof/>
                <w:webHidden/>
              </w:rPr>
              <w:fldChar w:fldCharType="separate"/>
            </w:r>
            <w:r>
              <w:rPr>
                <w:noProof/>
                <w:webHidden/>
              </w:rPr>
              <w:t>10</w:t>
            </w:r>
            <w:r>
              <w:rPr>
                <w:noProof/>
                <w:webHidden/>
              </w:rPr>
              <w:fldChar w:fldCharType="end"/>
            </w:r>
          </w:hyperlink>
        </w:p>
        <w:p w14:paraId="48A1A2B1" w14:textId="659C692A"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06" w:history="1">
            <w:r w:rsidRPr="008010BD">
              <w:rPr>
                <w:rStyle w:val="Hyperlink"/>
                <w:noProof/>
              </w:rPr>
              <w:t>5.2 Data Breaches 94</w:t>
            </w:r>
            <w:r>
              <w:rPr>
                <w:noProof/>
                <w:webHidden/>
              </w:rPr>
              <w:tab/>
            </w:r>
            <w:r>
              <w:rPr>
                <w:noProof/>
                <w:webHidden/>
              </w:rPr>
              <w:fldChar w:fldCharType="begin"/>
            </w:r>
            <w:r>
              <w:rPr>
                <w:noProof/>
                <w:webHidden/>
              </w:rPr>
              <w:instrText xml:space="preserve"> PAGEREF _Toc218764806 \h </w:instrText>
            </w:r>
            <w:r>
              <w:rPr>
                <w:noProof/>
                <w:webHidden/>
              </w:rPr>
            </w:r>
            <w:r>
              <w:rPr>
                <w:noProof/>
                <w:webHidden/>
              </w:rPr>
              <w:fldChar w:fldCharType="separate"/>
            </w:r>
            <w:r>
              <w:rPr>
                <w:noProof/>
                <w:webHidden/>
              </w:rPr>
              <w:t>11</w:t>
            </w:r>
            <w:r>
              <w:rPr>
                <w:noProof/>
                <w:webHidden/>
              </w:rPr>
              <w:fldChar w:fldCharType="end"/>
            </w:r>
          </w:hyperlink>
        </w:p>
        <w:p w14:paraId="7BEB3A5C" w14:textId="29284DAD"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07" w:history="1">
            <w:r w:rsidRPr="008010BD">
              <w:rPr>
                <w:rStyle w:val="Hyperlink"/>
                <w:noProof/>
              </w:rPr>
              <w:t>5.3 Cyber-Enabled Fraud 111</w:t>
            </w:r>
            <w:r>
              <w:rPr>
                <w:noProof/>
                <w:webHidden/>
              </w:rPr>
              <w:tab/>
            </w:r>
            <w:r>
              <w:rPr>
                <w:noProof/>
                <w:webHidden/>
              </w:rPr>
              <w:fldChar w:fldCharType="begin"/>
            </w:r>
            <w:r>
              <w:rPr>
                <w:noProof/>
                <w:webHidden/>
              </w:rPr>
              <w:instrText xml:space="preserve"> PAGEREF _Toc218764807 \h </w:instrText>
            </w:r>
            <w:r>
              <w:rPr>
                <w:noProof/>
                <w:webHidden/>
              </w:rPr>
            </w:r>
            <w:r>
              <w:rPr>
                <w:noProof/>
                <w:webHidden/>
              </w:rPr>
              <w:fldChar w:fldCharType="separate"/>
            </w:r>
            <w:r>
              <w:rPr>
                <w:noProof/>
                <w:webHidden/>
              </w:rPr>
              <w:t>11</w:t>
            </w:r>
            <w:r>
              <w:rPr>
                <w:noProof/>
                <w:webHidden/>
              </w:rPr>
              <w:fldChar w:fldCharType="end"/>
            </w:r>
          </w:hyperlink>
        </w:p>
        <w:p w14:paraId="0A2AE85E" w14:textId="761E57C6"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08" w:history="1">
            <w:r w:rsidRPr="008010BD">
              <w:rPr>
                <w:rStyle w:val="Hyperlink"/>
                <w:noProof/>
              </w:rPr>
              <w:t>6. Criteria for Assessing Policing Effectiveness in Cybercrime 143</w:t>
            </w:r>
            <w:r>
              <w:rPr>
                <w:noProof/>
                <w:webHidden/>
              </w:rPr>
              <w:tab/>
            </w:r>
            <w:r>
              <w:rPr>
                <w:noProof/>
                <w:webHidden/>
              </w:rPr>
              <w:fldChar w:fldCharType="begin"/>
            </w:r>
            <w:r>
              <w:rPr>
                <w:noProof/>
                <w:webHidden/>
              </w:rPr>
              <w:instrText xml:space="preserve"> PAGEREF _Toc218764808 \h </w:instrText>
            </w:r>
            <w:r>
              <w:rPr>
                <w:noProof/>
                <w:webHidden/>
              </w:rPr>
            </w:r>
            <w:r>
              <w:rPr>
                <w:noProof/>
                <w:webHidden/>
              </w:rPr>
              <w:fldChar w:fldCharType="separate"/>
            </w:r>
            <w:r>
              <w:rPr>
                <w:noProof/>
                <w:webHidden/>
              </w:rPr>
              <w:t>12</w:t>
            </w:r>
            <w:r>
              <w:rPr>
                <w:noProof/>
                <w:webHidden/>
              </w:rPr>
              <w:fldChar w:fldCharType="end"/>
            </w:r>
          </w:hyperlink>
        </w:p>
        <w:p w14:paraId="2B2104E3" w14:textId="355BEC11"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09" w:history="1">
            <w:r w:rsidRPr="008010BD">
              <w:rPr>
                <w:rStyle w:val="Hyperlink"/>
                <w:noProof/>
              </w:rPr>
              <w:t>7. Policing Strategies and Tools: Critical Evaluation</w:t>
            </w:r>
            <w:r>
              <w:rPr>
                <w:noProof/>
                <w:webHidden/>
              </w:rPr>
              <w:tab/>
            </w:r>
            <w:r>
              <w:rPr>
                <w:noProof/>
                <w:webHidden/>
              </w:rPr>
              <w:fldChar w:fldCharType="begin"/>
            </w:r>
            <w:r>
              <w:rPr>
                <w:noProof/>
                <w:webHidden/>
              </w:rPr>
              <w:instrText xml:space="preserve"> PAGEREF _Toc218764809 \h </w:instrText>
            </w:r>
            <w:r>
              <w:rPr>
                <w:noProof/>
                <w:webHidden/>
              </w:rPr>
            </w:r>
            <w:r>
              <w:rPr>
                <w:noProof/>
                <w:webHidden/>
              </w:rPr>
              <w:fldChar w:fldCharType="separate"/>
            </w:r>
            <w:r>
              <w:rPr>
                <w:noProof/>
                <w:webHidden/>
              </w:rPr>
              <w:t>12</w:t>
            </w:r>
            <w:r>
              <w:rPr>
                <w:noProof/>
                <w:webHidden/>
              </w:rPr>
              <w:fldChar w:fldCharType="end"/>
            </w:r>
          </w:hyperlink>
        </w:p>
        <w:p w14:paraId="2CC54EC9" w14:textId="34A4131C"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10" w:history="1">
            <w:r w:rsidRPr="008010BD">
              <w:rPr>
                <w:rStyle w:val="Hyperlink"/>
                <w:noProof/>
              </w:rPr>
              <w:t>7.1 Digital Forensics 392</w:t>
            </w:r>
            <w:r>
              <w:rPr>
                <w:noProof/>
                <w:webHidden/>
              </w:rPr>
              <w:tab/>
            </w:r>
            <w:r>
              <w:rPr>
                <w:noProof/>
                <w:webHidden/>
              </w:rPr>
              <w:fldChar w:fldCharType="begin"/>
            </w:r>
            <w:r>
              <w:rPr>
                <w:noProof/>
                <w:webHidden/>
              </w:rPr>
              <w:instrText xml:space="preserve"> PAGEREF _Toc218764810 \h </w:instrText>
            </w:r>
            <w:r>
              <w:rPr>
                <w:noProof/>
                <w:webHidden/>
              </w:rPr>
            </w:r>
            <w:r>
              <w:rPr>
                <w:noProof/>
                <w:webHidden/>
              </w:rPr>
              <w:fldChar w:fldCharType="separate"/>
            </w:r>
            <w:r>
              <w:rPr>
                <w:noProof/>
                <w:webHidden/>
              </w:rPr>
              <w:t>12</w:t>
            </w:r>
            <w:r>
              <w:rPr>
                <w:noProof/>
                <w:webHidden/>
              </w:rPr>
              <w:fldChar w:fldCharType="end"/>
            </w:r>
          </w:hyperlink>
        </w:p>
        <w:p w14:paraId="286C3216" w14:textId="41FBC5A5"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11" w:history="1">
            <w:r w:rsidRPr="008010BD">
              <w:rPr>
                <w:rStyle w:val="Hyperlink"/>
                <w:noProof/>
              </w:rPr>
              <w:t>7.2 Threat Intelligence 270</w:t>
            </w:r>
            <w:r>
              <w:rPr>
                <w:noProof/>
                <w:webHidden/>
              </w:rPr>
              <w:tab/>
            </w:r>
            <w:r>
              <w:rPr>
                <w:noProof/>
                <w:webHidden/>
              </w:rPr>
              <w:fldChar w:fldCharType="begin"/>
            </w:r>
            <w:r>
              <w:rPr>
                <w:noProof/>
                <w:webHidden/>
              </w:rPr>
              <w:instrText xml:space="preserve"> PAGEREF _Toc218764811 \h </w:instrText>
            </w:r>
            <w:r>
              <w:rPr>
                <w:noProof/>
                <w:webHidden/>
              </w:rPr>
            </w:r>
            <w:r>
              <w:rPr>
                <w:noProof/>
                <w:webHidden/>
              </w:rPr>
              <w:fldChar w:fldCharType="separate"/>
            </w:r>
            <w:r>
              <w:rPr>
                <w:noProof/>
                <w:webHidden/>
              </w:rPr>
              <w:t>14</w:t>
            </w:r>
            <w:r>
              <w:rPr>
                <w:noProof/>
                <w:webHidden/>
              </w:rPr>
              <w:fldChar w:fldCharType="end"/>
            </w:r>
          </w:hyperlink>
        </w:p>
        <w:p w14:paraId="59CA5141" w14:textId="36928EF6"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12" w:history="1">
            <w:r w:rsidRPr="008010BD">
              <w:rPr>
                <w:rStyle w:val="Hyperlink"/>
                <w:noProof/>
              </w:rPr>
              <w:t>7.3 Public–Private Partnerships 135</w:t>
            </w:r>
            <w:r>
              <w:rPr>
                <w:noProof/>
                <w:webHidden/>
              </w:rPr>
              <w:tab/>
            </w:r>
            <w:r>
              <w:rPr>
                <w:noProof/>
                <w:webHidden/>
              </w:rPr>
              <w:fldChar w:fldCharType="begin"/>
            </w:r>
            <w:r>
              <w:rPr>
                <w:noProof/>
                <w:webHidden/>
              </w:rPr>
              <w:instrText xml:space="preserve"> PAGEREF _Toc218764812 \h </w:instrText>
            </w:r>
            <w:r>
              <w:rPr>
                <w:noProof/>
                <w:webHidden/>
              </w:rPr>
            </w:r>
            <w:r>
              <w:rPr>
                <w:noProof/>
                <w:webHidden/>
              </w:rPr>
              <w:fldChar w:fldCharType="separate"/>
            </w:r>
            <w:r>
              <w:rPr>
                <w:noProof/>
                <w:webHidden/>
              </w:rPr>
              <w:t>15</w:t>
            </w:r>
            <w:r>
              <w:rPr>
                <w:noProof/>
                <w:webHidden/>
              </w:rPr>
              <w:fldChar w:fldCharType="end"/>
            </w:r>
          </w:hyperlink>
        </w:p>
        <w:p w14:paraId="419C0D98" w14:textId="0DF21CC2"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13" w:history="1">
            <w:r w:rsidRPr="008010BD">
              <w:rPr>
                <w:rStyle w:val="Hyperlink"/>
                <w:rFonts w:eastAsia="Times New Roman"/>
                <w:noProof/>
                <w:lang w:val="en-GB" w:eastAsia="en-GB"/>
              </w:rPr>
              <w:t>8. Systemic Barriers to Effective Cybercrime Policing 66</w:t>
            </w:r>
            <w:r>
              <w:rPr>
                <w:noProof/>
                <w:webHidden/>
              </w:rPr>
              <w:tab/>
            </w:r>
            <w:r>
              <w:rPr>
                <w:noProof/>
                <w:webHidden/>
              </w:rPr>
              <w:fldChar w:fldCharType="begin"/>
            </w:r>
            <w:r>
              <w:rPr>
                <w:noProof/>
                <w:webHidden/>
              </w:rPr>
              <w:instrText xml:space="preserve"> PAGEREF _Toc218764813 \h </w:instrText>
            </w:r>
            <w:r>
              <w:rPr>
                <w:noProof/>
                <w:webHidden/>
              </w:rPr>
            </w:r>
            <w:r>
              <w:rPr>
                <w:noProof/>
                <w:webHidden/>
              </w:rPr>
              <w:fldChar w:fldCharType="separate"/>
            </w:r>
            <w:r>
              <w:rPr>
                <w:noProof/>
                <w:webHidden/>
              </w:rPr>
              <w:t>16</w:t>
            </w:r>
            <w:r>
              <w:rPr>
                <w:noProof/>
                <w:webHidden/>
              </w:rPr>
              <w:fldChar w:fldCharType="end"/>
            </w:r>
          </w:hyperlink>
        </w:p>
        <w:p w14:paraId="1AC2580A" w14:textId="61309DBE"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14" w:history="1">
            <w:r w:rsidRPr="008010BD">
              <w:rPr>
                <w:rStyle w:val="Hyperlink"/>
                <w:noProof/>
              </w:rPr>
              <w:t>9. Evidence-Based Measures to Improve Effectiveness 66</w:t>
            </w:r>
            <w:r>
              <w:rPr>
                <w:noProof/>
                <w:webHidden/>
              </w:rPr>
              <w:tab/>
            </w:r>
            <w:r>
              <w:rPr>
                <w:noProof/>
                <w:webHidden/>
              </w:rPr>
              <w:fldChar w:fldCharType="begin"/>
            </w:r>
            <w:r>
              <w:rPr>
                <w:noProof/>
                <w:webHidden/>
              </w:rPr>
              <w:instrText xml:space="preserve"> PAGEREF _Toc218764814 \h </w:instrText>
            </w:r>
            <w:r>
              <w:rPr>
                <w:noProof/>
                <w:webHidden/>
              </w:rPr>
            </w:r>
            <w:r>
              <w:rPr>
                <w:noProof/>
                <w:webHidden/>
              </w:rPr>
              <w:fldChar w:fldCharType="separate"/>
            </w:r>
            <w:r>
              <w:rPr>
                <w:noProof/>
                <w:webHidden/>
              </w:rPr>
              <w:t>16</w:t>
            </w:r>
            <w:r>
              <w:rPr>
                <w:noProof/>
                <w:webHidden/>
              </w:rPr>
              <w:fldChar w:fldCharType="end"/>
            </w:r>
          </w:hyperlink>
        </w:p>
        <w:p w14:paraId="2CB8269D" w14:textId="537BEEC3"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15" w:history="1">
            <w:r w:rsidRPr="008010BD">
              <w:rPr>
                <w:rStyle w:val="Hyperlink"/>
                <w:noProof/>
              </w:rPr>
              <w:t>10. Integrated Challenges Across Terrorism and Cybercrime Policing 385</w:t>
            </w:r>
            <w:r>
              <w:rPr>
                <w:noProof/>
                <w:webHidden/>
              </w:rPr>
              <w:tab/>
            </w:r>
            <w:r>
              <w:rPr>
                <w:noProof/>
                <w:webHidden/>
              </w:rPr>
              <w:fldChar w:fldCharType="begin"/>
            </w:r>
            <w:r>
              <w:rPr>
                <w:noProof/>
                <w:webHidden/>
              </w:rPr>
              <w:instrText xml:space="preserve"> PAGEREF _Toc218764815 \h </w:instrText>
            </w:r>
            <w:r>
              <w:rPr>
                <w:noProof/>
                <w:webHidden/>
              </w:rPr>
            </w:r>
            <w:r>
              <w:rPr>
                <w:noProof/>
                <w:webHidden/>
              </w:rPr>
              <w:fldChar w:fldCharType="separate"/>
            </w:r>
            <w:r>
              <w:rPr>
                <w:noProof/>
                <w:webHidden/>
              </w:rPr>
              <w:t>17</w:t>
            </w:r>
            <w:r>
              <w:rPr>
                <w:noProof/>
                <w:webHidden/>
              </w:rPr>
              <w:fldChar w:fldCharType="end"/>
            </w:r>
          </w:hyperlink>
        </w:p>
        <w:p w14:paraId="2FAE2A9B" w14:textId="7D3E203F"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16" w:history="1">
            <w:r w:rsidRPr="008010BD">
              <w:rPr>
                <w:rStyle w:val="Hyperlink"/>
                <w:noProof/>
              </w:rPr>
              <w:t>11. Innovative, Evidence-Based Measures to Improve Effectiveness 18</w:t>
            </w:r>
            <w:r>
              <w:rPr>
                <w:noProof/>
                <w:webHidden/>
              </w:rPr>
              <w:tab/>
            </w:r>
            <w:r>
              <w:rPr>
                <w:noProof/>
                <w:webHidden/>
              </w:rPr>
              <w:fldChar w:fldCharType="begin"/>
            </w:r>
            <w:r>
              <w:rPr>
                <w:noProof/>
                <w:webHidden/>
              </w:rPr>
              <w:instrText xml:space="preserve"> PAGEREF _Toc218764816 \h </w:instrText>
            </w:r>
            <w:r>
              <w:rPr>
                <w:noProof/>
                <w:webHidden/>
              </w:rPr>
            </w:r>
            <w:r>
              <w:rPr>
                <w:noProof/>
                <w:webHidden/>
              </w:rPr>
              <w:fldChar w:fldCharType="separate"/>
            </w:r>
            <w:r>
              <w:rPr>
                <w:noProof/>
                <w:webHidden/>
              </w:rPr>
              <w:t>18</w:t>
            </w:r>
            <w:r>
              <w:rPr>
                <w:noProof/>
                <w:webHidden/>
              </w:rPr>
              <w:fldChar w:fldCharType="end"/>
            </w:r>
          </w:hyperlink>
        </w:p>
        <w:p w14:paraId="47A5406B" w14:textId="0E1345A1"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17" w:history="1">
            <w:r w:rsidRPr="008010BD">
              <w:rPr>
                <w:rStyle w:val="Hyperlink"/>
                <w:noProof/>
              </w:rPr>
              <w:t>11.1 Harm-based and disruption-focused policing 99</w:t>
            </w:r>
            <w:r>
              <w:rPr>
                <w:noProof/>
                <w:webHidden/>
              </w:rPr>
              <w:tab/>
            </w:r>
            <w:r>
              <w:rPr>
                <w:noProof/>
                <w:webHidden/>
              </w:rPr>
              <w:fldChar w:fldCharType="begin"/>
            </w:r>
            <w:r>
              <w:rPr>
                <w:noProof/>
                <w:webHidden/>
              </w:rPr>
              <w:instrText xml:space="preserve"> PAGEREF _Toc218764817 \h </w:instrText>
            </w:r>
            <w:r>
              <w:rPr>
                <w:noProof/>
                <w:webHidden/>
              </w:rPr>
            </w:r>
            <w:r>
              <w:rPr>
                <w:noProof/>
                <w:webHidden/>
              </w:rPr>
              <w:fldChar w:fldCharType="separate"/>
            </w:r>
            <w:r>
              <w:rPr>
                <w:noProof/>
                <w:webHidden/>
              </w:rPr>
              <w:t>18</w:t>
            </w:r>
            <w:r>
              <w:rPr>
                <w:noProof/>
                <w:webHidden/>
              </w:rPr>
              <w:fldChar w:fldCharType="end"/>
            </w:r>
          </w:hyperlink>
        </w:p>
        <w:p w14:paraId="29A526FC" w14:textId="66728645"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18" w:history="1">
            <w:r w:rsidRPr="008010BD">
              <w:rPr>
                <w:rStyle w:val="Hyperlink"/>
                <w:noProof/>
              </w:rPr>
              <w:t>11.2 Integration of cybercrime and counter-terrorism intelligence 86</w:t>
            </w:r>
            <w:r>
              <w:rPr>
                <w:noProof/>
                <w:webHidden/>
              </w:rPr>
              <w:tab/>
            </w:r>
            <w:r>
              <w:rPr>
                <w:noProof/>
                <w:webHidden/>
              </w:rPr>
              <w:fldChar w:fldCharType="begin"/>
            </w:r>
            <w:r>
              <w:rPr>
                <w:noProof/>
                <w:webHidden/>
              </w:rPr>
              <w:instrText xml:space="preserve"> PAGEREF _Toc218764818 \h </w:instrText>
            </w:r>
            <w:r>
              <w:rPr>
                <w:noProof/>
                <w:webHidden/>
              </w:rPr>
            </w:r>
            <w:r>
              <w:rPr>
                <w:noProof/>
                <w:webHidden/>
              </w:rPr>
              <w:fldChar w:fldCharType="separate"/>
            </w:r>
            <w:r>
              <w:rPr>
                <w:noProof/>
                <w:webHidden/>
              </w:rPr>
              <w:t>19</w:t>
            </w:r>
            <w:r>
              <w:rPr>
                <w:noProof/>
                <w:webHidden/>
              </w:rPr>
              <w:fldChar w:fldCharType="end"/>
            </w:r>
          </w:hyperlink>
        </w:p>
        <w:p w14:paraId="3FD54A6B" w14:textId="76678656"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19" w:history="1">
            <w:r w:rsidRPr="008010BD">
              <w:rPr>
                <w:rStyle w:val="Hyperlink"/>
                <w:noProof/>
              </w:rPr>
              <w:t>11.3 Strengthening regulated public–private partnerships 84</w:t>
            </w:r>
            <w:r>
              <w:rPr>
                <w:noProof/>
                <w:webHidden/>
              </w:rPr>
              <w:tab/>
            </w:r>
            <w:r>
              <w:rPr>
                <w:noProof/>
                <w:webHidden/>
              </w:rPr>
              <w:fldChar w:fldCharType="begin"/>
            </w:r>
            <w:r>
              <w:rPr>
                <w:noProof/>
                <w:webHidden/>
              </w:rPr>
              <w:instrText xml:space="preserve"> PAGEREF _Toc218764819 \h </w:instrText>
            </w:r>
            <w:r>
              <w:rPr>
                <w:noProof/>
                <w:webHidden/>
              </w:rPr>
            </w:r>
            <w:r>
              <w:rPr>
                <w:noProof/>
                <w:webHidden/>
              </w:rPr>
              <w:fldChar w:fldCharType="separate"/>
            </w:r>
            <w:r>
              <w:rPr>
                <w:noProof/>
                <w:webHidden/>
              </w:rPr>
              <w:t>19</w:t>
            </w:r>
            <w:r>
              <w:rPr>
                <w:noProof/>
                <w:webHidden/>
              </w:rPr>
              <w:fldChar w:fldCharType="end"/>
            </w:r>
          </w:hyperlink>
        </w:p>
        <w:p w14:paraId="7494BF8A" w14:textId="5AF0B6C2"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20" w:history="1">
            <w:r w:rsidRPr="008010BD">
              <w:rPr>
                <w:rStyle w:val="Hyperlink"/>
                <w:noProof/>
              </w:rPr>
              <w:t>11.4 Capacity building and workforce development 67</w:t>
            </w:r>
            <w:r>
              <w:rPr>
                <w:noProof/>
                <w:webHidden/>
              </w:rPr>
              <w:tab/>
            </w:r>
            <w:r>
              <w:rPr>
                <w:noProof/>
                <w:webHidden/>
              </w:rPr>
              <w:fldChar w:fldCharType="begin"/>
            </w:r>
            <w:r>
              <w:rPr>
                <w:noProof/>
                <w:webHidden/>
              </w:rPr>
              <w:instrText xml:space="preserve"> PAGEREF _Toc218764820 \h </w:instrText>
            </w:r>
            <w:r>
              <w:rPr>
                <w:noProof/>
                <w:webHidden/>
              </w:rPr>
            </w:r>
            <w:r>
              <w:rPr>
                <w:noProof/>
                <w:webHidden/>
              </w:rPr>
              <w:fldChar w:fldCharType="separate"/>
            </w:r>
            <w:r>
              <w:rPr>
                <w:noProof/>
                <w:webHidden/>
              </w:rPr>
              <w:t>20</w:t>
            </w:r>
            <w:r>
              <w:rPr>
                <w:noProof/>
                <w:webHidden/>
              </w:rPr>
              <w:fldChar w:fldCharType="end"/>
            </w:r>
          </w:hyperlink>
        </w:p>
        <w:p w14:paraId="0984F4B7" w14:textId="67754173"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21" w:history="1">
            <w:r w:rsidRPr="008010BD">
              <w:rPr>
                <w:rStyle w:val="Hyperlink"/>
                <w:noProof/>
              </w:rPr>
              <w:t>12. Conclusion 179</w:t>
            </w:r>
            <w:r>
              <w:rPr>
                <w:noProof/>
                <w:webHidden/>
              </w:rPr>
              <w:tab/>
            </w:r>
            <w:r>
              <w:rPr>
                <w:noProof/>
                <w:webHidden/>
              </w:rPr>
              <w:fldChar w:fldCharType="begin"/>
            </w:r>
            <w:r>
              <w:rPr>
                <w:noProof/>
                <w:webHidden/>
              </w:rPr>
              <w:instrText xml:space="preserve"> PAGEREF _Toc218764821 \h </w:instrText>
            </w:r>
            <w:r>
              <w:rPr>
                <w:noProof/>
                <w:webHidden/>
              </w:rPr>
            </w:r>
            <w:r>
              <w:rPr>
                <w:noProof/>
                <w:webHidden/>
              </w:rPr>
              <w:fldChar w:fldCharType="separate"/>
            </w:r>
            <w:r>
              <w:rPr>
                <w:noProof/>
                <w:webHidden/>
              </w:rPr>
              <w:t>20</w:t>
            </w:r>
            <w:r>
              <w:rPr>
                <w:noProof/>
                <w:webHidden/>
              </w:rPr>
              <w:fldChar w:fldCharType="end"/>
            </w:r>
          </w:hyperlink>
        </w:p>
        <w:p w14:paraId="4CACD364" w14:textId="5AFDE9D2"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22" w:history="1">
            <w:r w:rsidRPr="008010BD">
              <w:rPr>
                <w:rStyle w:val="Hyperlink"/>
                <w:noProof/>
              </w:rPr>
              <w:t>Declaration</w:t>
            </w:r>
            <w:r>
              <w:rPr>
                <w:noProof/>
                <w:webHidden/>
              </w:rPr>
              <w:tab/>
            </w:r>
            <w:r>
              <w:rPr>
                <w:noProof/>
                <w:webHidden/>
              </w:rPr>
              <w:fldChar w:fldCharType="begin"/>
            </w:r>
            <w:r>
              <w:rPr>
                <w:noProof/>
                <w:webHidden/>
              </w:rPr>
              <w:instrText xml:space="preserve"> PAGEREF _Toc218764822 \h </w:instrText>
            </w:r>
            <w:r>
              <w:rPr>
                <w:noProof/>
                <w:webHidden/>
              </w:rPr>
            </w:r>
            <w:r>
              <w:rPr>
                <w:noProof/>
                <w:webHidden/>
              </w:rPr>
              <w:fldChar w:fldCharType="separate"/>
            </w:r>
            <w:r>
              <w:rPr>
                <w:noProof/>
                <w:webHidden/>
              </w:rPr>
              <w:t>21</w:t>
            </w:r>
            <w:r>
              <w:rPr>
                <w:noProof/>
                <w:webHidden/>
              </w:rPr>
              <w:fldChar w:fldCharType="end"/>
            </w:r>
          </w:hyperlink>
        </w:p>
        <w:p w14:paraId="1D368509" w14:textId="0D111221"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23" w:history="1">
            <w:r w:rsidRPr="008010BD">
              <w:rPr>
                <w:rStyle w:val="Hyperlink"/>
                <w:noProof/>
              </w:rPr>
              <w:t>References</w:t>
            </w:r>
            <w:r>
              <w:rPr>
                <w:noProof/>
                <w:webHidden/>
              </w:rPr>
              <w:tab/>
            </w:r>
            <w:r>
              <w:rPr>
                <w:noProof/>
                <w:webHidden/>
              </w:rPr>
              <w:fldChar w:fldCharType="begin"/>
            </w:r>
            <w:r>
              <w:rPr>
                <w:noProof/>
                <w:webHidden/>
              </w:rPr>
              <w:instrText xml:space="preserve"> PAGEREF _Toc218764823 \h </w:instrText>
            </w:r>
            <w:r>
              <w:rPr>
                <w:noProof/>
                <w:webHidden/>
              </w:rPr>
            </w:r>
            <w:r>
              <w:rPr>
                <w:noProof/>
                <w:webHidden/>
              </w:rPr>
              <w:fldChar w:fldCharType="separate"/>
            </w:r>
            <w:r>
              <w:rPr>
                <w:noProof/>
                <w:webHidden/>
              </w:rPr>
              <w:t>23</w:t>
            </w:r>
            <w:r>
              <w:rPr>
                <w:noProof/>
                <w:webHidden/>
              </w:rPr>
              <w:fldChar w:fldCharType="end"/>
            </w:r>
          </w:hyperlink>
        </w:p>
        <w:p w14:paraId="4F9A7EB7" w14:textId="28DED3E6" w:rsidR="00CE4CAA" w:rsidRDefault="00CE4CAA">
          <w:pPr>
            <w:pStyle w:val="TOC1"/>
            <w:tabs>
              <w:tab w:val="right" w:leader="dot" w:pos="8630"/>
            </w:tabs>
            <w:rPr>
              <w:b w:val="0"/>
              <w:bCs w:val="0"/>
              <w:caps w:val="0"/>
              <w:noProof/>
              <w:color w:val="auto"/>
              <w:kern w:val="2"/>
              <w:sz w:val="24"/>
              <w:szCs w:val="24"/>
              <w:u w:val="none"/>
              <w:lang w:val="en-GB" w:eastAsia="en-GB"/>
              <w14:ligatures w14:val="standardContextual"/>
            </w:rPr>
          </w:pPr>
          <w:hyperlink w:anchor="_Toc218764824" w:history="1">
            <w:r w:rsidRPr="008010BD">
              <w:rPr>
                <w:rStyle w:val="Hyperlink"/>
                <w:noProof/>
              </w:rPr>
              <w:t>Appendices</w:t>
            </w:r>
            <w:r>
              <w:rPr>
                <w:noProof/>
                <w:webHidden/>
              </w:rPr>
              <w:tab/>
            </w:r>
            <w:r>
              <w:rPr>
                <w:noProof/>
                <w:webHidden/>
              </w:rPr>
              <w:fldChar w:fldCharType="begin"/>
            </w:r>
            <w:r>
              <w:rPr>
                <w:noProof/>
                <w:webHidden/>
              </w:rPr>
              <w:instrText xml:space="preserve"> PAGEREF _Toc218764824 \h </w:instrText>
            </w:r>
            <w:r>
              <w:rPr>
                <w:noProof/>
                <w:webHidden/>
              </w:rPr>
            </w:r>
            <w:r>
              <w:rPr>
                <w:noProof/>
                <w:webHidden/>
              </w:rPr>
              <w:fldChar w:fldCharType="separate"/>
            </w:r>
            <w:r>
              <w:rPr>
                <w:noProof/>
                <w:webHidden/>
              </w:rPr>
              <w:t>24</w:t>
            </w:r>
            <w:r>
              <w:rPr>
                <w:noProof/>
                <w:webHidden/>
              </w:rPr>
              <w:fldChar w:fldCharType="end"/>
            </w:r>
          </w:hyperlink>
        </w:p>
        <w:p w14:paraId="74FC0127" w14:textId="150A9618"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25" w:history="1">
            <w:r w:rsidRPr="008010BD">
              <w:rPr>
                <w:rStyle w:val="Hyperlink"/>
                <w:rFonts w:ascii="Arial" w:hAnsi="Arial" w:cs="Arial"/>
                <w:noProof/>
              </w:rPr>
              <w:t>APPENDIX A – TERRORIST RADICALISATION</w:t>
            </w:r>
            <w:r>
              <w:rPr>
                <w:noProof/>
                <w:webHidden/>
              </w:rPr>
              <w:tab/>
            </w:r>
            <w:r>
              <w:rPr>
                <w:noProof/>
                <w:webHidden/>
              </w:rPr>
              <w:fldChar w:fldCharType="begin"/>
            </w:r>
            <w:r>
              <w:rPr>
                <w:noProof/>
                <w:webHidden/>
              </w:rPr>
              <w:instrText xml:space="preserve"> PAGEREF _Toc218764825 \h </w:instrText>
            </w:r>
            <w:r>
              <w:rPr>
                <w:noProof/>
                <w:webHidden/>
              </w:rPr>
            </w:r>
            <w:r>
              <w:rPr>
                <w:noProof/>
                <w:webHidden/>
              </w:rPr>
              <w:fldChar w:fldCharType="separate"/>
            </w:r>
            <w:r>
              <w:rPr>
                <w:noProof/>
                <w:webHidden/>
              </w:rPr>
              <w:t>24</w:t>
            </w:r>
            <w:r>
              <w:rPr>
                <w:noProof/>
                <w:webHidden/>
              </w:rPr>
              <w:fldChar w:fldCharType="end"/>
            </w:r>
          </w:hyperlink>
        </w:p>
        <w:p w14:paraId="02C52ABC" w14:textId="7AADDFB1" w:rsidR="00CE4CAA" w:rsidRDefault="00CE4CAA">
          <w:pPr>
            <w:pStyle w:val="TOC3"/>
            <w:tabs>
              <w:tab w:val="right" w:leader="dot" w:pos="8630"/>
            </w:tabs>
            <w:rPr>
              <w:smallCaps w:val="0"/>
              <w:noProof/>
              <w:color w:val="auto"/>
              <w:kern w:val="2"/>
              <w:sz w:val="24"/>
              <w:szCs w:val="24"/>
              <w:lang w:val="en-GB" w:eastAsia="en-GB"/>
              <w14:ligatures w14:val="standardContextual"/>
            </w:rPr>
          </w:pPr>
          <w:hyperlink w:anchor="_Toc218764826" w:history="1">
            <w:r w:rsidRPr="008010BD">
              <w:rPr>
                <w:rStyle w:val="Hyperlink"/>
                <w:rFonts w:ascii="Arial" w:hAnsi="Arial" w:cs="Arial"/>
                <w:b/>
                <w:bCs/>
                <w:noProof/>
              </w:rPr>
              <w:t>Figure A1:</w:t>
            </w:r>
            <w:r w:rsidRPr="008010BD">
              <w:rPr>
                <w:rStyle w:val="Hyperlink"/>
                <w:rFonts w:ascii="Arial" w:hAnsi="Arial" w:cs="Arial"/>
                <w:noProof/>
              </w:rPr>
              <w:t xml:space="preserve"> Internet-enabled pathways to radicalisation</w:t>
            </w:r>
            <w:r>
              <w:rPr>
                <w:noProof/>
                <w:webHidden/>
              </w:rPr>
              <w:tab/>
            </w:r>
            <w:r>
              <w:rPr>
                <w:noProof/>
                <w:webHidden/>
              </w:rPr>
              <w:fldChar w:fldCharType="begin"/>
            </w:r>
            <w:r>
              <w:rPr>
                <w:noProof/>
                <w:webHidden/>
              </w:rPr>
              <w:instrText xml:space="preserve"> PAGEREF _Toc218764826 \h </w:instrText>
            </w:r>
            <w:r>
              <w:rPr>
                <w:noProof/>
                <w:webHidden/>
              </w:rPr>
            </w:r>
            <w:r>
              <w:rPr>
                <w:noProof/>
                <w:webHidden/>
              </w:rPr>
              <w:fldChar w:fldCharType="separate"/>
            </w:r>
            <w:r>
              <w:rPr>
                <w:noProof/>
                <w:webHidden/>
              </w:rPr>
              <w:t>24</w:t>
            </w:r>
            <w:r>
              <w:rPr>
                <w:noProof/>
                <w:webHidden/>
              </w:rPr>
              <w:fldChar w:fldCharType="end"/>
            </w:r>
          </w:hyperlink>
        </w:p>
        <w:p w14:paraId="6105219F" w14:textId="16E4E8FF"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27" w:history="1">
            <w:r w:rsidRPr="008010BD">
              <w:rPr>
                <w:rStyle w:val="Hyperlink"/>
                <w:rFonts w:ascii="Arial" w:hAnsi="Arial" w:cs="Arial"/>
                <w:noProof/>
              </w:rPr>
              <w:t>APPENDIX B – CYBER-ENABLED TERRORIST FINANCING</w:t>
            </w:r>
            <w:r>
              <w:rPr>
                <w:noProof/>
                <w:webHidden/>
              </w:rPr>
              <w:tab/>
            </w:r>
            <w:r>
              <w:rPr>
                <w:noProof/>
                <w:webHidden/>
              </w:rPr>
              <w:fldChar w:fldCharType="begin"/>
            </w:r>
            <w:r>
              <w:rPr>
                <w:noProof/>
                <w:webHidden/>
              </w:rPr>
              <w:instrText xml:space="preserve"> PAGEREF _Toc218764827 \h </w:instrText>
            </w:r>
            <w:r>
              <w:rPr>
                <w:noProof/>
                <w:webHidden/>
              </w:rPr>
            </w:r>
            <w:r>
              <w:rPr>
                <w:noProof/>
                <w:webHidden/>
              </w:rPr>
              <w:fldChar w:fldCharType="separate"/>
            </w:r>
            <w:r>
              <w:rPr>
                <w:noProof/>
                <w:webHidden/>
              </w:rPr>
              <w:t>25</w:t>
            </w:r>
            <w:r>
              <w:rPr>
                <w:noProof/>
                <w:webHidden/>
              </w:rPr>
              <w:fldChar w:fldCharType="end"/>
            </w:r>
          </w:hyperlink>
        </w:p>
        <w:p w14:paraId="1CE7BADD" w14:textId="24F20544" w:rsidR="00CE4CAA" w:rsidRDefault="00CE4CAA">
          <w:pPr>
            <w:pStyle w:val="TOC3"/>
            <w:tabs>
              <w:tab w:val="right" w:leader="dot" w:pos="8630"/>
            </w:tabs>
            <w:rPr>
              <w:smallCaps w:val="0"/>
              <w:noProof/>
              <w:color w:val="auto"/>
              <w:kern w:val="2"/>
              <w:sz w:val="24"/>
              <w:szCs w:val="24"/>
              <w:lang w:val="en-GB" w:eastAsia="en-GB"/>
              <w14:ligatures w14:val="standardContextual"/>
            </w:rPr>
          </w:pPr>
          <w:hyperlink w:anchor="_Toc218764828" w:history="1">
            <w:r w:rsidRPr="008010BD">
              <w:rPr>
                <w:rStyle w:val="Hyperlink"/>
                <w:rFonts w:ascii="Arial" w:hAnsi="Arial" w:cs="Arial"/>
                <w:b/>
                <w:bCs/>
                <w:noProof/>
              </w:rPr>
              <w:t>Figure B1:</w:t>
            </w:r>
            <w:r w:rsidRPr="008010BD">
              <w:rPr>
                <w:rStyle w:val="Hyperlink"/>
                <w:rFonts w:ascii="Arial" w:hAnsi="Arial" w:cs="Arial"/>
                <w:noProof/>
              </w:rPr>
              <w:t> </w:t>
            </w:r>
            <w:r w:rsidRPr="008010BD">
              <w:rPr>
                <w:rStyle w:val="Hyperlink"/>
                <w:rFonts w:ascii="Arial" w:hAnsi="Arial" w:cs="Arial"/>
                <w:i/>
                <w:iCs/>
                <w:noProof/>
              </w:rPr>
              <w:t>Illustrative flow-chart of cyber-enabled terrorist financing methods</w:t>
            </w:r>
            <w:r>
              <w:rPr>
                <w:noProof/>
                <w:webHidden/>
              </w:rPr>
              <w:tab/>
            </w:r>
            <w:r>
              <w:rPr>
                <w:noProof/>
                <w:webHidden/>
              </w:rPr>
              <w:fldChar w:fldCharType="begin"/>
            </w:r>
            <w:r>
              <w:rPr>
                <w:noProof/>
                <w:webHidden/>
              </w:rPr>
              <w:instrText xml:space="preserve"> PAGEREF _Toc218764828 \h </w:instrText>
            </w:r>
            <w:r>
              <w:rPr>
                <w:noProof/>
                <w:webHidden/>
              </w:rPr>
            </w:r>
            <w:r>
              <w:rPr>
                <w:noProof/>
                <w:webHidden/>
              </w:rPr>
              <w:fldChar w:fldCharType="separate"/>
            </w:r>
            <w:r>
              <w:rPr>
                <w:noProof/>
                <w:webHidden/>
              </w:rPr>
              <w:t>25</w:t>
            </w:r>
            <w:r>
              <w:rPr>
                <w:noProof/>
                <w:webHidden/>
              </w:rPr>
              <w:fldChar w:fldCharType="end"/>
            </w:r>
          </w:hyperlink>
        </w:p>
        <w:p w14:paraId="00F88290" w14:textId="57A1A800" w:rsidR="00CE4CAA" w:rsidRDefault="00CE4CAA">
          <w:pPr>
            <w:pStyle w:val="TOC2"/>
            <w:tabs>
              <w:tab w:val="right" w:leader="dot" w:pos="8630"/>
            </w:tabs>
            <w:rPr>
              <w:b w:val="0"/>
              <w:bCs w:val="0"/>
              <w:smallCaps w:val="0"/>
              <w:noProof/>
              <w:color w:val="auto"/>
              <w:kern w:val="2"/>
              <w:sz w:val="24"/>
              <w:szCs w:val="24"/>
              <w:lang w:val="en-GB" w:eastAsia="en-GB"/>
              <w14:ligatures w14:val="standardContextual"/>
            </w:rPr>
          </w:pPr>
          <w:hyperlink w:anchor="_Toc218764829" w:history="1">
            <w:r w:rsidRPr="008010BD">
              <w:rPr>
                <w:rStyle w:val="Hyperlink"/>
                <w:rFonts w:ascii="Arial" w:hAnsi="Arial" w:cs="Arial"/>
                <w:noProof/>
              </w:rPr>
              <w:t>Appendix C - CYBERCRIME POLICING STRATEGIES AND TOOLS</w:t>
            </w:r>
            <w:r>
              <w:rPr>
                <w:noProof/>
                <w:webHidden/>
              </w:rPr>
              <w:tab/>
            </w:r>
            <w:r>
              <w:rPr>
                <w:noProof/>
                <w:webHidden/>
              </w:rPr>
              <w:fldChar w:fldCharType="begin"/>
            </w:r>
            <w:r>
              <w:rPr>
                <w:noProof/>
                <w:webHidden/>
              </w:rPr>
              <w:instrText xml:space="preserve"> PAGEREF _Toc218764829 \h </w:instrText>
            </w:r>
            <w:r>
              <w:rPr>
                <w:noProof/>
                <w:webHidden/>
              </w:rPr>
            </w:r>
            <w:r>
              <w:rPr>
                <w:noProof/>
                <w:webHidden/>
              </w:rPr>
              <w:fldChar w:fldCharType="separate"/>
            </w:r>
            <w:r>
              <w:rPr>
                <w:noProof/>
                <w:webHidden/>
              </w:rPr>
              <w:t>25</w:t>
            </w:r>
            <w:r>
              <w:rPr>
                <w:noProof/>
                <w:webHidden/>
              </w:rPr>
              <w:fldChar w:fldCharType="end"/>
            </w:r>
          </w:hyperlink>
        </w:p>
        <w:p w14:paraId="58B56C5C" w14:textId="455860B7" w:rsidR="00CE4CAA" w:rsidRDefault="00CE4CAA">
          <w:pPr>
            <w:pStyle w:val="TOC3"/>
            <w:tabs>
              <w:tab w:val="right" w:leader="dot" w:pos="8630"/>
            </w:tabs>
            <w:rPr>
              <w:smallCaps w:val="0"/>
              <w:noProof/>
              <w:color w:val="auto"/>
              <w:kern w:val="2"/>
              <w:sz w:val="24"/>
              <w:szCs w:val="24"/>
              <w:lang w:val="en-GB" w:eastAsia="en-GB"/>
              <w14:ligatures w14:val="standardContextual"/>
            </w:rPr>
          </w:pPr>
          <w:hyperlink w:anchor="_Toc218764830" w:history="1">
            <w:r w:rsidRPr="008010BD">
              <w:rPr>
                <w:rStyle w:val="Hyperlink"/>
                <w:rFonts w:ascii="Arial" w:hAnsi="Arial" w:cs="Arial"/>
                <w:b/>
                <w:bCs/>
                <w:noProof/>
              </w:rPr>
              <w:t>Figure C1:</w:t>
            </w:r>
            <w:r w:rsidRPr="008010BD">
              <w:rPr>
                <w:rStyle w:val="Hyperlink"/>
                <w:rFonts w:ascii="Arial" w:hAnsi="Arial" w:cs="Arial"/>
                <w:noProof/>
              </w:rPr>
              <w:t> </w:t>
            </w:r>
            <w:r w:rsidRPr="008010BD">
              <w:rPr>
                <w:rStyle w:val="Hyperlink"/>
                <w:rFonts w:ascii="Arial" w:hAnsi="Arial" w:cs="Arial"/>
                <w:i/>
                <w:iCs/>
                <w:noProof/>
              </w:rPr>
              <w:t>Digital Forensic Workflow Model (DFWM)</w:t>
            </w:r>
            <w:r>
              <w:rPr>
                <w:noProof/>
                <w:webHidden/>
              </w:rPr>
              <w:tab/>
            </w:r>
            <w:r>
              <w:rPr>
                <w:noProof/>
                <w:webHidden/>
              </w:rPr>
              <w:fldChar w:fldCharType="begin"/>
            </w:r>
            <w:r>
              <w:rPr>
                <w:noProof/>
                <w:webHidden/>
              </w:rPr>
              <w:instrText xml:space="preserve"> PAGEREF _Toc218764830 \h </w:instrText>
            </w:r>
            <w:r>
              <w:rPr>
                <w:noProof/>
                <w:webHidden/>
              </w:rPr>
            </w:r>
            <w:r>
              <w:rPr>
                <w:noProof/>
                <w:webHidden/>
              </w:rPr>
              <w:fldChar w:fldCharType="separate"/>
            </w:r>
            <w:r>
              <w:rPr>
                <w:noProof/>
                <w:webHidden/>
              </w:rPr>
              <w:t>25</w:t>
            </w:r>
            <w:r>
              <w:rPr>
                <w:noProof/>
                <w:webHidden/>
              </w:rPr>
              <w:fldChar w:fldCharType="end"/>
            </w:r>
          </w:hyperlink>
        </w:p>
        <w:p w14:paraId="430AD90B" w14:textId="424BA2CD" w:rsidR="00CE4CAA" w:rsidRDefault="00CE4CAA">
          <w:pPr>
            <w:pStyle w:val="TOC3"/>
            <w:tabs>
              <w:tab w:val="right" w:leader="dot" w:pos="8630"/>
            </w:tabs>
            <w:rPr>
              <w:smallCaps w:val="0"/>
              <w:noProof/>
              <w:color w:val="auto"/>
              <w:kern w:val="2"/>
              <w:sz w:val="24"/>
              <w:szCs w:val="24"/>
              <w:lang w:val="en-GB" w:eastAsia="en-GB"/>
              <w14:ligatures w14:val="standardContextual"/>
            </w:rPr>
          </w:pPr>
          <w:hyperlink w:anchor="_Toc218764831" w:history="1">
            <w:r w:rsidRPr="008010BD">
              <w:rPr>
                <w:rStyle w:val="Hyperlink"/>
                <w:rFonts w:ascii="Arial" w:hAnsi="Arial" w:cs="Arial"/>
                <w:b/>
                <w:bCs/>
                <w:noProof/>
              </w:rPr>
              <w:t>Figure C2</w:t>
            </w:r>
            <w:r w:rsidRPr="008010BD">
              <w:rPr>
                <w:rStyle w:val="Hyperlink"/>
                <w:rFonts w:ascii="Arial" w:hAnsi="Arial" w:cs="Arial"/>
                <w:noProof/>
              </w:rPr>
              <w:t>- Threat Intelligence Lifecycle</w:t>
            </w:r>
            <w:r>
              <w:rPr>
                <w:noProof/>
                <w:webHidden/>
              </w:rPr>
              <w:tab/>
            </w:r>
            <w:r>
              <w:rPr>
                <w:noProof/>
                <w:webHidden/>
              </w:rPr>
              <w:fldChar w:fldCharType="begin"/>
            </w:r>
            <w:r>
              <w:rPr>
                <w:noProof/>
                <w:webHidden/>
              </w:rPr>
              <w:instrText xml:space="preserve"> PAGEREF _Toc218764831 \h </w:instrText>
            </w:r>
            <w:r>
              <w:rPr>
                <w:noProof/>
                <w:webHidden/>
              </w:rPr>
            </w:r>
            <w:r>
              <w:rPr>
                <w:noProof/>
                <w:webHidden/>
              </w:rPr>
              <w:fldChar w:fldCharType="separate"/>
            </w:r>
            <w:r>
              <w:rPr>
                <w:noProof/>
                <w:webHidden/>
              </w:rPr>
              <w:t>26</w:t>
            </w:r>
            <w:r>
              <w:rPr>
                <w:noProof/>
                <w:webHidden/>
              </w:rPr>
              <w:fldChar w:fldCharType="end"/>
            </w:r>
          </w:hyperlink>
        </w:p>
        <w:p w14:paraId="12355536" w14:textId="23169E60" w:rsidR="00CE4CAA" w:rsidRDefault="00CE4CAA">
          <w:pPr>
            <w:pStyle w:val="TOC3"/>
            <w:tabs>
              <w:tab w:val="right" w:leader="dot" w:pos="8630"/>
            </w:tabs>
            <w:rPr>
              <w:smallCaps w:val="0"/>
              <w:noProof/>
              <w:color w:val="auto"/>
              <w:kern w:val="2"/>
              <w:sz w:val="24"/>
              <w:szCs w:val="24"/>
              <w:lang w:val="en-GB" w:eastAsia="en-GB"/>
              <w14:ligatures w14:val="standardContextual"/>
            </w:rPr>
          </w:pPr>
          <w:hyperlink w:anchor="_Toc218764832" w:history="1">
            <w:r w:rsidRPr="008010BD">
              <w:rPr>
                <w:rStyle w:val="Hyperlink"/>
                <w:rFonts w:ascii="Arial" w:hAnsi="Arial" w:cs="Arial"/>
                <w:b/>
                <w:bCs/>
                <w:noProof/>
              </w:rPr>
              <w:t>Figure C3:</w:t>
            </w:r>
            <w:r w:rsidRPr="008010BD">
              <w:rPr>
                <w:rStyle w:val="Hyperlink"/>
                <w:rFonts w:ascii="Arial" w:hAnsi="Arial" w:cs="Arial"/>
                <w:noProof/>
              </w:rPr>
              <w:t> </w:t>
            </w:r>
            <w:r w:rsidRPr="008010BD">
              <w:rPr>
                <w:rStyle w:val="Hyperlink"/>
                <w:rFonts w:ascii="Arial" w:hAnsi="Arial" w:cs="Arial"/>
                <w:i/>
                <w:iCs/>
                <w:noProof/>
              </w:rPr>
              <w:t>Legal, technical, organisational, capacity-building and cooperative dimensions of cybercrime governance</w:t>
            </w:r>
            <w:r>
              <w:rPr>
                <w:noProof/>
                <w:webHidden/>
              </w:rPr>
              <w:tab/>
            </w:r>
            <w:r>
              <w:rPr>
                <w:noProof/>
                <w:webHidden/>
              </w:rPr>
              <w:fldChar w:fldCharType="begin"/>
            </w:r>
            <w:r>
              <w:rPr>
                <w:noProof/>
                <w:webHidden/>
              </w:rPr>
              <w:instrText xml:space="preserve"> PAGEREF _Toc218764832 \h </w:instrText>
            </w:r>
            <w:r>
              <w:rPr>
                <w:noProof/>
                <w:webHidden/>
              </w:rPr>
            </w:r>
            <w:r>
              <w:rPr>
                <w:noProof/>
                <w:webHidden/>
              </w:rPr>
              <w:fldChar w:fldCharType="separate"/>
            </w:r>
            <w:r>
              <w:rPr>
                <w:noProof/>
                <w:webHidden/>
              </w:rPr>
              <w:t>27</w:t>
            </w:r>
            <w:r>
              <w:rPr>
                <w:noProof/>
                <w:webHidden/>
              </w:rPr>
              <w:fldChar w:fldCharType="end"/>
            </w:r>
          </w:hyperlink>
        </w:p>
        <w:p w14:paraId="7EBA38FF" w14:textId="2312C6C5" w:rsidR="00F24D23" w:rsidRDefault="00F24D23">
          <w:r>
            <w:rPr>
              <w:b/>
              <w:bCs/>
              <w:noProof/>
            </w:rPr>
            <w:fldChar w:fldCharType="end"/>
          </w:r>
        </w:p>
      </w:sdtContent>
    </w:sdt>
    <w:p w14:paraId="4678F6F3" w14:textId="14D9BC6F" w:rsidR="00F24D23" w:rsidRDefault="00F24D23">
      <w:r>
        <w:br w:type="page"/>
      </w:r>
    </w:p>
    <w:p w14:paraId="001EB775" w14:textId="793F7F26" w:rsidR="001638F6" w:rsidRDefault="00F24D23" w:rsidP="005A2A06">
      <w:pPr>
        <w:pStyle w:val="Heading1"/>
        <w:numPr>
          <w:ilvl w:val="0"/>
          <w:numId w:val="21"/>
        </w:numPr>
      </w:pPr>
      <w:bookmarkStart w:id="0" w:name="_Toc218764792"/>
      <w:r>
        <w:lastRenderedPageBreak/>
        <w:t xml:space="preserve">Introduction </w:t>
      </w:r>
      <w:r w:rsidR="005A2A06">
        <w:t>341</w:t>
      </w:r>
      <w:bookmarkEnd w:id="0"/>
    </w:p>
    <w:p w14:paraId="4216144D" w14:textId="13880900"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Contemporary policing faces an increasingly complex security environment in which traditional distinctions between terrorism, organised crime and cybercrime are becoming progressively blurred. Advances in digital technology have reshaped the operational methods of both terrorist groups and cybercriminal networks, enabling them to operate across borders, evade detection and scale their activities at unprecedented speed. According to</w:t>
      </w:r>
      <w:r w:rsidRPr="005A2A06">
        <w:rPr>
          <w:rStyle w:val="apple-converted-space"/>
          <w:rFonts w:ascii="Arial" w:eastAsiaTheme="majorEastAsia" w:hAnsi="Arial" w:cs="Arial"/>
          <w:b/>
          <w:bCs/>
          <w:color w:val="000000"/>
        </w:rPr>
        <w:t> </w:t>
      </w:r>
      <w:r w:rsidRPr="005A2A06">
        <w:rPr>
          <w:rStyle w:val="Strong"/>
          <w:rFonts w:ascii="Arial" w:eastAsiaTheme="majorEastAsia" w:hAnsi="Arial" w:cs="Arial"/>
          <w:b w:val="0"/>
          <w:bCs w:val="0"/>
          <w:color w:val="000000"/>
        </w:rPr>
        <w:t>His Majesty’s Government (2022)</w:t>
      </w:r>
      <w:r w:rsidRPr="005A2A06">
        <w:rPr>
          <w:rFonts w:ascii="Arial" w:hAnsi="Arial" w:cs="Arial"/>
          <w:b/>
          <w:bCs/>
          <w:color w:val="000000"/>
        </w:rPr>
        <w:t>,</w:t>
      </w:r>
      <w:r w:rsidRPr="005A2A06">
        <w:rPr>
          <w:rFonts w:ascii="Arial" w:hAnsi="Arial" w:cs="Arial"/>
          <w:color w:val="000000"/>
        </w:rPr>
        <w:t xml:space="preserve"> the convergence of cyber capability with extremist and criminal activity represents a significant threat to national security, public safety and democratic institutions.</w:t>
      </w:r>
    </w:p>
    <w:p w14:paraId="4F43FB5F"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While cybercrime constitutes the most prevalent form of crime affecting individuals in England and Wales, terrorism continues to pose a high-impact, low-frequency threat with potentially catastrophic consequences. The</w:t>
      </w:r>
      <w:r w:rsidRPr="005A2A06">
        <w:rPr>
          <w:rStyle w:val="apple-converted-space"/>
          <w:rFonts w:ascii="Arial" w:eastAsiaTheme="majorEastAsia" w:hAnsi="Arial" w:cs="Arial"/>
          <w:b/>
          <w:bCs/>
          <w:color w:val="000000"/>
        </w:rPr>
        <w:t> </w:t>
      </w:r>
      <w:r w:rsidRPr="005A2A06">
        <w:rPr>
          <w:rStyle w:val="Strong"/>
          <w:rFonts w:ascii="Arial" w:eastAsiaTheme="majorEastAsia" w:hAnsi="Arial" w:cs="Arial"/>
          <w:b w:val="0"/>
          <w:bCs w:val="0"/>
          <w:color w:val="000000"/>
        </w:rPr>
        <w:t>Office for National Statistics (2025)</w:t>
      </w:r>
      <w:r w:rsidRPr="005A2A06">
        <w:rPr>
          <w:rStyle w:val="apple-converted-space"/>
          <w:rFonts w:ascii="Arial" w:eastAsiaTheme="majorEastAsia" w:hAnsi="Arial" w:cs="Arial"/>
          <w:color w:val="000000"/>
        </w:rPr>
        <w:t> </w:t>
      </w:r>
      <w:r w:rsidRPr="005A2A06">
        <w:rPr>
          <w:rFonts w:ascii="Arial" w:hAnsi="Arial" w:cs="Arial"/>
          <w:color w:val="000000"/>
        </w:rPr>
        <w:t>reports that fraud and computer misuse dominate crime victimisation statistics; however,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Home Office (2023)</w:t>
      </w:r>
      <w:r w:rsidRPr="005A2A06">
        <w:rPr>
          <w:rStyle w:val="apple-converted-space"/>
          <w:rFonts w:ascii="Arial" w:eastAsiaTheme="majorEastAsia" w:hAnsi="Arial" w:cs="Arial"/>
          <w:color w:val="000000"/>
        </w:rPr>
        <w:t> </w:t>
      </w:r>
      <w:r w:rsidRPr="005A2A06">
        <w:rPr>
          <w:rFonts w:ascii="Arial" w:hAnsi="Arial" w:cs="Arial"/>
          <w:color w:val="000000"/>
        </w:rPr>
        <w:t>emphasises that the terrorist threat to the UK remains “substantial,” with a continued risk from Islamist extremism, extreme right-wing ideologies and emerging mixed or unstable ideologies. Crucially, these threats are increasingly</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digitally enabled</w:t>
      </w:r>
      <w:r w:rsidRPr="005A2A06">
        <w:rPr>
          <w:rFonts w:ascii="Arial" w:hAnsi="Arial" w:cs="Arial"/>
          <w:color w:val="000000"/>
        </w:rPr>
        <w:t>, relying on online platforms for radicalisation, financing, communication and operational coordination.</w:t>
      </w:r>
    </w:p>
    <w:p w14:paraId="6322B684" w14:textId="732EF80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National Cyber Strategy</w:t>
      </w:r>
      <w:r w:rsidRPr="005A2A06">
        <w:rPr>
          <w:rStyle w:val="apple-converted-space"/>
          <w:rFonts w:ascii="Arial" w:eastAsiaTheme="majorEastAsia" w:hAnsi="Arial" w:cs="Arial"/>
          <w:color w:val="000000"/>
        </w:rPr>
        <w:t> </w:t>
      </w:r>
      <w:r w:rsidRPr="005A2A06">
        <w:rPr>
          <w:rFonts w:ascii="Arial" w:hAnsi="Arial" w:cs="Arial"/>
          <w:color w:val="000000"/>
        </w:rPr>
        <w:t>recognises that cyber threats cannot be addressed in isolation from wider security challenges, highlighting the need for integrated responses across counter-terrorism, cybercrime policing and international cooperation (</w:t>
      </w:r>
      <w:r w:rsidRPr="005A2A06">
        <w:rPr>
          <w:rStyle w:val="Strong"/>
          <w:rFonts w:ascii="Arial" w:eastAsiaTheme="majorEastAsia" w:hAnsi="Arial" w:cs="Arial"/>
          <w:b w:val="0"/>
          <w:bCs w:val="0"/>
          <w:color w:val="000000"/>
        </w:rPr>
        <w:t>HM Government, 2022</w:t>
      </w:r>
      <w:r w:rsidRPr="005A2A06">
        <w:rPr>
          <w:rFonts w:ascii="Arial" w:hAnsi="Arial" w:cs="Arial"/>
          <w:b/>
          <w:bCs/>
          <w:color w:val="000000"/>
        </w:rPr>
        <w:t>).</w:t>
      </w:r>
      <w:r w:rsidRPr="005A2A06">
        <w:rPr>
          <w:rFonts w:ascii="Arial" w:hAnsi="Arial" w:cs="Arial"/>
          <w:color w:val="000000"/>
        </w:rPr>
        <w:t xml:space="preserve"> Similarly,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United Nations Office of Counter-Terrorism (UNOCT, 2023)</w:t>
      </w:r>
      <w:r w:rsidRPr="005A2A06">
        <w:rPr>
          <w:rFonts w:ascii="Arial" w:hAnsi="Arial" w:cs="Arial"/>
          <w:color w:val="000000"/>
        </w:rPr>
        <w:t xml:space="preserve"> warns that terrorists’ exploitation of digital technologies has outpaced the capacity of many states to respond effectively, particularly in relation to encrypted communications and online propaganda.</w:t>
      </w:r>
    </w:p>
    <w:p w14:paraId="6A990A70"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lastRenderedPageBreak/>
        <w:t>This report critically evaluates policing strategies, tools and responses to cybercrime while explicitly situating these within the broader context of contemporary terrorist threats. It addresses two core objectives. First, it critically evaluates the evolving threats, trends and methods adopted by contemporary terrorist actors and assesses UK and global governmental responses. Second, it systematically analyses the challenges posed by cybercrime in modern society and evaluates policing responses, focusing on digital forensics, threat intelligence and public–private partnerships. Through this integrated analysis, the report identifies systemic barriers and proposes evidence-based measures to improve effectiveness in combatting both cybercrime and digitally enabled terrorism.</w:t>
      </w:r>
    </w:p>
    <w:p w14:paraId="24230F4B" w14:textId="77777777" w:rsidR="005A2A06" w:rsidRDefault="005A2A06" w:rsidP="005A2A06">
      <w:pPr>
        <w:pStyle w:val="Heading1"/>
      </w:pPr>
      <w:bookmarkStart w:id="1" w:name="_Toc218764793"/>
      <w:r>
        <w:rPr>
          <w:rStyle w:val="Strong"/>
          <w:b w:val="0"/>
          <w:bCs w:val="0"/>
          <w:color w:val="000000"/>
        </w:rPr>
        <w:t>2. Contemporary Terrorist Threats, Trends and Methods</w:t>
      </w:r>
      <w:bookmarkEnd w:id="1"/>
    </w:p>
    <w:p w14:paraId="06DC3797" w14:textId="03FDF79C" w:rsidR="005A2A06" w:rsidRPr="005A2A06" w:rsidRDefault="005A2A06" w:rsidP="005A2A06">
      <w:pPr>
        <w:pStyle w:val="Heading2"/>
        <w:rPr>
          <w:rStyle w:val="Strong"/>
          <w:b w:val="0"/>
          <w:bCs w:val="0"/>
          <w:color w:val="000000"/>
          <w:u w:val="single"/>
        </w:rPr>
      </w:pPr>
      <w:bookmarkStart w:id="2" w:name="_Toc218764794"/>
      <w:r w:rsidRPr="005A2A06">
        <w:rPr>
          <w:rStyle w:val="Strong"/>
          <w:b w:val="0"/>
          <w:bCs w:val="0"/>
          <w:color w:val="000000"/>
          <w:u w:val="single"/>
        </w:rPr>
        <w:t>2.1 Evolution of the terrorist threat landscape 126</w:t>
      </w:r>
      <w:bookmarkEnd w:id="2"/>
    </w:p>
    <w:p w14:paraId="241D9C05" w14:textId="4F7A7010"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The contemporary terrorist threat has undergone significant transformation over the past decade. According to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Home Office (2023)</w:t>
      </w:r>
      <w:r w:rsidRPr="005A2A06">
        <w:rPr>
          <w:rFonts w:ascii="Arial" w:hAnsi="Arial" w:cs="Arial"/>
          <w:b/>
          <w:bCs/>
          <w:color w:val="000000"/>
        </w:rPr>
        <w:t>,</w:t>
      </w:r>
      <w:r w:rsidRPr="005A2A06">
        <w:rPr>
          <w:rFonts w:ascii="Arial" w:hAnsi="Arial" w:cs="Arial"/>
          <w:color w:val="000000"/>
        </w:rPr>
        <w:t xml:space="preserve"> the UK now faces a highly fragmented threat environment characterised by lone actors, small cells and online networks rather than hierarchical, centrally controlled organisations. While Islamist extremism remains the primary driver of terrorism-related arrests and convictions,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Independent Reviewer of Terrorism Legislation</w:t>
      </w:r>
      <w:r w:rsidRPr="005A2A06">
        <w:rPr>
          <w:rStyle w:val="Strong"/>
          <w:rFonts w:ascii="Arial" w:eastAsiaTheme="majorEastAsia" w:hAnsi="Arial" w:cs="Arial"/>
          <w:color w:val="000000"/>
        </w:rPr>
        <w:t xml:space="preserve"> (</w:t>
      </w:r>
      <w:r w:rsidRPr="005A2A06">
        <w:rPr>
          <w:rStyle w:val="Strong"/>
          <w:rFonts w:ascii="Arial" w:eastAsiaTheme="majorEastAsia" w:hAnsi="Arial" w:cs="Arial"/>
          <w:b w:val="0"/>
          <w:bCs w:val="0"/>
          <w:color w:val="000000"/>
        </w:rPr>
        <w:t>2023)</w:t>
      </w:r>
      <w:r w:rsidRPr="005A2A06">
        <w:rPr>
          <w:rFonts w:ascii="Arial" w:hAnsi="Arial" w:cs="Arial"/>
          <w:b/>
          <w:bCs/>
          <w:color w:val="000000"/>
        </w:rPr>
        <w:t xml:space="preserve"> </w:t>
      </w:r>
      <w:r w:rsidRPr="005A2A06">
        <w:rPr>
          <w:rFonts w:ascii="Arial" w:hAnsi="Arial" w:cs="Arial"/>
          <w:color w:val="000000"/>
        </w:rPr>
        <w:t>highlights the growing prominence of extreme right-wing terrorism and ideologically mixed or unstable individuals.</w:t>
      </w:r>
    </w:p>
    <w:p w14:paraId="66B6CD32"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Academic research supports this assessment.</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Neumann (2021)</w:t>
      </w:r>
      <w:r w:rsidRPr="005A2A06">
        <w:rPr>
          <w:rStyle w:val="apple-converted-space"/>
          <w:rFonts w:ascii="Arial" w:eastAsiaTheme="majorEastAsia" w:hAnsi="Arial" w:cs="Arial"/>
          <w:color w:val="000000"/>
        </w:rPr>
        <w:t> </w:t>
      </w:r>
      <w:r w:rsidRPr="005A2A06">
        <w:rPr>
          <w:rFonts w:ascii="Arial" w:hAnsi="Arial" w:cs="Arial"/>
          <w:color w:val="000000"/>
        </w:rPr>
        <w:t>argues that contemporary terrorism has shifted towards decentralisation, with individuals increasingly radicalised online and inspired by global narratives rather than directed by formal organisations. This decentralisation complicates detection and disruption, as individuals may exhibit minimal physical contact with known extremists while maintaining extensive online engagement.</w:t>
      </w:r>
    </w:p>
    <w:p w14:paraId="2D5F62AD" w14:textId="4FDAD077" w:rsidR="005A2A06" w:rsidRPr="005A2A06" w:rsidRDefault="005A2A06" w:rsidP="005A2A06">
      <w:pPr>
        <w:pStyle w:val="Heading2"/>
        <w:rPr>
          <w:u w:val="single"/>
        </w:rPr>
      </w:pPr>
      <w:bookmarkStart w:id="3" w:name="_Toc218764795"/>
      <w:r w:rsidRPr="005A2A06">
        <w:rPr>
          <w:rStyle w:val="Strong"/>
          <w:b w:val="0"/>
          <w:bCs w:val="0"/>
          <w:color w:val="000000"/>
          <w:u w:val="single"/>
        </w:rPr>
        <w:lastRenderedPageBreak/>
        <w:t>2.2 Digital radicalisation and online ecosystems 146</w:t>
      </w:r>
      <w:bookmarkEnd w:id="3"/>
    </w:p>
    <w:p w14:paraId="092F743D"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Digital technologies have become central to radicalisation processes. According to</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Europol (2023)</w:t>
      </w:r>
      <w:r w:rsidRPr="005A2A06">
        <w:rPr>
          <w:rFonts w:ascii="Arial" w:hAnsi="Arial" w:cs="Arial"/>
          <w:b/>
          <w:bCs/>
          <w:color w:val="000000"/>
        </w:rPr>
        <w:t>,</w:t>
      </w:r>
      <w:r w:rsidRPr="005A2A06">
        <w:rPr>
          <w:rFonts w:ascii="Arial" w:hAnsi="Arial" w:cs="Arial"/>
          <w:color w:val="000000"/>
        </w:rPr>
        <w:t xml:space="preserve"> terrorist actors exploit mainstream social media, encrypted messaging applications and alternative platforms to disseminate propaganda, recruit supporters and reinforce ideological commitment.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 Counter-Terrorism Committee Executive Directorate (UNCTED, 2022)</w:t>
      </w:r>
      <w:r w:rsidRPr="005A2A06">
        <w:rPr>
          <w:rStyle w:val="apple-converted-space"/>
          <w:rFonts w:ascii="Arial" w:eastAsiaTheme="majorEastAsia" w:hAnsi="Arial" w:cs="Arial"/>
          <w:color w:val="000000"/>
        </w:rPr>
        <w:t> </w:t>
      </w:r>
      <w:r w:rsidRPr="005A2A06">
        <w:rPr>
          <w:rFonts w:ascii="Arial" w:hAnsi="Arial" w:cs="Arial"/>
          <w:color w:val="000000"/>
        </w:rPr>
        <w:t>notes that algorithmic content recommendation systems can unintentionally amplify extremist material, accelerating radicalisation pathways.</w:t>
      </w:r>
    </w:p>
    <w:p w14:paraId="7D676890" w14:textId="4C532019" w:rsidR="005A2A06" w:rsidRDefault="005A2A06" w:rsidP="005A2A06">
      <w:pPr>
        <w:pStyle w:val="NormalWeb"/>
        <w:spacing w:line="360" w:lineRule="auto"/>
        <w:rPr>
          <w:rFonts w:ascii="Arial" w:hAnsi="Arial" w:cs="Arial"/>
          <w:color w:val="000000"/>
        </w:rPr>
      </w:pPr>
      <w:r w:rsidRPr="005A2A06">
        <w:rPr>
          <w:rFonts w:ascii="Arial" w:hAnsi="Arial" w:cs="Arial"/>
          <w:color w:val="000000"/>
        </w:rPr>
        <w:t>Research by</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Conway et al (2022)</w:t>
      </w:r>
      <w:r w:rsidRPr="005A2A06">
        <w:rPr>
          <w:rStyle w:val="apple-converted-space"/>
          <w:rFonts w:ascii="Arial" w:eastAsiaTheme="majorEastAsia" w:hAnsi="Arial" w:cs="Arial"/>
          <w:color w:val="000000"/>
        </w:rPr>
        <w:t> </w:t>
      </w:r>
      <w:r w:rsidRPr="005A2A06">
        <w:rPr>
          <w:rFonts w:ascii="Arial" w:hAnsi="Arial" w:cs="Arial"/>
          <w:color w:val="000000"/>
        </w:rPr>
        <w:t xml:space="preserve">demonstrates that online radicalisation is rarely linear, instead involving a networked ecosystem of platforms, forums and messaging services. Individuals may encounter extremist content on mainstream platforms before migrating to encrypted or fringe platforms where content moderation is limited. This migration presents significant challenges for law enforcement, as activity becomes less visible and more difficult to attribute. </w:t>
      </w:r>
      <w:r w:rsidRPr="00D47C03">
        <w:rPr>
          <w:rStyle w:val="Emphasis"/>
          <w:rFonts w:ascii="Arial" w:eastAsiaTheme="majorEastAsia" w:hAnsi="Arial" w:cs="Arial"/>
          <w:b/>
          <w:bCs/>
          <w:color w:val="000000"/>
        </w:rPr>
        <w:t>Figure A1</w:t>
      </w:r>
      <w:r w:rsidRPr="005A2A06">
        <w:rPr>
          <w:rStyle w:val="Emphasis"/>
          <w:rFonts w:ascii="Arial" w:eastAsiaTheme="majorEastAsia" w:hAnsi="Arial" w:cs="Arial"/>
          <w:color w:val="000000"/>
        </w:rPr>
        <w:t xml:space="preserve"> </w:t>
      </w:r>
      <w:r w:rsidRPr="00D47C03">
        <w:rPr>
          <w:rStyle w:val="Emphasis"/>
          <w:rFonts w:ascii="Arial" w:eastAsiaTheme="majorEastAsia" w:hAnsi="Arial" w:cs="Arial"/>
          <w:b/>
          <w:bCs/>
          <w:color w:val="000000"/>
        </w:rPr>
        <w:t>in Appendix A</w:t>
      </w:r>
      <w:r w:rsidRPr="005A2A06">
        <w:rPr>
          <w:rStyle w:val="Emphasis"/>
          <w:rFonts w:ascii="Arial" w:eastAsiaTheme="majorEastAsia" w:hAnsi="Arial" w:cs="Arial"/>
          <w:color w:val="000000"/>
        </w:rPr>
        <w:t xml:space="preserve"> illustrates a networked model of online radicalisation pathways, showing how individuals may move across platforms from mainstream social media to encrypted and fringe networks (Russell-Webster, </w:t>
      </w:r>
      <w:r>
        <w:rPr>
          <w:rStyle w:val="Emphasis"/>
          <w:rFonts w:ascii="Arial" w:eastAsiaTheme="majorEastAsia" w:hAnsi="Arial" w:cs="Arial"/>
          <w:color w:val="000000"/>
        </w:rPr>
        <w:t>2022</w:t>
      </w:r>
      <w:r w:rsidRPr="005A2A06">
        <w:rPr>
          <w:rStyle w:val="Emphasis"/>
          <w:rFonts w:ascii="Arial" w:eastAsiaTheme="majorEastAsia" w:hAnsi="Arial" w:cs="Arial"/>
          <w:color w:val="000000"/>
        </w:rPr>
        <w:t>).</w:t>
      </w:r>
    </w:p>
    <w:p w14:paraId="58F125B1" w14:textId="16048394" w:rsidR="005A2A06" w:rsidRPr="005A2A06" w:rsidRDefault="005A2A06" w:rsidP="005A2A06">
      <w:pPr>
        <w:pStyle w:val="Heading2"/>
        <w:rPr>
          <w:u w:val="single"/>
        </w:rPr>
      </w:pPr>
      <w:bookmarkStart w:id="4" w:name="_Toc218764796"/>
      <w:r w:rsidRPr="005A2A06">
        <w:rPr>
          <w:rStyle w:val="Strong"/>
          <w:b w:val="0"/>
          <w:bCs w:val="0"/>
          <w:color w:val="000000"/>
          <w:u w:val="single"/>
        </w:rPr>
        <w:t>2.3 Encrypted communications and operational security</w:t>
      </w:r>
      <w:r>
        <w:rPr>
          <w:rStyle w:val="Strong"/>
          <w:b w:val="0"/>
          <w:bCs w:val="0"/>
          <w:color w:val="000000"/>
          <w:u w:val="single"/>
        </w:rPr>
        <w:t xml:space="preserve"> 109</w:t>
      </w:r>
      <w:bookmarkEnd w:id="4"/>
    </w:p>
    <w:p w14:paraId="565CFB52" w14:textId="0ECC4222"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One of the most significant challenges for counter-terrorism policing is the widespread use of end-to-end encryption. According to</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Europol (2023</w:t>
      </w:r>
      <w:r w:rsidRPr="005A2A06">
        <w:rPr>
          <w:rStyle w:val="Strong"/>
          <w:rFonts w:ascii="Arial" w:eastAsiaTheme="majorEastAsia" w:hAnsi="Arial" w:cs="Arial"/>
          <w:color w:val="000000"/>
        </w:rPr>
        <w:t>)</w:t>
      </w:r>
      <w:r w:rsidRPr="005A2A06">
        <w:rPr>
          <w:rFonts w:ascii="Arial" w:hAnsi="Arial" w:cs="Arial"/>
          <w:color w:val="000000"/>
        </w:rPr>
        <w:t>, encrypted messaging services such as Telegram, Signal and WhatsApp are routinely used by terrorist actors to communicate securely, share instructional materials and coordinate activities.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United Kingdom Government (2023</w:t>
      </w:r>
      <w:r w:rsidRPr="005A2A06">
        <w:rPr>
          <w:rStyle w:val="Strong"/>
          <w:rFonts w:ascii="Arial" w:eastAsiaTheme="majorEastAsia" w:hAnsi="Arial" w:cs="Arial"/>
          <w:color w:val="000000"/>
        </w:rPr>
        <w:t>)</w:t>
      </w:r>
      <w:r w:rsidRPr="005A2A06">
        <w:rPr>
          <w:rStyle w:val="apple-converted-space"/>
          <w:rFonts w:ascii="Arial" w:eastAsiaTheme="majorEastAsia" w:hAnsi="Arial" w:cs="Arial"/>
          <w:color w:val="000000"/>
        </w:rPr>
        <w:t> </w:t>
      </w:r>
      <w:r w:rsidRPr="005A2A06">
        <w:rPr>
          <w:rFonts w:ascii="Arial" w:hAnsi="Arial" w:cs="Arial"/>
          <w:color w:val="000000"/>
        </w:rPr>
        <w:t>acknowledges that lawful interception capabilities have been significantly constrained by encryption, limiting the effectiveness of traditional intelligence-gathering methods.</w:t>
      </w:r>
    </w:p>
    <w:p w14:paraId="66138971"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From a policing perspective,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Macdonald and Lorenzo-</w:t>
      </w:r>
      <w:proofErr w:type="spellStart"/>
      <w:r w:rsidRPr="005A2A06">
        <w:rPr>
          <w:rStyle w:val="Strong"/>
          <w:rFonts w:ascii="Arial" w:eastAsiaTheme="majorEastAsia" w:hAnsi="Arial" w:cs="Arial"/>
          <w:b w:val="0"/>
          <w:bCs w:val="0"/>
          <w:color w:val="000000"/>
        </w:rPr>
        <w:t>Dus</w:t>
      </w:r>
      <w:proofErr w:type="spellEnd"/>
      <w:r w:rsidRPr="005A2A06">
        <w:rPr>
          <w:rStyle w:val="Strong"/>
          <w:rFonts w:ascii="Arial" w:eastAsiaTheme="majorEastAsia" w:hAnsi="Arial" w:cs="Arial"/>
          <w:b w:val="0"/>
          <w:bCs w:val="0"/>
          <w:color w:val="000000"/>
        </w:rPr>
        <w:t xml:space="preserve"> (2021)</w:t>
      </w:r>
      <w:r w:rsidRPr="005A2A06">
        <w:rPr>
          <w:rStyle w:val="apple-converted-space"/>
          <w:rFonts w:ascii="Arial" w:eastAsiaTheme="majorEastAsia" w:hAnsi="Arial" w:cs="Arial"/>
          <w:color w:val="000000"/>
        </w:rPr>
        <w:t> </w:t>
      </w:r>
      <w:r w:rsidRPr="005A2A06">
        <w:rPr>
          <w:rFonts w:ascii="Arial" w:hAnsi="Arial" w:cs="Arial"/>
          <w:color w:val="000000"/>
        </w:rPr>
        <w:t xml:space="preserve">argue that encryption has shifted counter-terrorism investigations away from content-based </w:t>
      </w:r>
      <w:r w:rsidRPr="005A2A06">
        <w:rPr>
          <w:rFonts w:ascii="Arial" w:hAnsi="Arial" w:cs="Arial"/>
          <w:color w:val="000000"/>
        </w:rPr>
        <w:lastRenderedPageBreak/>
        <w:t>intelligence towards behavioural analysis, metadata and human intelligence. While these methods can be effective, they are resource-intensive and raise concerns regarding proportionality and privacy.</w:t>
      </w:r>
    </w:p>
    <w:p w14:paraId="3C57659D" w14:textId="3EA715F1" w:rsidR="005A2A06" w:rsidRPr="005A2A06" w:rsidRDefault="005A2A06" w:rsidP="005A2A06">
      <w:pPr>
        <w:pStyle w:val="Heading2"/>
        <w:rPr>
          <w:sz w:val="24"/>
          <w:szCs w:val="24"/>
          <w:u w:val="single"/>
        </w:rPr>
      </w:pPr>
      <w:bookmarkStart w:id="5" w:name="_Toc218764797"/>
      <w:r w:rsidRPr="005A2A06">
        <w:rPr>
          <w:rStyle w:val="Strong"/>
          <w:b w:val="0"/>
          <w:bCs w:val="0"/>
          <w:color w:val="000000"/>
          <w:sz w:val="24"/>
          <w:szCs w:val="24"/>
          <w:u w:val="single"/>
        </w:rPr>
        <w:t>2.4 Terrorist financing and cyber-enabled methods</w:t>
      </w:r>
      <w:r>
        <w:rPr>
          <w:rStyle w:val="Strong"/>
          <w:b w:val="0"/>
          <w:bCs w:val="0"/>
          <w:color w:val="000000"/>
          <w:sz w:val="24"/>
          <w:szCs w:val="24"/>
          <w:u w:val="single"/>
        </w:rPr>
        <w:t xml:space="preserve"> </w:t>
      </w:r>
      <w:r w:rsidR="008E0322">
        <w:rPr>
          <w:rStyle w:val="Strong"/>
          <w:b w:val="0"/>
          <w:bCs w:val="0"/>
          <w:color w:val="000000"/>
          <w:sz w:val="24"/>
          <w:szCs w:val="24"/>
          <w:u w:val="single"/>
        </w:rPr>
        <w:t>3</w:t>
      </w:r>
      <w:r w:rsidR="00CE4CAA">
        <w:rPr>
          <w:rStyle w:val="Strong"/>
          <w:b w:val="0"/>
          <w:bCs w:val="0"/>
          <w:color w:val="000000"/>
          <w:sz w:val="24"/>
          <w:szCs w:val="24"/>
          <w:u w:val="single"/>
        </w:rPr>
        <w:t>36</w:t>
      </w:r>
      <w:bookmarkEnd w:id="5"/>
    </w:p>
    <w:p w14:paraId="47998EE6" w14:textId="77777777" w:rsidR="005A2A06" w:rsidRPr="00CE4CAA" w:rsidRDefault="005A2A06" w:rsidP="00CE4CAA">
      <w:pPr>
        <w:pStyle w:val="NormalWeb"/>
        <w:spacing w:line="360" w:lineRule="auto"/>
        <w:rPr>
          <w:rFonts w:ascii="Arial" w:hAnsi="Arial" w:cs="Arial"/>
          <w:color w:val="000000"/>
        </w:rPr>
      </w:pPr>
      <w:r w:rsidRPr="00CE4CAA">
        <w:rPr>
          <w:rFonts w:ascii="Arial" w:hAnsi="Arial" w:cs="Arial"/>
          <w:color w:val="000000"/>
        </w:rPr>
        <w:t>Terrorist financing has also evolved in response to digitalisation. According to</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UNOCT (2023</w:t>
      </w:r>
      <w:r w:rsidRPr="00CE4CAA">
        <w:rPr>
          <w:rStyle w:val="Strong"/>
          <w:rFonts w:ascii="Arial" w:eastAsiaTheme="majorEastAsia" w:hAnsi="Arial" w:cs="Arial"/>
          <w:color w:val="000000"/>
        </w:rPr>
        <w:t>)</w:t>
      </w:r>
      <w:r w:rsidRPr="00CE4CAA">
        <w:rPr>
          <w:rFonts w:ascii="Arial" w:hAnsi="Arial" w:cs="Arial"/>
          <w:color w:val="000000"/>
        </w:rPr>
        <w:t>, terrorist groups increasingly exploit online fundraising, crowdfunding platforms and cryptocurrencies to obscure financial flows. The</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Financial Action Task Force</w:t>
      </w:r>
      <w:r w:rsidRPr="00CE4CAA">
        <w:rPr>
          <w:rStyle w:val="Strong"/>
          <w:rFonts w:ascii="Arial" w:eastAsiaTheme="majorEastAsia" w:hAnsi="Arial" w:cs="Arial"/>
          <w:color w:val="000000"/>
        </w:rPr>
        <w:t xml:space="preserve"> </w:t>
      </w:r>
      <w:r w:rsidRPr="00CE4CAA">
        <w:rPr>
          <w:rStyle w:val="Strong"/>
          <w:rFonts w:ascii="Arial" w:eastAsiaTheme="majorEastAsia" w:hAnsi="Arial" w:cs="Arial"/>
          <w:b w:val="0"/>
          <w:bCs w:val="0"/>
          <w:color w:val="000000"/>
        </w:rPr>
        <w:t>(FATF, 2022)</w:t>
      </w:r>
      <w:r w:rsidRPr="00CE4CAA">
        <w:rPr>
          <w:rStyle w:val="apple-converted-space"/>
          <w:rFonts w:ascii="Arial" w:eastAsiaTheme="majorEastAsia" w:hAnsi="Arial" w:cs="Arial"/>
          <w:color w:val="000000"/>
        </w:rPr>
        <w:t> </w:t>
      </w:r>
      <w:r w:rsidRPr="00CE4CAA">
        <w:rPr>
          <w:rFonts w:ascii="Arial" w:hAnsi="Arial" w:cs="Arial"/>
          <w:color w:val="000000"/>
        </w:rPr>
        <w:t>identifies virtual assets as an emerging risk area, noting that while their overall use remains limited, they provide symbolic and practical value for evading oversight.</w:t>
      </w:r>
    </w:p>
    <w:p w14:paraId="2FE16EC6" w14:textId="77777777" w:rsidR="005A2A06" w:rsidRPr="00CE4CAA" w:rsidRDefault="005A2A06" w:rsidP="00CE4CAA">
      <w:pPr>
        <w:pStyle w:val="NormalWeb"/>
        <w:spacing w:line="360" w:lineRule="auto"/>
        <w:rPr>
          <w:rFonts w:ascii="Arial" w:hAnsi="Arial" w:cs="Arial"/>
          <w:color w:val="000000"/>
        </w:rPr>
      </w:pPr>
      <w:r w:rsidRPr="00CE4CAA">
        <w:rPr>
          <w:rFonts w:ascii="Arial" w:hAnsi="Arial" w:cs="Arial"/>
          <w:color w:val="000000"/>
        </w:rPr>
        <w:t>Academic studies by</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Irwin and Dawson (2021)</w:t>
      </w:r>
      <w:r w:rsidRPr="00CE4CAA">
        <w:rPr>
          <w:rStyle w:val="apple-converted-space"/>
          <w:rFonts w:ascii="Arial" w:eastAsiaTheme="majorEastAsia" w:hAnsi="Arial" w:cs="Arial"/>
          <w:color w:val="000000"/>
        </w:rPr>
        <w:t> </w:t>
      </w:r>
      <w:r w:rsidRPr="00CE4CAA">
        <w:rPr>
          <w:rFonts w:ascii="Arial" w:hAnsi="Arial" w:cs="Arial"/>
          <w:color w:val="000000"/>
        </w:rPr>
        <w:t>suggest that cyber-enabled financing methods are particularly attractive to lone actors and small cells, as they reduce reliance on formal networks. This trend complicates financial intelligence efforts and requires closer cooperation between law enforcement, financial institutions and technology companies.</w:t>
      </w:r>
    </w:p>
    <w:p w14:paraId="0A05460E" w14:textId="6E6CCA46" w:rsidR="005A2A06" w:rsidRPr="00CE4CAA" w:rsidRDefault="005A2A06" w:rsidP="00CE4CAA">
      <w:pPr>
        <w:pStyle w:val="NormalWeb"/>
        <w:spacing w:line="360" w:lineRule="auto"/>
        <w:rPr>
          <w:rStyle w:val="Emphasis"/>
          <w:rFonts w:ascii="Arial" w:eastAsiaTheme="majorEastAsia" w:hAnsi="Arial" w:cs="Arial"/>
          <w:i w:val="0"/>
          <w:iCs w:val="0"/>
          <w:color w:val="000000"/>
        </w:rPr>
      </w:pPr>
      <w:r w:rsidRPr="00CE4CAA">
        <w:rPr>
          <w:rStyle w:val="Emphasis"/>
          <w:rFonts w:ascii="Arial" w:eastAsiaTheme="majorEastAsia" w:hAnsi="Arial" w:cs="Arial"/>
          <w:i w:val="0"/>
          <w:iCs w:val="0"/>
          <w:color w:val="000000"/>
        </w:rPr>
        <w:t xml:space="preserve">However, Empirical evidence challenges assumptions that terrorist financing has shifted predominantly toward digital financial technologies. </w:t>
      </w:r>
      <w:proofErr w:type="spellStart"/>
      <w:r w:rsidRPr="00CE4CAA">
        <w:rPr>
          <w:rStyle w:val="Emphasis"/>
          <w:rFonts w:ascii="Arial" w:eastAsiaTheme="majorEastAsia" w:hAnsi="Arial" w:cs="Arial"/>
          <w:i w:val="0"/>
          <w:iCs w:val="0"/>
          <w:color w:val="000000"/>
        </w:rPr>
        <w:t>Jofre</w:t>
      </w:r>
      <w:proofErr w:type="spellEnd"/>
      <w:r w:rsidRPr="00CE4CAA">
        <w:rPr>
          <w:rStyle w:val="Emphasis"/>
          <w:rFonts w:ascii="Arial" w:eastAsiaTheme="majorEastAsia" w:hAnsi="Arial" w:cs="Arial"/>
          <w:i w:val="0"/>
          <w:iCs w:val="0"/>
          <w:color w:val="000000"/>
        </w:rPr>
        <w:t xml:space="preserve">, </w:t>
      </w:r>
      <w:proofErr w:type="spellStart"/>
      <w:r w:rsidRPr="00CE4CAA">
        <w:rPr>
          <w:rStyle w:val="Emphasis"/>
          <w:rFonts w:ascii="Arial" w:eastAsiaTheme="majorEastAsia" w:hAnsi="Arial" w:cs="Arial"/>
          <w:i w:val="0"/>
          <w:iCs w:val="0"/>
          <w:color w:val="000000"/>
        </w:rPr>
        <w:t>Aziani</w:t>
      </w:r>
      <w:proofErr w:type="spellEnd"/>
      <w:r w:rsidRPr="00CE4CAA">
        <w:rPr>
          <w:rStyle w:val="Emphasis"/>
          <w:rFonts w:ascii="Arial" w:eastAsiaTheme="majorEastAsia" w:hAnsi="Arial" w:cs="Arial"/>
          <w:i w:val="0"/>
          <w:iCs w:val="0"/>
          <w:color w:val="000000"/>
        </w:rPr>
        <w:t xml:space="preserve"> and Villa (2024) demonstrate that traditional mechanisms remain dominant, with emerging financial technologies accounting for a relatively small proportion of documented cases (see </w:t>
      </w:r>
      <w:r w:rsidRPr="00CE4CAA">
        <w:rPr>
          <w:rStyle w:val="Emphasis"/>
          <w:rFonts w:ascii="Arial" w:eastAsiaTheme="majorEastAsia" w:hAnsi="Arial" w:cs="Arial"/>
          <w:b/>
          <w:bCs/>
          <w:i w:val="0"/>
          <w:iCs w:val="0"/>
          <w:color w:val="000000"/>
        </w:rPr>
        <w:t xml:space="preserve">Figure </w:t>
      </w:r>
      <w:r w:rsidR="00D47C03" w:rsidRPr="00CE4CAA">
        <w:rPr>
          <w:rStyle w:val="Emphasis"/>
          <w:rFonts w:ascii="Arial" w:eastAsiaTheme="majorEastAsia" w:hAnsi="Arial" w:cs="Arial"/>
          <w:b/>
          <w:bCs/>
          <w:i w:val="0"/>
          <w:iCs w:val="0"/>
          <w:color w:val="000000"/>
        </w:rPr>
        <w:t>B1</w:t>
      </w:r>
      <w:r w:rsidRPr="00CE4CAA">
        <w:rPr>
          <w:rStyle w:val="Emphasis"/>
          <w:rFonts w:ascii="Arial" w:eastAsiaTheme="majorEastAsia" w:hAnsi="Arial" w:cs="Arial"/>
          <w:i w:val="0"/>
          <w:iCs w:val="0"/>
          <w:color w:val="000000"/>
        </w:rPr>
        <w:t xml:space="preserve"> </w:t>
      </w:r>
      <w:r w:rsidRPr="00CE4CAA">
        <w:rPr>
          <w:rStyle w:val="Emphasis"/>
          <w:rFonts w:ascii="Arial" w:eastAsiaTheme="majorEastAsia" w:hAnsi="Arial" w:cs="Arial"/>
          <w:b/>
          <w:bCs/>
          <w:i w:val="0"/>
          <w:iCs w:val="0"/>
          <w:color w:val="000000"/>
        </w:rPr>
        <w:t xml:space="preserve">in Appendix </w:t>
      </w:r>
      <w:r w:rsidR="00D47C03" w:rsidRPr="00CE4CAA">
        <w:rPr>
          <w:rStyle w:val="Emphasis"/>
          <w:rFonts w:ascii="Arial" w:eastAsiaTheme="majorEastAsia" w:hAnsi="Arial" w:cs="Arial"/>
          <w:b/>
          <w:bCs/>
          <w:i w:val="0"/>
          <w:iCs w:val="0"/>
          <w:color w:val="000000"/>
        </w:rPr>
        <w:t>B</w:t>
      </w:r>
      <w:r w:rsidRPr="00CE4CAA">
        <w:rPr>
          <w:rStyle w:val="Emphasis"/>
          <w:rFonts w:ascii="Arial" w:eastAsiaTheme="majorEastAsia" w:hAnsi="Arial" w:cs="Arial"/>
          <w:i w:val="0"/>
          <w:iCs w:val="0"/>
          <w:color w:val="000000"/>
        </w:rPr>
        <w:t>).</w:t>
      </w:r>
    </w:p>
    <w:p w14:paraId="33FDBEB8" w14:textId="50019E21" w:rsidR="00CE4CAA" w:rsidRPr="00CE4CAA" w:rsidRDefault="00CE4CAA" w:rsidP="00CE4CAA">
      <w:pPr>
        <w:pStyle w:val="NormalWeb"/>
        <w:spacing w:line="360" w:lineRule="auto"/>
        <w:rPr>
          <w:rFonts w:ascii="Arial" w:hAnsi="Arial" w:cs="Arial"/>
          <w:color w:val="000000"/>
        </w:rPr>
      </w:pPr>
      <w:r w:rsidRPr="00CE4CAA">
        <w:rPr>
          <w:rFonts w:ascii="Arial" w:hAnsi="Arial" w:cs="Arial"/>
          <w:color w:val="000000"/>
        </w:rPr>
        <w:t>The persistence of traditional financing mechanisms, despite growing policy and media attention on cryptocurrencies, raises important implications for counter-terrorist financing strategies. According to</w:t>
      </w:r>
      <w:r w:rsidRPr="00CE4CAA">
        <w:rPr>
          <w:rStyle w:val="apple-converted-space"/>
          <w:rFonts w:ascii="Arial" w:eastAsiaTheme="majorEastAsia" w:hAnsi="Arial" w:cs="Arial"/>
          <w:color w:val="000000"/>
        </w:rPr>
        <w:t> </w:t>
      </w:r>
      <w:proofErr w:type="spellStart"/>
      <w:r w:rsidRPr="00CE4CAA">
        <w:rPr>
          <w:rStyle w:val="Strong"/>
          <w:rFonts w:ascii="Arial" w:eastAsiaTheme="majorEastAsia" w:hAnsi="Arial" w:cs="Arial"/>
          <w:b w:val="0"/>
          <w:bCs w:val="0"/>
          <w:color w:val="000000"/>
        </w:rPr>
        <w:t>Jofre</w:t>
      </w:r>
      <w:proofErr w:type="spellEnd"/>
      <w:r w:rsidRPr="00CE4CAA">
        <w:rPr>
          <w:rStyle w:val="Strong"/>
          <w:rFonts w:ascii="Arial" w:eastAsiaTheme="majorEastAsia" w:hAnsi="Arial" w:cs="Arial"/>
          <w:b w:val="0"/>
          <w:bCs w:val="0"/>
          <w:color w:val="000000"/>
        </w:rPr>
        <w:t xml:space="preserve">, </w:t>
      </w:r>
      <w:proofErr w:type="spellStart"/>
      <w:r w:rsidRPr="00CE4CAA">
        <w:rPr>
          <w:rStyle w:val="Strong"/>
          <w:rFonts w:ascii="Arial" w:eastAsiaTheme="majorEastAsia" w:hAnsi="Arial" w:cs="Arial"/>
          <w:b w:val="0"/>
          <w:bCs w:val="0"/>
          <w:color w:val="000000"/>
        </w:rPr>
        <w:t>Aziani</w:t>
      </w:r>
      <w:proofErr w:type="spellEnd"/>
      <w:r w:rsidRPr="00CE4CAA">
        <w:rPr>
          <w:rStyle w:val="Strong"/>
          <w:rFonts w:ascii="Arial" w:eastAsiaTheme="majorEastAsia" w:hAnsi="Arial" w:cs="Arial"/>
          <w:b w:val="0"/>
          <w:bCs w:val="0"/>
          <w:color w:val="000000"/>
        </w:rPr>
        <w:t xml:space="preserve"> and Villa (2024</w:t>
      </w:r>
      <w:r w:rsidRPr="00CE4CAA">
        <w:rPr>
          <w:rStyle w:val="Strong"/>
          <w:rFonts w:ascii="Arial" w:eastAsiaTheme="majorEastAsia" w:hAnsi="Arial" w:cs="Arial"/>
          <w:b w:val="0"/>
          <w:bCs w:val="0"/>
          <w:color w:val="000000"/>
        </w:rPr>
        <w:t>)</w:t>
      </w:r>
      <w:r w:rsidRPr="00CE4CAA">
        <w:t>,</w:t>
      </w:r>
      <w:r w:rsidRPr="00CE4CAA">
        <w:rPr>
          <w:rFonts w:ascii="Arial" w:hAnsi="Arial" w:cs="Arial"/>
          <w:color w:val="000000"/>
        </w:rPr>
        <w:t xml:space="preserve"> the limited adoption of emerging financial technologies reflects both practical constraints and risk aversion among terrorist actors, who continue to favour established systems that offer reliability, familiarity and perceived anonymity. This challenges dominant policy narratives that frame cryptocurrencies as the primary terrorist financing threat.</w:t>
      </w:r>
    </w:p>
    <w:p w14:paraId="6764C4F1" w14:textId="77777777" w:rsidR="00CE4CAA" w:rsidRPr="00CE4CAA" w:rsidRDefault="00CE4CAA" w:rsidP="00CE4CAA">
      <w:pPr>
        <w:pStyle w:val="NormalWeb"/>
        <w:spacing w:line="360" w:lineRule="auto"/>
        <w:rPr>
          <w:rFonts w:ascii="Arial" w:hAnsi="Arial" w:cs="Arial"/>
          <w:color w:val="000000"/>
        </w:rPr>
      </w:pPr>
      <w:r w:rsidRPr="00CE4CAA">
        <w:rPr>
          <w:rFonts w:ascii="Arial" w:hAnsi="Arial" w:cs="Arial"/>
          <w:color w:val="000000"/>
        </w:rPr>
        <w:lastRenderedPageBreak/>
        <w:t>The</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FATF (2022)</w:t>
      </w:r>
      <w:r w:rsidRPr="00CE4CAA">
        <w:rPr>
          <w:rStyle w:val="apple-converted-space"/>
          <w:rFonts w:ascii="Arial" w:eastAsiaTheme="majorEastAsia" w:hAnsi="Arial" w:cs="Arial"/>
          <w:color w:val="000000"/>
        </w:rPr>
        <w:t> </w:t>
      </w:r>
      <w:r w:rsidRPr="00CE4CAA">
        <w:rPr>
          <w:rFonts w:ascii="Arial" w:hAnsi="Arial" w:cs="Arial"/>
          <w:color w:val="000000"/>
        </w:rPr>
        <w:t>similarly cautions against a disproportionate regulatory focus on virtual assets at the expense of traditional financial oversight. Over-emphasising emerging technologies risks diverting resources away from monitoring cash-based transactions, informal value transfer systems and fraud-based financing, which remain prevalent.</w:t>
      </w:r>
    </w:p>
    <w:p w14:paraId="35EFA7CE" w14:textId="0A49EEC2" w:rsidR="00CE4CAA" w:rsidRDefault="008E0322" w:rsidP="00CE4CAA">
      <w:pPr>
        <w:pStyle w:val="NormalWeb"/>
        <w:spacing w:line="360" w:lineRule="auto"/>
        <w:rPr>
          <w:color w:val="000000"/>
        </w:rPr>
      </w:pPr>
      <w:r w:rsidRPr="00CE4CAA">
        <w:rPr>
          <w:rFonts w:ascii="Arial" w:hAnsi="Arial" w:cs="Arial"/>
          <w:color w:val="000000"/>
        </w:rPr>
        <w:t>From a policing perspective, this highlights the importance of integrating cyber-enabled finance investigations within broader financial intelligence strategies rather than treating them as a discrete threat category. Failure to adopt such an integrated approach risks creating blind spots that can be exploited by both terrorist and organised criminal actors operating across digital and non-digital domains.</w:t>
      </w:r>
      <w:r w:rsidR="00CE4CAA" w:rsidRPr="00CE4CAA">
        <w:rPr>
          <w:rStyle w:val="ContactInfo"/>
          <w:rFonts w:ascii="Arial" w:hAnsi="Arial" w:cs="Arial"/>
          <w:color w:val="000000"/>
        </w:rPr>
        <w:t xml:space="preserve"> </w:t>
      </w:r>
      <w:r w:rsidR="00CE4CAA" w:rsidRPr="00CE4CAA">
        <w:rPr>
          <w:rStyle w:val="Emphasis"/>
          <w:rFonts w:ascii="Arial" w:eastAsiaTheme="majorEastAsia" w:hAnsi="Arial" w:cs="Arial"/>
          <w:i w:val="0"/>
          <w:iCs w:val="0"/>
          <w:color w:val="000000"/>
        </w:rPr>
        <w:t>This integrated approach mirrors challenges observed in cybercrime policing, where fragmented financial intelligence similarly undermines disruption-based enforcement strategies</w:t>
      </w:r>
      <w:r w:rsidR="00CE4CAA" w:rsidRPr="00CE4CAA">
        <w:rPr>
          <w:rStyle w:val="Emphasis"/>
          <w:rFonts w:eastAsiaTheme="majorEastAsia"/>
          <w:i w:val="0"/>
          <w:iCs w:val="0"/>
          <w:color w:val="000000"/>
        </w:rPr>
        <w:t>.</w:t>
      </w:r>
    </w:p>
    <w:p w14:paraId="24189266" w14:textId="46056061" w:rsidR="008E0322" w:rsidRPr="00CE4CAA" w:rsidRDefault="008E0322" w:rsidP="00CE4CAA">
      <w:pPr>
        <w:pStyle w:val="NormalWeb"/>
        <w:spacing w:line="360" w:lineRule="auto"/>
        <w:rPr>
          <w:rStyle w:val="Emphasis"/>
          <w:rFonts w:ascii="Arial" w:hAnsi="Arial" w:cs="Arial"/>
          <w:i w:val="0"/>
          <w:iCs w:val="0"/>
          <w:color w:val="000000"/>
        </w:rPr>
      </w:pPr>
    </w:p>
    <w:p w14:paraId="082335BF" w14:textId="2B8CB748" w:rsidR="005A2A06" w:rsidRDefault="005A2A06" w:rsidP="005A2A06">
      <w:pPr>
        <w:pStyle w:val="Heading2"/>
        <w:rPr>
          <w:rStyle w:val="Strong"/>
          <w:b w:val="0"/>
          <w:bCs w:val="0"/>
          <w:color w:val="000000"/>
          <w:sz w:val="24"/>
          <w:szCs w:val="24"/>
          <w:u w:val="single"/>
        </w:rPr>
      </w:pPr>
      <w:bookmarkStart w:id="6" w:name="_Toc218764798"/>
      <w:r w:rsidRPr="005A2A06">
        <w:rPr>
          <w:rStyle w:val="Strong"/>
          <w:b w:val="0"/>
          <w:bCs w:val="0"/>
          <w:color w:val="000000"/>
          <w:sz w:val="24"/>
          <w:szCs w:val="24"/>
          <w:u w:val="single"/>
        </w:rPr>
        <w:t>2.5 Blurring boundaries between terrorism and cybercrime</w:t>
      </w:r>
      <w:r>
        <w:rPr>
          <w:rStyle w:val="Strong"/>
          <w:b w:val="0"/>
          <w:bCs w:val="0"/>
          <w:color w:val="000000"/>
          <w:sz w:val="24"/>
          <w:szCs w:val="24"/>
          <w:u w:val="single"/>
        </w:rPr>
        <w:t xml:space="preserve"> 84</w:t>
      </w:r>
      <w:bookmarkEnd w:id="6"/>
    </w:p>
    <w:p w14:paraId="2C2EA541"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An increasingly important trend is the blurring of boundaries between terrorism and cybercrime. According to</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Europol (2023)</w:t>
      </w:r>
      <w:r w:rsidRPr="005A2A06">
        <w:rPr>
          <w:rFonts w:ascii="Arial" w:hAnsi="Arial" w:cs="Arial"/>
          <w:b/>
          <w:bCs/>
          <w:color w:val="000000"/>
        </w:rPr>
        <w:t>,</w:t>
      </w:r>
      <w:r w:rsidRPr="005A2A06">
        <w:rPr>
          <w:rFonts w:ascii="Arial" w:hAnsi="Arial" w:cs="Arial"/>
          <w:color w:val="000000"/>
        </w:rPr>
        <w:t xml:space="preserve"> terrorist actors frequently engage in cyber-enabled crimes such as fraud, identity theft and illicit online fundraising to support their activities. Conversely, cybercriminal tools and marketplaces can be repurposed for ideological violence.</w:t>
      </w:r>
    </w:p>
    <w:p w14:paraId="045C3AA3" w14:textId="0828B2A8" w:rsidR="005A2A06" w:rsidRDefault="005A2A06" w:rsidP="005A2A06">
      <w:pPr>
        <w:pStyle w:val="NormalWeb"/>
        <w:spacing w:line="360" w:lineRule="auto"/>
        <w:rPr>
          <w:rFonts w:ascii="Arial" w:hAnsi="Arial" w:cs="Arial"/>
          <w:color w:val="000000"/>
        </w:rPr>
      </w:pPr>
      <w:r w:rsidRPr="005A2A06">
        <w:rPr>
          <w:rStyle w:val="Strong"/>
          <w:rFonts w:ascii="Arial" w:eastAsiaTheme="majorEastAsia" w:hAnsi="Arial" w:cs="Arial"/>
          <w:b w:val="0"/>
          <w:bCs w:val="0"/>
          <w:color w:val="000000"/>
        </w:rPr>
        <w:t>Hutchings, Clayton and Thomas (2022)</w:t>
      </w:r>
      <w:r w:rsidRPr="005A2A06">
        <w:rPr>
          <w:rStyle w:val="apple-converted-space"/>
          <w:rFonts w:ascii="Arial" w:eastAsiaTheme="majorEastAsia" w:hAnsi="Arial" w:cs="Arial"/>
          <w:color w:val="000000"/>
        </w:rPr>
        <w:t> </w:t>
      </w:r>
      <w:r w:rsidRPr="005A2A06">
        <w:rPr>
          <w:rFonts w:ascii="Arial" w:hAnsi="Arial" w:cs="Arial"/>
          <w:color w:val="000000"/>
        </w:rPr>
        <w:t>argue that this convergence undermines traditional policing silos, as counter-terrorism and cybercrime units often operate under different legal frameworks, priorities and intelligence cultures. This fragmentation risks intelligence gaps and delayed interventions.</w:t>
      </w:r>
    </w:p>
    <w:p w14:paraId="63436663" w14:textId="2ECF0A24" w:rsidR="005A2A06" w:rsidRPr="005A2A06" w:rsidRDefault="005A2A06" w:rsidP="005A2A06">
      <w:pPr>
        <w:pStyle w:val="Heading1"/>
        <w:rPr>
          <w:rFonts w:ascii="Arial" w:hAnsi="Arial" w:cs="Arial"/>
        </w:rPr>
      </w:pPr>
      <w:bookmarkStart w:id="7" w:name="_Toc218764799"/>
      <w:r>
        <w:lastRenderedPageBreak/>
        <w:t>3. Global and Governmental Responses to Contemporary Terrorism</w:t>
      </w:r>
      <w:bookmarkEnd w:id="7"/>
    </w:p>
    <w:p w14:paraId="07FF7FE9" w14:textId="2584F162" w:rsidR="005A2A06" w:rsidRPr="005A2A06" w:rsidRDefault="005A2A06" w:rsidP="005A2A06">
      <w:pPr>
        <w:pStyle w:val="Heading2"/>
        <w:rPr>
          <w:rFonts w:asciiTheme="minorHAnsi" w:hAnsiTheme="minorHAnsi" w:cs="Arial"/>
          <w:sz w:val="24"/>
          <w:szCs w:val="24"/>
          <w:u w:val="single"/>
        </w:rPr>
      </w:pPr>
      <w:bookmarkStart w:id="8" w:name="_Toc218764800"/>
      <w:r w:rsidRPr="005A2A06">
        <w:rPr>
          <w:rStyle w:val="Strong"/>
          <w:rFonts w:asciiTheme="minorHAnsi" w:hAnsiTheme="minorHAnsi" w:cs="Arial"/>
          <w:b w:val="0"/>
          <w:bCs w:val="0"/>
          <w:color w:val="000000"/>
          <w:sz w:val="24"/>
          <w:szCs w:val="24"/>
          <w:u w:val="single"/>
        </w:rPr>
        <w:t>3.1 UK counter-terrorism strategy</w:t>
      </w:r>
      <w:r>
        <w:rPr>
          <w:rStyle w:val="Strong"/>
          <w:rFonts w:asciiTheme="minorHAnsi" w:hAnsiTheme="minorHAnsi" w:cs="Arial"/>
          <w:b w:val="0"/>
          <w:bCs w:val="0"/>
          <w:color w:val="000000"/>
          <w:sz w:val="24"/>
          <w:szCs w:val="24"/>
          <w:u w:val="single"/>
        </w:rPr>
        <w:t xml:space="preserve"> 102</w:t>
      </w:r>
      <w:bookmarkEnd w:id="8"/>
    </w:p>
    <w:p w14:paraId="6EAAD6E8"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The UK’s primary counter-terrorism framework is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CONTEST strategy</w:t>
      </w:r>
      <w:r w:rsidRPr="005A2A06">
        <w:rPr>
          <w:rFonts w:ascii="Arial" w:hAnsi="Arial" w:cs="Arial"/>
          <w:color w:val="000000"/>
        </w:rPr>
        <w:t>, which comprises four strands: Prevent, Pursue, Protect and Prepare. According to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Home Office (2023)</w:t>
      </w:r>
      <w:r w:rsidRPr="005A2A06">
        <w:rPr>
          <w:rFonts w:ascii="Arial" w:hAnsi="Arial" w:cs="Arial"/>
          <w:b/>
          <w:bCs/>
          <w:color w:val="000000"/>
        </w:rPr>
        <w:t xml:space="preserve">, </w:t>
      </w:r>
      <w:r w:rsidRPr="005A2A06">
        <w:rPr>
          <w:rFonts w:ascii="Arial" w:hAnsi="Arial" w:cs="Arial"/>
          <w:color w:val="000000"/>
        </w:rPr>
        <w:t>CONTEST has been updated to reflect the increasing role of online radicalisation and digital communications.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Prevent</w:t>
      </w:r>
      <w:r w:rsidRPr="005A2A06">
        <w:rPr>
          <w:rStyle w:val="apple-converted-space"/>
          <w:rFonts w:ascii="Arial" w:eastAsiaTheme="majorEastAsia" w:hAnsi="Arial" w:cs="Arial"/>
          <w:color w:val="000000"/>
        </w:rPr>
        <w:t> </w:t>
      </w:r>
      <w:r w:rsidRPr="005A2A06">
        <w:rPr>
          <w:rFonts w:ascii="Arial" w:hAnsi="Arial" w:cs="Arial"/>
          <w:color w:val="000000"/>
        </w:rPr>
        <w:t>strand, in particular, places emphasis on disrupting online extremist content and safeguarding individuals vulnerable to radicalisation.</w:t>
      </w:r>
    </w:p>
    <w:p w14:paraId="10C43538"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However, Prevent remains controversial.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Independent Review of Prevent (2023)</w:t>
      </w:r>
      <w:r w:rsidRPr="005A2A06">
        <w:rPr>
          <w:rStyle w:val="apple-converted-space"/>
          <w:rFonts w:ascii="Arial" w:eastAsiaTheme="majorEastAsia" w:hAnsi="Arial" w:cs="Arial"/>
          <w:color w:val="000000"/>
        </w:rPr>
        <w:t> </w:t>
      </w:r>
      <w:r w:rsidRPr="005A2A06">
        <w:rPr>
          <w:rFonts w:ascii="Arial" w:hAnsi="Arial" w:cs="Arial"/>
          <w:color w:val="000000"/>
        </w:rPr>
        <w:t>highlights concerns regarding community trust, disproportionate referrals and limited evidence of long-term effectiveness. Academic critiques by</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Heath-Kelly</w:t>
      </w:r>
      <w:r w:rsidRPr="005A2A06">
        <w:rPr>
          <w:rStyle w:val="Strong"/>
          <w:rFonts w:ascii="Arial" w:eastAsiaTheme="majorEastAsia" w:hAnsi="Arial" w:cs="Arial"/>
          <w:color w:val="000000"/>
        </w:rPr>
        <w:t xml:space="preserve"> </w:t>
      </w:r>
      <w:r w:rsidRPr="005A2A06">
        <w:rPr>
          <w:rStyle w:val="Strong"/>
          <w:rFonts w:ascii="Arial" w:eastAsiaTheme="majorEastAsia" w:hAnsi="Arial" w:cs="Arial"/>
          <w:b w:val="0"/>
          <w:bCs w:val="0"/>
          <w:color w:val="000000"/>
        </w:rPr>
        <w:t>(2021)</w:t>
      </w:r>
      <w:r w:rsidRPr="005A2A06">
        <w:rPr>
          <w:rStyle w:val="apple-converted-space"/>
          <w:rFonts w:ascii="Arial" w:eastAsiaTheme="majorEastAsia" w:hAnsi="Arial" w:cs="Arial"/>
          <w:color w:val="000000"/>
        </w:rPr>
        <w:t> </w:t>
      </w:r>
      <w:r w:rsidRPr="005A2A06">
        <w:rPr>
          <w:rFonts w:ascii="Arial" w:hAnsi="Arial" w:cs="Arial"/>
          <w:color w:val="000000"/>
        </w:rPr>
        <w:t>argue that Prevent risks securitising social services and undermining legitimacy, which may ultimately reduce cooperation with policing.</w:t>
      </w:r>
    </w:p>
    <w:p w14:paraId="44A485F7" w14:textId="39122479" w:rsidR="005A2A06" w:rsidRPr="005A2A06" w:rsidRDefault="005A2A06" w:rsidP="005A2A06">
      <w:pPr>
        <w:pStyle w:val="Heading2"/>
        <w:rPr>
          <w:rFonts w:asciiTheme="minorHAnsi" w:hAnsiTheme="minorHAnsi" w:cs="Arial"/>
          <w:sz w:val="24"/>
          <w:szCs w:val="24"/>
          <w:u w:val="single"/>
        </w:rPr>
      </w:pPr>
      <w:bookmarkStart w:id="9" w:name="_Toc218764801"/>
      <w:r w:rsidRPr="005A2A06">
        <w:rPr>
          <w:rStyle w:val="Strong"/>
          <w:rFonts w:asciiTheme="minorHAnsi" w:hAnsiTheme="minorHAnsi" w:cs="Arial"/>
          <w:b w:val="0"/>
          <w:bCs w:val="0"/>
          <w:color w:val="000000"/>
          <w:sz w:val="24"/>
          <w:szCs w:val="24"/>
          <w:u w:val="single"/>
        </w:rPr>
        <w:t>3.2 International and global responses</w:t>
      </w:r>
      <w:r>
        <w:rPr>
          <w:rStyle w:val="Strong"/>
          <w:rFonts w:asciiTheme="minorHAnsi" w:hAnsiTheme="minorHAnsi" w:cs="Arial"/>
          <w:b w:val="0"/>
          <w:bCs w:val="0"/>
          <w:color w:val="000000"/>
          <w:sz w:val="24"/>
          <w:szCs w:val="24"/>
          <w:u w:val="single"/>
        </w:rPr>
        <w:t xml:space="preserve"> 120</w:t>
      </w:r>
      <w:bookmarkEnd w:id="9"/>
    </w:p>
    <w:p w14:paraId="6A6A8072"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At the international level, counter-terrorism responses emphasise cooperation, intelligence sharing and capacity building. According to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United Nations Global Counter-Terrorism Strategy (UN, 2023)</w:t>
      </w:r>
      <w:r w:rsidRPr="005A2A06">
        <w:rPr>
          <w:rFonts w:ascii="Arial" w:hAnsi="Arial" w:cs="Arial"/>
          <w:color w:val="000000"/>
        </w:rPr>
        <w:t>, states are encouraged to address the use of information and communications technologies by terrorists while respecting human rights and the rule of law.</w:t>
      </w:r>
    </w:p>
    <w:p w14:paraId="5D863466" w14:textId="77777777" w:rsidR="005A2A06" w:rsidRPr="005A2A06" w:rsidRDefault="005A2A06" w:rsidP="005A2A06">
      <w:pPr>
        <w:pStyle w:val="NormalWeb"/>
        <w:spacing w:line="360" w:lineRule="auto"/>
        <w:rPr>
          <w:rFonts w:ascii="Arial" w:hAnsi="Arial" w:cs="Arial"/>
          <w:color w:val="000000"/>
        </w:rPr>
      </w:pPr>
      <w:r w:rsidRPr="005A2A06">
        <w:rPr>
          <w:rStyle w:val="Strong"/>
          <w:rFonts w:ascii="Arial" w:eastAsiaTheme="majorEastAsia" w:hAnsi="Arial" w:cs="Arial"/>
          <w:b w:val="0"/>
          <w:bCs w:val="0"/>
          <w:color w:val="000000"/>
        </w:rPr>
        <w:t>Europol (2023)</w:t>
      </w:r>
      <w:r w:rsidRPr="005A2A06">
        <w:rPr>
          <w:rStyle w:val="apple-converted-space"/>
          <w:rFonts w:ascii="Arial" w:eastAsiaTheme="majorEastAsia" w:hAnsi="Arial" w:cs="Arial"/>
          <w:color w:val="000000"/>
        </w:rPr>
        <w:t> </w:t>
      </w:r>
      <w:r w:rsidRPr="005A2A06">
        <w:rPr>
          <w:rFonts w:ascii="Arial" w:hAnsi="Arial" w:cs="Arial"/>
          <w:color w:val="000000"/>
        </w:rPr>
        <w:t>plays a central role within the EU by facilitating intelligence exchange and coordinating investigations through platforms such as the European Counter Terrorism Centre. Similarly, the</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Five Eyes alliance</w:t>
      </w:r>
      <w:r w:rsidRPr="005A2A06">
        <w:rPr>
          <w:rStyle w:val="apple-converted-space"/>
          <w:rFonts w:ascii="Arial" w:eastAsiaTheme="majorEastAsia" w:hAnsi="Arial" w:cs="Arial"/>
          <w:color w:val="000000"/>
        </w:rPr>
        <w:t> </w:t>
      </w:r>
      <w:r w:rsidRPr="005A2A06">
        <w:rPr>
          <w:rFonts w:ascii="Arial" w:hAnsi="Arial" w:cs="Arial"/>
          <w:color w:val="000000"/>
        </w:rPr>
        <w:t>supports intelligence sharing on terrorist threats, including digital activity (</w:t>
      </w:r>
      <w:r w:rsidRPr="005A2A06">
        <w:rPr>
          <w:rStyle w:val="Strong"/>
          <w:rFonts w:ascii="Arial" w:eastAsiaTheme="majorEastAsia" w:hAnsi="Arial" w:cs="Arial"/>
          <w:b w:val="0"/>
          <w:bCs w:val="0"/>
          <w:color w:val="000000"/>
        </w:rPr>
        <w:t>UK Government, 2023</w:t>
      </w:r>
      <w:r w:rsidRPr="005A2A06">
        <w:rPr>
          <w:rFonts w:ascii="Arial" w:hAnsi="Arial" w:cs="Arial"/>
          <w:color w:val="000000"/>
        </w:rPr>
        <w:t>).</w:t>
      </w:r>
    </w:p>
    <w:p w14:paraId="3C081A45"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Despite these mechanisms,</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UNCTED (2022)</w:t>
      </w:r>
      <w:r w:rsidRPr="005A2A06">
        <w:rPr>
          <w:rStyle w:val="apple-converted-space"/>
          <w:rFonts w:ascii="Arial" w:eastAsiaTheme="majorEastAsia" w:hAnsi="Arial" w:cs="Arial"/>
          <w:color w:val="000000"/>
        </w:rPr>
        <w:t> </w:t>
      </w:r>
      <w:r w:rsidRPr="005A2A06">
        <w:rPr>
          <w:rFonts w:ascii="Arial" w:hAnsi="Arial" w:cs="Arial"/>
          <w:color w:val="000000"/>
        </w:rPr>
        <w:t xml:space="preserve">notes persistent challenges in harmonising legal frameworks, particularly in relation to data access, encryption </w:t>
      </w:r>
      <w:r w:rsidRPr="005A2A06">
        <w:rPr>
          <w:rFonts w:ascii="Arial" w:hAnsi="Arial" w:cs="Arial"/>
          <w:color w:val="000000"/>
        </w:rPr>
        <w:lastRenderedPageBreak/>
        <w:t>and cross-border evidence collection. These limitations constrain timely intervention and undermine collective effectiveness.</w:t>
      </w:r>
    </w:p>
    <w:p w14:paraId="565EEB54" w14:textId="384E4DBF" w:rsidR="005A2A06" w:rsidRPr="005A2A06" w:rsidRDefault="005A2A06" w:rsidP="005A2A06">
      <w:pPr>
        <w:pStyle w:val="Heading2"/>
        <w:rPr>
          <w:sz w:val="24"/>
          <w:szCs w:val="24"/>
          <w:u w:val="single"/>
        </w:rPr>
      </w:pPr>
      <w:bookmarkStart w:id="10" w:name="_Toc218764802"/>
      <w:r w:rsidRPr="005A2A06">
        <w:rPr>
          <w:rStyle w:val="Strong"/>
          <w:b w:val="0"/>
          <w:bCs w:val="0"/>
          <w:color w:val="000000"/>
          <w:sz w:val="24"/>
          <w:szCs w:val="24"/>
          <w:u w:val="single"/>
        </w:rPr>
        <w:t>3.3 Critical evaluation of effectiveness</w:t>
      </w:r>
      <w:r>
        <w:rPr>
          <w:rStyle w:val="Strong"/>
          <w:b w:val="0"/>
          <w:bCs w:val="0"/>
          <w:color w:val="000000"/>
          <w:sz w:val="24"/>
          <w:szCs w:val="24"/>
          <w:u w:val="single"/>
        </w:rPr>
        <w:t xml:space="preserve"> 88</w:t>
      </w:r>
      <w:bookmarkEnd w:id="10"/>
    </w:p>
    <w:p w14:paraId="70936070"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While governmental responses have adapted to digital threats, their effectiveness remains uneven. According to</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Neumann (2021)</w:t>
      </w:r>
      <w:r w:rsidRPr="005A2A06">
        <w:rPr>
          <w:rFonts w:ascii="Arial" w:hAnsi="Arial" w:cs="Arial"/>
          <w:b/>
          <w:bCs/>
          <w:color w:val="000000"/>
        </w:rPr>
        <w:t>,</w:t>
      </w:r>
      <w:r w:rsidRPr="005A2A06">
        <w:rPr>
          <w:rFonts w:ascii="Arial" w:hAnsi="Arial" w:cs="Arial"/>
          <w:color w:val="000000"/>
        </w:rPr>
        <w:t xml:space="preserve"> counter-terrorism strategies often lag behind technological innovation, resulting in reactive rather than anticipatory policing. The reliance on platform self-regulation has produced inconsistent outcomes, with extremist content removal varying significantly across companies </w:t>
      </w:r>
      <w:r w:rsidRPr="005A2A06">
        <w:rPr>
          <w:rFonts w:ascii="Arial" w:hAnsi="Arial" w:cs="Arial"/>
          <w:b/>
          <w:bCs/>
          <w:color w:val="000000"/>
        </w:rPr>
        <w:t>(</w:t>
      </w:r>
      <w:r w:rsidRPr="005A2A06">
        <w:rPr>
          <w:rStyle w:val="Strong"/>
          <w:rFonts w:ascii="Arial" w:eastAsiaTheme="majorEastAsia" w:hAnsi="Arial" w:cs="Arial"/>
          <w:b w:val="0"/>
          <w:bCs w:val="0"/>
          <w:color w:val="000000"/>
        </w:rPr>
        <w:t>UNCTED, 2022</w:t>
      </w:r>
      <w:r w:rsidRPr="005A2A06">
        <w:rPr>
          <w:rFonts w:ascii="Arial" w:hAnsi="Arial" w:cs="Arial"/>
          <w:b/>
          <w:bCs/>
          <w:color w:val="000000"/>
        </w:rPr>
        <w:t>).</w:t>
      </w:r>
    </w:p>
    <w:p w14:paraId="5E559676" w14:textId="77777777" w:rsidR="005A2A06" w:rsidRPr="005A2A06" w:rsidRDefault="005A2A06" w:rsidP="005A2A06">
      <w:pPr>
        <w:pStyle w:val="NormalWeb"/>
        <w:spacing w:line="360" w:lineRule="auto"/>
        <w:rPr>
          <w:rFonts w:ascii="Arial" w:hAnsi="Arial" w:cs="Arial"/>
          <w:color w:val="000000"/>
        </w:rPr>
      </w:pPr>
      <w:r w:rsidRPr="005A2A06">
        <w:rPr>
          <w:rFonts w:ascii="Arial" w:hAnsi="Arial" w:cs="Arial"/>
          <w:color w:val="000000"/>
        </w:rPr>
        <w:t>Moreover, the expansion of surveillance and data-sharing powers raises concerns regarding civil liberties and democratic accountability.</w:t>
      </w:r>
      <w:r w:rsidRPr="005A2A06">
        <w:rPr>
          <w:rStyle w:val="apple-converted-space"/>
          <w:rFonts w:ascii="Arial" w:eastAsiaTheme="majorEastAsia" w:hAnsi="Arial" w:cs="Arial"/>
          <w:color w:val="000000"/>
        </w:rPr>
        <w:t> </w:t>
      </w:r>
      <w:r w:rsidRPr="005A2A06">
        <w:rPr>
          <w:rStyle w:val="Strong"/>
          <w:rFonts w:ascii="Arial" w:eastAsiaTheme="majorEastAsia" w:hAnsi="Arial" w:cs="Arial"/>
          <w:b w:val="0"/>
          <w:bCs w:val="0"/>
          <w:color w:val="000000"/>
        </w:rPr>
        <w:t>Loader and Walker (2020)</w:t>
      </w:r>
      <w:r w:rsidRPr="005A2A06">
        <w:rPr>
          <w:rStyle w:val="apple-converted-space"/>
          <w:rFonts w:ascii="Arial" w:eastAsiaTheme="majorEastAsia" w:hAnsi="Arial" w:cs="Arial"/>
          <w:color w:val="000000"/>
        </w:rPr>
        <w:t> </w:t>
      </w:r>
      <w:r w:rsidRPr="005A2A06">
        <w:rPr>
          <w:rFonts w:ascii="Arial" w:hAnsi="Arial" w:cs="Arial"/>
          <w:color w:val="000000"/>
        </w:rPr>
        <w:t>argue that legitimacy is a critical component of counter-terrorism effectiveness, as public trust underpins intelligence flows and community cooperation.</w:t>
      </w:r>
    </w:p>
    <w:p w14:paraId="57D9B666" w14:textId="4A28D7D6" w:rsidR="005A2A06" w:rsidRDefault="005A2A06" w:rsidP="005A2A06">
      <w:pPr>
        <w:pStyle w:val="Heading1"/>
      </w:pPr>
      <w:bookmarkStart w:id="11" w:name="_Toc218764803"/>
      <w:r>
        <w:t>4. Cybercrime in Modern Society: Scale, Impact and Challenges</w:t>
      </w:r>
      <w:r w:rsidR="00A70AA9">
        <w:t xml:space="preserve"> 262</w:t>
      </w:r>
      <w:bookmarkEnd w:id="11"/>
    </w:p>
    <w:p w14:paraId="275C3442"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Cybercrime now represents one of the most pervasive threats to modern societies, affecting individuals, businesses and state institutions. According to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Office for National Statistics (ONS, 2025)</w:t>
      </w:r>
      <w:r w:rsidRPr="00A70AA9">
        <w:rPr>
          <w:rFonts w:ascii="Arial" w:hAnsi="Arial" w:cs="Arial"/>
          <w:b/>
          <w:bCs/>
          <w:color w:val="000000"/>
        </w:rPr>
        <w:t>,</w:t>
      </w:r>
      <w:r w:rsidRPr="00A70AA9">
        <w:rPr>
          <w:rFonts w:ascii="Arial" w:hAnsi="Arial" w:cs="Arial"/>
          <w:color w:val="000000"/>
        </w:rPr>
        <w:t xml:space="preserve"> fraud and computer misuse dominate crime victimisation in England and Wales, with fraud alone accounting for over 40 per cent of all crimes experienced by adults. The ONS further notes that the growth in cyber-enabled fraud has been driven by online marketplaces, social media platforms and digital payment systems, illustrating how everyday technologies have become embedded within criminal opportunity structures.</w:t>
      </w:r>
    </w:p>
    <w:p w14:paraId="568876BF"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The societal impact of cybercrime extends beyond financial loss.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Victims’ Commissioner (2023)</w:t>
      </w:r>
      <w:r w:rsidRPr="00A70AA9">
        <w:rPr>
          <w:rStyle w:val="apple-converted-space"/>
          <w:rFonts w:ascii="Arial" w:eastAsiaTheme="majorEastAsia" w:hAnsi="Arial" w:cs="Arial"/>
          <w:b/>
          <w:bCs/>
          <w:color w:val="000000"/>
        </w:rPr>
        <w:t> </w:t>
      </w:r>
      <w:r w:rsidRPr="00A70AA9">
        <w:rPr>
          <w:rFonts w:ascii="Arial" w:hAnsi="Arial" w:cs="Arial"/>
          <w:color w:val="000000"/>
        </w:rPr>
        <w:t xml:space="preserve">highlights that cybercrime victims frequently experience long-term psychological harm, including anxiety, shame and loss of trust in digital </w:t>
      </w:r>
      <w:r w:rsidRPr="00A70AA9">
        <w:rPr>
          <w:rFonts w:ascii="Arial" w:hAnsi="Arial" w:cs="Arial"/>
          <w:color w:val="000000"/>
        </w:rPr>
        <w:lastRenderedPageBreak/>
        <w:t>systems. These harms are often compounded by low levels of satisfaction with police responses, particularly in high-volume fraud cases where investigative capacity is limited.</w:t>
      </w:r>
    </w:p>
    <w:p w14:paraId="668DED08"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At the organisational level, cybercrime poses significant economic and operational risks. According to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Cyber Security Breaches Survey (DSIT, 2025)</w:t>
      </w:r>
      <w:r w:rsidRPr="00A70AA9">
        <w:rPr>
          <w:rFonts w:ascii="Arial" w:hAnsi="Arial" w:cs="Arial"/>
          <w:color w:val="000000"/>
        </w:rPr>
        <w:t>, 43 per cent of UK businesses experienced a cyber breach or attack in the previous year, with ransomware and phishing identified as the most disruptive threats.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National Cyber Security Centre (NCSC, 2024)</w:t>
      </w:r>
      <w:r w:rsidRPr="00A70AA9">
        <w:rPr>
          <w:rStyle w:val="apple-converted-space"/>
          <w:rFonts w:ascii="Arial" w:eastAsiaTheme="majorEastAsia" w:hAnsi="Arial" w:cs="Arial"/>
          <w:color w:val="000000"/>
        </w:rPr>
        <w:t> </w:t>
      </w:r>
      <w:r w:rsidRPr="00A70AA9">
        <w:rPr>
          <w:rFonts w:ascii="Arial" w:hAnsi="Arial" w:cs="Arial"/>
          <w:color w:val="000000"/>
        </w:rPr>
        <w:t>reports a substantial increase in nationally significant incidents, underscoring the growing scale and sophistication of cyber threats targeting critical infrastructure and public services.</w:t>
      </w:r>
    </w:p>
    <w:p w14:paraId="046B0E5E" w14:textId="77777777" w:rsidR="00A70AA9" w:rsidRDefault="00A70AA9" w:rsidP="00A70AA9">
      <w:pPr>
        <w:pStyle w:val="NormalWeb"/>
        <w:spacing w:line="360" w:lineRule="auto"/>
        <w:rPr>
          <w:rFonts w:ascii="Arial" w:hAnsi="Arial" w:cs="Arial"/>
          <w:color w:val="000000"/>
        </w:rPr>
      </w:pPr>
      <w:r w:rsidRPr="00A70AA9">
        <w:rPr>
          <w:rFonts w:ascii="Arial" w:hAnsi="Arial" w:cs="Arial"/>
          <w:color w:val="000000"/>
        </w:rPr>
        <w:t>Crucially, cybercrime shares several characteristics with contemporary terrorism discussed in Part 1. Both rely on decentralised networks, exploit digital anonymity, and operate across jurisdictions.</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Wall (2021)</w:t>
      </w:r>
      <w:r w:rsidRPr="00A70AA9">
        <w:rPr>
          <w:rStyle w:val="apple-converted-space"/>
          <w:rFonts w:ascii="Arial" w:eastAsiaTheme="majorEastAsia" w:hAnsi="Arial" w:cs="Arial"/>
          <w:color w:val="000000"/>
        </w:rPr>
        <w:t> </w:t>
      </w:r>
      <w:r w:rsidRPr="00A70AA9">
        <w:rPr>
          <w:rFonts w:ascii="Arial" w:hAnsi="Arial" w:cs="Arial"/>
          <w:color w:val="000000"/>
        </w:rPr>
        <w:t>argues that these similarities challenge traditional policing models, which are historically designed around territorial jurisdiction and reactive investigation.</w:t>
      </w:r>
    </w:p>
    <w:p w14:paraId="792C49FE" w14:textId="77777777" w:rsidR="00A70AA9" w:rsidRDefault="00A70AA9" w:rsidP="00A70AA9">
      <w:pPr>
        <w:pStyle w:val="Heading1"/>
      </w:pPr>
      <w:bookmarkStart w:id="12" w:name="_Toc218764804"/>
      <w:r>
        <w:rPr>
          <w:rStyle w:val="Strong"/>
          <w:b w:val="0"/>
          <w:bCs w:val="0"/>
          <w:color w:val="000000"/>
        </w:rPr>
        <w:t>5. Defining Key Areas of Cybercrime</w:t>
      </w:r>
      <w:bookmarkEnd w:id="12"/>
    </w:p>
    <w:p w14:paraId="41333196" w14:textId="5E63B304" w:rsidR="00A70AA9" w:rsidRPr="00A70AA9" w:rsidRDefault="00A70AA9" w:rsidP="00A70AA9">
      <w:pPr>
        <w:pStyle w:val="Heading2"/>
        <w:rPr>
          <w:sz w:val="24"/>
          <w:szCs w:val="24"/>
          <w:u w:val="single"/>
        </w:rPr>
      </w:pPr>
      <w:bookmarkStart w:id="13" w:name="_Toc218764805"/>
      <w:r w:rsidRPr="00A70AA9">
        <w:rPr>
          <w:rStyle w:val="Strong"/>
          <w:b w:val="0"/>
          <w:bCs w:val="0"/>
          <w:color w:val="000000"/>
          <w:sz w:val="24"/>
          <w:szCs w:val="24"/>
          <w:u w:val="single"/>
        </w:rPr>
        <w:t>5.1 Ransomware</w:t>
      </w:r>
      <w:r>
        <w:rPr>
          <w:rStyle w:val="Strong"/>
          <w:b w:val="0"/>
          <w:bCs w:val="0"/>
          <w:color w:val="000000"/>
          <w:sz w:val="24"/>
          <w:szCs w:val="24"/>
          <w:u w:val="single"/>
        </w:rPr>
        <w:t xml:space="preserve"> 111</w:t>
      </w:r>
      <w:bookmarkEnd w:id="13"/>
    </w:p>
    <w:p w14:paraId="6FDD20DB"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Ransomware is a form of cyber-dependent crime involving unauthorised system access, data encryption and extortion. According to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NCSC (2024)</w:t>
      </w:r>
      <w:r w:rsidRPr="00A70AA9">
        <w:rPr>
          <w:rFonts w:ascii="Arial" w:hAnsi="Arial" w:cs="Arial"/>
          <w:color w:val="000000"/>
        </w:rPr>
        <w:t>, ransomware represents one of the most serious cyber threats to UK organisations, particularly healthcare providers, local authorities and educational institutions.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National Crime Agency (NCA, 2024)</w:t>
      </w:r>
      <w:r w:rsidRPr="00A70AA9">
        <w:rPr>
          <w:rStyle w:val="apple-converted-space"/>
          <w:rFonts w:ascii="Arial" w:eastAsiaTheme="majorEastAsia" w:hAnsi="Arial" w:cs="Arial"/>
          <w:color w:val="000000"/>
        </w:rPr>
        <w:t> </w:t>
      </w:r>
      <w:r w:rsidRPr="00A70AA9">
        <w:rPr>
          <w:rFonts w:ascii="Arial" w:hAnsi="Arial" w:cs="Arial"/>
          <w:color w:val="000000"/>
        </w:rPr>
        <w:t>emphasises that ransomware groups increasingly employ “double extortion” tactics, combining encryption with threats to publish stolen data.</w:t>
      </w:r>
    </w:p>
    <w:p w14:paraId="662D9BAF" w14:textId="77777777" w:rsidR="00A70AA9" w:rsidRDefault="00A70AA9" w:rsidP="00A70AA9">
      <w:pPr>
        <w:pStyle w:val="NormalWeb"/>
        <w:spacing w:line="360" w:lineRule="auto"/>
        <w:rPr>
          <w:rFonts w:ascii="Arial" w:hAnsi="Arial" w:cs="Arial"/>
          <w:color w:val="000000"/>
        </w:rPr>
      </w:pPr>
      <w:r w:rsidRPr="00A70AA9">
        <w:rPr>
          <w:rFonts w:ascii="Arial" w:hAnsi="Arial" w:cs="Arial"/>
          <w:color w:val="000000"/>
        </w:rPr>
        <w:t>Academic research by</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Hutchings and Clayton (2023)</w:t>
      </w:r>
      <w:r w:rsidRPr="00A70AA9">
        <w:rPr>
          <w:rStyle w:val="apple-converted-space"/>
          <w:rFonts w:ascii="Arial" w:eastAsiaTheme="majorEastAsia" w:hAnsi="Arial" w:cs="Arial"/>
          <w:color w:val="000000"/>
        </w:rPr>
        <w:t> </w:t>
      </w:r>
      <w:r w:rsidRPr="00A70AA9">
        <w:rPr>
          <w:rFonts w:ascii="Arial" w:hAnsi="Arial" w:cs="Arial"/>
          <w:color w:val="000000"/>
        </w:rPr>
        <w:t>highlights the professionalisation of ransomware through</w:t>
      </w:r>
      <w:r w:rsidRPr="00A70AA9">
        <w:rPr>
          <w:rStyle w:val="apple-converted-space"/>
          <w:rFonts w:ascii="Arial" w:eastAsiaTheme="majorEastAsia" w:hAnsi="Arial" w:cs="Arial"/>
          <w:color w:val="000000"/>
        </w:rPr>
        <w:t> </w:t>
      </w:r>
      <w:r w:rsidRPr="00A70AA9">
        <w:rPr>
          <w:rStyle w:val="Emphasis"/>
          <w:rFonts w:ascii="Arial" w:eastAsiaTheme="majorEastAsia" w:hAnsi="Arial" w:cs="Arial"/>
          <w:color w:val="000000"/>
        </w:rPr>
        <w:t>Ransomware-as-a-Service</w:t>
      </w:r>
      <w:r w:rsidRPr="00A70AA9">
        <w:rPr>
          <w:rStyle w:val="apple-converted-space"/>
          <w:rFonts w:ascii="Arial" w:eastAsiaTheme="majorEastAsia" w:hAnsi="Arial" w:cs="Arial"/>
          <w:color w:val="000000"/>
        </w:rPr>
        <w:t> </w:t>
      </w:r>
      <w:r w:rsidRPr="00A70AA9">
        <w:rPr>
          <w:rFonts w:ascii="Arial" w:hAnsi="Arial" w:cs="Arial"/>
          <w:color w:val="000000"/>
        </w:rPr>
        <w:t xml:space="preserve">(RaaS) models, which mirror organised crime structures by separating roles such as </w:t>
      </w:r>
      <w:r w:rsidRPr="00A70AA9">
        <w:rPr>
          <w:rFonts w:ascii="Arial" w:hAnsi="Arial" w:cs="Arial"/>
          <w:color w:val="000000"/>
        </w:rPr>
        <w:lastRenderedPageBreak/>
        <w:t>developers, access brokers and money launderers. This fragmentation enables rapid recovery following law enforcement disruption, limiting the long-term effectiveness of arrests alone.</w:t>
      </w:r>
    </w:p>
    <w:p w14:paraId="5D3E30B8" w14:textId="3BE5EA5F" w:rsidR="00A70AA9" w:rsidRPr="00A70AA9" w:rsidRDefault="00A70AA9" w:rsidP="00A70AA9">
      <w:pPr>
        <w:pStyle w:val="Heading2"/>
        <w:rPr>
          <w:sz w:val="24"/>
          <w:szCs w:val="24"/>
          <w:u w:val="single"/>
        </w:rPr>
      </w:pPr>
      <w:bookmarkStart w:id="14" w:name="_Toc218764806"/>
      <w:r w:rsidRPr="00A70AA9">
        <w:rPr>
          <w:rStyle w:val="Strong"/>
          <w:b w:val="0"/>
          <w:bCs w:val="0"/>
          <w:color w:val="000000"/>
          <w:sz w:val="24"/>
          <w:szCs w:val="24"/>
          <w:u w:val="single"/>
        </w:rPr>
        <w:t>5.2 Data Breaches</w:t>
      </w:r>
      <w:r>
        <w:rPr>
          <w:rStyle w:val="Strong"/>
          <w:b w:val="0"/>
          <w:bCs w:val="0"/>
          <w:color w:val="000000"/>
          <w:sz w:val="24"/>
          <w:szCs w:val="24"/>
          <w:u w:val="single"/>
        </w:rPr>
        <w:t xml:space="preserve"> 94</w:t>
      </w:r>
      <w:bookmarkEnd w:id="14"/>
    </w:p>
    <w:p w14:paraId="02254BF9" w14:textId="77777777"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Data breaches involve the unauthorised access or disclosure of sensitive data. According to</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ENISA (2024)</w:t>
      </w:r>
      <w:r w:rsidRPr="00A70AA9">
        <w:rPr>
          <w:rFonts w:ascii="Arial" w:hAnsi="Arial" w:cs="Arial"/>
          <w:color w:val="000000"/>
        </w:rPr>
        <w:t>, data breaches frequently act as enabling events for further cybercrime, particularly identity fraud and targeted phishing.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Information Commissioner’s Office (ICO, 2023)</w:t>
      </w:r>
      <w:r w:rsidRPr="00A70AA9">
        <w:rPr>
          <w:rStyle w:val="apple-converted-space"/>
          <w:rFonts w:ascii="Arial" w:eastAsiaTheme="majorEastAsia" w:hAnsi="Arial" w:cs="Arial"/>
          <w:color w:val="000000"/>
        </w:rPr>
        <w:t> </w:t>
      </w:r>
      <w:r w:rsidRPr="00A70AA9">
        <w:rPr>
          <w:rFonts w:ascii="Arial" w:hAnsi="Arial" w:cs="Arial"/>
          <w:color w:val="000000"/>
        </w:rPr>
        <w:t>reports that personal data breaches remain widespread, with many organisations failing to implement adequate security controls.</w:t>
      </w:r>
    </w:p>
    <w:p w14:paraId="262C20DA" w14:textId="77777777" w:rsidR="00A70AA9" w:rsidRDefault="00A70AA9" w:rsidP="00A70AA9">
      <w:pPr>
        <w:pStyle w:val="NormalWeb"/>
        <w:spacing w:line="360" w:lineRule="auto"/>
        <w:rPr>
          <w:rFonts w:ascii="Arial" w:hAnsi="Arial" w:cs="Arial"/>
          <w:color w:val="000000"/>
        </w:rPr>
      </w:pPr>
      <w:r w:rsidRPr="00A70AA9">
        <w:rPr>
          <w:rFonts w:ascii="Arial" w:hAnsi="Arial" w:cs="Arial"/>
          <w:color w:val="000000"/>
        </w:rPr>
        <w:t>From a policing perspective,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Casey (2020)</w:t>
      </w:r>
      <w:r w:rsidRPr="00A70AA9">
        <w:rPr>
          <w:rStyle w:val="apple-converted-space"/>
          <w:rFonts w:ascii="Arial" w:eastAsiaTheme="majorEastAsia" w:hAnsi="Arial" w:cs="Arial"/>
          <w:color w:val="000000"/>
        </w:rPr>
        <w:t> </w:t>
      </w:r>
      <w:r w:rsidRPr="00A70AA9">
        <w:rPr>
          <w:rFonts w:ascii="Arial" w:hAnsi="Arial" w:cs="Arial"/>
          <w:color w:val="000000"/>
        </w:rPr>
        <w:t>notes that data breaches generate complex victim landscapes, often involving millions of secondary victims who may not be aware that their data has been compromised. This diffusion of harm complicates investigative prioritisation and victim safeguarding.</w:t>
      </w:r>
    </w:p>
    <w:p w14:paraId="5501C8F0" w14:textId="00C394F1" w:rsidR="00A70AA9" w:rsidRPr="00A70AA9" w:rsidRDefault="00A70AA9" w:rsidP="00A70AA9">
      <w:pPr>
        <w:pStyle w:val="Heading2"/>
        <w:rPr>
          <w:sz w:val="24"/>
          <w:szCs w:val="24"/>
          <w:u w:val="single"/>
        </w:rPr>
      </w:pPr>
      <w:bookmarkStart w:id="15" w:name="_Toc218764807"/>
      <w:r w:rsidRPr="00A70AA9">
        <w:rPr>
          <w:rStyle w:val="Strong"/>
          <w:b w:val="0"/>
          <w:bCs w:val="0"/>
          <w:color w:val="000000"/>
          <w:sz w:val="24"/>
          <w:szCs w:val="24"/>
          <w:u w:val="single"/>
        </w:rPr>
        <w:t>5.3 Cyber-Enabled Fraud</w:t>
      </w:r>
      <w:r>
        <w:rPr>
          <w:rStyle w:val="Strong"/>
          <w:b w:val="0"/>
          <w:bCs w:val="0"/>
          <w:color w:val="000000"/>
          <w:sz w:val="24"/>
          <w:szCs w:val="24"/>
          <w:u w:val="single"/>
        </w:rPr>
        <w:t xml:space="preserve"> 111</w:t>
      </w:r>
      <w:bookmarkEnd w:id="15"/>
    </w:p>
    <w:p w14:paraId="6129F15F" w14:textId="13F2F025" w:rsidR="00A70AA9" w:rsidRPr="00A70AA9" w:rsidRDefault="00A70AA9" w:rsidP="00A70AA9">
      <w:pPr>
        <w:pStyle w:val="NormalWeb"/>
        <w:spacing w:line="360" w:lineRule="auto"/>
        <w:rPr>
          <w:rFonts w:ascii="Arial" w:hAnsi="Arial" w:cs="Arial"/>
          <w:color w:val="000000"/>
        </w:rPr>
      </w:pPr>
      <w:r w:rsidRPr="00A70AA9">
        <w:rPr>
          <w:rFonts w:ascii="Arial" w:hAnsi="Arial" w:cs="Arial"/>
          <w:color w:val="000000"/>
        </w:rPr>
        <w:t>Cyber-enabled fraud is the most prevalent form of cybercrime affecting individuals. According to</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UK Finance (2025)</w:t>
      </w:r>
      <w:r w:rsidRPr="00A70AA9">
        <w:rPr>
          <w:rFonts w:ascii="Arial" w:hAnsi="Arial" w:cs="Arial"/>
          <w:color w:val="000000"/>
        </w:rPr>
        <w:t>, £629 million was stolen through fraud in the first half of 2025, with authorised push payment (APP) scams accounting for a significant proportion of losses. The</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ONS (2025)</w:t>
      </w:r>
      <w:r w:rsidRPr="00A70AA9">
        <w:rPr>
          <w:rStyle w:val="apple-converted-space"/>
          <w:rFonts w:ascii="Arial" w:eastAsiaTheme="majorEastAsia" w:hAnsi="Arial" w:cs="Arial"/>
          <w:color w:val="000000"/>
        </w:rPr>
        <w:t> </w:t>
      </w:r>
      <w:r w:rsidRPr="00A70AA9">
        <w:rPr>
          <w:rFonts w:ascii="Arial" w:hAnsi="Arial" w:cs="Arial"/>
          <w:color w:val="000000"/>
        </w:rPr>
        <w:t>reports that many victims do not report fraud to the police, contributing to under-recording and distorted threat assessments.</w:t>
      </w:r>
    </w:p>
    <w:p w14:paraId="619B636C" w14:textId="77777777" w:rsidR="00A70AA9" w:rsidRDefault="00A70AA9" w:rsidP="00A70AA9">
      <w:pPr>
        <w:pStyle w:val="NormalWeb"/>
        <w:spacing w:line="360" w:lineRule="auto"/>
        <w:rPr>
          <w:rFonts w:ascii="Arial" w:hAnsi="Arial" w:cs="Arial"/>
          <w:color w:val="000000"/>
        </w:rPr>
      </w:pPr>
      <w:r w:rsidRPr="00A70AA9">
        <w:rPr>
          <w:rFonts w:ascii="Arial" w:hAnsi="Arial" w:cs="Arial"/>
          <w:color w:val="000000"/>
        </w:rPr>
        <w:t>Criminological research by</w:t>
      </w:r>
      <w:r w:rsidRPr="00A70AA9">
        <w:rPr>
          <w:rStyle w:val="apple-converted-space"/>
          <w:rFonts w:ascii="Arial" w:eastAsiaTheme="majorEastAsia" w:hAnsi="Arial" w:cs="Arial"/>
          <w:color w:val="000000"/>
        </w:rPr>
        <w:t> </w:t>
      </w:r>
      <w:r w:rsidRPr="00A70AA9">
        <w:rPr>
          <w:rStyle w:val="Strong"/>
          <w:rFonts w:ascii="Arial" w:eastAsiaTheme="majorEastAsia" w:hAnsi="Arial" w:cs="Arial"/>
          <w:b w:val="0"/>
          <w:bCs w:val="0"/>
          <w:color w:val="000000"/>
        </w:rPr>
        <w:t>Levi and Smith (2022)</w:t>
      </w:r>
      <w:r w:rsidRPr="00A70AA9">
        <w:rPr>
          <w:rStyle w:val="apple-converted-space"/>
          <w:rFonts w:ascii="Arial" w:eastAsiaTheme="majorEastAsia" w:hAnsi="Arial" w:cs="Arial"/>
          <w:color w:val="000000"/>
        </w:rPr>
        <w:t> </w:t>
      </w:r>
      <w:r w:rsidRPr="00A70AA9">
        <w:rPr>
          <w:rFonts w:ascii="Arial" w:hAnsi="Arial" w:cs="Arial"/>
          <w:color w:val="000000"/>
        </w:rPr>
        <w:t>emphasises that cyber-enabled fraud relies heavily on social engineering rather than technical hacking, exploiting trust and authority rather than system vulnerabilities. This has significant implications for policing effectiveness, as prevention depends on behavioural interventions and ecosystem controls rather than forensic investigation alone.</w:t>
      </w:r>
    </w:p>
    <w:p w14:paraId="72546F34" w14:textId="20E789EB" w:rsidR="00A70AA9" w:rsidRDefault="00A70AA9" w:rsidP="00A70AA9">
      <w:pPr>
        <w:pStyle w:val="Heading1"/>
        <w:rPr>
          <w:rStyle w:val="Strong"/>
          <w:b w:val="0"/>
          <w:bCs w:val="0"/>
          <w:color w:val="000000"/>
        </w:rPr>
      </w:pPr>
      <w:bookmarkStart w:id="16" w:name="_Toc218764808"/>
      <w:r>
        <w:rPr>
          <w:rStyle w:val="Strong"/>
          <w:b w:val="0"/>
          <w:bCs w:val="0"/>
          <w:color w:val="000000"/>
        </w:rPr>
        <w:lastRenderedPageBreak/>
        <w:t>6. Criteria for Assessing Policing Effectiveness in Cybercrime</w:t>
      </w:r>
      <w:r>
        <w:rPr>
          <w:rStyle w:val="Strong"/>
          <w:b w:val="0"/>
          <w:bCs w:val="0"/>
          <w:color w:val="000000"/>
        </w:rPr>
        <w:t xml:space="preserve"> 143</w:t>
      </w:r>
      <w:bookmarkEnd w:id="16"/>
    </w:p>
    <w:p w14:paraId="764E53AC" w14:textId="2FB42812" w:rsidR="00A70AA9" w:rsidRPr="00A70AA9" w:rsidRDefault="00A70AA9" w:rsidP="00A70AA9">
      <w:pPr>
        <w:spacing w:before="100" w:beforeAutospacing="1" w:after="100" w:afterAutospacing="1" w:line="360" w:lineRule="auto"/>
        <w:rPr>
          <w:rFonts w:ascii="Arial" w:eastAsia="Times New Roman" w:hAnsi="Arial" w:cs="Arial"/>
          <w:color w:val="000000"/>
          <w:sz w:val="24"/>
          <w:szCs w:val="24"/>
          <w:lang w:val="en-GB" w:eastAsia="en-GB"/>
        </w:rPr>
      </w:pPr>
      <w:r w:rsidRPr="00A70AA9">
        <w:rPr>
          <w:rFonts w:ascii="Arial" w:eastAsia="Times New Roman" w:hAnsi="Arial" w:cs="Arial"/>
          <w:color w:val="000000"/>
          <w:sz w:val="24"/>
          <w:szCs w:val="24"/>
          <w:lang w:val="en-GB" w:eastAsia="en-GB"/>
        </w:rPr>
        <w:t>To evaluate policing responses to cybercrime, this report adopts six criteria</w:t>
      </w:r>
      <w:r w:rsidRPr="00A70AA9">
        <w:rPr>
          <w:rFonts w:ascii="Arial" w:eastAsia="Times New Roman" w:hAnsi="Arial" w:cs="Arial"/>
          <w:color w:val="000000"/>
          <w:sz w:val="24"/>
          <w:szCs w:val="24"/>
          <w:lang w:val="en-GB" w:eastAsia="en-GB"/>
        </w:rPr>
        <w:t xml:space="preserve">: </w:t>
      </w:r>
    </w:p>
    <w:p w14:paraId="564A51D7" w14:textId="0C42D888" w:rsidR="00A70AA9" w:rsidRPr="00A70AA9" w:rsidRDefault="00A70AA9" w:rsidP="00A70AA9">
      <w:pPr>
        <w:spacing w:before="100" w:beforeAutospacing="1" w:after="100" w:afterAutospacing="1" w:line="360" w:lineRule="auto"/>
        <w:rPr>
          <w:rFonts w:ascii="Arial" w:eastAsia="Times New Roman" w:hAnsi="Arial" w:cs="Arial"/>
          <w:color w:val="auto"/>
          <w:sz w:val="24"/>
          <w:szCs w:val="24"/>
          <w:lang w:val="en-GB" w:eastAsia="en-GB"/>
        </w:rPr>
      </w:pPr>
      <w:r w:rsidRPr="00A70AA9">
        <w:rPr>
          <w:rFonts w:ascii="Arial" w:eastAsia="Times New Roman" w:hAnsi="Arial" w:cs="Arial"/>
          <w:color w:val="auto"/>
          <w:sz w:val="24"/>
          <w:szCs w:val="24"/>
          <w:lang w:val="en-GB" w:eastAsia="en-GB"/>
        </w:rPr>
        <w:t>1. Detection</w:t>
      </w:r>
      <w:r w:rsidRPr="00A70AA9">
        <w:rPr>
          <w:rFonts w:ascii="Arial" w:eastAsia="Times New Roman" w:hAnsi="Arial" w:cs="Arial"/>
          <w:color w:val="auto"/>
          <w:sz w:val="24"/>
          <w:szCs w:val="24"/>
          <w:lang w:val="en-GB" w:eastAsia="en-GB"/>
        </w:rPr>
        <w:t xml:space="preserve"> and attribution – the ability to identify offences, offenders and infrastructure. According to Casey (2020), attribution remains a persistent challenge due to anonymisation and encryption.</w:t>
      </w:r>
    </w:p>
    <w:p w14:paraId="3CF758CF" w14:textId="23B09DF1" w:rsidR="00A70AA9" w:rsidRPr="00A70AA9" w:rsidRDefault="00A70AA9" w:rsidP="00A70AA9">
      <w:pPr>
        <w:spacing w:before="100" w:beforeAutospacing="1" w:after="100" w:afterAutospacing="1" w:line="360" w:lineRule="auto"/>
        <w:rPr>
          <w:rFonts w:ascii="Arial" w:eastAsia="Times New Roman" w:hAnsi="Arial" w:cs="Arial"/>
          <w:color w:val="auto"/>
          <w:sz w:val="24"/>
          <w:szCs w:val="24"/>
          <w:lang w:val="en-GB" w:eastAsia="en-GB"/>
        </w:rPr>
      </w:pPr>
      <w:r w:rsidRPr="00A70AA9">
        <w:rPr>
          <w:rFonts w:ascii="Arial" w:eastAsia="Times New Roman" w:hAnsi="Arial" w:cs="Arial"/>
          <w:color w:val="auto"/>
          <w:sz w:val="24"/>
          <w:szCs w:val="24"/>
          <w:lang w:val="en-GB" w:eastAsia="en-GB"/>
        </w:rPr>
        <w:t xml:space="preserve">2. </w:t>
      </w:r>
      <w:r w:rsidRPr="00A70AA9">
        <w:rPr>
          <w:rFonts w:ascii="Arial" w:eastAsia="Times New Roman" w:hAnsi="Arial" w:cs="Arial"/>
          <w:color w:val="auto"/>
          <w:sz w:val="24"/>
          <w:szCs w:val="24"/>
          <w:lang w:val="en-GB" w:eastAsia="en-GB"/>
        </w:rPr>
        <w:t xml:space="preserve">Disruption and prevention – the capacity to reduce offender capability and opportunity. Huey, </w:t>
      </w:r>
      <w:proofErr w:type="spellStart"/>
      <w:r w:rsidRPr="00A70AA9">
        <w:rPr>
          <w:rFonts w:ascii="Arial" w:eastAsia="Times New Roman" w:hAnsi="Arial" w:cs="Arial"/>
          <w:color w:val="auto"/>
          <w:sz w:val="24"/>
          <w:szCs w:val="24"/>
          <w:lang w:val="en-GB" w:eastAsia="en-GB"/>
        </w:rPr>
        <w:t>Nhan</w:t>
      </w:r>
      <w:proofErr w:type="spellEnd"/>
      <w:r w:rsidRPr="00A70AA9">
        <w:rPr>
          <w:rFonts w:ascii="Arial" w:eastAsia="Times New Roman" w:hAnsi="Arial" w:cs="Arial"/>
          <w:color w:val="auto"/>
          <w:sz w:val="24"/>
          <w:szCs w:val="24"/>
          <w:lang w:val="en-GB" w:eastAsia="en-GB"/>
        </w:rPr>
        <w:t xml:space="preserve"> and </w:t>
      </w:r>
      <w:proofErr w:type="spellStart"/>
      <w:r w:rsidRPr="00A70AA9">
        <w:rPr>
          <w:rFonts w:ascii="Arial" w:eastAsia="Times New Roman" w:hAnsi="Arial" w:cs="Arial"/>
          <w:color w:val="auto"/>
          <w:sz w:val="24"/>
          <w:szCs w:val="24"/>
          <w:lang w:val="en-GB" w:eastAsia="en-GB"/>
        </w:rPr>
        <w:t>Broll</w:t>
      </w:r>
      <w:proofErr w:type="spellEnd"/>
      <w:r w:rsidRPr="00A70AA9">
        <w:rPr>
          <w:rFonts w:ascii="Arial" w:eastAsia="Times New Roman" w:hAnsi="Arial" w:cs="Arial"/>
          <w:color w:val="auto"/>
          <w:sz w:val="24"/>
          <w:szCs w:val="24"/>
          <w:lang w:val="en-GB" w:eastAsia="en-GB"/>
        </w:rPr>
        <w:t xml:space="preserve"> (2021) argue that disruption is often more effective than prosecution in cyber contexts.</w:t>
      </w:r>
    </w:p>
    <w:p w14:paraId="7816D443" w14:textId="1E16F33B" w:rsidR="00A70AA9" w:rsidRPr="00A70AA9" w:rsidRDefault="00A70AA9" w:rsidP="00A70AA9">
      <w:pPr>
        <w:spacing w:before="0" w:after="0" w:line="360" w:lineRule="auto"/>
        <w:rPr>
          <w:rFonts w:ascii="Arial" w:hAnsi="Arial" w:cs="Arial"/>
          <w:color w:val="000000"/>
          <w:sz w:val="24"/>
          <w:szCs w:val="24"/>
        </w:rPr>
      </w:pPr>
      <w:r w:rsidRPr="00A70AA9">
        <w:rPr>
          <w:rStyle w:val="Strong"/>
          <w:rFonts w:ascii="Arial" w:hAnsi="Arial" w:cs="Arial"/>
          <w:b w:val="0"/>
          <w:bCs w:val="0"/>
          <w:color w:val="000000"/>
          <w:sz w:val="24"/>
          <w:szCs w:val="24"/>
        </w:rPr>
        <w:t xml:space="preserve">3. </w:t>
      </w:r>
      <w:r w:rsidRPr="00A70AA9">
        <w:rPr>
          <w:rStyle w:val="Strong"/>
          <w:rFonts w:ascii="Arial" w:hAnsi="Arial" w:cs="Arial"/>
          <w:b w:val="0"/>
          <w:bCs w:val="0"/>
          <w:color w:val="000000"/>
          <w:sz w:val="24"/>
          <w:szCs w:val="24"/>
        </w:rPr>
        <w:t>Victim harm reduction</w:t>
      </w:r>
      <w:r w:rsidRPr="00A70AA9">
        <w:rPr>
          <w:rStyle w:val="apple-converted-space"/>
          <w:rFonts w:ascii="Arial" w:hAnsi="Arial" w:cs="Arial"/>
          <w:color w:val="000000"/>
          <w:sz w:val="24"/>
          <w:szCs w:val="24"/>
        </w:rPr>
        <w:t> </w:t>
      </w:r>
      <w:r w:rsidRPr="00A70AA9">
        <w:rPr>
          <w:rFonts w:ascii="Arial" w:hAnsi="Arial" w:cs="Arial"/>
          <w:color w:val="000000"/>
          <w:sz w:val="24"/>
          <w:szCs w:val="24"/>
        </w:rPr>
        <w:t>– mitigating financial and psychological harm. The</w:t>
      </w:r>
      <w:r w:rsidRPr="00A70AA9">
        <w:rPr>
          <w:rStyle w:val="apple-converted-space"/>
          <w:rFonts w:ascii="Arial" w:hAnsi="Arial" w:cs="Arial"/>
          <w:color w:val="000000"/>
          <w:sz w:val="24"/>
          <w:szCs w:val="24"/>
        </w:rPr>
        <w:t> </w:t>
      </w:r>
      <w:r w:rsidRPr="00A70AA9">
        <w:rPr>
          <w:rStyle w:val="Strong"/>
          <w:rFonts w:ascii="Arial" w:hAnsi="Arial" w:cs="Arial"/>
          <w:b w:val="0"/>
          <w:bCs w:val="0"/>
          <w:color w:val="000000"/>
          <w:sz w:val="24"/>
          <w:szCs w:val="24"/>
        </w:rPr>
        <w:t>Victims’ Commissioner (2023)</w:t>
      </w:r>
      <w:r w:rsidRPr="00A70AA9">
        <w:rPr>
          <w:rStyle w:val="apple-converted-space"/>
          <w:rFonts w:ascii="Arial" w:hAnsi="Arial" w:cs="Arial"/>
          <w:color w:val="000000"/>
          <w:sz w:val="24"/>
          <w:szCs w:val="24"/>
        </w:rPr>
        <w:t> </w:t>
      </w:r>
      <w:r w:rsidRPr="00A70AA9">
        <w:rPr>
          <w:rFonts w:ascii="Arial" w:hAnsi="Arial" w:cs="Arial"/>
          <w:color w:val="000000"/>
          <w:sz w:val="24"/>
          <w:szCs w:val="24"/>
        </w:rPr>
        <w:t>highlights deficiencies in victim support for cybercrime.</w:t>
      </w:r>
    </w:p>
    <w:p w14:paraId="68F19170" w14:textId="77777777" w:rsidR="00A70AA9" w:rsidRPr="00A70AA9" w:rsidRDefault="00A70AA9" w:rsidP="00A70AA9">
      <w:pPr>
        <w:spacing w:before="0" w:after="0" w:line="360" w:lineRule="auto"/>
        <w:rPr>
          <w:rFonts w:ascii="Arial" w:hAnsi="Arial" w:cs="Arial"/>
          <w:color w:val="000000"/>
          <w:sz w:val="24"/>
          <w:szCs w:val="24"/>
        </w:rPr>
      </w:pPr>
    </w:p>
    <w:p w14:paraId="49BC87CA" w14:textId="53C413E1" w:rsidR="00A70AA9" w:rsidRPr="00A70AA9" w:rsidRDefault="00A70AA9" w:rsidP="00A70AA9">
      <w:pPr>
        <w:spacing w:before="0" w:after="0" w:line="360" w:lineRule="auto"/>
        <w:rPr>
          <w:rFonts w:ascii="Arial" w:hAnsi="Arial" w:cs="Arial"/>
          <w:color w:val="000000"/>
          <w:sz w:val="24"/>
          <w:szCs w:val="24"/>
        </w:rPr>
      </w:pPr>
      <w:r w:rsidRPr="00A70AA9">
        <w:rPr>
          <w:rStyle w:val="Strong"/>
          <w:rFonts w:ascii="Arial" w:hAnsi="Arial" w:cs="Arial"/>
          <w:b w:val="0"/>
          <w:bCs w:val="0"/>
          <w:color w:val="000000"/>
          <w:sz w:val="24"/>
          <w:szCs w:val="24"/>
        </w:rPr>
        <w:t xml:space="preserve">4. </w:t>
      </w:r>
      <w:r w:rsidRPr="00A70AA9">
        <w:rPr>
          <w:rStyle w:val="Strong"/>
          <w:rFonts w:ascii="Arial" w:hAnsi="Arial" w:cs="Arial"/>
          <w:b w:val="0"/>
          <w:bCs w:val="0"/>
          <w:color w:val="000000"/>
          <w:sz w:val="24"/>
          <w:szCs w:val="24"/>
        </w:rPr>
        <w:t xml:space="preserve">Efficiency and </w:t>
      </w:r>
      <w:proofErr w:type="spellStart"/>
      <w:r w:rsidRPr="00A70AA9">
        <w:rPr>
          <w:rStyle w:val="Strong"/>
          <w:rFonts w:ascii="Arial" w:hAnsi="Arial" w:cs="Arial"/>
          <w:b w:val="0"/>
          <w:bCs w:val="0"/>
          <w:color w:val="000000"/>
          <w:sz w:val="24"/>
          <w:szCs w:val="24"/>
        </w:rPr>
        <w:t>prioritisation</w:t>
      </w:r>
      <w:proofErr w:type="spellEnd"/>
      <w:r w:rsidRPr="00A70AA9">
        <w:rPr>
          <w:rStyle w:val="apple-converted-space"/>
          <w:rFonts w:ascii="Arial" w:hAnsi="Arial" w:cs="Arial"/>
          <w:color w:val="000000"/>
          <w:sz w:val="24"/>
          <w:szCs w:val="24"/>
        </w:rPr>
        <w:t> </w:t>
      </w:r>
      <w:r w:rsidRPr="00A70AA9">
        <w:rPr>
          <w:rFonts w:ascii="Arial" w:hAnsi="Arial" w:cs="Arial"/>
          <w:color w:val="000000"/>
          <w:sz w:val="24"/>
          <w:szCs w:val="24"/>
        </w:rPr>
        <w:t>– proportionate use of limited specialist resources.</w:t>
      </w:r>
      <w:r w:rsidRPr="00A70AA9">
        <w:rPr>
          <w:rStyle w:val="apple-converted-space"/>
          <w:rFonts w:ascii="Arial" w:hAnsi="Arial" w:cs="Arial"/>
          <w:color w:val="000000"/>
          <w:sz w:val="24"/>
          <w:szCs w:val="24"/>
        </w:rPr>
        <w:t> </w:t>
      </w:r>
      <w:r w:rsidRPr="00A70AA9">
        <w:rPr>
          <w:rStyle w:val="Strong"/>
          <w:rFonts w:ascii="Arial" w:hAnsi="Arial" w:cs="Arial"/>
          <w:b w:val="0"/>
          <w:bCs w:val="0"/>
          <w:color w:val="000000"/>
          <w:sz w:val="24"/>
          <w:szCs w:val="24"/>
        </w:rPr>
        <w:t>HMICFRS (2023)</w:t>
      </w:r>
      <w:r w:rsidRPr="00A70AA9">
        <w:rPr>
          <w:rStyle w:val="apple-converted-space"/>
          <w:rFonts w:ascii="Arial" w:hAnsi="Arial" w:cs="Arial"/>
          <w:color w:val="000000"/>
          <w:sz w:val="24"/>
          <w:szCs w:val="24"/>
        </w:rPr>
        <w:t> </w:t>
      </w:r>
      <w:r w:rsidRPr="00A70AA9">
        <w:rPr>
          <w:rFonts w:ascii="Arial" w:hAnsi="Arial" w:cs="Arial"/>
          <w:color w:val="000000"/>
          <w:sz w:val="24"/>
          <w:szCs w:val="24"/>
        </w:rPr>
        <w:t>identifies uneven cyber capability across police forces.</w:t>
      </w:r>
    </w:p>
    <w:p w14:paraId="765B4F05" w14:textId="77777777" w:rsidR="00A70AA9" w:rsidRPr="00A70AA9" w:rsidRDefault="00A70AA9" w:rsidP="00A70AA9">
      <w:pPr>
        <w:spacing w:before="0" w:after="0" w:line="360" w:lineRule="auto"/>
        <w:rPr>
          <w:rFonts w:ascii="Arial" w:hAnsi="Arial" w:cs="Arial"/>
          <w:color w:val="000000"/>
          <w:sz w:val="24"/>
          <w:szCs w:val="24"/>
        </w:rPr>
      </w:pPr>
    </w:p>
    <w:p w14:paraId="419EC361" w14:textId="6EC289CA" w:rsidR="00A70AA9" w:rsidRPr="00A70AA9" w:rsidRDefault="00A70AA9" w:rsidP="00A70AA9">
      <w:pPr>
        <w:spacing w:before="0" w:after="0" w:line="360" w:lineRule="auto"/>
        <w:rPr>
          <w:rFonts w:ascii="Arial" w:hAnsi="Arial" w:cs="Arial"/>
          <w:color w:val="000000"/>
          <w:sz w:val="24"/>
          <w:szCs w:val="24"/>
        </w:rPr>
      </w:pPr>
      <w:r w:rsidRPr="00A70AA9">
        <w:rPr>
          <w:rStyle w:val="Strong"/>
          <w:rFonts w:ascii="Arial" w:hAnsi="Arial" w:cs="Arial"/>
          <w:b w:val="0"/>
          <w:bCs w:val="0"/>
          <w:color w:val="000000"/>
          <w:sz w:val="24"/>
          <w:szCs w:val="24"/>
        </w:rPr>
        <w:t xml:space="preserve">5. </w:t>
      </w:r>
      <w:r w:rsidRPr="00A70AA9">
        <w:rPr>
          <w:rStyle w:val="Strong"/>
          <w:rFonts w:ascii="Arial" w:hAnsi="Arial" w:cs="Arial"/>
          <w:b w:val="0"/>
          <w:bCs w:val="0"/>
          <w:color w:val="000000"/>
          <w:sz w:val="24"/>
          <w:szCs w:val="24"/>
        </w:rPr>
        <w:t>Adaptability and innovation</w:t>
      </w:r>
      <w:r w:rsidRPr="00A70AA9">
        <w:rPr>
          <w:rStyle w:val="apple-converted-space"/>
          <w:rFonts w:ascii="Arial" w:hAnsi="Arial" w:cs="Arial"/>
          <w:color w:val="000000"/>
          <w:sz w:val="24"/>
          <w:szCs w:val="24"/>
        </w:rPr>
        <w:t> </w:t>
      </w:r>
      <w:r w:rsidRPr="00A70AA9">
        <w:rPr>
          <w:rFonts w:ascii="Arial" w:hAnsi="Arial" w:cs="Arial"/>
          <w:color w:val="000000"/>
          <w:sz w:val="24"/>
          <w:szCs w:val="24"/>
        </w:rPr>
        <w:t>– responsiveness to emerging threats.</w:t>
      </w:r>
      <w:r w:rsidRPr="00A70AA9">
        <w:rPr>
          <w:rStyle w:val="apple-converted-space"/>
          <w:rFonts w:ascii="Arial" w:hAnsi="Arial" w:cs="Arial"/>
          <w:color w:val="000000"/>
          <w:sz w:val="24"/>
          <w:szCs w:val="24"/>
        </w:rPr>
        <w:t> </w:t>
      </w:r>
      <w:r w:rsidRPr="00A70AA9">
        <w:rPr>
          <w:rStyle w:val="Strong"/>
          <w:rFonts w:ascii="Arial" w:hAnsi="Arial" w:cs="Arial"/>
          <w:b w:val="0"/>
          <w:bCs w:val="0"/>
          <w:color w:val="000000"/>
          <w:sz w:val="24"/>
          <w:szCs w:val="24"/>
        </w:rPr>
        <w:t>Brenner (2022)</w:t>
      </w:r>
      <w:r w:rsidRPr="00A70AA9">
        <w:rPr>
          <w:rStyle w:val="apple-converted-space"/>
          <w:rFonts w:ascii="Arial" w:hAnsi="Arial" w:cs="Arial"/>
          <w:color w:val="000000"/>
          <w:sz w:val="24"/>
          <w:szCs w:val="24"/>
        </w:rPr>
        <w:t> </w:t>
      </w:r>
      <w:r w:rsidRPr="00A70AA9">
        <w:rPr>
          <w:rFonts w:ascii="Arial" w:hAnsi="Arial" w:cs="Arial"/>
          <w:color w:val="000000"/>
          <w:sz w:val="24"/>
          <w:szCs w:val="24"/>
        </w:rPr>
        <w:t>stresses the need for continual adaptation.</w:t>
      </w:r>
    </w:p>
    <w:p w14:paraId="43EBBB6E" w14:textId="77777777" w:rsidR="00A70AA9" w:rsidRPr="00A70AA9" w:rsidRDefault="00A70AA9" w:rsidP="00A70AA9">
      <w:pPr>
        <w:spacing w:before="0" w:after="0" w:line="360" w:lineRule="auto"/>
        <w:rPr>
          <w:rFonts w:ascii="Arial" w:hAnsi="Arial" w:cs="Arial"/>
          <w:color w:val="000000"/>
          <w:sz w:val="24"/>
          <w:szCs w:val="24"/>
        </w:rPr>
      </w:pPr>
    </w:p>
    <w:p w14:paraId="2E96C0AD" w14:textId="0DC944FE" w:rsidR="00A70AA9" w:rsidRPr="00A70AA9" w:rsidRDefault="00A70AA9" w:rsidP="00A70AA9">
      <w:pPr>
        <w:spacing w:before="0" w:after="0" w:line="360" w:lineRule="auto"/>
        <w:rPr>
          <w:rFonts w:ascii="Arial" w:eastAsia="Times New Roman" w:hAnsi="Arial" w:cs="Arial"/>
          <w:color w:val="auto"/>
          <w:sz w:val="24"/>
          <w:szCs w:val="24"/>
          <w:lang w:val="en-GB" w:eastAsia="en-GB"/>
        </w:rPr>
      </w:pPr>
      <w:r w:rsidRPr="00A70AA9">
        <w:rPr>
          <w:rStyle w:val="Strong"/>
          <w:rFonts w:ascii="Arial" w:hAnsi="Arial" w:cs="Arial"/>
          <w:b w:val="0"/>
          <w:bCs w:val="0"/>
          <w:color w:val="000000"/>
          <w:sz w:val="24"/>
          <w:szCs w:val="24"/>
        </w:rPr>
        <w:t xml:space="preserve">6. </w:t>
      </w:r>
      <w:r w:rsidRPr="00A70AA9">
        <w:rPr>
          <w:rStyle w:val="Strong"/>
          <w:rFonts w:ascii="Arial" w:hAnsi="Arial" w:cs="Arial"/>
          <w:b w:val="0"/>
          <w:bCs w:val="0"/>
          <w:color w:val="000000"/>
          <w:sz w:val="24"/>
          <w:szCs w:val="24"/>
        </w:rPr>
        <w:t>Legitimacy and governance</w:t>
      </w:r>
      <w:r w:rsidRPr="00A70AA9">
        <w:rPr>
          <w:rStyle w:val="apple-converted-space"/>
          <w:rFonts w:ascii="Arial" w:hAnsi="Arial" w:cs="Arial"/>
          <w:color w:val="000000"/>
          <w:sz w:val="24"/>
          <w:szCs w:val="24"/>
        </w:rPr>
        <w:t> </w:t>
      </w:r>
      <w:r w:rsidRPr="00A70AA9">
        <w:rPr>
          <w:rFonts w:ascii="Arial" w:hAnsi="Arial" w:cs="Arial"/>
          <w:color w:val="000000"/>
          <w:sz w:val="24"/>
          <w:szCs w:val="24"/>
        </w:rPr>
        <w:t>– lawful, ethical and transparent policing.</w:t>
      </w:r>
      <w:r w:rsidRPr="00A70AA9">
        <w:rPr>
          <w:rStyle w:val="apple-converted-space"/>
          <w:rFonts w:ascii="Arial" w:hAnsi="Arial" w:cs="Arial"/>
          <w:color w:val="000000"/>
          <w:sz w:val="24"/>
          <w:szCs w:val="24"/>
        </w:rPr>
        <w:t> </w:t>
      </w:r>
      <w:r w:rsidRPr="00A70AA9">
        <w:rPr>
          <w:rStyle w:val="Strong"/>
          <w:rFonts w:ascii="Arial" w:hAnsi="Arial" w:cs="Arial"/>
          <w:b w:val="0"/>
          <w:bCs w:val="0"/>
          <w:color w:val="000000"/>
          <w:sz w:val="24"/>
          <w:szCs w:val="24"/>
        </w:rPr>
        <w:t>Loader and Walker (2020)</w:t>
      </w:r>
      <w:r w:rsidRPr="00A70AA9">
        <w:rPr>
          <w:rStyle w:val="apple-converted-space"/>
          <w:rFonts w:ascii="Arial" w:hAnsi="Arial" w:cs="Arial"/>
          <w:color w:val="000000"/>
          <w:sz w:val="24"/>
          <w:szCs w:val="24"/>
        </w:rPr>
        <w:t> </w:t>
      </w:r>
      <w:proofErr w:type="spellStart"/>
      <w:r w:rsidRPr="00A70AA9">
        <w:rPr>
          <w:rFonts w:ascii="Arial" w:hAnsi="Arial" w:cs="Arial"/>
          <w:color w:val="000000"/>
          <w:sz w:val="24"/>
          <w:szCs w:val="24"/>
        </w:rPr>
        <w:t>emphasise</w:t>
      </w:r>
      <w:proofErr w:type="spellEnd"/>
      <w:r w:rsidRPr="00A70AA9">
        <w:rPr>
          <w:rFonts w:ascii="Arial" w:hAnsi="Arial" w:cs="Arial"/>
          <w:color w:val="000000"/>
          <w:sz w:val="24"/>
          <w:szCs w:val="24"/>
        </w:rPr>
        <w:t xml:space="preserve"> the role of legitimacy in sustaining public trust.</w:t>
      </w:r>
    </w:p>
    <w:p w14:paraId="63A13925" w14:textId="77777777" w:rsidR="00A70AA9" w:rsidRDefault="00A70AA9" w:rsidP="00A70AA9">
      <w:pPr>
        <w:pStyle w:val="Heading1"/>
      </w:pPr>
      <w:bookmarkStart w:id="17" w:name="_Toc218764809"/>
      <w:r>
        <w:rPr>
          <w:rStyle w:val="Strong"/>
          <w:b w:val="0"/>
          <w:bCs w:val="0"/>
          <w:color w:val="000000"/>
        </w:rPr>
        <w:t>7. Policing Strategies and Tools: Critical Evaluation</w:t>
      </w:r>
      <w:bookmarkEnd w:id="17"/>
    </w:p>
    <w:p w14:paraId="5E3ECC67" w14:textId="66882864" w:rsidR="00A70AA9" w:rsidRPr="00A70AA9" w:rsidRDefault="00A70AA9" w:rsidP="00A70AA9">
      <w:pPr>
        <w:pStyle w:val="Heading2"/>
        <w:rPr>
          <w:sz w:val="24"/>
          <w:szCs w:val="24"/>
          <w:u w:val="single"/>
        </w:rPr>
      </w:pPr>
      <w:bookmarkStart w:id="18" w:name="_Toc218764810"/>
      <w:r w:rsidRPr="00A70AA9">
        <w:rPr>
          <w:rStyle w:val="Strong"/>
          <w:b w:val="0"/>
          <w:bCs w:val="0"/>
          <w:color w:val="000000"/>
          <w:sz w:val="24"/>
          <w:szCs w:val="24"/>
          <w:u w:val="single"/>
        </w:rPr>
        <w:t>7.1 Digital Forensics</w:t>
      </w:r>
      <w:r w:rsidR="00875C40">
        <w:rPr>
          <w:rStyle w:val="Strong"/>
          <w:b w:val="0"/>
          <w:bCs w:val="0"/>
          <w:color w:val="000000"/>
          <w:sz w:val="24"/>
          <w:szCs w:val="24"/>
          <w:u w:val="single"/>
        </w:rPr>
        <w:t xml:space="preserve"> </w:t>
      </w:r>
      <w:r w:rsidR="008E0322">
        <w:rPr>
          <w:rStyle w:val="Strong"/>
          <w:b w:val="0"/>
          <w:bCs w:val="0"/>
          <w:color w:val="000000"/>
          <w:sz w:val="24"/>
          <w:szCs w:val="24"/>
          <w:u w:val="single"/>
        </w:rPr>
        <w:t>392</w:t>
      </w:r>
      <w:bookmarkEnd w:id="18"/>
    </w:p>
    <w:p w14:paraId="5B289965" w14:textId="31571CE1" w:rsidR="00A70AA9" w:rsidRPr="008E0322" w:rsidRDefault="00A70AA9" w:rsidP="008E0322">
      <w:pPr>
        <w:pStyle w:val="NormalWeb"/>
        <w:spacing w:line="360" w:lineRule="auto"/>
        <w:rPr>
          <w:rFonts w:ascii="Arial" w:hAnsi="Arial" w:cs="Arial"/>
          <w:color w:val="000000"/>
        </w:rPr>
      </w:pPr>
      <w:r w:rsidRPr="008E0322">
        <w:rPr>
          <w:rFonts w:ascii="Arial" w:hAnsi="Arial" w:cs="Arial"/>
          <w:color w:val="000000"/>
        </w:rPr>
        <w:t>Digital forensics is central to cybercrime policing.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Casey (2020)</w:t>
      </w:r>
      <w:r w:rsidR="003234FE" w:rsidRPr="008E0322">
        <w:rPr>
          <w:rStyle w:val="Strong"/>
          <w:rFonts w:ascii="Arial" w:eastAsiaTheme="majorEastAsia" w:hAnsi="Arial" w:cs="Arial"/>
          <w:b w:val="0"/>
          <w:bCs w:val="0"/>
          <w:color w:val="000000"/>
        </w:rPr>
        <w:t xml:space="preserve"> </w:t>
      </w:r>
      <w:r w:rsidRPr="008E0322">
        <w:rPr>
          <w:rFonts w:ascii="Arial" w:hAnsi="Arial" w:cs="Arial"/>
          <w:color w:val="000000"/>
        </w:rPr>
        <w:t>, digital forensic techniques allow investigators to reconstruct events, link suspects to devices and present evidence in court. The</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College of Policing (</w:t>
      </w:r>
      <w:r w:rsidR="003234FE" w:rsidRPr="008E0322">
        <w:rPr>
          <w:rStyle w:val="Strong"/>
          <w:rFonts w:ascii="Arial" w:eastAsiaTheme="majorEastAsia" w:hAnsi="Arial" w:cs="Arial"/>
          <w:b w:val="0"/>
          <w:bCs w:val="0"/>
          <w:color w:val="000000"/>
        </w:rPr>
        <w:t>2022)</w:t>
      </w:r>
      <w:r w:rsidR="003234FE" w:rsidRPr="008E0322">
        <w:rPr>
          <w:rFonts w:ascii="Arial" w:hAnsi="Arial" w:cs="Arial"/>
          <w:color w:val="000000"/>
        </w:rPr>
        <w:t xml:space="preserve"> </w:t>
      </w:r>
      <w:r w:rsidR="003234FE" w:rsidRPr="008E0322">
        <w:rPr>
          <w:rFonts w:ascii="Arial" w:hAnsi="Arial" w:cs="Arial"/>
          <w:color w:val="000000"/>
        </w:rPr>
        <w:lastRenderedPageBreak/>
        <w:t>identifies</w:t>
      </w:r>
      <w:r w:rsidRPr="008E0322">
        <w:rPr>
          <w:rFonts w:ascii="Arial" w:hAnsi="Arial" w:cs="Arial"/>
          <w:color w:val="000000"/>
        </w:rPr>
        <w:t xml:space="preserve"> digital forensics as essential for prosecuting ransomware and hacking offences.</w:t>
      </w:r>
    </w:p>
    <w:p w14:paraId="47AD4598" w14:textId="0058B236" w:rsidR="003234FE" w:rsidRPr="008E0322" w:rsidRDefault="003234FE" w:rsidP="008E0322">
      <w:pPr>
        <w:pStyle w:val="NormalWeb"/>
        <w:spacing w:line="360" w:lineRule="auto"/>
        <w:rPr>
          <w:rFonts w:ascii="Arial" w:hAnsi="Arial" w:cs="Arial"/>
          <w:color w:val="000000"/>
        </w:rPr>
      </w:pPr>
      <w:r w:rsidRPr="008E0322">
        <w:rPr>
          <w:rFonts w:ascii="Arial" w:hAnsi="Arial" w:cs="Arial"/>
          <w:color w:val="000000"/>
        </w:rPr>
        <w:t>One recognised model illustrating the structure and decision processes involved in digital forensic investigations is the</w:t>
      </w:r>
      <w:r w:rsidRPr="008E0322">
        <w:rPr>
          <w:rStyle w:val="apple-converted-space"/>
          <w:rFonts w:ascii="Arial" w:eastAsiaTheme="majorEastAsia" w:hAnsi="Arial" w:cs="Arial"/>
          <w:b/>
          <w:bCs/>
          <w:color w:val="000000"/>
        </w:rPr>
        <w:t> </w:t>
      </w:r>
      <w:r w:rsidRPr="008E0322">
        <w:rPr>
          <w:rStyle w:val="Strong"/>
          <w:rFonts w:ascii="Arial" w:eastAsiaTheme="majorEastAsia" w:hAnsi="Arial" w:cs="Arial"/>
          <w:b w:val="0"/>
          <w:bCs w:val="0"/>
          <w:color w:val="000000"/>
        </w:rPr>
        <w:t>Digital Forensic Workflow Model (DFWM)</w:t>
      </w:r>
      <w:r w:rsidRPr="008E0322">
        <w:rPr>
          <w:rFonts w:ascii="Arial" w:hAnsi="Arial" w:cs="Arial"/>
          <w:b/>
          <w:bCs/>
          <w:color w:val="000000"/>
        </w:rPr>
        <w:t>.</w:t>
      </w:r>
      <w:r w:rsidRPr="008E0322">
        <w:rPr>
          <w:rFonts w:ascii="Arial" w:hAnsi="Arial" w:cs="Arial"/>
          <w:color w:val="000000"/>
        </w:rPr>
        <w:t xml:space="preserve"> The model delineates multiple levels of activity</w:t>
      </w:r>
      <w:r w:rsidRPr="008E0322">
        <w:rPr>
          <w:rFonts w:ascii="Arial" w:hAnsi="Arial" w:cs="Arial"/>
          <w:color w:val="000000"/>
        </w:rPr>
        <w:t>,</w:t>
      </w:r>
      <w:r w:rsidRPr="008E0322">
        <w:rPr>
          <w:rFonts w:ascii="Arial" w:hAnsi="Arial" w:cs="Arial"/>
          <w:color w:val="000000"/>
        </w:rPr>
        <w:t xml:space="preserve"> from high-level process oversight through procedure and task execution and emphasises the importance of risk identification and management throughout the workflow (Kohn et al., 2022). This workflow highlights that forensic investigations are not purely technical tasks but involve iterative investigative decisions and risk assessments that can significantly affect evidence integrity and case outcomes (see </w:t>
      </w:r>
      <w:r w:rsidRPr="008E0322">
        <w:rPr>
          <w:rFonts w:ascii="Arial" w:hAnsi="Arial" w:cs="Arial"/>
          <w:b/>
          <w:bCs/>
          <w:color w:val="000000"/>
        </w:rPr>
        <w:t xml:space="preserve">Figure </w:t>
      </w:r>
      <w:r w:rsidR="00D47C03" w:rsidRPr="008E0322">
        <w:rPr>
          <w:rFonts w:ascii="Arial" w:hAnsi="Arial" w:cs="Arial"/>
          <w:b/>
          <w:bCs/>
          <w:color w:val="000000"/>
        </w:rPr>
        <w:t>C1</w:t>
      </w:r>
      <w:r w:rsidRPr="008E0322">
        <w:rPr>
          <w:rFonts w:ascii="Arial" w:hAnsi="Arial" w:cs="Arial"/>
          <w:color w:val="000000"/>
        </w:rPr>
        <w:t xml:space="preserve"> </w:t>
      </w:r>
      <w:r w:rsidRPr="008E0322">
        <w:rPr>
          <w:rFonts w:ascii="Arial" w:hAnsi="Arial" w:cs="Arial"/>
          <w:b/>
          <w:bCs/>
          <w:color w:val="000000"/>
        </w:rPr>
        <w:t xml:space="preserve">in Appendix </w:t>
      </w:r>
      <w:r w:rsidR="00D47C03" w:rsidRPr="008E0322">
        <w:rPr>
          <w:rFonts w:ascii="Arial" w:hAnsi="Arial" w:cs="Arial"/>
          <w:b/>
          <w:bCs/>
          <w:color w:val="000000"/>
        </w:rPr>
        <w:t>C</w:t>
      </w:r>
      <w:r w:rsidRPr="008E0322">
        <w:rPr>
          <w:rFonts w:ascii="Arial" w:hAnsi="Arial" w:cs="Arial"/>
          <w:color w:val="000000"/>
        </w:rPr>
        <w:t>).</w:t>
      </w:r>
    </w:p>
    <w:p w14:paraId="299F360F"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Despite the conceptual clarity offered by digital forensic workflow models, their practical application within UK policing remains uneven.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color w:val="000000"/>
        </w:rPr>
        <w:t>HMICFRS (2023)</w:t>
      </w:r>
      <w:r w:rsidRPr="008E0322">
        <w:rPr>
          <w:rFonts w:ascii="Arial" w:hAnsi="Arial" w:cs="Arial"/>
          <w:color w:val="000000"/>
        </w:rPr>
        <w:t>, many police forces lack sufficient digital forensic capacity to process the volume and complexity of seized devices, resulting in prioritisation decisions that may exclude lower-harm cases entirely. This creates a tiered investigative response in which only the most serious offences receive full forensic examination.</w:t>
      </w:r>
    </w:p>
    <w:p w14:paraId="1031084B"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The increasing prevalence of cloud-based storage further complicates forensic investigation.</w:t>
      </w:r>
      <w:r w:rsidRPr="008E0322">
        <w:rPr>
          <w:rStyle w:val="apple-converted-space"/>
          <w:rFonts w:ascii="Arial" w:eastAsiaTheme="majorEastAsia" w:hAnsi="Arial" w:cs="Arial"/>
          <w:color w:val="000000"/>
        </w:rPr>
        <w:t> </w:t>
      </w:r>
      <w:r w:rsidRPr="008E0322">
        <w:rPr>
          <w:rStyle w:val="Strong"/>
          <w:rFonts w:ascii="Arial" w:eastAsiaTheme="majorEastAsia" w:hAnsi="Arial" w:cs="Arial"/>
          <w:color w:val="000000"/>
        </w:rPr>
        <w:t>Europol (2023)</w:t>
      </w:r>
      <w:r w:rsidRPr="008E0322">
        <w:rPr>
          <w:rStyle w:val="apple-converted-space"/>
          <w:rFonts w:ascii="Arial" w:eastAsiaTheme="majorEastAsia" w:hAnsi="Arial" w:cs="Arial"/>
          <w:color w:val="000000"/>
        </w:rPr>
        <w:t> </w:t>
      </w:r>
      <w:r w:rsidRPr="008E0322">
        <w:rPr>
          <w:rFonts w:ascii="Arial" w:hAnsi="Arial" w:cs="Arial"/>
          <w:color w:val="000000"/>
        </w:rPr>
        <w:t>notes that digital evidence is frequently dispersed across multiple jurisdictions, requiring mutual legal assistance requests that are often slow and procedurally complex. As a result, investigators may rely on partial datasets or intelligence-led inference rather than comprehensive forensic reconstruction.</w:t>
      </w:r>
    </w:p>
    <w:p w14:paraId="5FF1DEDE" w14:textId="4D7B734C"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Encryption presents an additional structural limitation. While end-to-end encryption enhances user privacy, it simultaneously restricts lawful access to evidential content.</w:t>
      </w:r>
      <w:r w:rsidRPr="008E0322">
        <w:rPr>
          <w:rStyle w:val="apple-converted-space"/>
          <w:rFonts w:ascii="Arial" w:eastAsiaTheme="majorEastAsia" w:hAnsi="Arial" w:cs="Arial"/>
          <w:color w:val="000000"/>
        </w:rPr>
        <w:t> </w:t>
      </w:r>
      <w:r w:rsidRPr="008E0322">
        <w:rPr>
          <w:rStyle w:val="Strong"/>
          <w:rFonts w:ascii="Arial" w:eastAsiaTheme="majorEastAsia" w:hAnsi="Arial" w:cs="Arial"/>
          <w:color w:val="000000"/>
        </w:rPr>
        <w:t>Casey (2020)</w:t>
      </w:r>
      <w:r w:rsidRPr="008E0322">
        <w:rPr>
          <w:rStyle w:val="apple-converted-space"/>
          <w:rFonts w:ascii="Arial" w:eastAsiaTheme="majorEastAsia" w:hAnsi="Arial" w:cs="Arial"/>
          <w:color w:val="000000"/>
        </w:rPr>
        <w:t> </w:t>
      </w:r>
      <w:r w:rsidRPr="008E0322">
        <w:rPr>
          <w:rFonts w:ascii="Arial" w:hAnsi="Arial" w:cs="Arial"/>
          <w:color w:val="000000"/>
        </w:rPr>
        <w:t xml:space="preserve">argues that this tension forces investigators to prioritise metadata, behavioural indicators and device artefacts over content </w:t>
      </w:r>
      <w:r w:rsidRPr="008E0322">
        <w:rPr>
          <w:rFonts w:ascii="Arial" w:hAnsi="Arial" w:cs="Arial"/>
          <w:color w:val="000000"/>
        </w:rPr>
        <w:lastRenderedPageBreak/>
        <w:t>analysis, potentially weakening evidential robustness. These constraints illustrate that digital forensics, while central to cybercrime policing, is increasingly shaped by legal, technological and resource-based limitations beyond the control of individual investigators.</w:t>
      </w:r>
    </w:p>
    <w:p w14:paraId="7A961081" w14:textId="18132DDF" w:rsidR="003234FE" w:rsidRPr="008E0322" w:rsidRDefault="003234FE" w:rsidP="008E0322">
      <w:pPr>
        <w:pStyle w:val="NormalWeb"/>
        <w:spacing w:line="360" w:lineRule="auto"/>
        <w:rPr>
          <w:rFonts w:ascii="Arial" w:hAnsi="Arial" w:cs="Arial"/>
          <w:color w:val="000000"/>
        </w:rPr>
      </w:pPr>
      <w:r w:rsidRPr="008E0322">
        <w:rPr>
          <w:rFonts w:ascii="Arial" w:hAnsi="Arial" w:cs="Arial"/>
          <w:color w:val="000000"/>
        </w:rPr>
        <w:t>Despite the structured approach outlined in the DFWM, inspection evidence suggests that UK policing struggles to operationalise such models consistently in practice.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HMICFRS (2023</w:t>
      </w:r>
      <w:r w:rsidR="00875C40" w:rsidRPr="008E0322">
        <w:rPr>
          <w:rStyle w:val="Strong"/>
          <w:rFonts w:ascii="Arial" w:eastAsiaTheme="majorEastAsia" w:hAnsi="Arial" w:cs="Arial"/>
          <w:b w:val="0"/>
          <w:bCs w:val="0"/>
          <w:color w:val="000000"/>
        </w:rPr>
        <w:t>)</w:t>
      </w:r>
      <w:r w:rsidR="00875C40" w:rsidRPr="008E0322">
        <w:rPr>
          <w:rStyle w:val="Strong"/>
          <w:rFonts w:ascii="Arial" w:eastAsiaTheme="majorEastAsia" w:hAnsi="Arial" w:cs="Arial"/>
          <w:color w:val="000000"/>
        </w:rPr>
        <w:t>,</w:t>
      </w:r>
      <w:r w:rsidRPr="008E0322">
        <w:rPr>
          <w:rFonts w:ascii="Arial" w:hAnsi="Arial" w:cs="Arial"/>
          <w:color w:val="000000"/>
        </w:rPr>
        <w:t xml:space="preserve"> digital forensic backlogs persist across many forces due to increasing device volumes, cloud-based storage and limited specialist capacity. As a result, the decision points and risk assessments identified in the DFWM frequently occur under significant time and resource pressure, increasing the likelihood of evidential delay or investigative compromise.</w:t>
      </w:r>
    </w:p>
    <w:p w14:paraId="4DF19283" w14:textId="112F907C" w:rsidR="00875C40" w:rsidRPr="00875C40" w:rsidRDefault="00875C40" w:rsidP="00875C40">
      <w:pPr>
        <w:pStyle w:val="Heading2"/>
        <w:rPr>
          <w:sz w:val="24"/>
          <w:szCs w:val="24"/>
          <w:u w:val="single"/>
        </w:rPr>
      </w:pPr>
      <w:bookmarkStart w:id="19" w:name="_Toc218764811"/>
      <w:r w:rsidRPr="00875C40">
        <w:rPr>
          <w:rStyle w:val="Strong"/>
          <w:b w:val="0"/>
          <w:bCs w:val="0"/>
          <w:color w:val="000000"/>
          <w:sz w:val="24"/>
          <w:szCs w:val="24"/>
          <w:u w:val="single"/>
        </w:rPr>
        <w:t>7.2 Threat Intelligence</w:t>
      </w:r>
      <w:r w:rsidR="00D47C03">
        <w:rPr>
          <w:rStyle w:val="Strong"/>
          <w:b w:val="0"/>
          <w:bCs w:val="0"/>
          <w:color w:val="000000"/>
          <w:sz w:val="24"/>
          <w:szCs w:val="24"/>
          <w:u w:val="single"/>
        </w:rPr>
        <w:t xml:space="preserve"> </w:t>
      </w:r>
      <w:r w:rsidR="008E0322">
        <w:rPr>
          <w:rStyle w:val="Strong"/>
          <w:b w:val="0"/>
          <w:bCs w:val="0"/>
          <w:color w:val="000000"/>
          <w:sz w:val="24"/>
          <w:szCs w:val="24"/>
          <w:u w:val="single"/>
        </w:rPr>
        <w:t>270</w:t>
      </w:r>
      <w:bookmarkEnd w:id="19"/>
    </w:p>
    <w:p w14:paraId="0247FCEF" w14:textId="70DD7B24" w:rsidR="00D47C03" w:rsidRPr="008E0322" w:rsidRDefault="00D47C03" w:rsidP="008E0322">
      <w:pPr>
        <w:pStyle w:val="NormalWeb"/>
        <w:spacing w:line="360" w:lineRule="auto"/>
        <w:rPr>
          <w:rFonts w:ascii="Arial" w:hAnsi="Arial" w:cs="Arial"/>
          <w:color w:val="000000"/>
        </w:rPr>
      </w:pPr>
      <w:r w:rsidRPr="008E0322">
        <w:rPr>
          <w:rFonts w:ascii="Arial" w:hAnsi="Arial" w:cs="Arial"/>
          <w:color w:val="000000"/>
        </w:rPr>
        <w:t>Threat intelligence enables proactive policing by identifying emerging threats, offender networks and vulnerabilities.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ENISA (2024</w:t>
      </w:r>
      <w:r w:rsidRPr="008E0322">
        <w:rPr>
          <w:rStyle w:val="Strong"/>
          <w:rFonts w:ascii="Arial" w:eastAsiaTheme="majorEastAsia" w:hAnsi="Arial" w:cs="Arial"/>
          <w:b w:val="0"/>
          <w:bCs w:val="0"/>
          <w:color w:val="000000"/>
        </w:rPr>
        <w:t>)</w:t>
      </w:r>
      <w:r w:rsidRPr="008E0322">
        <w:rPr>
          <w:rFonts w:ascii="Arial" w:hAnsi="Arial" w:cs="Arial"/>
          <w:color w:val="000000"/>
        </w:rPr>
        <w:t>, effective threat intelligence supports infrastructure takedowns and early intervention. The</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NCSC (2024)</w:t>
      </w:r>
      <w:r w:rsidRPr="008E0322">
        <w:rPr>
          <w:rStyle w:val="apple-converted-space"/>
          <w:rFonts w:ascii="Arial" w:eastAsiaTheme="majorEastAsia" w:hAnsi="Arial" w:cs="Arial"/>
          <w:color w:val="000000"/>
        </w:rPr>
        <w:t> </w:t>
      </w:r>
      <w:r w:rsidRPr="008E0322">
        <w:rPr>
          <w:rFonts w:ascii="Arial" w:hAnsi="Arial" w:cs="Arial"/>
          <w:color w:val="000000"/>
        </w:rPr>
        <w:t>reports that intelligence-led actions have prevented significant harm by disrupting ransomware campaigns and alerting vulnerable organisations. These processes reflect the cyclical nature of intelligence-led activity, which involves planning, data collection, processing, analysis and dissemination to inform operational decision-making (see</w:t>
      </w:r>
      <w:r w:rsidRPr="008E0322">
        <w:rPr>
          <w:rStyle w:val="apple-converted-space"/>
          <w:rFonts w:ascii="Arial" w:eastAsiaTheme="majorEastAsia" w:hAnsi="Arial" w:cs="Arial"/>
          <w:color w:val="000000"/>
        </w:rPr>
        <w:t> </w:t>
      </w:r>
      <w:r w:rsidRPr="008E0322">
        <w:rPr>
          <w:rStyle w:val="Strong"/>
          <w:rFonts w:ascii="Arial" w:eastAsiaTheme="majorEastAsia" w:hAnsi="Arial" w:cs="Arial"/>
          <w:color w:val="000000"/>
        </w:rPr>
        <w:t>Figure C2 in Appendix C</w:t>
      </w:r>
      <w:r w:rsidRPr="008E0322">
        <w:rPr>
          <w:rFonts w:ascii="Arial" w:hAnsi="Arial" w:cs="Arial"/>
          <w:color w:val="000000"/>
        </w:rPr>
        <w:t>).</w:t>
      </w:r>
    </w:p>
    <w:p w14:paraId="7862BB40" w14:textId="77777777" w:rsidR="008E0322" w:rsidRPr="008E0322" w:rsidRDefault="008E0322" w:rsidP="008E0322">
      <w:pPr>
        <w:pStyle w:val="NormalWeb"/>
        <w:spacing w:line="360" w:lineRule="auto"/>
        <w:rPr>
          <w:rFonts w:ascii="Arial" w:hAnsi="Arial" w:cs="Arial"/>
          <w:color w:val="000000"/>
        </w:rPr>
      </w:pPr>
    </w:p>
    <w:p w14:paraId="674D970D" w14:textId="7D4F4A36" w:rsidR="00D47C03" w:rsidRPr="008E0322" w:rsidRDefault="00D47C03" w:rsidP="008E0322">
      <w:pPr>
        <w:pStyle w:val="NormalWeb"/>
        <w:spacing w:line="360" w:lineRule="auto"/>
        <w:rPr>
          <w:rFonts w:ascii="Arial" w:hAnsi="Arial" w:cs="Arial"/>
          <w:color w:val="000000"/>
        </w:rPr>
      </w:pPr>
      <w:r w:rsidRPr="008E0322">
        <w:rPr>
          <w:rFonts w:ascii="Arial" w:hAnsi="Arial" w:cs="Arial"/>
          <w:color w:val="000000"/>
        </w:rPr>
        <w:t>Nevertheless,</w:t>
      </w:r>
      <w:r w:rsidRPr="008E0322">
        <w:rPr>
          <w:rStyle w:val="apple-converted-space"/>
          <w:rFonts w:ascii="Arial" w:eastAsiaTheme="majorEastAsia" w:hAnsi="Arial" w:cs="Arial"/>
          <w:color w:val="000000"/>
        </w:rPr>
        <w:t> </w:t>
      </w:r>
      <w:proofErr w:type="spellStart"/>
      <w:r w:rsidRPr="008E0322">
        <w:rPr>
          <w:rStyle w:val="Strong"/>
          <w:rFonts w:ascii="Arial" w:eastAsiaTheme="majorEastAsia" w:hAnsi="Arial" w:cs="Arial"/>
          <w:b w:val="0"/>
          <w:bCs w:val="0"/>
          <w:color w:val="000000"/>
        </w:rPr>
        <w:t>Kostadinov</w:t>
      </w:r>
      <w:proofErr w:type="spellEnd"/>
      <w:r w:rsidRPr="008E0322">
        <w:rPr>
          <w:rStyle w:val="Strong"/>
          <w:rFonts w:ascii="Arial" w:eastAsiaTheme="majorEastAsia" w:hAnsi="Arial" w:cs="Arial"/>
          <w:b w:val="0"/>
          <w:bCs w:val="0"/>
          <w:color w:val="000000"/>
        </w:rPr>
        <w:t xml:space="preserve"> et al (2021)</w:t>
      </w:r>
      <w:r w:rsidRPr="008E0322">
        <w:rPr>
          <w:rStyle w:val="apple-converted-space"/>
          <w:rFonts w:ascii="Arial" w:eastAsiaTheme="majorEastAsia" w:hAnsi="Arial" w:cs="Arial"/>
          <w:color w:val="000000"/>
        </w:rPr>
        <w:t> </w:t>
      </w:r>
      <w:r w:rsidRPr="008E0322">
        <w:rPr>
          <w:rFonts w:ascii="Arial" w:hAnsi="Arial" w:cs="Arial"/>
          <w:color w:val="000000"/>
        </w:rPr>
        <w:t>highlight barriers to intelligence sharing, including legal uncertainty, inconsistent standards and organisational mistrust. These challenges mirror those identified in counter-terrorism intelligence, reinforcing the need for integrated approaches across cybercrime and CT policing.</w:t>
      </w:r>
    </w:p>
    <w:p w14:paraId="7C64654D" w14:textId="07695630"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lastRenderedPageBreak/>
        <w:t>These barriers have significant operational implications. Where intelligence sharing is delayed or fragmented, policing responses risk becoming reactive rather than preventative, limiting the capacity to disrupt cyber threats at an early stage. According to</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Brenner (2022)</w:t>
      </w:r>
      <w:r w:rsidRPr="008E0322">
        <w:rPr>
          <w:rFonts w:ascii="Arial" w:hAnsi="Arial" w:cs="Arial"/>
          <w:color w:val="000000"/>
        </w:rPr>
        <w:t>, intelligence-led policing is only effective when analytical outputs are translated into timely operational decisions; however, organisational silos frequently inhibit this translation process.</w:t>
      </w:r>
    </w:p>
    <w:p w14:paraId="764194A2"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Moreover, intelligence-sharing constraints are exacerbated by differing legal frameworks governing cybercrime and counter-terrorism investigations.</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UNCTED (2022)</w:t>
      </w:r>
      <w:r w:rsidRPr="008E0322">
        <w:rPr>
          <w:rStyle w:val="apple-converted-space"/>
          <w:rFonts w:ascii="Arial" w:eastAsiaTheme="majorEastAsia" w:hAnsi="Arial" w:cs="Arial"/>
          <w:color w:val="000000"/>
        </w:rPr>
        <w:t> </w:t>
      </w:r>
      <w:r w:rsidRPr="008E0322">
        <w:rPr>
          <w:rFonts w:ascii="Arial" w:hAnsi="Arial" w:cs="Arial"/>
          <w:color w:val="000000"/>
        </w:rPr>
        <w:t>notes that while counter-terrorism intelligence often benefits from expansive national security powers, cybercrime investigations are more tightly constrained by data protection and evidential thresholds, creating asymmetries that impede joint working.</w:t>
      </w:r>
    </w:p>
    <w:p w14:paraId="53EACC34" w14:textId="6F1C229C" w:rsidR="008E0322" w:rsidRPr="00D47C03" w:rsidRDefault="008E0322" w:rsidP="00D47C03">
      <w:pPr>
        <w:pStyle w:val="NormalWeb"/>
        <w:spacing w:line="360" w:lineRule="auto"/>
        <w:rPr>
          <w:rFonts w:ascii="Arial" w:hAnsi="Arial" w:cs="Arial"/>
          <w:color w:val="000000"/>
        </w:rPr>
      </w:pPr>
      <w:r w:rsidRPr="008E0322">
        <w:rPr>
          <w:rFonts w:ascii="Arial" w:hAnsi="Arial" w:cs="Arial"/>
          <w:color w:val="000000"/>
        </w:rPr>
        <w:t>This disparity underscores the importance of harmonising intelligence governance across threat domains. Integrated intelligence models, supported by shared analytical standards and interoperable legal frameworks, would enhance the capacity of policing agencies to identify hybrid threats operating across cybercriminal and extremist ecosystems. Without such integration, intelligence systems risk reinforcing the very fragmentation they are intended to overcome.</w:t>
      </w:r>
    </w:p>
    <w:p w14:paraId="284894EB" w14:textId="305C1F24" w:rsidR="00D47C03" w:rsidRPr="004E736C" w:rsidRDefault="00D47C03" w:rsidP="00D47C03">
      <w:pPr>
        <w:pStyle w:val="Heading2"/>
        <w:rPr>
          <w:rStyle w:val="Strong"/>
          <w:b w:val="0"/>
          <w:bCs w:val="0"/>
          <w:color w:val="000000"/>
          <w:sz w:val="24"/>
          <w:szCs w:val="24"/>
          <w:u w:val="single"/>
        </w:rPr>
      </w:pPr>
      <w:bookmarkStart w:id="20" w:name="_Toc218764812"/>
      <w:r w:rsidRPr="004E736C">
        <w:rPr>
          <w:rStyle w:val="Strong"/>
          <w:b w:val="0"/>
          <w:bCs w:val="0"/>
          <w:color w:val="000000"/>
          <w:sz w:val="24"/>
          <w:szCs w:val="24"/>
          <w:u w:val="single"/>
        </w:rPr>
        <w:t>7.3 Public–Private Partnerships</w:t>
      </w:r>
      <w:r w:rsidR="0086336B" w:rsidRPr="004E736C">
        <w:rPr>
          <w:rStyle w:val="Strong"/>
          <w:b w:val="0"/>
          <w:bCs w:val="0"/>
          <w:color w:val="000000"/>
          <w:sz w:val="24"/>
          <w:szCs w:val="24"/>
          <w:u w:val="single"/>
        </w:rPr>
        <w:t xml:space="preserve"> 135</w:t>
      </w:r>
      <w:bookmarkEnd w:id="20"/>
    </w:p>
    <w:p w14:paraId="2B1F5AE5" w14:textId="2C811631" w:rsidR="00D47C03" w:rsidRPr="00D47C03" w:rsidRDefault="00D47C03" w:rsidP="0086336B">
      <w:pPr>
        <w:pStyle w:val="NormalWeb"/>
        <w:spacing w:line="360" w:lineRule="auto"/>
        <w:rPr>
          <w:rFonts w:ascii="Arial" w:hAnsi="Arial" w:cs="Arial"/>
          <w:color w:val="000000"/>
        </w:rPr>
      </w:pPr>
      <w:r w:rsidRPr="00D47C03">
        <w:rPr>
          <w:rFonts w:ascii="Arial" w:hAnsi="Arial" w:cs="Arial"/>
          <w:color w:val="000000"/>
        </w:rPr>
        <w:t>Public–private partnerships (PPPs) are essential because much of the infrastructure targeted by cybercriminals is privately owned. According to</w:t>
      </w:r>
      <w:r w:rsidRPr="00D47C03">
        <w:rPr>
          <w:rStyle w:val="apple-converted-space"/>
          <w:rFonts w:ascii="Arial" w:eastAsiaTheme="majorEastAsia" w:hAnsi="Arial" w:cs="Arial"/>
          <w:color w:val="000000"/>
        </w:rPr>
        <w:t> </w:t>
      </w:r>
      <w:r w:rsidRPr="00D47C03">
        <w:rPr>
          <w:rStyle w:val="Strong"/>
          <w:rFonts w:ascii="Arial" w:eastAsiaTheme="majorEastAsia" w:hAnsi="Arial" w:cs="Arial"/>
          <w:b w:val="0"/>
          <w:bCs w:val="0"/>
          <w:color w:val="000000"/>
        </w:rPr>
        <w:t>HM Government (2022)</w:t>
      </w:r>
      <w:r w:rsidRPr="00D47C03">
        <w:rPr>
          <w:rFonts w:ascii="Arial" w:hAnsi="Arial" w:cs="Arial"/>
          <w:color w:val="000000"/>
        </w:rPr>
        <w:t>, cyber resilience depends on collaboration between law enforcement, industry and regulators.</w:t>
      </w:r>
      <w:r w:rsidR="0086336B">
        <w:rPr>
          <w:rFonts w:ascii="Arial" w:hAnsi="Arial" w:cs="Arial"/>
          <w:color w:val="000000"/>
        </w:rPr>
        <w:t xml:space="preserve"> </w:t>
      </w:r>
      <w:r w:rsidR="0086336B" w:rsidRPr="0086336B">
        <w:rPr>
          <w:rFonts w:ascii="Arial" w:hAnsi="Arial" w:cs="Arial"/>
          <w:color w:val="000000"/>
        </w:rPr>
        <w:t>The importance of such cooperation forms part of a broader, multi-dimensional approach to cybercrime governance, in which legal, technical, organisational and capacity-building measures must operate alongside effective partnership working (see</w:t>
      </w:r>
      <w:r w:rsidR="0086336B" w:rsidRPr="0086336B">
        <w:rPr>
          <w:rStyle w:val="apple-converted-space"/>
          <w:rFonts w:ascii="Arial" w:hAnsi="Arial" w:cs="Arial"/>
          <w:color w:val="000000"/>
        </w:rPr>
        <w:t> </w:t>
      </w:r>
      <w:r w:rsidR="0086336B" w:rsidRPr="0086336B">
        <w:rPr>
          <w:rStyle w:val="Strong"/>
          <w:rFonts w:ascii="Arial" w:eastAsiaTheme="majorEastAsia" w:hAnsi="Arial" w:cs="Arial"/>
          <w:color w:val="000000"/>
        </w:rPr>
        <w:t>Figure C3 in Appendix C</w:t>
      </w:r>
      <w:r w:rsidR="0086336B" w:rsidRPr="0086336B">
        <w:rPr>
          <w:rFonts w:ascii="Arial" w:hAnsi="Arial" w:cs="Arial"/>
          <w:color w:val="000000"/>
        </w:rPr>
        <w:t>).</w:t>
      </w:r>
    </w:p>
    <w:p w14:paraId="75B3EB60" w14:textId="761E53DE" w:rsidR="00D47C03" w:rsidRPr="00D47C03" w:rsidRDefault="00D47C03" w:rsidP="00D47C03">
      <w:pPr>
        <w:pStyle w:val="NormalWeb"/>
        <w:spacing w:line="360" w:lineRule="auto"/>
        <w:rPr>
          <w:rFonts w:ascii="Arial" w:hAnsi="Arial" w:cs="Arial"/>
          <w:color w:val="000000"/>
        </w:rPr>
      </w:pPr>
      <w:r w:rsidRPr="00D47C03">
        <w:rPr>
          <w:rFonts w:ascii="Arial" w:hAnsi="Arial" w:cs="Arial"/>
          <w:color w:val="000000"/>
        </w:rPr>
        <w:t>The financial sector provides a strong example.</w:t>
      </w:r>
      <w:r w:rsidRPr="00D47C03">
        <w:rPr>
          <w:rStyle w:val="apple-converted-space"/>
          <w:rFonts w:ascii="Arial" w:eastAsiaTheme="majorEastAsia" w:hAnsi="Arial" w:cs="Arial"/>
          <w:color w:val="000000"/>
        </w:rPr>
        <w:t> </w:t>
      </w:r>
      <w:r w:rsidRPr="00D47C03">
        <w:rPr>
          <w:rStyle w:val="Strong"/>
          <w:rFonts w:ascii="Arial" w:eastAsiaTheme="majorEastAsia" w:hAnsi="Arial" w:cs="Arial"/>
          <w:b w:val="0"/>
          <w:bCs w:val="0"/>
          <w:color w:val="000000"/>
        </w:rPr>
        <w:t>UK Finance (2025)</w:t>
      </w:r>
      <w:r w:rsidRPr="00D47C03">
        <w:rPr>
          <w:rStyle w:val="apple-converted-space"/>
          <w:rFonts w:ascii="Arial" w:eastAsiaTheme="majorEastAsia" w:hAnsi="Arial" w:cs="Arial"/>
          <w:color w:val="000000"/>
        </w:rPr>
        <w:t> </w:t>
      </w:r>
      <w:r w:rsidRPr="00D47C03">
        <w:rPr>
          <w:rFonts w:ascii="Arial" w:hAnsi="Arial" w:cs="Arial"/>
          <w:color w:val="000000"/>
        </w:rPr>
        <w:t xml:space="preserve">reports improved fraud detection and reimbursement outcomes following closer </w:t>
      </w:r>
      <w:r w:rsidRPr="00D47C03">
        <w:rPr>
          <w:rFonts w:ascii="Arial" w:hAnsi="Arial" w:cs="Arial"/>
          <w:color w:val="000000"/>
        </w:rPr>
        <w:lastRenderedPageBreak/>
        <w:t xml:space="preserve">cooperation between banks, </w:t>
      </w:r>
      <w:r w:rsidRPr="00D47C03">
        <w:rPr>
          <w:rFonts w:ascii="Arial" w:hAnsi="Arial" w:cs="Arial"/>
          <w:color w:val="000000"/>
        </w:rPr>
        <w:t>police</w:t>
      </w:r>
      <w:r>
        <w:rPr>
          <w:rFonts w:ascii="Arial" w:hAnsi="Arial" w:cs="Arial"/>
          <w:color w:val="000000"/>
        </w:rPr>
        <w:t xml:space="preserve"> </w:t>
      </w:r>
      <w:r w:rsidRPr="00D47C03">
        <w:rPr>
          <w:rFonts w:ascii="Arial" w:hAnsi="Arial" w:cs="Arial"/>
          <w:color w:val="000000"/>
        </w:rPr>
        <w:t>and regulators. The</w:t>
      </w:r>
      <w:r w:rsidRPr="00D47C03">
        <w:rPr>
          <w:rStyle w:val="apple-converted-space"/>
          <w:rFonts w:ascii="Arial" w:eastAsiaTheme="majorEastAsia" w:hAnsi="Arial" w:cs="Arial"/>
          <w:color w:val="000000"/>
        </w:rPr>
        <w:t> </w:t>
      </w:r>
      <w:r w:rsidRPr="00D47C03">
        <w:rPr>
          <w:rStyle w:val="Strong"/>
          <w:rFonts w:ascii="Arial" w:eastAsiaTheme="majorEastAsia" w:hAnsi="Arial" w:cs="Arial"/>
          <w:b w:val="0"/>
          <w:bCs w:val="0"/>
          <w:color w:val="000000"/>
        </w:rPr>
        <w:t>Payment Systems Regulator (PSR, 2024</w:t>
      </w:r>
      <w:r w:rsidRPr="00D47C03">
        <w:rPr>
          <w:rStyle w:val="Strong"/>
          <w:rFonts w:ascii="Arial" w:eastAsiaTheme="majorEastAsia" w:hAnsi="Arial" w:cs="Arial"/>
          <w:color w:val="000000"/>
        </w:rPr>
        <w:t>)</w:t>
      </w:r>
      <w:r w:rsidRPr="00D47C03">
        <w:rPr>
          <w:rStyle w:val="apple-converted-space"/>
          <w:rFonts w:ascii="Arial" w:eastAsiaTheme="majorEastAsia" w:hAnsi="Arial" w:cs="Arial"/>
          <w:color w:val="000000"/>
        </w:rPr>
        <w:t> </w:t>
      </w:r>
      <w:r w:rsidRPr="00D47C03">
        <w:rPr>
          <w:rFonts w:ascii="Arial" w:hAnsi="Arial" w:cs="Arial"/>
          <w:color w:val="000000"/>
        </w:rPr>
        <w:t>introduced mandatory reimbursement for APP fraud, significantly improving victim outcomes and incentivising prevention.</w:t>
      </w:r>
    </w:p>
    <w:p w14:paraId="0C8201E6" w14:textId="77777777" w:rsidR="00D47C03" w:rsidRPr="00D47C03" w:rsidRDefault="00D47C03" w:rsidP="00D47C03">
      <w:pPr>
        <w:pStyle w:val="NormalWeb"/>
        <w:spacing w:line="360" w:lineRule="auto"/>
        <w:rPr>
          <w:rFonts w:ascii="Arial" w:hAnsi="Arial" w:cs="Arial"/>
          <w:color w:val="000000"/>
        </w:rPr>
      </w:pPr>
      <w:r w:rsidRPr="00D47C03">
        <w:rPr>
          <w:rFonts w:ascii="Arial" w:hAnsi="Arial" w:cs="Arial"/>
          <w:color w:val="000000"/>
        </w:rPr>
        <w:t>However,</w:t>
      </w:r>
      <w:r w:rsidRPr="00D47C03">
        <w:rPr>
          <w:rStyle w:val="apple-converted-space"/>
          <w:rFonts w:ascii="Arial" w:eastAsiaTheme="majorEastAsia" w:hAnsi="Arial" w:cs="Arial"/>
          <w:color w:val="000000"/>
        </w:rPr>
        <w:t> </w:t>
      </w:r>
      <w:r w:rsidRPr="00D47C03">
        <w:rPr>
          <w:rStyle w:val="Strong"/>
          <w:rFonts w:ascii="Arial" w:eastAsiaTheme="majorEastAsia" w:hAnsi="Arial" w:cs="Arial"/>
          <w:b w:val="0"/>
          <w:bCs w:val="0"/>
          <w:color w:val="000000"/>
        </w:rPr>
        <w:t>Dupont (2021)</w:t>
      </w:r>
      <w:r w:rsidRPr="00D47C03">
        <w:rPr>
          <w:rStyle w:val="apple-converted-space"/>
          <w:rFonts w:ascii="Arial" w:eastAsiaTheme="majorEastAsia" w:hAnsi="Arial" w:cs="Arial"/>
          <w:color w:val="000000"/>
        </w:rPr>
        <w:t> </w:t>
      </w:r>
      <w:r w:rsidRPr="00D47C03">
        <w:rPr>
          <w:rFonts w:ascii="Arial" w:hAnsi="Arial" w:cs="Arial"/>
          <w:color w:val="000000"/>
        </w:rPr>
        <w:t>warns that PPPs risk undermining accountability if governance is unclear. Effective partnerships require transparency, legal clarity and reciprocal value exchange.</w:t>
      </w:r>
    </w:p>
    <w:p w14:paraId="685BF9B4" w14:textId="77777777" w:rsidR="00D47C03" w:rsidRDefault="00D47C03" w:rsidP="00D47C03"/>
    <w:p w14:paraId="09524995" w14:textId="3A330E47" w:rsidR="0086336B" w:rsidRPr="0086336B" w:rsidRDefault="0086336B" w:rsidP="0086336B">
      <w:pPr>
        <w:pStyle w:val="Heading1"/>
        <w:rPr>
          <w:rFonts w:eastAsia="Times New Roman"/>
          <w:lang w:val="en-GB" w:eastAsia="en-GB"/>
        </w:rPr>
      </w:pPr>
      <w:bookmarkStart w:id="21" w:name="_Toc218764813"/>
      <w:r w:rsidRPr="0086336B">
        <w:rPr>
          <w:rFonts w:eastAsia="Times New Roman"/>
          <w:lang w:val="en-GB" w:eastAsia="en-GB"/>
        </w:rPr>
        <w:t>8. Systemic Barriers to Effective Cybercrime Policing</w:t>
      </w:r>
      <w:r>
        <w:rPr>
          <w:rFonts w:eastAsia="Times New Roman"/>
          <w:lang w:val="en-GB" w:eastAsia="en-GB"/>
        </w:rPr>
        <w:t xml:space="preserve"> 66</w:t>
      </w:r>
      <w:bookmarkEnd w:id="21"/>
    </w:p>
    <w:p w14:paraId="3A38DEFC" w14:textId="48B47FCE" w:rsidR="0086336B" w:rsidRPr="0086336B" w:rsidRDefault="0086336B" w:rsidP="0086336B">
      <w:pPr>
        <w:pStyle w:val="NormalWeb"/>
        <w:spacing w:line="360" w:lineRule="auto"/>
        <w:rPr>
          <w:rFonts w:ascii="Arial" w:hAnsi="Arial" w:cs="Arial"/>
          <w:color w:val="000000"/>
        </w:rPr>
      </w:pPr>
      <w:r w:rsidRPr="0086336B">
        <w:rPr>
          <w:rFonts w:ascii="Arial" w:hAnsi="Arial" w:cs="Arial"/>
          <w:color w:val="000000"/>
        </w:rPr>
        <w:t>Several systemic barriers undermine effectiveness. According to</w:t>
      </w:r>
      <w:r w:rsidRPr="0086336B">
        <w:rPr>
          <w:rStyle w:val="apple-converted-space"/>
          <w:rFonts w:ascii="Arial" w:eastAsiaTheme="majorEastAsia" w:hAnsi="Arial" w:cs="Arial"/>
          <w:color w:val="000000"/>
        </w:rPr>
        <w:t> </w:t>
      </w:r>
      <w:r w:rsidRPr="0086336B">
        <w:rPr>
          <w:rStyle w:val="Strong"/>
          <w:rFonts w:ascii="Arial" w:eastAsiaTheme="majorEastAsia" w:hAnsi="Arial" w:cs="Arial"/>
          <w:b w:val="0"/>
          <w:bCs w:val="0"/>
          <w:color w:val="000000"/>
        </w:rPr>
        <w:t>HMICFRS (2023</w:t>
      </w:r>
      <w:r w:rsidRPr="0086336B">
        <w:rPr>
          <w:rStyle w:val="Strong"/>
          <w:rFonts w:ascii="Arial" w:eastAsiaTheme="majorEastAsia" w:hAnsi="Arial" w:cs="Arial"/>
          <w:color w:val="000000"/>
        </w:rPr>
        <w:t>)</w:t>
      </w:r>
      <w:r w:rsidRPr="0086336B">
        <w:rPr>
          <w:rFonts w:ascii="Arial" w:hAnsi="Arial" w:cs="Arial"/>
          <w:color w:val="000000"/>
        </w:rPr>
        <w:t>, cybercrime capability varies widely across police forces. Skills shortages are exacerbated by competition with the private sector (</w:t>
      </w:r>
      <w:r w:rsidRPr="0086336B">
        <w:rPr>
          <w:rStyle w:val="Strong"/>
          <w:rFonts w:ascii="Arial" w:eastAsiaTheme="majorEastAsia" w:hAnsi="Arial" w:cs="Arial"/>
          <w:b w:val="0"/>
          <w:bCs w:val="0"/>
          <w:color w:val="000000"/>
        </w:rPr>
        <w:t>NCSC, 2024</w:t>
      </w:r>
      <w:r w:rsidRPr="0086336B">
        <w:rPr>
          <w:rFonts w:ascii="Arial" w:hAnsi="Arial" w:cs="Arial"/>
          <w:b/>
          <w:bCs/>
          <w:color w:val="000000"/>
        </w:rPr>
        <w:t>)</w:t>
      </w:r>
      <w:r>
        <w:rPr>
          <w:rFonts w:ascii="Arial" w:hAnsi="Arial" w:cs="Arial"/>
          <w:color w:val="000000"/>
        </w:rPr>
        <w:t>.</w:t>
      </w:r>
      <w:r w:rsidRPr="0086336B">
        <w:rPr>
          <w:rFonts w:ascii="Arial" w:hAnsi="Arial" w:cs="Arial"/>
          <w:color w:val="000000"/>
        </w:rPr>
        <w:t xml:space="preserve"> Jurisdictional constraints and slow international evidence-sharing processes further limit effectiveness (</w:t>
      </w:r>
      <w:r w:rsidRPr="0086336B">
        <w:rPr>
          <w:rStyle w:val="Strong"/>
          <w:rFonts w:ascii="Arial" w:eastAsiaTheme="majorEastAsia" w:hAnsi="Arial" w:cs="Arial"/>
          <w:b w:val="0"/>
          <w:bCs w:val="0"/>
          <w:color w:val="000000"/>
        </w:rPr>
        <w:t>Europol, 2023</w:t>
      </w:r>
      <w:r w:rsidRPr="0086336B">
        <w:rPr>
          <w:rFonts w:ascii="Arial" w:hAnsi="Arial" w:cs="Arial"/>
          <w:b/>
          <w:bCs/>
          <w:color w:val="000000"/>
        </w:rPr>
        <w:t>)</w:t>
      </w:r>
      <w:r>
        <w:rPr>
          <w:rFonts w:ascii="Arial" w:hAnsi="Arial" w:cs="Arial"/>
          <w:color w:val="000000"/>
        </w:rPr>
        <w:t>.</w:t>
      </w:r>
    </w:p>
    <w:p w14:paraId="7202BBE2" w14:textId="77777777" w:rsidR="0086336B" w:rsidRDefault="0086336B" w:rsidP="0086336B">
      <w:pPr>
        <w:pStyle w:val="NormalWeb"/>
        <w:spacing w:line="360" w:lineRule="auto"/>
        <w:rPr>
          <w:rFonts w:ascii="Arial" w:hAnsi="Arial" w:cs="Arial"/>
          <w:color w:val="000000"/>
        </w:rPr>
      </w:pPr>
      <w:r w:rsidRPr="0086336B">
        <w:rPr>
          <w:rFonts w:ascii="Arial" w:hAnsi="Arial" w:cs="Arial"/>
          <w:color w:val="000000"/>
        </w:rPr>
        <w:t>Under-reporting distorts threat assessment. The</w:t>
      </w:r>
      <w:r w:rsidRPr="0086336B">
        <w:rPr>
          <w:rStyle w:val="apple-converted-space"/>
          <w:rFonts w:ascii="Arial" w:eastAsiaTheme="majorEastAsia" w:hAnsi="Arial" w:cs="Arial"/>
          <w:color w:val="000000"/>
        </w:rPr>
        <w:t> </w:t>
      </w:r>
      <w:r w:rsidRPr="0086336B">
        <w:rPr>
          <w:rStyle w:val="Strong"/>
          <w:rFonts w:ascii="Arial" w:eastAsiaTheme="majorEastAsia" w:hAnsi="Arial" w:cs="Arial"/>
          <w:b w:val="0"/>
          <w:bCs w:val="0"/>
          <w:color w:val="000000"/>
        </w:rPr>
        <w:t>ONS (2025)</w:t>
      </w:r>
      <w:r w:rsidRPr="0086336B">
        <w:rPr>
          <w:rStyle w:val="apple-converted-space"/>
          <w:rFonts w:ascii="Arial" w:eastAsiaTheme="majorEastAsia" w:hAnsi="Arial" w:cs="Arial"/>
          <w:color w:val="000000"/>
        </w:rPr>
        <w:t> </w:t>
      </w:r>
      <w:r w:rsidRPr="0086336B">
        <w:rPr>
          <w:rFonts w:ascii="Arial" w:hAnsi="Arial" w:cs="Arial"/>
          <w:color w:val="000000"/>
        </w:rPr>
        <w:t>notes that many cybercrime victims do not report incidents due to perceived futility, undermining intelligence quality and strategic planning.</w:t>
      </w:r>
    </w:p>
    <w:p w14:paraId="01A5B14D" w14:textId="4E721510" w:rsidR="0086336B" w:rsidRDefault="0086336B" w:rsidP="0086336B">
      <w:pPr>
        <w:pStyle w:val="Heading1"/>
      </w:pPr>
      <w:bookmarkStart w:id="22" w:name="_Toc218764814"/>
      <w:r>
        <w:rPr>
          <w:rStyle w:val="Strong"/>
          <w:b w:val="0"/>
          <w:bCs w:val="0"/>
          <w:color w:val="000000"/>
        </w:rPr>
        <w:t>9. Evidence-Based Measures to Improve Effectiveness</w:t>
      </w:r>
      <w:r>
        <w:rPr>
          <w:rStyle w:val="Strong"/>
          <w:b w:val="0"/>
          <w:bCs w:val="0"/>
          <w:color w:val="000000"/>
        </w:rPr>
        <w:t xml:space="preserve"> 66</w:t>
      </w:r>
      <w:bookmarkEnd w:id="22"/>
    </w:p>
    <w:p w14:paraId="39CF7DBC" w14:textId="5E180DD7" w:rsidR="0086336B" w:rsidRPr="0086336B" w:rsidRDefault="0086336B" w:rsidP="0086336B">
      <w:pPr>
        <w:pStyle w:val="NormalWeb"/>
        <w:spacing w:line="360" w:lineRule="auto"/>
        <w:rPr>
          <w:rFonts w:ascii="Arial" w:hAnsi="Arial" w:cs="Arial"/>
          <w:color w:val="000000"/>
        </w:rPr>
      </w:pPr>
      <w:r w:rsidRPr="0086336B">
        <w:rPr>
          <w:rFonts w:ascii="Arial" w:hAnsi="Arial" w:cs="Arial"/>
          <w:color w:val="000000"/>
        </w:rPr>
        <w:t>Research by</w:t>
      </w:r>
      <w:r w:rsidRPr="0086336B">
        <w:rPr>
          <w:rStyle w:val="apple-converted-space"/>
          <w:rFonts w:ascii="Arial" w:eastAsiaTheme="majorEastAsia" w:hAnsi="Arial" w:cs="Arial"/>
          <w:color w:val="000000"/>
        </w:rPr>
        <w:t> </w:t>
      </w:r>
      <w:r w:rsidRPr="0086336B">
        <w:rPr>
          <w:rStyle w:val="Strong"/>
          <w:rFonts w:ascii="Arial" w:eastAsiaTheme="majorEastAsia" w:hAnsi="Arial" w:cs="Arial"/>
          <w:b w:val="0"/>
          <w:bCs w:val="0"/>
          <w:color w:val="000000"/>
        </w:rPr>
        <w:t>Huey et al</w:t>
      </w:r>
      <w:r w:rsidRPr="0086336B">
        <w:rPr>
          <w:rStyle w:val="Strong"/>
          <w:rFonts w:ascii="Arial" w:eastAsiaTheme="majorEastAsia" w:hAnsi="Arial" w:cs="Arial"/>
          <w:b w:val="0"/>
          <w:bCs w:val="0"/>
          <w:color w:val="000000"/>
        </w:rPr>
        <w:t xml:space="preserve"> </w:t>
      </w:r>
      <w:r w:rsidRPr="0086336B">
        <w:rPr>
          <w:rStyle w:val="Strong"/>
          <w:rFonts w:ascii="Arial" w:eastAsiaTheme="majorEastAsia" w:hAnsi="Arial" w:cs="Arial"/>
          <w:b w:val="0"/>
          <w:bCs w:val="0"/>
          <w:color w:val="000000"/>
        </w:rPr>
        <w:t>(2021)</w:t>
      </w:r>
      <w:r w:rsidRPr="0086336B">
        <w:rPr>
          <w:rStyle w:val="apple-converted-space"/>
          <w:rFonts w:ascii="Arial" w:eastAsiaTheme="majorEastAsia" w:hAnsi="Arial" w:cs="Arial"/>
          <w:color w:val="000000"/>
        </w:rPr>
        <w:t> </w:t>
      </w:r>
      <w:r w:rsidRPr="0086336B">
        <w:rPr>
          <w:rFonts w:ascii="Arial" w:hAnsi="Arial" w:cs="Arial"/>
          <w:color w:val="000000"/>
        </w:rPr>
        <w:t>supports a shift towards harm-based, disruption-focused policing. Expanding forensic triage, investing in cyber skills across frontline policing, and strengthening regulated PPPs are key measures.</w:t>
      </w:r>
    </w:p>
    <w:p w14:paraId="1F145469" w14:textId="6F0CCD81" w:rsidR="004E736C" w:rsidRDefault="0086336B" w:rsidP="0086336B">
      <w:pPr>
        <w:pStyle w:val="NormalWeb"/>
        <w:spacing w:line="360" w:lineRule="auto"/>
        <w:rPr>
          <w:rFonts w:ascii="Arial" w:hAnsi="Arial" w:cs="Arial"/>
          <w:color w:val="000000"/>
        </w:rPr>
      </w:pPr>
      <w:r w:rsidRPr="0086336B">
        <w:rPr>
          <w:rFonts w:ascii="Arial" w:hAnsi="Arial" w:cs="Arial"/>
          <w:color w:val="000000"/>
        </w:rPr>
        <w:t>Integrating cybercrime and counter-terrorism intelligence functions would address shared challenges such as encryption and cross-border offending.</w:t>
      </w:r>
      <w:r w:rsidRPr="0086336B">
        <w:rPr>
          <w:rStyle w:val="apple-converted-space"/>
          <w:rFonts w:ascii="Arial" w:eastAsiaTheme="majorEastAsia" w:hAnsi="Arial" w:cs="Arial"/>
          <w:color w:val="000000"/>
        </w:rPr>
        <w:t> </w:t>
      </w:r>
      <w:r w:rsidRPr="0086336B">
        <w:rPr>
          <w:rStyle w:val="Strong"/>
          <w:rFonts w:ascii="Arial" w:eastAsiaTheme="majorEastAsia" w:hAnsi="Arial" w:cs="Arial"/>
          <w:b w:val="0"/>
          <w:bCs w:val="0"/>
          <w:color w:val="000000"/>
        </w:rPr>
        <w:t>Levi and Smith (2022)</w:t>
      </w:r>
      <w:r w:rsidRPr="0086336B">
        <w:rPr>
          <w:rStyle w:val="apple-converted-space"/>
          <w:rFonts w:ascii="Arial" w:eastAsiaTheme="majorEastAsia" w:hAnsi="Arial" w:cs="Arial"/>
          <w:color w:val="000000"/>
        </w:rPr>
        <w:t> </w:t>
      </w:r>
      <w:r w:rsidRPr="0086336B">
        <w:rPr>
          <w:rFonts w:ascii="Arial" w:hAnsi="Arial" w:cs="Arial"/>
          <w:color w:val="000000"/>
        </w:rPr>
        <w:t>argue that ecosystem-level interventions</w:t>
      </w:r>
      <w:r w:rsidRPr="0086336B">
        <w:rPr>
          <w:rFonts w:ascii="Arial" w:hAnsi="Arial" w:cs="Arial"/>
          <w:color w:val="000000"/>
        </w:rPr>
        <w:t xml:space="preserve">, </w:t>
      </w:r>
      <w:r w:rsidRPr="0086336B">
        <w:rPr>
          <w:rFonts w:ascii="Arial" w:hAnsi="Arial" w:cs="Arial"/>
          <w:color w:val="000000"/>
        </w:rPr>
        <w:t>particularly in payments and platforms</w:t>
      </w:r>
      <w:r w:rsidRPr="0086336B">
        <w:rPr>
          <w:rFonts w:ascii="Arial" w:hAnsi="Arial" w:cs="Arial"/>
          <w:color w:val="000000"/>
        </w:rPr>
        <w:t xml:space="preserve">, </w:t>
      </w:r>
      <w:r w:rsidRPr="0086336B">
        <w:rPr>
          <w:rFonts w:ascii="Arial" w:hAnsi="Arial" w:cs="Arial"/>
          <w:color w:val="000000"/>
        </w:rPr>
        <w:t>offer the greatest potential for harm reduction.</w:t>
      </w:r>
    </w:p>
    <w:p w14:paraId="2E14839B" w14:textId="4B6BF5EE" w:rsidR="004E736C" w:rsidRDefault="004E736C" w:rsidP="004E736C">
      <w:pPr>
        <w:pStyle w:val="Heading1"/>
      </w:pPr>
      <w:bookmarkStart w:id="23" w:name="_Toc218764815"/>
      <w:r>
        <w:lastRenderedPageBreak/>
        <w:t>10. Integrated Challenges Across Terrorism and Cybercrime Policing</w:t>
      </w:r>
      <w:r>
        <w:t xml:space="preserve"> </w:t>
      </w:r>
      <w:r w:rsidR="00CE4CAA">
        <w:t>385</w:t>
      </w:r>
      <w:bookmarkEnd w:id="23"/>
    </w:p>
    <w:p w14:paraId="7498515A" w14:textId="4892B579" w:rsidR="004E736C" w:rsidRDefault="004E736C" w:rsidP="004E736C">
      <w:pPr>
        <w:pStyle w:val="NormalWeb"/>
        <w:spacing w:line="360" w:lineRule="auto"/>
        <w:rPr>
          <w:rFonts w:ascii="Arial" w:hAnsi="Arial" w:cs="Arial"/>
          <w:color w:val="000000"/>
        </w:rPr>
      </w:pPr>
      <w:r w:rsidRPr="004E736C">
        <w:rPr>
          <w:rFonts w:ascii="Arial" w:hAnsi="Arial" w:cs="Arial"/>
          <w:color w:val="000000"/>
        </w:rPr>
        <w:t xml:space="preserve">The analysis across Parts 1 and 2 demonstrates that contemporary terrorism and cybercrime share </w:t>
      </w:r>
      <w:r w:rsidRPr="004E736C">
        <w:rPr>
          <w:rFonts w:ascii="Arial" w:hAnsi="Arial" w:cs="Arial"/>
          <w:color w:val="000000"/>
        </w:rPr>
        <w:t>several</w:t>
      </w:r>
      <w:r w:rsidRPr="004E736C">
        <w:rPr>
          <w:rFonts w:ascii="Arial" w:hAnsi="Arial" w:cs="Arial"/>
          <w:color w:val="000000"/>
        </w:rPr>
        <w:t xml:space="preserve"> structural and operational characteristics that challenge traditional policing models. Both threat types are increasingly decentralised, digitally enabled and transnational, relying on online platforms, encrypted communications and complex financial ecosystems. According to</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Europol (2023)</w:t>
      </w:r>
      <w:r w:rsidRPr="004E736C">
        <w:rPr>
          <w:rFonts w:ascii="Arial" w:hAnsi="Arial" w:cs="Arial"/>
          <w:color w:val="000000"/>
        </w:rPr>
        <w:t>, the convergence between cybercrime and terrorism is most visible in areas such as online radicalisation, cyber-enabled financing and the exploitation of digital anonymity to evade law enforcement scrutiny.</w:t>
      </w:r>
    </w:p>
    <w:p w14:paraId="07AD1392" w14:textId="2D5EA954" w:rsidR="00CE4CAA" w:rsidRPr="004E736C" w:rsidRDefault="00CE4CAA" w:rsidP="004E736C">
      <w:pPr>
        <w:pStyle w:val="NormalWeb"/>
        <w:spacing w:line="360" w:lineRule="auto"/>
        <w:rPr>
          <w:rFonts w:ascii="Arial" w:hAnsi="Arial" w:cs="Arial"/>
          <w:color w:val="000000"/>
        </w:rPr>
      </w:pPr>
      <w:r w:rsidRPr="00CE4CAA">
        <w:rPr>
          <w:rFonts w:ascii="Arial" w:hAnsi="Arial" w:cs="Arial"/>
          <w:color w:val="000000"/>
        </w:rPr>
        <w:t>The</w:t>
      </w:r>
      <w:r>
        <w:rPr>
          <w:color w:val="000000"/>
        </w:rPr>
        <w:t xml:space="preserve"> </w:t>
      </w:r>
      <w:r w:rsidRPr="00CE4CAA">
        <w:rPr>
          <w:rFonts w:ascii="Arial" w:hAnsi="Arial" w:cs="Arial"/>
          <w:color w:val="000000"/>
        </w:rPr>
        <w:t>convergence between cybercrime and terrorism also complicates traditional distinctions between ideological and profit-driven offending.</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Europol (2023)</w:t>
      </w:r>
      <w:r w:rsidRPr="00CE4CAA">
        <w:rPr>
          <w:rStyle w:val="apple-converted-space"/>
          <w:rFonts w:ascii="Arial" w:eastAsiaTheme="majorEastAsia" w:hAnsi="Arial" w:cs="Arial"/>
          <w:b/>
          <w:bCs/>
          <w:color w:val="000000"/>
        </w:rPr>
        <w:t> </w:t>
      </w:r>
      <w:r w:rsidRPr="00CE4CAA">
        <w:rPr>
          <w:rFonts w:ascii="Arial" w:hAnsi="Arial" w:cs="Arial"/>
          <w:color w:val="000000"/>
        </w:rPr>
        <w:t>identifies increasing overlap in tools, infrastructures and marketplaces used by both actors, including dark web forums, cryptocurrency exchanges and anonymisation services.</w:t>
      </w:r>
      <w:r w:rsidRPr="00CE4CAA">
        <w:rPr>
          <w:rStyle w:val="apple-converted-space"/>
          <w:rFonts w:ascii="Arial" w:eastAsiaTheme="majorEastAsia" w:hAnsi="Arial" w:cs="Arial"/>
          <w:color w:val="000000"/>
        </w:rPr>
        <w:t> </w:t>
      </w:r>
      <w:r w:rsidRPr="00CE4CAA">
        <w:rPr>
          <w:rStyle w:val="Strong"/>
          <w:rFonts w:ascii="Arial" w:eastAsiaTheme="majorEastAsia" w:hAnsi="Arial" w:cs="Arial"/>
          <w:b w:val="0"/>
          <w:bCs w:val="0"/>
          <w:color w:val="000000"/>
        </w:rPr>
        <w:t>Hutchings et al (</w:t>
      </w:r>
      <w:r w:rsidRPr="00CE4CAA">
        <w:rPr>
          <w:rStyle w:val="Strong"/>
          <w:rFonts w:ascii="Arial" w:eastAsiaTheme="majorEastAsia" w:hAnsi="Arial" w:cs="Arial"/>
          <w:b w:val="0"/>
          <w:bCs w:val="0"/>
          <w:color w:val="000000"/>
        </w:rPr>
        <w:t>2022)</w:t>
      </w:r>
      <w:r w:rsidRPr="00CE4CAA">
        <w:rPr>
          <w:rFonts w:ascii="Arial" w:hAnsi="Arial" w:cs="Arial"/>
          <w:b/>
          <w:bCs/>
          <w:color w:val="000000"/>
        </w:rPr>
        <w:t xml:space="preserve"> </w:t>
      </w:r>
      <w:r w:rsidRPr="00CE4CAA">
        <w:rPr>
          <w:rFonts w:ascii="Arial" w:hAnsi="Arial" w:cs="Arial"/>
          <w:color w:val="000000"/>
        </w:rPr>
        <w:t>argue</w:t>
      </w:r>
      <w:r w:rsidRPr="00CE4CAA">
        <w:rPr>
          <w:rFonts w:ascii="Arial" w:hAnsi="Arial" w:cs="Arial"/>
          <w:color w:val="000000"/>
        </w:rPr>
        <w:t xml:space="preserve"> that such organisational silos inhibit holistic threat assessment, as intelligence relating to criminal facilitation may not be shared effectively with counter-terrorism units. Addressing this fragmentation requires not only technical interoperability but cultural and strategic integration across policing domains.</w:t>
      </w:r>
      <w:r w:rsidRPr="00CE4CAA">
        <w:rPr>
          <w:rFonts w:ascii="Arial" w:hAnsi="Arial" w:cs="Arial"/>
          <w:color w:val="000000"/>
        </w:rPr>
        <w:t xml:space="preserve"> </w:t>
      </w:r>
      <w:r w:rsidRPr="00CE4CAA">
        <w:rPr>
          <w:rStyle w:val="Strong"/>
          <w:rFonts w:ascii="Arial" w:eastAsiaTheme="majorEastAsia" w:hAnsi="Arial" w:cs="Arial"/>
          <w:b w:val="0"/>
          <w:bCs w:val="0"/>
          <w:color w:val="000000"/>
        </w:rPr>
        <w:t>These structural overlaps underpin a series of shared operational challenges, particularly in relation to attribution, specialist capability and governance, which are examined below.</w:t>
      </w:r>
    </w:p>
    <w:p w14:paraId="33659415" w14:textId="77777777"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A central shared challenge is</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attribution</w:t>
      </w:r>
      <w:r w:rsidRPr="004E736C">
        <w:rPr>
          <w:rFonts w:ascii="Arial" w:hAnsi="Arial" w:cs="Arial"/>
          <w:color w:val="000000"/>
        </w:rPr>
        <w:t>. As discussed in relation to both terrorist networks and cybercriminal groups, offenders frequently operate across jurisdictions using anonymisation tools, cryptocurrencies and proxy infrastructures.</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Casey</w:t>
      </w:r>
      <w:r w:rsidRPr="004E736C">
        <w:rPr>
          <w:rStyle w:val="Strong"/>
          <w:rFonts w:ascii="Arial" w:eastAsiaTheme="majorEastAsia" w:hAnsi="Arial" w:cs="Arial"/>
          <w:color w:val="000000"/>
        </w:rPr>
        <w:t xml:space="preserve"> </w:t>
      </w:r>
      <w:r w:rsidRPr="00CE4CAA">
        <w:rPr>
          <w:rStyle w:val="Strong"/>
          <w:rFonts w:ascii="Arial" w:eastAsiaTheme="majorEastAsia" w:hAnsi="Arial" w:cs="Arial"/>
          <w:b w:val="0"/>
          <w:bCs w:val="0"/>
          <w:color w:val="000000"/>
        </w:rPr>
        <w:t>(2020)</w:t>
      </w:r>
      <w:r w:rsidRPr="004E736C">
        <w:rPr>
          <w:rStyle w:val="apple-converted-space"/>
          <w:rFonts w:ascii="Arial" w:eastAsiaTheme="majorEastAsia" w:hAnsi="Arial" w:cs="Arial"/>
          <w:color w:val="000000"/>
        </w:rPr>
        <w:t> </w:t>
      </w:r>
      <w:r w:rsidRPr="004E736C">
        <w:rPr>
          <w:rFonts w:ascii="Arial" w:hAnsi="Arial" w:cs="Arial"/>
          <w:color w:val="000000"/>
        </w:rPr>
        <w:t>argues that attribution difficulties undermine not only prosecution but also strategic threat assessment, as intelligence is often fragmented or probabilistic rather than definitive. This challenge is compounded by legal and procedural constraints on cross-border data access, which</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UNCTED (2022)</w:t>
      </w:r>
      <w:r w:rsidRPr="004E736C">
        <w:rPr>
          <w:rStyle w:val="apple-converted-space"/>
          <w:rFonts w:ascii="Arial" w:eastAsiaTheme="majorEastAsia" w:hAnsi="Arial" w:cs="Arial"/>
          <w:color w:val="000000"/>
        </w:rPr>
        <w:t> </w:t>
      </w:r>
      <w:r w:rsidRPr="004E736C">
        <w:rPr>
          <w:rFonts w:ascii="Arial" w:hAnsi="Arial" w:cs="Arial"/>
          <w:color w:val="000000"/>
        </w:rPr>
        <w:t>identifies as a persistent barrier to effective international cooperation.</w:t>
      </w:r>
    </w:p>
    <w:p w14:paraId="070CBB32" w14:textId="1502EE2B"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lastRenderedPageBreak/>
        <w:t>Another common challenge is the</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strain on specialist capability</w:t>
      </w:r>
      <w:r w:rsidRPr="004E736C">
        <w:rPr>
          <w:rFonts w:ascii="Arial" w:hAnsi="Arial" w:cs="Arial"/>
          <w:color w:val="000000"/>
        </w:rPr>
        <w:t>. The</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HMICFRS (2023)</w:t>
      </w:r>
      <w:r w:rsidRPr="004E736C">
        <w:rPr>
          <w:rStyle w:val="apple-converted-space"/>
          <w:rFonts w:ascii="Arial" w:eastAsiaTheme="majorEastAsia" w:hAnsi="Arial" w:cs="Arial"/>
          <w:b/>
          <w:bCs/>
          <w:color w:val="000000"/>
        </w:rPr>
        <w:t> </w:t>
      </w:r>
      <w:r w:rsidRPr="004E736C">
        <w:rPr>
          <w:rFonts w:ascii="Arial" w:hAnsi="Arial" w:cs="Arial"/>
          <w:color w:val="000000"/>
        </w:rPr>
        <w:t>reports that cybercrime demand continues to outpace specialist policing capacity, while counter-terrorism units face similar pressures due to the growth of lone-actor threats and online radicalisation pathways. The reliance on highly specialised skills</w:t>
      </w:r>
      <w:r w:rsidR="00CE4CAA">
        <w:rPr>
          <w:rFonts w:ascii="Arial" w:hAnsi="Arial" w:cs="Arial"/>
          <w:color w:val="000000"/>
        </w:rPr>
        <w:t xml:space="preserve">, </w:t>
      </w:r>
      <w:r w:rsidRPr="004E736C">
        <w:rPr>
          <w:rFonts w:ascii="Arial" w:hAnsi="Arial" w:cs="Arial"/>
          <w:color w:val="000000"/>
        </w:rPr>
        <w:t>digital forensics, cyber intelligence analysis and financial investigation</w:t>
      </w:r>
      <w:r w:rsidR="00CE4CAA">
        <w:rPr>
          <w:rFonts w:ascii="Arial" w:hAnsi="Arial" w:cs="Arial"/>
          <w:color w:val="000000"/>
        </w:rPr>
        <w:t xml:space="preserve">, </w:t>
      </w:r>
      <w:r w:rsidRPr="004E736C">
        <w:rPr>
          <w:rFonts w:ascii="Arial" w:hAnsi="Arial" w:cs="Arial"/>
          <w:color w:val="000000"/>
        </w:rPr>
        <w:t>creates bottlenecks and reinforces disparities between well-resourced national units and local policing bodies.</w:t>
      </w:r>
    </w:p>
    <w:p w14:paraId="2373BA7E" w14:textId="07822BF0"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Finally, both cybercrime and counter-terrorism policing raise significant</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 xml:space="preserve">legitimacy and governance </w:t>
      </w:r>
      <w:r w:rsidRPr="004E736C">
        <w:rPr>
          <w:rStyle w:val="Strong"/>
          <w:rFonts w:ascii="Arial" w:eastAsiaTheme="majorEastAsia" w:hAnsi="Arial" w:cs="Arial"/>
          <w:b w:val="0"/>
          <w:bCs w:val="0"/>
          <w:color w:val="000000"/>
        </w:rPr>
        <w:t>concerns</w:t>
      </w:r>
      <w:r w:rsidRPr="004E736C">
        <w:rPr>
          <w:rStyle w:val="Strong"/>
          <w:rFonts w:ascii="Arial" w:eastAsiaTheme="majorEastAsia" w:hAnsi="Arial" w:cs="Arial"/>
          <w:color w:val="000000"/>
        </w:rPr>
        <w:t>.</w:t>
      </w:r>
      <w:r w:rsidRPr="004E736C">
        <w:rPr>
          <w:rFonts w:ascii="Arial" w:hAnsi="Arial" w:cs="Arial"/>
          <w:color w:val="000000"/>
        </w:rPr>
        <w:t xml:space="preserve"> The expansion of surveillance powers, data-sharing arrangements and public–private partnerships has prompted debate regarding proportionality, accountability and civil liberties.</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Loader and Walker (2020)</w:t>
      </w:r>
      <w:r w:rsidRPr="004E736C">
        <w:rPr>
          <w:rStyle w:val="apple-converted-space"/>
          <w:rFonts w:ascii="Arial" w:eastAsiaTheme="majorEastAsia" w:hAnsi="Arial" w:cs="Arial"/>
          <w:color w:val="000000"/>
        </w:rPr>
        <w:t> </w:t>
      </w:r>
      <w:r w:rsidRPr="004E736C">
        <w:rPr>
          <w:rFonts w:ascii="Arial" w:hAnsi="Arial" w:cs="Arial"/>
          <w:color w:val="000000"/>
        </w:rPr>
        <w:t>argue that public trust is a critical enabling condition for effective security governance, as legitimacy underpins intelligence flows, reporting behaviour and cooperation with authorities.</w:t>
      </w:r>
    </w:p>
    <w:p w14:paraId="6955FDFC" w14:textId="205CE442" w:rsidR="004E736C" w:rsidRPr="004E736C" w:rsidRDefault="004E736C" w:rsidP="004E736C">
      <w:pPr>
        <w:pStyle w:val="Heading2"/>
        <w:rPr>
          <w:rStyle w:val="Strong"/>
          <w:b w:val="0"/>
          <w:bCs w:val="0"/>
          <w:color w:val="000000"/>
          <w:sz w:val="24"/>
          <w:szCs w:val="24"/>
          <w:u w:val="single"/>
        </w:rPr>
      </w:pPr>
      <w:bookmarkStart w:id="24" w:name="_Toc218764816"/>
      <w:r w:rsidRPr="004E736C">
        <w:rPr>
          <w:rStyle w:val="Strong"/>
          <w:b w:val="0"/>
          <w:bCs w:val="0"/>
          <w:color w:val="000000"/>
          <w:sz w:val="24"/>
          <w:szCs w:val="24"/>
          <w:u w:val="single"/>
        </w:rPr>
        <w:t>11. Innovative, Evidence-Based Measures to Improve Effectiveness</w:t>
      </w:r>
      <w:r>
        <w:rPr>
          <w:rStyle w:val="Strong"/>
          <w:b w:val="0"/>
          <w:bCs w:val="0"/>
          <w:color w:val="000000"/>
          <w:sz w:val="24"/>
          <w:szCs w:val="24"/>
          <w:u w:val="single"/>
        </w:rPr>
        <w:t xml:space="preserve"> 18</w:t>
      </w:r>
      <w:bookmarkEnd w:id="24"/>
    </w:p>
    <w:p w14:paraId="08F1E77E" w14:textId="77777777" w:rsidR="004E736C" w:rsidRDefault="004E736C" w:rsidP="004E736C">
      <w:pPr>
        <w:pStyle w:val="NormalWeb"/>
        <w:spacing w:line="360" w:lineRule="auto"/>
        <w:rPr>
          <w:rFonts w:ascii="Arial" w:hAnsi="Arial" w:cs="Arial"/>
          <w:b/>
          <w:bCs/>
          <w:color w:val="000000"/>
        </w:rPr>
      </w:pPr>
      <w:r w:rsidRPr="004E736C">
        <w:rPr>
          <w:rFonts w:ascii="Arial" w:hAnsi="Arial" w:cs="Arial"/>
          <w:color w:val="000000"/>
        </w:rPr>
        <w:t>Addressing these shared challenges requires a shift away from siloed responses towards</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integrated, harm-focused and evidence-based policing models</w:t>
      </w:r>
      <w:r w:rsidRPr="004E736C">
        <w:rPr>
          <w:rFonts w:ascii="Arial" w:hAnsi="Arial" w:cs="Arial"/>
          <w:b/>
          <w:bCs/>
          <w:color w:val="000000"/>
        </w:rPr>
        <w:t>.</w:t>
      </w:r>
    </w:p>
    <w:p w14:paraId="5822C700" w14:textId="54A6B73F" w:rsidR="004E736C" w:rsidRPr="004E736C" w:rsidRDefault="004E736C" w:rsidP="004E736C">
      <w:pPr>
        <w:pStyle w:val="Heading2"/>
        <w:rPr>
          <w:sz w:val="24"/>
          <w:szCs w:val="24"/>
          <w:u w:val="single"/>
        </w:rPr>
      </w:pPr>
      <w:bookmarkStart w:id="25" w:name="_Toc218764817"/>
      <w:r w:rsidRPr="004E736C">
        <w:rPr>
          <w:rStyle w:val="Strong"/>
          <w:b w:val="0"/>
          <w:bCs w:val="0"/>
          <w:color w:val="000000"/>
          <w:sz w:val="24"/>
          <w:szCs w:val="24"/>
          <w:u w:val="single"/>
        </w:rPr>
        <w:t>11.1 Harm-based and disruption-focused policing</w:t>
      </w:r>
      <w:r>
        <w:rPr>
          <w:rStyle w:val="Strong"/>
          <w:b w:val="0"/>
          <w:bCs w:val="0"/>
          <w:color w:val="000000"/>
          <w:sz w:val="24"/>
          <w:szCs w:val="24"/>
          <w:u w:val="single"/>
        </w:rPr>
        <w:t xml:space="preserve"> 99</w:t>
      </w:r>
      <w:bookmarkEnd w:id="25"/>
    </w:p>
    <w:p w14:paraId="7CBBD6D9" w14:textId="1D08D4E8"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Research consistently suggests that traditional detection-led models are insufficient for addressing cyber-enabled and terrorist threats. According to</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 xml:space="preserve">Huey, </w:t>
      </w:r>
      <w:proofErr w:type="spellStart"/>
      <w:r w:rsidRPr="004E736C">
        <w:rPr>
          <w:rStyle w:val="Strong"/>
          <w:rFonts w:ascii="Arial" w:eastAsiaTheme="majorEastAsia" w:hAnsi="Arial" w:cs="Arial"/>
          <w:b w:val="0"/>
          <w:bCs w:val="0"/>
          <w:color w:val="000000"/>
        </w:rPr>
        <w:t>Nhan</w:t>
      </w:r>
      <w:proofErr w:type="spellEnd"/>
      <w:r w:rsidRPr="004E736C">
        <w:rPr>
          <w:rStyle w:val="Strong"/>
          <w:rFonts w:ascii="Arial" w:eastAsiaTheme="majorEastAsia" w:hAnsi="Arial" w:cs="Arial"/>
          <w:b w:val="0"/>
          <w:bCs w:val="0"/>
          <w:color w:val="000000"/>
        </w:rPr>
        <w:t xml:space="preserve"> and </w:t>
      </w:r>
      <w:proofErr w:type="spellStart"/>
      <w:r w:rsidRPr="004E736C">
        <w:rPr>
          <w:rStyle w:val="Strong"/>
          <w:rFonts w:ascii="Arial" w:eastAsiaTheme="majorEastAsia" w:hAnsi="Arial" w:cs="Arial"/>
          <w:b w:val="0"/>
          <w:bCs w:val="0"/>
          <w:color w:val="000000"/>
        </w:rPr>
        <w:t>Broll</w:t>
      </w:r>
      <w:proofErr w:type="spellEnd"/>
      <w:r w:rsidRPr="004E736C">
        <w:rPr>
          <w:rStyle w:val="Strong"/>
          <w:rFonts w:ascii="Arial" w:eastAsiaTheme="majorEastAsia" w:hAnsi="Arial" w:cs="Arial"/>
          <w:b w:val="0"/>
          <w:bCs w:val="0"/>
          <w:color w:val="000000"/>
        </w:rPr>
        <w:t xml:space="preserve"> (2021</w:t>
      </w:r>
      <w:r w:rsidRPr="004E736C">
        <w:rPr>
          <w:rStyle w:val="Strong"/>
          <w:rFonts w:ascii="Arial" w:eastAsiaTheme="majorEastAsia" w:hAnsi="Arial" w:cs="Arial"/>
          <w:color w:val="000000"/>
        </w:rPr>
        <w:t>),</w:t>
      </w:r>
      <w:r w:rsidRPr="004E736C">
        <w:rPr>
          <w:rFonts w:ascii="Arial" w:hAnsi="Arial" w:cs="Arial"/>
          <w:color w:val="000000"/>
        </w:rPr>
        <w:t xml:space="preserve"> harm-based policin</w:t>
      </w:r>
      <w:r w:rsidRPr="004E736C">
        <w:rPr>
          <w:rFonts w:ascii="Arial" w:hAnsi="Arial" w:cs="Arial"/>
          <w:color w:val="000000"/>
        </w:rPr>
        <w:t xml:space="preserve">g, </w:t>
      </w:r>
      <w:r w:rsidRPr="004E736C">
        <w:rPr>
          <w:rFonts w:ascii="Arial" w:hAnsi="Arial" w:cs="Arial"/>
          <w:color w:val="000000"/>
        </w:rPr>
        <w:t>which prioritises the reduction of victim harm over arrest or prosecution metrics</w:t>
      </w:r>
      <w:r w:rsidRPr="004E736C">
        <w:rPr>
          <w:rFonts w:ascii="Arial" w:hAnsi="Arial" w:cs="Arial"/>
          <w:color w:val="000000"/>
        </w:rPr>
        <w:t xml:space="preserve">, </w:t>
      </w:r>
      <w:r w:rsidRPr="004E736C">
        <w:rPr>
          <w:rFonts w:ascii="Arial" w:hAnsi="Arial" w:cs="Arial"/>
          <w:color w:val="000000"/>
        </w:rPr>
        <w:t>offers a more realistic and effective approach. Disruption tactics, such as infrastructure takedowns, account freezes and platform interventions, can significantly reduce offender capability even where attribution is incomplete.</w:t>
      </w:r>
    </w:p>
    <w:p w14:paraId="397B9F14" w14:textId="5AC212C2"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This approach aligns with counter-terrorism practice, where</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preventative disruption</w:t>
      </w:r>
      <w:r w:rsidRPr="004E736C">
        <w:rPr>
          <w:rStyle w:val="apple-converted-space"/>
          <w:rFonts w:ascii="Arial" w:eastAsiaTheme="majorEastAsia" w:hAnsi="Arial" w:cs="Arial"/>
          <w:color w:val="000000"/>
        </w:rPr>
        <w:t> </w:t>
      </w:r>
      <w:r w:rsidRPr="004E736C">
        <w:rPr>
          <w:rFonts w:ascii="Arial" w:hAnsi="Arial" w:cs="Arial"/>
          <w:color w:val="000000"/>
        </w:rPr>
        <w:t xml:space="preserve">has long been prioritised over prosecution alone </w:t>
      </w:r>
      <w:r w:rsidRPr="004E736C">
        <w:rPr>
          <w:rFonts w:ascii="Arial" w:hAnsi="Arial" w:cs="Arial"/>
          <w:b/>
          <w:bCs/>
          <w:color w:val="000000"/>
        </w:rPr>
        <w:t>(</w:t>
      </w:r>
      <w:r w:rsidRPr="004E736C">
        <w:rPr>
          <w:rStyle w:val="Strong"/>
          <w:rFonts w:ascii="Arial" w:eastAsiaTheme="majorEastAsia" w:hAnsi="Arial" w:cs="Arial"/>
          <w:b w:val="0"/>
          <w:bCs w:val="0"/>
          <w:color w:val="000000"/>
        </w:rPr>
        <w:t>Home Office, 2023</w:t>
      </w:r>
      <w:r w:rsidRPr="004E736C">
        <w:rPr>
          <w:rFonts w:ascii="Arial" w:hAnsi="Arial" w:cs="Arial"/>
          <w:b/>
          <w:bCs/>
          <w:color w:val="000000"/>
        </w:rPr>
        <w:t>)</w:t>
      </w:r>
      <w:r w:rsidRPr="004E736C">
        <w:rPr>
          <w:rFonts w:ascii="Arial" w:hAnsi="Arial" w:cs="Arial"/>
          <w:color w:val="000000"/>
        </w:rPr>
        <w:t>.</w:t>
      </w:r>
      <w:r w:rsidRPr="004E736C">
        <w:rPr>
          <w:rFonts w:ascii="Arial" w:hAnsi="Arial" w:cs="Arial"/>
          <w:color w:val="000000"/>
        </w:rPr>
        <w:t xml:space="preserve"> </w:t>
      </w:r>
      <w:r w:rsidRPr="004E736C">
        <w:rPr>
          <w:rFonts w:ascii="Arial" w:hAnsi="Arial" w:cs="Arial"/>
          <w:color w:val="000000"/>
        </w:rPr>
        <w:lastRenderedPageBreak/>
        <w:t>Integrating harm-based frameworks across cybercrime and CT policing would support more consistent prioritisation and resource allocation.</w:t>
      </w:r>
    </w:p>
    <w:p w14:paraId="35E2D2E5" w14:textId="2A55215B" w:rsidR="004E736C" w:rsidRPr="004E736C" w:rsidRDefault="004E736C" w:rsidP="004E736C">
      <w:pPr>
        <w:pStyle w:val="Heading2"/>
        <w:rPr>
          <w:sz w:val="24"/>
          <w:szCs w:val="24"/>
          <w:u w:val="single"/>
        </w:rPr>
      </w:pPr>
      <w:bookmarkStart w:id="26" w:name="_Toc218764818"/>
      <w:r w:rsidRPr="004E736C">
        <w:rPr>
          <w:rStyle w:val="Strong"/>
          <w:b w:val="0"/>
          <w:bCs w:val="0"/>
          <w:color w:val="000000"/>
          <w:sz w:val="24"/>
          <w:szCs w:val="24"/>
          <w:u w:val="single"/>
        </w:rPr>
        <w:t>11.2 Integration of cybercrime and counter-terrorism intelligence</w:t>
      </w:r>
      <w:r>
        <w:rPr>
          <w:rStyle w:val="Strong"/>
          <w:b w:val="0"/>
          <w:bCs w:val="0"/>
          <w:color w:val="000000"/>
          <w:sz w:val="24"/>
          <w:szCs w:val="24"/>
          <w:u w:val="single"/>
        </w:rPr>
        <w:t xml:space="preserve"> 86</w:t>
      </w:r>
      <w:bookmarkEnd w:id="26"/>
    </w:p>
    <w:p w14:paraId="5625B74B" w14:textId="77777777"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Given the overlap in methods and infrastructures, greater integration between cybercrime and counter-terrorism intelligence functions is essential.</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Europol (2023)</w:t>
      </w:r>
      <w:r w:rsidRPr="004E736C">
        <w:rPr>
          <w:rStyle w:val="apple-converted-space"/>
          <w:rFonts w:ascii="Arial" w:eastAsiaTheme="majorEastAsia" w:hAnsi="Arial" w:cs="Arial"/>
          <w:color w:val="000000"/>
        </w:rPr>
        <w:t> </w:t>
      </w:r>
      <w:r w:rsidRPr="004E736C">
        <w:rPr>
          <w:rFonts w:ascii="Arial" w:hAnsi="Arial" w:cs="Arial"/>
          <w:color w:val="000000"/>
        </w:rPr>
        <w:t>highlights the value of multi-disciplinary taskforces that combine cyber, financial and CT expertise, enabling more holistic threat assessments.</w:t>
      </w:r>
    </w:p>
    <w:p w14:paraId="5FE9B60E" w14:textId="34ECE472" w:rsidR="004E736C" w:rsidRDefault="004E736C" w:rsidP="004E736C">
      <w:pPr>
        <w:pStyle w:val="NormalWeb"/>
        <w:spacing w:line="360" w:lineRule="auto"/>
        <w:rPr>
          <w:rFonts w:ascii="Arial" w:hAnsi="Arial" w:cs="Arial"/>
          <w:color w:val="000000"/>
        </w:rPr>
      </w:pPr>
      <w:r w:rsidRPr="004E736C">
        <w:rPr>
          <w:rFonts w:ascii="Arial" w:hAnsi="Arial" w:cs="Arial"/>
          <w:color w:val="000000"/>
        </w:rPr>
        <w:t>The threat intelligence lifecycle illustrated in</w:t>
      </w:r>
      <w:r w:rsidRPr="004E736C">
        <w:rPr>
          <w:rStyle w:val="apple-converted-space"/>
          <w:rFonts w:ascii="Arial" w:eastAsiaTheme="majorEastAsia" w:hAnsi="Arial" w:cs="Arial"/>
          <w:color w:val="000000"/>
        </w:rPr>
        <w:t> </w:t>
      </w:r>
      <w:r w:rsidRPr="004E736C">
        <w:rPr>
          <w:rStyle w:val="Strong"/>
          <w:rFonts w:ascii="Arial" w:eastAsiaTheme="majorEastAsia" w:hAnsi="Arial" w:cs="Arial"/>
          <w:color w:val="000000"/>
        </w:rPr>
        <w:t>Figure C2 (Appendix C)</w:t>
      </w:r>
      <w:r w:rsidRPr="004E736C">
        <w:rPr>
          <w:rStyle w:val="apple-converted-space"/>
          <w:rFonts w:ascii="Arial" w:eastAsiaTheme="majorEastAsia" w:hAnsi="Arial" w:cs="Arial"/>
          <w:color w:val="000000"/>
        </w:rPr>
        <w:t> </w:t>
      </w:r>
      <w:r w:rsidRPr="004E736C">
        <w:rPr>
          <w:rFonts w:ascii="Arial" w:hAnsi="Arial" w:cs="Arial"/>
          <w:color w:val="000000"/>
        </w:rPr>
        <w:t>reinforces the importance of timely dissemination and feedback loops. Embedding CT considerations into cyber threat intelligence</w:t>
      </w:r>
      <w:r w:rsidRPr="004E736C">
        <w:rPr>
          <w:rFonts w:ascii="Arial" w:hAnsi="Arial" w:cs="Arial"/>
          <w:color w:val="000000"/>
        </w:rPr>
        <w:t xml:space="preserve"> </w:t>
      </w:r>
      <w:r w:rsidRPr="004E736C">
        <w:rPr>
          <w:rFonts w:ascii="Arial" w:hAnsi="Arial" w:cs="Arial"/>
          <w:color w:val="000000"/>
        </w:rPr>
        <w:t>and vice versa</w:t>
      </w:r>
      <w:r w:rsidRPr="004E736C">
        <w:rPr>
          <w:rFonts w:ascii="Arial" w:hAnsi="Arial" w:cs="Arial"/>
          <w:color w:val="000000"/>
        </w:rPr>
        <w:t xml:space="preserve">, </w:t>
      </w:r>
      <w:r w:rsidRPr="004E736C">
        <w:rPr>
          <w:rFonts w:ascii="Arial" w:hAnsi="Arial" w:cs="Arial"/>
          <w:color w:val="000000"/>
        </w:rPr>
        <w:t>would enhance early identification of hybrid threats, such as cyber-enabled terrorist financing or online radicalisation ecosystems linked to criminal activity.</w:t>
      </w:r>
    </w:p>
    <w:p w14:paraId="133CAEBA" w14:textId="5FFE7F0A" w:rsidR="004E736C" w:rsidRPr="004E736C" w:rsidRDefault="004E736C" w:rsidP="004E736C">
      <w:pPr>
        <w:pStyle w:val="Heading2"/>
        <w:rPr>
          <w:sz w:val="24"/>
          <w:szCs w:val="24"/>
          <w:u w:val="single"/>
        </w:rPr>
      </w:pPr>
      <w:bookmarkStart w:id="27" w:name="_Toc218764819"/>
      <w:r w:rsidRPr="004E736C">
        <w:rPr>
          <w:rStyle w:val="Strong"/>
          <w:b w:val="0"/>
          <w:bCs w:val="0"/>
          <w:color w:val="000000"/>
          <w:sz w:val="24"/>
          <w:szCs w:val="24"/>
          <w:u w:val="single"/>
        </w:rPr>
        <w:t>11.3 Strengthening regulated public–private partnerships</w:t>
      </w:r>
      <w:r>
        <w:rPr>
          <w:rStyle w:val="Strong"/>
          <w:b w:val="0"/>
          <w:bCs w:val="0"/>
          <w:color w:val="000000"/>
          <w:sz w:val="24"/>
          <w:szCs w:val="24"/>
          <w:u w:val="single"/>
        </w:rPr>
        <w:t xml:space="preserve"> 84</w:t>
      </w:r>
      <w:bookmarkEnd w:id="27"/>
    </w:p>
    <w:p w14:paraId="16DF3DCD" w14:textId="77777777" w:rsidR="004E736C" w:rsidRPr="004E736C" w:rsidRDefault="004E736C" w:rsidP="004E736C">
      <w:pPr>
        <w:pStyle w:val="NormalWeb"/>
        <w:spacing w:line="360" w:lineRule="auto"/>
        <w:rPr>
          <w:rFonts w:ascii="Arial" w:hAnsi="Arial" w:cs="Arial"/>
          <w:color w:val="000000"/>
        </w:rPr>
      </w:pPr>
      <w:r w:rsidRPr="004E736C">
        <w:rPr>
          <w:rFonts w:ascii="Arial" w:hAnsi="Arial" w:cs="Arial"/>
          <w:color w:val="000000"/>
        </w:rPr>
        <w:t>Public–private partnerships remain indispensable but require clearer governance. While examples such as APP fraud reimbursement demonstrate the potential of regulation-driven cooperation (</w:t>
      </w:r>
      <w:r w:rsidRPr="004E736C">
        <w:rPr>
          <w:rStyle w:val="Strong"/>
          <w:rFonts w:ascii="Arial" w:eastAsiaTheme="majorEastAsia" w:hAnsi="Arial" w:cs="Arial"/>
          <w:b w:val="0"/>
          <w:bCs w:val="0"/>
          <w:color w:val="000000"/>
        </w:rPr>
        <w:t>PSR, 2024</w:t>
      </w:r>
      <w:r w:rsidRPr="004E736C">
        <w:rPr>
          <w:rFonts w:ascii="Arial" w:hAnsi="Arial" w:cs="Arial"/>
          <w:color w:val="000000"/>
        </w:rPr>
        <w:t>),</w:t>
      </w:r>
      <w:r w:rsidRPr="004E736C">
        <w:rPr>
          <w:rStyle w:val="apple-converted-space"/>
          <w:rFonts w:ascii="Arial" w:eastAsiaTheme="majorEastAsia" w:hAnsi="Arial" w:cs="Arial"/>
          <w:color w:val="000000"/>
        </w:rPr>
        <w:t> </w:t>
      </w:r>
      <w:r w:rsidRPr="004E736C">
        <w:rPr>
          <w:rStyle w:val="Strong"/>
          <w:rFonts w:ascii="Arial" w:eastAsiaTheme="majorEastAsia" w:hAnsi="Arial" w:cs="Arial"/>
          <w:b w:val="0"/>
          <w:bCs w:val="0"/>
          <w:color w:val="000000"/>
        </w:rPr>
        <w:t>Dupont (2021)</w:t>
      </w:r>
      <w:r w:rsidRPr="004E736C">
        <w:rPr>
          <w:rStyle w:val="apple-converted-space"/>
          <w:rFonts w:ascii="Arial" w:eastAsiaTheme="majorEastAsia" w:hAnsi="Arial" w:cs="Arial"/>
          <w:color w:val="000000"/>
        </w:rPr>
        <w:t> </w:t>
      </w:r>
      <w:r w:rsidRPr="004E736C">
        <w:rPr>
          <w:rFonts w:ascii="Arial" w:hAnsi="Arial" w:cs="Arial"/>
          <w:color w:val="000000"/>
        </w:rPr>
        <w:t>cautions that informal or opaque partnerships risk undermining accountability.</w:t>
      </w:r>
    </w:p>
    <w:p w14:paraId="573C103E" w14:textId="22B1621D" w:rsidR="004E736C" w:rsidRPr="004E736C" w:rsidRDefault="004E736C" w:rsidP="004E736C">
      <w:pPr>
        <w:spacing w:before="100" w:beforeAutospacing="1" w:after="100" w:afterAutospacing="1" w:line="360" w:lineRule="auto"/>
        <w:rPr>
          <w:rFonts w:ascii="Arial" w:eastAsia="Times New Roman" w:hAnsi="Arial" w:cs="Arial"/>
          <w:color w:val="000000"/>
          <w:sz w:val="24"/>
          <w:szCs w:val="24"/>
          <w:lang w:val="en-GB" w:eastAsia="en-GB"/>
        </w:rPr>
      </w:pPr>
      <w:r w:rsidRPr="004E736C">
        <w:rPr>
          <w:rFonts w:ascii="Arial" w:eastAsia="Times New Roman" w:hAnsi="Arial" w:cs="Arial"/>
          <w:color w:val="000000"/>
          <w:sz w:val="24"/>
          <w:szCs w:val="24"/>
          <w:lang w:val="en-GB" w:eastAsia="en-GB"/>
        </w:rPr>
        <w:t>Evidence from ENISA (2018), illustrated in Figure C3 (Appendix C</w:t>
      </w:r>
      <w:r w:rsidRPr="004E736C">
        <w:rPr>
          <w:rFonts w:ascii="Arial" w:eastAsia="Times New Roman" w:hAnsi="Arial" w:cs="Arial"/>
          <w:color w:val="000000"/>
          <w:sz w:val="24"/>
          <w:szCs w:val="24"/>
          <w:lang w:val="en-GB" w:eastAsia="en-GB"/>
        </w:rPr>
        <w:t>)</w:t>
      </w:r>
      <w:r w:rsidRPr="004E736C">
        <w:rPr>
          <w:rFonts w:ascii="Arial" w:eastAsia="Times New Roman" w:hAnsi="Arial" w:cs="Arial"/>
          <w:b/>
          <w:bCs/>
          <w:color w:val="000000"/>
          <w:sz w:val="24"/>
          <w:szCs w:val="24"/>
          <w:lang w:val="en-GB" w:eastAsia="en-GB"/>
        </w:rPr>
        <w:t>,</w:t>
      </w:r>
      <w:r w:rsidRPr="004E736C">
        <w:rPr>
          <w:rFonts w:ascii="Arial" w:eastAsia="Times New Roman" w:hAnsi="Arial" w:cs="Arial"/>
          <w:color w:val="000000"/>
          <w:sz w:val="24"/>
          <w:szCs w:val="24"/>
          <w:lang w:val="en-GB" w:eastAsia="en-GB"/>
        </w:rPr>
        <w:t xml:space="preserve"> suggests that effective cybercrime governance depends on coordinated legal, technical, organisational and cooperative frameworks. Policymakers should therefore prioritise:</w:t>
      </w:r>
    </w:p>
    <w:p w14:paraId="5ECC8558" w14:textId="76AD64E2" w:rsidR="004E736C" w:rsidRPr="004E736C" w:rsidRDefault="004E736C" w:rsidP="004E736C">
      <w:pPr>
        <w:pStyle w:val="NormalWeb"/>
        <w:spacing w:line="360" w:lineRule="auto"/>
        <w:ind w:left="720"/>
        <w:rPr>
          <w:rFonts w:ascii="Arial" w:hAnsi="Arial" w:cs="Arial"/>
        </w:rPr>
      </w:pPr>
      <w:r w:rsidRPr="004E736C">
        <w:rPr>
          <w:rFonts w:ascii="Arial" w:hAnsi="Arial" w:cs="Arial"/>
        </w:rPr>
        <w:t> Clear</w:t>
      </w:r>
      <w:r w:rsidRPr="004E736C">
        <w:rPr>
          <w:rFonts w:ascii="Arial" w:hAnsi="Arial" w:cs="Arial"/>
        </w:rPr>
        <w:t xml:space="preserve"> legal mandates for data sharing,</w:t>
      </w:r>
    </w:p>
    <w:p w14:paraId="67245A5C" w14:textId="23F6814D" w:rsidR="004E736C" w:rsidRPr="004E736C" w:rsidRDefault="004E736C" w:rsidP="004E736C">
      <w:pPr>
        <w:pStyle w:val="NormalWeb"/>
        <w:spacing w:line="360" w:lineRule="auto"/>
        <w:ind w:left="720"/>
        <w:rPr>
          <w:rFonts w:ascii="Arial" w:hAnsi="Arial" w:cs="Arial"/>
        </w:rPr>
      </w:pPr>
      <w:r w:rsidRPr="004E736C">
        <w:rPr>
          <w:rFonts w:ascii="Arial" w:hAnsi="Arial" w:cs="Arial"/>
        </w:rPr>
        <w:t> Standardised</w:t>
      </w:r>
      <w:r w:rsidRPr="004E736C">
        <w:rPr>
          <w:rFonts w:ascii="Arial" w:hAnsi="Arial" w:cs="Arial"/>
        </w:rPr>
        <w:t xml:space="preserve"> reporting and intelligence formats,</w:t>
      </w:r>
    </w:p>
    <w:p w14:paraId="78AB60A6" w14:textId="06C2286F" w:rsidR="004E736C" w:rsidRPr="004E736C" w:rsidRDefault="004E736C" w:rsidP="004E736C">
      <w:pPr>
        <w:pStyle w:val="NormalWeb"/>
        <w:spacing w:line="360" w:lineRule="auto"/>
        <w:ind w:left="720"/>
        <w:rPr>
          <w:rFonts w:ascii="Arial" w:hAnsi="Arial" w:cs="Arial"/>
        </w:rPr>
      </w:pPr>
      <w:r w:rsidRPr="004E736C">
        <w:rPr>
          <w:rFonts w:ascii="Arial" w:hAnsi="Arial" w:cs="Arial"/>
        </w:rPr>
        <w:t> Reciprocal</w:t>
      </w:r>
      <w:r w:rsidRPr="004E736C">
        <w:rPr>
          <w:rFonts w:ascii="Arial" w:hAnsi="Arial" w:cs="Arial"/>
        </w:rPr>
        <w:t xml:space="preserve"> obligations for private sector actors,</w:t>
      </w:r>
    </w:p>
    <w:p w14:paraId="61A7A95A" w14:textId="4CA75BF0" w:rsidR="004E736C" w:rsidRDefault="004E736C" w:rsidP="004E736C">
      <w:pPr>
        <w:pStyle w:val="NormalWeb"/>
        <w:spacing w:line="360" w:lineRule="auto"/>
        <w:ind w:left="720"/>
        <w:rPr>
          <w:rFonts w:ascii="Arial" w:hAnsi="Arial" w:cs="Arial"/>
        </w:rPr>
      </w:pPr>
      <w:r w:rsidRPr="004E736C">
        <w:rPr>
          <w:rFonts w:ascii="Arial" w:hAnsi="Arial" w:cs="Arial"/>
        </w:rPr>
        <w:lastRenderedPageBreak/>
        <w:t> And</w:t>
      </w:r>
      <w:r w:rsidRPr="004E736C">
        <w:rPr>
          <w:rFonts w:ascii="Arial" w:hAnsi="Arial" w:cs="Arial"/>
        </w:rPr>
        <w:t xml:space="preserve"> independent oversight mechanisms.</w:t>
      </w:r>
    </w:p>
    <w:p w14:paraId="59EB14A0" w14:textId="77777777" w:rsidR="004E736C" w:rsidRDefault="004E736C" w:rsidP="004E736C">
      <w:pPr>
        <w:pStyle w:val="NormalWeb"/>
        <w:spacing w:line="360" w:lineRule="auto"/>
        <w:ind w:left="720"/>
        <w:rPr>
          <w:rFonts w:ascii="Arial" w:hAnsi="Arial" w:cs="Arial"/>
        </w:rPr>
      </w:pPr>
    </w:p>
    <w:p w14:paraId="1857F93C" w14:textId="6543DCEC" w:rsidR="004E736C" w:rsidRPr="004E736C" w:rsidRDefault="004E736C" w:rsidP="004E736C">
      <w:pPr>
        <w:pStyle w:val="Heading2"/>
        <w:rPr>
          <w:sz w:val="24"/>
          <w:szCs w:val="24"/>
          <w:u w:val="single"/>
        </w:rPr>
      </w:pPr>
      <w:bookmarkStart w:id="28" w:name="_Toc218764820"/>
      <w:r w:rsidRPr="004E736C">
        <w:rPr>
          <w:rStyle w:val="Strong"/>
          <w:b w:val="0"/>
          <w:bCs w:val="0"/>
          <w:color w:val="000000"/>
          <w:sz w:val="24"/>
          <w:szCs w:val="24"/>
          <w:u w:val="single"/>
        </w:rPr>
        <w:t>11.4 Capacity building and workforce development</w:t>
      </w:r>
      <w:r w:rsidR="008E0322">
        <w:rPr>
          <w:rStyle w:val="Strong"/>
          <w:b w:val="0"/>
          <w:bCs w:val="0"/>
          <w:color w:val="000000"/>
          <w:sz w:val="24"/>
          <w:szCs w:val="24"/>
          <w:u w:val="single"/>
        </w:rPr>
        <w:t xml:space="preserve"> 67</w:t>
      </w:r>
      <w:bookmarkEnd w:id="28"/>
    </w:p>
    <w:p w14:paraId="70354B44" w14:textId="138D6EE1"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Sustained investment in skills is critical. According to the</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NCSC (2024</w:t>
      </w:r>
      <w:r w:rsidRPr="008E0322">
        <w:rPr>
          <w:rStyle w:val="Strong"/>
          <w:rFonts w:ascii="Arial" w:eastAsiaTheme="majorEastAsia" w:hAnsi="Arial" w:cs="Arial"/>
          <w:b w:val="0"/>
          <w:bCs w:val="0"/>
          <w:color w:val="000000"/>
        </w:rPr>
        <w:t>)</w:t>
      </w:r>
      <w:r w:rsidRPr="008E0322">
        <w:rPr>
          <w:rStyle w:val="Strong"/>
          <w:rFonts w:ascii="Arial" w:eastAsiaTheme="majorEastAsia" w:hAnsi="Arial" w:cs="Arial"/>
          <w:color w:val="000000"/>
        </w:rPr>
        <w:t>,</w:t>
      </w:r>
      <w:r w:rsidRPr="008E0322">
        <w:rPr>
          <w:rFonts w:ascii="Arial" w:hAnsi="Arial" w:cs="Arial"/>
          <w:color w:val="000000"/>
        </w:rPr>
        <w:t xml:space="preserve"> competition with the private sector continues to erode public-sector cyber capability. Expanding digital literacy across frontline policing, rather than concentrating expertise in small specialist units, would improve resilience and reduce investigative bottlenecks.</w:t>
      </w:r>
    </w:p>
    <w:p w14:paraId="4BBEDC2A" w14:textId="7B4822C2" w:rsidR="008E0322" w:rsidRDefault="008E0322" w:rsidP="008E0322">
      <w:pPr>
        <w:pStyle w:val="NormalWeb"/>
        <w:spacing w:line="360" w:lineRule="auto"/>
        <w:rPr>
          <w:rFonts w:ascii="Arial" w:hAnsi="Arial" w:cs="Arial"/>
          <w:color w:val="000000"/>
        </w:rPr>
      </w:pPr>
      <w:r w:rsidRPr="008E0322">
        <w:rPr>
          <w:rFonts w:ascii="Arial" w:hAnsi="Arial" w:cs="Arial"/>
          <w:color w:val="000000"/>
        </w:rPr>
        <w:t>This approach mirrors recommendations in counter-terrorism literature, where</w:t>
      </w:r>
      <w:r w:rsidRPr="008E0322">
        <w:rPr>
          <w:rStyle w:val="apple-converted-space"/>
          <w:rFonts w:ascii="Arial" w:eastAsiaTheme="majorEastAsia" w:hAnsi="Arial" w:cs="Arial"/>
          <w:color w:val="000000"/>
        </w:rPr>
        <w:t> </w:t>
      </w:r>
      <w:r w:rsidRPr="008E0322">
        <w:rPr>
          <w:rStyle w:val="Strong"/>
          <w:rFonts w:ascii="Arial" w:eastAsiaTheme="majorEastAsia" w:hAnsi="Arial" w:cs="Arial"/>
          <w:b w:val="0"/>
          <w:bCs w:val="0"/>
          <w:color w:val="000000"/>
        </w:rPr>
        <w:t>distributed safeguarding capability</w:t>
      </w:r>
      <w:r w:rsidRPr="008E0322">
        <w:rPr>
          <w:rStyle w:val="apple-converted-space"/>
          <w:rFonts w:ascii="Arial" w:eastAsiaTheme="majorEastAsia" w:hAnsi="Arial" w:cs="Arial"/>
          <w:color w:val="000000"/>
        </w:rPr>
        <w:t> </w:t>
      </w:r>
      <w:r w:rsidRPr="008E0322">
        <w:rPr>
          <w:rFonts w:ascii="Arial" w:hAnsi="Arial" w:cs="Arial"/>
          <w:color w:val="000000"/>
        </w:rPr>
        <w:t>is viewed as essential for identifying early warning signs of radicalisation (</w:t>
      </w:r>
      <w:r w:rsidRPr="008E0322">
        <w:rPr>
          <w:rStyle w:val="Strong"/>
          <w:rFonts w:ascii="Arial" w:eastAsiaTheme="majorEastAsia" w:hAnsi="Arial" w:cs="Arial"/>
          <w:b w:val="0"/>
          <w:bCs w:val="0"/>
          <w:color w:val="000000"/>
        </w:rPr>
        <w:t>Neumann, 2021</w:t>
      </w:r>
      <w:r w:rsidRPr="008E0322">
        <w:rPr>
          <w:rFonts w:ascii="Arial" w:hAnsi="Arial" w:cs="Arial"/>
          <w:color w:val="000000"/>
        </w:rPr>
        <w:t>).</w:t>
      </w:r>
    </w:p>
    <w:p w14:paraId="52346E22" w14:textId="0917C82B" w:rsidR="008E0322" w:rsidRDefault="008E0322" w:rsidP="008E0322">
      <w:pPr>
        <w:pStyle w:val="Heading1"/>
        <w:rPr>
          <w:rStyle w:val="Strong"/>
          <w:b w:val="0"/>
          <w:bCs w:val="0"/>
          <w:color w:val="000000"/>
        </w:rPr>
      </w:pPr>
      <w:bookmarkStart w:id="29" w:name="_Toc218764821"/>
      <w:r>
        <w:rPr>
          <w:rStyle w:val="Strong"/>
          <w:b w:val="0"/>
          <w:bCs w:val="0"/>
          <w:color w:val="000000"/>
        </w:rPr>
        <w:t>12. Conclusion</w:t>
      </w:r>
      <w:r>
        <w:rPr>
          <w:rStyle w:val="Strong"/>
          <w:b w:val="0"/>
          <w:bCs w:val="0"/>
          <w:color w:val="000000"/>
        </w:rPr>
        <w:t xml:space="preserve"> 179</w:t>
      </w:r>
      <w:bookmarkEnd w:id="29"/>
    </w:p>
    <w:p w14:paraId="1B379385"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This report has critically evaluated the evolving threats posed by contemporary terrorism and cybercrime and assessed policing strategies, tools and responses to these challenges. It has demonstrated that both threat domains are increasingly shaped by digital technologies, decentralisation and transnational operation, placing significant strain on traditional policing models.</w:t>
      </w:r>
    </w:p>
    <w:p w14:paraId="3DFAF58C" w14:textId="43F9B0A0"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The analysis of cybercrime policing tools</w:t>
      </w:r>
      <w:r w:rsidRPr="008E0322">
        <w:rPr>
          <w:rFonts w:ascii="Arial" w:hAnsi="Arial" w:cs="Arial"/>
          <w:color w:val="000000"/>
        </w:rPr>
        <w:t xml:space="preserve">, </w:t>
      </w:r>
      <w:r w:rsidRPr="008E0322">
        <w:rPr>
          <w:rFonts w:ascii="Arial" w:hAnsi="Arial" w:cs="Arial"/>
          <w:color w:val="000000"/>
        </w:rPr>
        <w:t>including digital forensics, threat intelligence and public–private partnerships</w:t>
      </w:r>
      <w:r w:rsidRPr="008E0322">
        <w:rPr>
          <w:rFonts w:ascii="Arial" w:hAnsi="Arial" w:cs="Arial"/>
          <w:color w:val="000000"/>
        </w:rPr>
        <w:t xml:space="preserve">, </w:t>
      </w:r>
      <w:r w:rsidRPr="008E0322">
        <w:rPr>
          <w:rFonts w:ascii="Arial" w:hAnsi="Arial" w:cs="Arial"/>
          <w:color w:val="000000"/>
        </w:rPr>
        <w:t>reveals that while significant progress has been made, effectiveness remains constrained by attribution challenges, resource limitations and governance complexities. Similarly, counter-terrorism responses have adapted to digital threats but continue to face legitimacy and capacity pressures.</w:t>
      </w:r>
    </w:p>
    <w:p w14:paraId="0989C52F" w14:textId="62AEE52B"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The report argues that future effectiveness depends on integrated, harm-focused and intelligence-led approaches that transcend organisational silos. Evidence-</w:t>
      </w:r>
      <w:r w:rsidRPr="008E0322">
        <w:rPr>
          <w:rFonts w:ascii="Arial" w:hAnsi="Arial" w:cs="Arial"/>
          <w:color w:val="000000"/>
        </w:rPr>
        <w:lastRenderedPageBreak/>
        <w:t>based measures</w:t>
      </w:r>
      <w:r w:rsidRPr="008E0322">
        <w:rPr>
          <w:rFonts w:ascii="Arial" w:hAnsi="Arial" w:cs="Arial"/>
          <w:color w:val="000000"/>
        </w:rPr>
        <w:t xml:space="preserve">, </w:t>
      </w:r>
      <w:r w:rsidRPr="008E0322">
        <w:rPr>
          <w:rFonts w:ascii="Arial" w:hAnsi="Arial" w:cs="Arial"/>
          <w:color w:val="000000"/>
        </w:rPr>
        <w:t>including disruption-oriented policing, integrated intelligence functions, regulated partnerships and sustained capacity building</w:t>
      </w:r>
      <w:r w:rsidRPr="008E0322">
        <w:rPr>
          <w:rFonts w:ascii="Arial" w:hAnsi="Arial" w:cs="Arial"/>
          <w:color w:val="000000"/>
        </w:rPr>
        <w:t xml:space="preserve">, </w:t>
      </w:r>
      <w:r w:rsidRPr="008E0322">
        <w:rPr>
          <w:rFonts w:ascii="Arial" w:hAnsi="Arial" w:cs="Arial"/>
          <w:color w:val="000000"/>
        </w:rPr>
        <w:t>offer the most promising pathway for addressing both cybercrime and digitally enabled terrorism.</w:t>
      </w:r>
    </w:p>
    <w:p w14:paraId="416CBFF0" w14:textId="77777777" w:rsidR="008E0322" w:rsidRPr="008E0322" w:rsidRDefault="008E0322" w:rsidP="008E0322">
      <w:pPr>
        <w:pStyle w:val="NormalWeb"/>
        <w:spacing w:line="360" w:lineRule="auto"/>
        <w:rPr>
          <w:rFonts w:ascii="Arial" w:hAnsi="Arial" w:cs="Arial"/>
          <w:color w:val="000000"/>
        </w:rPr>
      </w:pPr>
      <w:r w:rsidRPr="008E0322">
        <w:rPr>
          <w:rFonts w:ascii="Arial" w:hAnsi="Arial" w:cs="Arial"/>
          <w:color w:val="000000"/>
        </w:rPr>
        <w:t>In conclusion, policing complex digital threats requires not only advanced tools but also coherent governance, cross-sector cooperation and public trust. Without such integration, both cybercrime and terrorism will continue to exploit the structural vulnerabilities of modern societies.</w:t>
      </w:r>
    </w:p>
    <w:p w14:paraId="174210A2" w14:textId="77777777" w:rsidR="008E0322" w:rsidRPr="008E0322" w:rsidRDefault="008E0322" w:rsidP="008E0322"/>
    <w:p w14:paraId="673365A7" w14:textId="77777777" w:rsidR="008E0322" w:rsidRPr="008E0322" w:rsidRDefault="008E0322" w:rsidP="008E0322">
      <w:pPr>
        <w:pStyle w:val="NormalWeb"/>
        <w:spacing w:line="360" w:lineRule="auto"/>
        <w:rPr>
          <w:rFonts w:ascii="Arial" w:hAnsi="Arial" w:cs="Arial"/>
          <w:color w:val="000000"/>
        </w:rPr>
      </w:pPr>
    </w:p>
    <w:p w14:paraId="4A9E2B8C" w14:textId="77777777" w:rsidR="004E736C" w:rsidRPr="004E736C" w:rsidRDefault="004E736C" w:rsidP="004E736C">
      <w:pPr>
        <w:pStyle w:val="NormalWeb"/>
        <w:spacing w:line="360" w:lineRule="auto"/>
        <w:rPr>
          <w:rFonts w:ascii="Arial" w:hAnsi="Arial" w:cs="Arial"/>
        </w:rPr>
      </w:pPr>
    </w:p>
    <w:p w14:paraId="36480BF7" w14:textId="77777777" w:rsidR="004E736C" w:rsidRPr="004E736C" w:rsidRDefault="004E736C" w:rsidP="004E736C">
      <w:pPr>
        <w:spacing w:before="100" w:beforeAutospacing="1" w:after="100" w:afterAutospacing="1" w:line="240" w:lineRule="auto"/>
        <w:ind w:left="720"/>
        <w:rPr>
          <w:rFonts w:ascii="Times New Roman" w:eastAsia="Times New Roman" w:hAnsi="Times New Roman" w:cs="Times New Roman"/>
          <w:color w:val="000000"/>
          <w:sz w:val="24"/>
          <w:szCs w:val="24"/>
          <w:lang w:val="en-GB" w:eastAsia="en-GB"/>
        </w:rPr>
      </w:pPr>
    </w:p>
    <w:p w14:paraId="04FFDCB9" w14:textId="77777777" w:rsidR="004E736C" w:rsidRPr="004E736C" w:rsidRDefault="004E736C" w:rsidP="004E736C">
      <w:pPr>
        <w:spacing w:before="0" w:after="0" w:line="240" w:lineRule="auto"/>
        <w:rPr>
          <w:rFonts w:ascii="Times New Roman" w:eastAsia="Times New Roman" w:hAnsi="Times New Roman" w:cs="Times New Roman"/>
          <w:color w:val="auto"/>
          <w:sz w:val="24"/>
          <w:szCs w:val="24"/>
          <w:lang w:val="en-GB" w:eastAsia="en-GB"/>
        </w:rPr>
      </w:pPr>
    </w:p>
    <w:p w14:paraId="136AEC45" w14:textId="77777777" w:rsidR="004E736C" w:rsidRPr="004E736C" w:rsidRDefault="004E736C" w:rsidP="004E736C">
      <w:pPr>
        <w:pStyle w:val="NormalWeb"/>
        <w:spacing w:line="360" w:lineRule="auto"/>
        <w:rPr>
          <w:rFonts w:ascii="Arial" w:hAnsi="Arial" w:cs="Arial"/>
          <w:color w:val="000000"/>
        </w:rPr>
      </w:pPr>
    </w:p>
    <w:p w14:paraId="40B3A05C" w14:textId="77777777" w:rsidR="00CE4CAA" w:rsidRDefault="00CE4CAA" w:rsidP="008E0322">
      <w:pPr>
        <w:pStyle w:val="Heading1"/>
      </w:pPr>
      <w:bookmarkStart w:id="30" w:name="_Toc218764822"/>
    </w:p>
    <w:p w14:paraId="31CB56C3" w14:textId="77777777" w:rsidR="00CE4CAA" w:rsidRDefault="00CE4CAA" w:rsidP="008E0322">
      <w:pPr>
        <w:pStyle w:val="Heading1"/>
      </w:pPr>
    </w:p>
    <w:p w14:paraId="19D84E08" w14:textId="77777777" w:rsidR="00CE4CAA" w:rsidRDefault="00CE4CAA" w:rsidP="008E0322">
      <w:pPr>
        <w:pStyle w:val="Heading1"/>
      </w:pPr>
    </w:p>
    <w:bookmarkEnd w:id="30"/>
    <w:p w14:paraId="077BD320" w14:textId="77777777" w:rsidR="004E736C" w:rsidRPr="004E736C" w:rsidRDefault="004E736C" w:rsidP="004E736C">
      <w:pPr>
        <w:pStyle w:val="Heading2"/>
      </w:pPr>
    </w:p>
    <w:p w14:paraId="22DC1BB5" w14:textId="77777777" w:rsidR="004E736C" w:rsidRPr="004E736C" w:rsidRDefault="004E736C" w:rsidP="004E736C"/>
    <w:p w14:paraId="445CE142" w14:textId="77777777" w:rsidR="004E736C" w:rsidRDefault="004E736C" w:rsidP="004E736C">
      <w:pPr>
        <w:pStyle w:val="NormalWeb"/>
        <w:rPr>
          <w:color w:val="000000"/>
        </w:rPr>
      </w:pPr>
    </w:p>
    <w:p w14:paraId="5579C5E5" w14:textId="13894C50" w:rsidR="004E736C" w:rsidRPr="004E736C" w:rsidRDefault="00CE4CAA" w:rsidP="004E736C">
      <w:r>
        <w:t xml:space="preserve">Word count including citations 4020 </w:t>
      </w:r>
    </w:p>
    <w:p w14:paraId="07324823" w14:textId="4AA7E82D" w:rsidR="00CE4CAA" w:rsidRDefault="007911BC" w:rsidP="00CE4CAA">
      <w:pPr>
        <w:pStyle w:val="Heading1"/>
      </w:pPr>
      <w:r>
        <w:lastRenderedPageBreak/>
        <w:t xml:space="preserve">Acknowledgement </w:t>
      </w:r>
    </w:p>
    <w:p w14:paraId="4339D394" w14:textId="0332B2D9" w:rsidR="007911BC" w:rsidRPr="000A4DDA" w:rsidRDefault="007911BC" w:rsidP="007911BC">
      <w:pPr>
        <w:pStyle w:val="NormalWeb"/>
        <w:spacing w:line="360" w:lineRule="auto"/>
        <w:rPr>
          <w:rFonts w:ascii="Arial" w:hAnsi="Arial" w:cs="Arial"/>
        </w:rPr>
      </w:pPr>
      <w:r w:rsidRPr="000A4DDA">
        <w:rPr>
          <w:rFonts w:ascii="Arial" w:hAnsi="Arial" w:cs="Arial"/>
        </w:rPr>
        <w:t xml:space="preserve">I acknowledge the use of cite this for me and chat GPT on </w:t>
      </w:r>
      <w:r>
        <w:rPr>
          <w:rFonts w:ascii="Arial" w:hAnsi="Arial" w:cs="Arial"/>
        </w:rPr>
        <w:t>8</w:t>
      </w:r>
      <w:r w:rsidRPr="000A4DDA">
        <w:rPr>
          <w:rFonts w:ascii="Arial" w:hAnsi="Arial" w:cs="Arial"/>
        </w:rPr>
        <w:t>/</w:t>
      </w:r>
      <w:r>
        <w:rPr>
          <w:rFonts w:ascii="Arial" w:hAnsi="Arial" w:cs="Arial"/>
        </w:rPr>
        <w:t>1</w:t>
      </w:r>
      <w:r w:rsidRPr="000A4DDA">
        <w:rPr>
          <w:rFonts w:ascii="Arial" w:hAnsi="Arial" w:cs="Arial"/>
        </w:rPr>
        <w:t>/</w:t>
      </w:r>
      <w:r>
        <w:rPr>
          <w:rFonts w:ascii="Arial" w:hAnsi="Arial" w:cs="Arial"/>
        </w:rPr>
        <w:t>26</w:t>
      </w:r>
      <w:r w:rsidRPr="000A4DDA">
        <w:rPr>
          <w:rFonts w:ascii="Arial" w:hAnsi="Arial" w:cs="Arial"/>
        </w:rPr>
        <w:t xml:space="preserve"> to arrange my reference list. I used the prompt(s): </w:t>
      </w:r>
    </w:p>
    <w:p w14:paraId="1C76B55A" w14:textId="294CC754" w:rsidR="007911BC" w:rsidRPr="000A4DDA" w:rsidRDefault="007911BC" w:rsidP="007911BC">
      <w:pPr>
        <w:pStyle w:val="NormalWeb"/>
        <w:numPr>
          <w:ilvl w:val="0"/>
          <w:numId w:val="24"/>
        </w:numPr>
        <w:spacing w:line="360" w:lineRule="auto"/>
        <w:rPr>
          <w:rFonts w:ascii="Arial" w:hAnsi="Arial" w:cs="Arial"/>
        </w:rPr>
      </w:pPr>
      <w:r>
        <w:rPr>
          <w:rFonts w:ascii="Arial" w:hAnsi="Arial" w:cs="Arial"/>
        </w:rPr>
        <w:t>Using this document p</w:t>
      </w:r>
      <w:r w:rsidRPr="000A4DDA">
        <w:rPr>
          <w:rFonts w:ascii="Arial" w:hAnsi="Arial" w:cs="Arial"/>
        </w:rPr>
        <w:t xml:space="preserve">lease arrange my reference list into alphabetical order </w:t>
      </w:r>
    </w:p>
    <w:p w14:paraId="1117F658" w14:textId="77777777" w:rsidR="007911BC" w:rsidRPr="000A4DDA" w:rsidRDefault="007911BC" w:rsidP="007911BC">
      <w:pPr>
        <w:pStyle w:val="NormalWeb"/>
        <w:numPr>
          <w:ilvl w:val="0"/>
          <w:numId w:val="24"/>
        </w:numPr>
        <w:spacing w:line="360" w:lineRule="auto"/>
        <w:rPr>
          <w:rFonts w:ascii="Arial" w:hAnsi="Arial" w:cs="Arial"/>
        </w:rPr>
      </w:pPr>
      <w:r>
        <w:rPr>
          <w:rFonts w:ascii="Arial" w:hAnsi="Arial" w:cs="Arial"/>
          <w:color w:val="000000"/>
        </w:rPr>
        <w:t>If</w:t>
      </w:r>
      <w:r w:rsidRPr="000A4DDA">
        <w:rPr>
          <w:rFonts w:ascii="Arial" w:hAnsi="Arial" w:cs="Arial"/>
          <w:color w:val="000000"/>
        </w:rPr>
        <w:t xml:space="preserve"> there are any repeat </w:t>
      </w:r>
      <w:r>
        <w:rPr>
          <w:rFonts w:ascii="Arial" w:hAnsi="Arial" w:cs="Arial"/>
          <w:color w:val="000000"/>
        </w:rPr>
        <w:t>citations</w:t>
      </w:r>
      <w:r w:rsidRPr="000A4DDA">
        <w:rPr>
          <w:rFonts w:ascii="Arial" w:hAnsi="Arial" w:cs="Arial"/>
          <w:color w:val="000000"/>
        </w:rPr>
        <w:t xml:space="preserve"> with the same dates also, please label them a, b, c etc after the dates that are given.</w:t>
      </w:r>
    </w:p>
    <w:p w14:paraId="5F524DBB" w14:textId="77777777" w:rsidR="007911BC" w:rsidRPr="000A4DDA" w:rsidRDefault="007911BC" w:rsidP="007911BC">
      <w:pPr>
        <w:pStyle w:val="NormalWeb"/>
        <w:numPr>
          <w:ilvl w:val="0"/>
          <w:numId w:val="24"/>
        </w:numPr>
        <w:spacing w:line="360" w:lineRule="auto"/>
        <w:rPr>
          <w:rFonts w:ascii="Arial" w:hAnsi="Arial" w:cs="Arial"/>
        </w:rPr>
      </w:pPr>
      <w:r w:rsidRPr="000A4DDA">
        <w:rPr>
          <w:rFonts w:ascii="Arial" w:hAnsi="Arial" w:cs="Arial"/>
          <w:color w:val="000000"/>
        </w:rPr>
        <w:t>Just provide it here, thank you</w:t>
      </w:r>
      <w:r>
        <w:rPr>
          <w:rFonts w:ascii="Arial" w:hAnsi="Arial" w:cs="Arial"/>
          <w:color w:val="000000"/>
        </w:rPr>
        <w:t>.</w:t>
      </w:r>
    </w:p>
    <w:p w14:paraId="737CEEE0" w14:textId="77777777" w:rsidR="007911BC" w:rsidRPr="000A4DDA" w:rsidRDefault="007911BC" w:rsidP="007911BC">
      <w:pPr>
        <w:pStyle w:val="NormalWeb"/>
        <w:spacing w:line="360" w:lineRule="auto"/>
        <w:rPr>
          <w:rFonts w:ascii="Arial" w:hAnsi="Arial" w:cs="Arial"/>
        </w:rPr>
      </w:pPr>
      <w:r w:rsidRPr="000A4DDA">
        <w:rPr>
          <w:rFonts w:ascii="Arial"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p w14:paraId="039ABD3D" w14:textId="77777777" w:rsidR="007911BC" w:rsidRPr="007911BC" w:rsidRDefault="007911BC" w:rsidP="007911BC"/>
    <w:p w14:paraId="12EF89B3" w14:textId="77777777" w:rsidR="0086336B" w:rsidRPr="0086336B" w:rsidRDefault="0086336B" w:rsidP="0086336B">
      <w:pPr>
        <w:pStyle w:val="NormalWeb"/>
        <w:spacing w:line="360" w:lineRule="auto"/>
        <w:rPr>
          <w:rFonts w:ascii="Arial" w:hAnsi="Arial" w:cs="Arial"/>
          <w:color w:val="000000"/>
        </w:rPr>
      </w:pPr>
    </w:p>
    <w:p w14:paraId="37603288" w14:textId="77777777" w:rsidR="0086336B" w:rsidRDefault="0086336B" w:rsidP="0086336B">
      <w:pPr>
        <w:pStyle w:val="NormalWeb"/>
        <w:rPr>
          <w:color w:val="000000"/>
        </w:rPr>
      </w:pPr>
    </w:p>
    <w:p w14:paraId="65C8E7E5" w14:textId="77777777" w:rsidR="00A70AA9" w:rsidRPr="00A70AA9" w:rsidRDefault="00A70AA9" w:rsidP="00A70AA9">
      <w:pPr>
        <w:spacing w:before="100" w:beforeAutospacing="1" w:after="100" w:afterAutospacing="1" w:line="240" w:lineRule="auto"/>
        <w:rPr>
          <w:rFonts w:ascii="Times New Roman" w:eastAsia="Times New Roman" w:hAnsi="Times New Roman" w:cs="Times New Roman"/>
          <w:color w:val="auto"/>
          <w:sz w:val="24"/>
          <w:szCs w:val="24"/>
          <w:lang w:val="en-GB" w:eastAsia="en-GB"/>
        </w:rPr>
      </w:pPr>
    </w:p>
    <w:p w14:paraId="7C327C3E" w14:textId="2968A42A" w:rsidR="00A70AA9" w:rsidRPr="00A70AA9" w:rsidRDefault="00A70AA9" w:rsidP="00A70AA9">
      <w:pPr>
        <w:spacing w:before="0" w:after="0" w:line="240" w:lineRule="auto"/>
        <w:rPr>
          <w:rFonts w:ascii="Times New Roman" w:eastAsia="Times New Roman" w:hAnsi="Times New Roman" w:cs="Times New Roman"/>
          <w:color w:val="auto"/>
          <w:sz w:val="24"/>
          <w:szCs w:val="24"/>
          <w:lang w:val="en-GB" w:eastAsia="en-GB"/>
        </w:rPr>
      </w:pPr>
      <w:r w:rsidRPr="00A70AA9">
        <w:rPr>
          <w:rFonts w:ascii="Times New Roman" w:eastAsia="Times New Roman" w:hAnsi="Times New Roman" w:cs="Times New Roman"/>
          <w:color w:val="auto"/>
          <w:sz w:val="24"/>
          <w:szCs w:val="24"/>
          <w:lang w:val="en-GB" w:eastAsia="en-GB"/>
        </w:rPr>
        <w:t xml:space="preserve"> </w:t>
      </w:r>
    </w:p>
    <w:p w14:paraId="23C2C94E" w14:textId="77777777" w:rsidR="00A70AA9" w:rsidRPr="00A70AA9" w:rsidRDefault="00A70AA9" w:rsidP="00A70AA9">
      <w:pPr>
        <w:pStyle w:val="NormalWeb"/>
        <w:spacing w:line="360" w:lineRule="auto"/>
        <w:rPr>
          <w:rFonts w:ascii="Arial" w:hAnsi="Arial" w:cs="Arial"/>
          <w:color w:val="000000"/>
        </w:rPr>
      </w:pPr>
    </w:p>
    <w:p w14:paraId="53009770" w14:textId="77777777" w:rsidR="00A70AA9" w:rsidRPr="00A70AA9" w:rsidRDefault="00A70AA9" w:rsidP="00A70AA9">
      <w:pPr>
        <w:pStyle w:val="NormalWeb"/>
        <w:spacing w:line="360" w:lineRule="auto"/>
        <w:rPr>
          <w:rFonts w:ascii="Arial" w:hAnsi="Arial" w:cs="Arial"/>
          <w:color w:val="000000"/>
        </w:rPr>
      </w:pPr>
    </w:p>
    <w:p w14:paraId="35ABBC31" w14:textId="77777777" w:rsidR="00A70AA9" w:rsidRPr="00A70AA9" w:rsidRDefault="00A70AA9" w:rsidP="00A70AA9">
      <w:pPr>
        <w:pStyle w:val="NormalWeb"/>
        <w:spacing w:line="360" w:lineRule="auto"/>
        <w:rPr>
          <w:rFonts w:ascii="Arial" w:hAnsi="Arial" w:cs="Arial"/>
          <w:color w:val="000000"/>
        </w:rPr>
      </w:pPr>
    </w:p>
    <w:p w14:paraId="6DF76140" w14:textId="77777777" w:rsidR="00A70AA9" w:rsidRPr="00A70AA9" w:rsidRDefault="00A70AA9" w:rsidP="00A70AA9">
      <w:pPr>
        <w:pStyle w:val="NormalWeb"/>
        <w:spacing w:line="360" w:lineRule="auto"/>
        <w:rPr>
          <w:rFonts w:ascii="Arial" w:hAnsi="Arial" w:cs="Arial"/>
          <w:color w:val="000000"/>
        </w:rPr>
      </w:pPr>
    </w:p>
    <w:p w14:paraId="49EBBF34" w14:textId="77777777" w:rsidR="00A70AA9" w:rsidRPr="00A70AA9" w:rsidRDefault="00A70AA9" w:rsidP="00A70AA9"/>
    <w:p w14:paraId="1A2FF423" w14:textId="77777777" w:rsidR="005A2A06" w:rsidRPr="005A2A06" w:rsidRDefault="005A2A06" w:rsidP="005A2A06">
      <w:pPr>
        <w:pStyle w:val="NormalWeb"/>
        <w:spacing w:line="360" w:lineRule="auto"/>
        <w:rPr>
          <w:rFonts w:ascii="Arial" w:hAnsi="Arial" w:cs="Arial"/>
          <w:i/>
          <w:iCs/>
          <w:color w:val="000000"/>
        </w:rPr>
      </w:pPr>
    </w:p>
    <w:p w14:paraId="0559F963" w14:textId="77777777" w:rsidR="005A2A06" w:rsidRPr="005A2A06" w:rsidRDefault="005A2A06" w:rsidP="005A2A06">
      <w:pPr>
        <w:pStyle w:val="NormalWeb"/>
        <w:spacing w:line="360" w:lineRule="auto"/>
        <w:rPr>
          <w:rFonts w:ascii="Arial" w:hAnsi="Arial" w:cs="Arial"/>
          <w:color w:val="000000"/>
        </w:rPr>
      </w:pPr>
    </w:p>
    <w:p w14:paraId="05BF1DCC" w14:textId="4E2C0D41" w:rsidR="009946FC" w:rsidRDefault="005A2A06" w:rsidP="009946FC">
      <w:pPr>
        <w:pStyle w:val="Heading1"/>
      </w:pPr>
      <w:r>
        <w:br w:type="page"/>
      </w:r>
      <w:bookmarkStart w:id="31" w:name="_Toc218764823"/>
      <w:r>
        <w:lastRenderedPageBreak/>
        <w:t>References</w:t>
      </w:r>
      <w:bookmarkEnd w:id="31"/>
      <w:r>
        <w:t xml:space="preserve"> </w:t>
      </w:r>
    </w:p>
    <w:p w14:paraId="4E1FEC92" w14:textId="77777777" w:rsidR="009946FC" w:rsidRDefault="009946FC" w:rsidP="009946FC"/>
    <w:p w14:paraId="39C36918"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Brenner, S. (2022) *Cybercrime and the Law: Challenges, Issues, and Outcomes*. London: Routledge.</w:t>
      </w:r>
    </w:p>
    <w:p w14:paraId="18A37F35" w14:textId="77777777" w:rsidR="009946FC" w:rsidRPr="009E1AB4" w:rsidRDefault="009946FC" w:rsidP="009E1AB4">
      <w:pPr>
        <w:spacing w:line="360" w:lineRule="auto"/>
        <w:rPr>
          <w:rFonts w:ascii="Arial" w:hAnsi="Arial" w:cs="Arial"/>
          <w:sz w:val="24"/>
          <w:szCs w:val="24"/>
        </w:rPr>
      </w:pPr>
    </w:p>
    <w:p w14:paraId="5353E4A7"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Casey, E. (2020) *Digital Evidence and Computer Crime*. 4th </w:t>
      </w:r>
      <w:proofErr w:type="spellStart"/>
      <w:r w:rsidRPr="009E1AB4">
        <w:rPr>
          <w:rFonts w:ascii="Arial" w:hAnsi="Arial" w:cs="Arial"/>
          <w:sz w:val="24"/>
          <w:szCs w:val="24"/>
        </w:rPr>
        <w:t>edn</w:t>
      </w:r>
      <w:proofErr w:type="spellEnd"/>
      <w:r w:rsidRPr="009E1AB4">
        <w:rPr>
          <w:rFonts w:ascii="Arial" w:hAnsi="Arial" w:cs="Arial"/>
          <w:sz w:val="24"/>
          <w:szCs w:val="24"/>
        </w:rPr>
        <w:t>. London: Academic Press.</w:t>
      </w:r>
    </w:p>
    <w:p w14:paraId="5477B0AF" w14:textId="77777777" w:rsidR="009946FC" w:rsidRPr="009E1AB4" w:rsidRDefault="009946FC" w:rsidP="009E1AB4">
      <w:pPr>
        <w:spacing w:line="360" w:lineRule="auto"/>
        <w:rPr>
          <w:rFonts w:ascii="Arial" w:hAnsi="Arial" w:cs="Arial"/>
          <w:sz w:val="24"/>
          <w:szCs w:val="24"/>
        </w:rPr>
      </w:pPr>
    </w:p>
    <w:p w14:paraId="0EC2177F" w14:textId="074A3D7A"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College of Policing (2022) *Digital Forensics: </w:t>
      </w:r>
      <w:proofErr w:type="spellStart"/>
      <w:r w:rsidRPr="009E1AB4">
        <w:rPr>
          <w:rFonts w:ascii="Arial" w:hAnsi="Arial" w:cs="Arial"/>
          <w:sz w:val="24"/>
          <w:szCs w:val="24"/>
        </w:rPr>
        <w:t>Authorised</w:t>
      </w:r>
      <w:proofErr w:type="spellEnd"/>
      <w:r w:rsidRPr="009E1AB4">
        <w:rPr>
          <w:rFonts w:ascii="Arial" w:hAnsi="Arial" w:cs="Arial"/>
          <w:sz w:val="24"/>
          <w:szCs w:val="24"/>
        </w:rPr>
        <w:t xml:space="preserve"> Professional Practice*. Available at</w:t>
      </w:r>
      <w:r w:rsidR="009E1AB4" w:rsidRPr="009E1AB4">
        <w:rPr>
          <w:rFonts w:ascii="Arial" w:hAnsi="Arial" w:cs="Arial"/>
          <w:sz w:val="24"/>
          <w:szCs w:val="24"/>
        </w:rPr>
        <w:t xml:space="preserve">: </w:t>
      </w:r>
      <w:hyperlink r:id="rId9" w:history="1">
        <w:r w:rsidR="009E1AB4" w:rsidRPr="009E1AB4">
          <w:rPr>
            <w:rStyle w:val="Hyperlink"/>
            <w:rFonts w:ascii="Arial" w:hAnsi="Arial" w:cs="Arial"/>
            <w:sz w:val="24"/>
            <w:szCs w:val="24"/>
          </w:rPr>
          <w:t>https://www.google.com/search?client=safari&amp;rls=en&amp;q=Digital+Forensics%3A+Authorised+Professional+Practice+college+of+polcing&amp;ie=UTF-8&amp;oe=UTF-8</w:t>
        </w:r>
      </w:hyperlink>
      <w:r w:rsidR="009E1AB4" w:rsidRPr="009E1AB4">
        <w:rPr>
          <w:rFonts w:ascii="Arial" w:hAnsi="Arial" w:cs="Arial"/>
          <w:sz w:val="24"/>
          <w:szCs w:val="24"/>
        </w:rPr>
        <w:t xml:space="preserve"> </w:t>
      </w:r>
      <w:r w:rsidRPr="009E1AB4">
        <w:rPr>
          <w:rFonts w:ascii="Arial" w:hAnsi="Arial" w:cs="Arial"/>
          <w:sz w:val="24"/>
          <w:szCs w:val="24"/>
        </w:rPr>
        <w:t xml:space="preserve"> (Accessed: 7 January 2026).</w:t>
      </w:r>
    </w:p>
    <w:p w14:paraId="470C2885" w14:textId="77777777" w:rsidR="009946FC" w:rsidRPr="009E1AB4" w:rsidRDefault="009946FC" w:rsidP="009E1AB4">
      <w:pPr>
        <w:spacing w:line="360" w:lineRule="auto"/>
        <w:rPr>
          <w:rFonts w:ascii="Arial" w:hAnsi="Arial" w:cs="Arial"/>
          <w:sz w:val="24"/>
          <w:szCs w:val="24"/>
        </w:rPr>
      </w:pPr>
    </w:p>
    <w:p w14:paraId="387B57CD"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Conway, M., Scrivens, R. and </w:t>
      </w:r>
      <w:proofErr w:type="spellStart"/>
      <w:r w:rsidRPr="009E1AB4">
        <w:rPr>
          <w:rFonts w:ascii="Arial" w:hAnsi="Arial" w:cs="Arial"/>
          <w:sz w:val="24"/>
          <w:szCs w:val="24"/>
        </w:rPr>
        <w:t>Macnair</w:t>
      </w:r>
      <w:proofErr w:type="spellEnd"/>
      <w:r w:rsidRPr="009E1AB4">
        <w:rPr>
          <w:rFonts w:ascii="Arial" w:hAnsi="Arial" w:cs="Arial"/>
          <w:sz w:val="24"/>
          <w:szCs w:val="24"/>
        </w:rPr>
        <w:t>, L. (2022) ‘Right-wing extremism and online radicalisation’, *Studies in Conflict &amp; Terrorism*, 45(5), pp. 1–24.</w:t>
      </w:r>
    </w:p>
    <w:p w14:paraId="6EE41302" w14:textId="77777777" w:rsidR="009946FC" w:rsidRPr="009E1AB4" w:rsidRDefault="009946FC" w:rsidP="009E1AB4">
      <w:pPr>
        <w:spacing w:line="360" w:lineRule="auto"/>
        <w:rPr>
          <w:rFonts w:ascii="Arial" w:hAnsi="Arial" w:cs="Arial"/>
          <w:sz w:val="24"/>
          <w:szCs w:val="24"/>
        </w:rPr>
      </w:pPr>
    </w:p>
    <w:p w14:paraId="3EBA3521"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Department for Science, Innovation and Technology (DSIT) (2025) *Cyber Security Breaches Survey 2025*. London: His Majesty’s Government.</w:t>
      </w:r>
    </w:p>
    <w:p w14:paraId="08950124" w14:textId="77777777" w:rsidR="009946FC" w:rsidRPr="009E1AB4" w:rsidRDefault="009946FC" w:rsidP="009E1AB4">
      <w:pPr>
        <w:spacing w:line="360" w:lineRule="auto"/>
        <w:rPr>
          <w:rFonts w:ascii="Arial" w:hAnsi="Arial" w:cs="Arial"/>
          <w:sz w:val="24"/>
          <w:szCs w:val="24"/>
        </w:rPr>
      </w:pPr>
    </w:p>
    <w:p w14:paraId="575986DC"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Dupont, B. (2021) ‘The governance of cybercrime: Public–private partnerships’, *Policing and Society*, 31(1), pp. 1–17.</w:t>
      </w:r>
    </w:p>
    <w:p w14:paraId="20979C63" w14:textId="77777777" w:rsidR="009946FC" w:rsidRPr="009E1AB4" w:rsidRDefault="009946FC" w:rsidP="009E1AB4">
      <w:pPr>
        <w:spacing w:line="360" w:lineRule="auto"/>
        <w:rPr>
          <w:rFonts w:ascii="Arial" w:hAnsi="Arial" w:cs="Arial"/>
          <w:sz w:val="24"/>
          <w:szCs w:val="24"/>
        </w:rPr>
      </w:pPr>
    </w:p>
    <w:p w14:paraId="73573C1B" w14:textId="21CD4AF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European Union Agency for Cybersecurity (ENISA) (2018) *National Cyber Security Strategies: Practical Guide on Development and Execution*. Available </w:t>
      </w:r>
      <w:r w:rsidRPr="009E1AB4">
        <w:rPr>
          <w:rFonts w:ascii="Arial" w:hAnsi="Arial" w:cs="Arial"/>
          <w:sz w:val="24"/>
          <w:szCs w:val="24"/>
        </w:rPr>
        <w:lastRenderedPageBreak/>
        <w:t xml:space="preserve">at: </w:t>
      </w:r>
      <w:hyperlink r:id="rId10" w:history="1">
        <w:r w:rsidR="009E1AB4" w:rsidRPr="009E1AB4">
          <w:rPr>
            <w:rStyle w:val="Hyperlink"/>
            <w:rFonts w:ascii="Arial" w:hAnsi="Arial" w:cs="Arial"/>
            <w:sz w:val="24"/>
            <w:szCs w:val="24"/>
          </w:rPr>
          <w:t>https://ww</w:t>
        </w:r>
        <w:r w:rsidR="009E1AB4" w:rsidRPr="009E1AB4">
          <w:rPr>
            <w:rStyle w:val="Hyperlink"/>
            <w:rFonts w:ascii="Arial" w:hAnsi="Arial" w:cs="Arial"/>
            <w:sz w:val="24"/>
            <w:szCs w:val="24"/>
          </w:rPr>
          <w:t>w</w:t>
        </w:r>
        <w:r w:rsidR="009E1AB4" w:rsidRPr="009E1AB4">
          <w:rPr>
            <w:rStyle w:val="Hyperlink"/>
            <w:rFonts w:ascii="Arial" w:hAnsi="Arial" w:cs="Arial"/>
            <w:sz w:val="24"/>
            <w:szCs w:val="24"/>
          </w:rPr>
          <w:t>.enisa.europa.eu/publicati</w:t>
        </w:r>
        <w:r w:rsidR="009E1AB4" w:rsidRPr="009E1AB4">
          <w:rPr>
            <w:rStyle w:val="Hyperlink"/>
            <w:rFonts w:ascii="Arial" w:hAnsi="Arial" w:cs="Arial"/>
            <w:sz w:val="24"/>
            <w:szCs w:val="24"/>
          </w:rPr>
          <w:t>o</w:t>
        </w:r>
        <w:r w:rsidR="009E1AB4" w:rsidRPr="009E1AB4">
          <w:rPr>
            <w:rStyle w:val="Hyperlink"/>
            <w:rFonts w:ascii="Arial" w:hAnsi="Arial" w:cs="Arial"/>
            <w:sz w:val="24"/>
            <w:szCs w:val="24"/>
          </w:rPr>
          <w:t>ns/national-cyber-security-strategies</w:t>
        </w:r>
      </w:hyperlink>
      <w:r w:rsidRPr="009E1AB4">
        <w:rPr>
          <w:rFonts w:ascii="Arial" w:hAnsi="Arial" w:cs="Arial"/>
          <w:sz w:val="24"/>
          <w:szCs w:val="24"/>
        </w:rPr>
        <w:t>)</w:t>
      </w:r>
      <w:r w:rsidR="009E1AB4" w:rsidRPr="009E1AB4">
        <w:rPr>
          <w:rFonts w:ascii="Arial" w:hAnsi="Arial" w:cs="Arial"/>
          <w:sz w:val="24"/>
          <w:szCs w:val="24"/>
        </w:rPr>
        <w:t xml:space="preserve"> </w:t>
      </w:r>
      <w:r w:rsidRPr="009E1AB4">
        <w:rPr>
          <w:rFonts w:ascii="Arial" w:hAnsi="Arial" w:cs="Arial"/>
          <w:sz w:val="24"/>
          <w:szCs w:val="24"/>
        </w:rPr>
        <w:t xml:space="preserve"> (Accessed: 7 January 2026).</w:t>
      </w:r>
    </w:p>
    <w:p w14:paraId="74A9D636" w14:textId="77777777" w:rsidR="009946FC" w:rsidRPr="009E1AB4" w:rsidRDefault="009946FC" w:rsidP="009E1AB4">
      <w:pPr>
        <w:spacing w:line="360" w:lineRule="auto"/>
        <w:rPr>
          <w:rFonts w:ascii="Arial" w:hAnsi="Arial" w:cs="Arial"/>
          <w:sz w:val="24"/>
          <w:szCs w:val="24"/>
        </w:rPr>
      </w:pPr>
    </w:p>
    <w:p w14:paraId="328BBFF1" w14:textId="73679BC4"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European Union Agency for Cybersecurity (ENISA) (2024) *ENISA Threat Landscape*. Available at:</w:t>
      </w:r>
      <w:r w:rsidR="009E1AB4" w:rsidRPr="009E1AB4">
        <w:rPr>
          <w:rFonts w:ascii="Arial" w:hAnsi="Arial" w:cs="Arial"/>
          <w:sz w:val="24"/>
          <w:szCs w:val="24"/>
        </w:rPr>
        <w:t xml:space="preserve"> (</w:t>
      </w:r>
      <w:hyperlink r:id="rId11" w:history="1">
        <w:r w:rsidR="009E1AB4" w:rsidRPr="009E1AB4">
          <w:rPr>
            <w:rStyle w:val="Hyperlink"/>
            <w:rFonts w:ascii="Arial" w:hAnsi="Arial" w:cs="Arial"/>
            <w:sz w:val="24"/>
            <w:szCs w:val="24"/>
          </w:rPr>
          <w:t>https://www.enisa.europ</w:t>
        </w:r>
        <w:r w:rsidR="009E1AB4" w:rsidRPr="009E1AB4">
          <w:rPr>
            <w:rStyle w:val="Hyperlink"/>
            <w:rFonts w:ascii="Arial" w:hAnsi="Arial" w:cs="Arial"/>
            <w:sz w:val="24"/>
            <w:szCs w:val="24"/>
          </w:rPr>
          <w:t>a</w:t>
        </w:r>
        <w:r w:rsidR="009E1AB4" w:rsidRPr="009E1AB4">
          <w:rPr>
            <w:rStyle w:val="Hyperlink"/>
            <w:rFonts w:ascii="Arial" w:hAnsi="Arial" w:cs="Arial"/>
            <w:sz w:val="24"/>
            <w:szCs w:val="24"/>
          </w:rPr>
          <w:t>.eu</w:t>
        </w:r>
      </w:hyperlink>
      <w:r w:rsidR="009E1AB4" w:rsidRPr="009E1AB4">
        <w:rPr>
          <w:rFonts w:ascii="Arial" w:hAnsi="Arial" w:cs="Arial"/>
          <w:sz w:val="24"/>
          <w:szCs w:val="24"/>
        </w:rPr>
        <w:t xml:space="preserve"> </w:t>
      </w:r>
      <w:r w:rsidRPr="009E1AB4">
        <w:rPr>
          <w:rFonts w:ascii="Arial" w:hAnsi="Arial" w:cs="Arial"/>
          <w:sz w:val="24"/>
          <w:szCs w:val="24"/>
        </w:rPr>
        <w:t>) (Accessed: 7 January 2026).</w:t>
      </w:r>
    </w:p>
    <w:p w14:paraId="364F50CD" w14:textId="77777777" w:rsidR="009946FC" w:rsidRPr="009E1AB4" w:rsidRDefault="009946FC" w:rsidP="009E1AB4">
      <w:pPr>
        <w:spacing w:line="360" w:lineRule="auto"/>
        <w:rPr>
          <w:rFonts w:ascii="Arial" w:hAnsi="Arial" w:cs="Arial"/>
          <w:sz w:val="24"/>
          <w:szCs w:val="24"/>
        </w:rPr>
      </w:pPr>
    </w:p>
    <w:p w14:paraId="1BDB908E"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Europol (2023) *European Union Terrorism Situation and Trend Report (TE-SAT)*. The Hague: Europol.</w:t>
      </w:r>
    </w:p>
    <w:p w14:paraId="51456762" w14:textId="77777777" w:rsidR="009946FC" w:rsidRPr="009E1AB4" w:rsidRDefault="009946FC" w:rsidP="009E1AB4">
      <w:pPr>
        <w:spacing w:line="360" w:lineRule="auto"/>
        <w:rPr>
          <w:rFonts w:ascii="Arial" w:hAnsi="Arial" w:cs="Arial"/>
          <w:sz w:val="24"/>
          <w:szCs w:val="24"/>
        </w:rPr>
      </w:pPr>
    </w:p>
    <w:p w14:paraId="6E9C0599"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Financial Action Task Force (FATF) (2022) *Terrorist Financing Risk Assessment*. Paris: FATF.</w:t>
      </w:r>
    </w:p>
    <w:p w14:paraId="728FA71B" w14:textId="77777777" w:rsidR="009946FC" w:rsidRPr="009E1AB4" w:rsidRDefault="009946FC" w:rsidP="009E1AB4">
      <w:pPr>
        <w:spacing w:line="360" w:lineRule="auto"/>
        <w:rPr>
          <w:rFonts w:ascii="Arial" w:hAnsi="Arial" w:cs="Arial"/>
          <w:sz w:val="24"/>
          <w:szCs w:val="24"/>
        </w:rPr>
      </w:pPr>
    </w:p>
    <w:p w14:paraId="0C0A9FA3"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Heath-Kelly, C. (2021) *Death and Security: Memory and Mortality at the Bombsite*. Manchester: Manchester University Press.</w:t>
      </w:r>
    </w:p>
    <w:p w14:paraId="0E9AE831" w14:textId="77777777" w:rsidR="009946FC" w:rsidRPr="009E1AB4" w:rsidRDefault="009946FC" w:rsidP="009E1AB4">
      <w:pPr>
        <w:spacing w:line="360" w:lineRule="auto"/>
        <w:rPr>
          <w:rFonts w:ascii="Arial" w:hAnsi="Arial" w:cs="Arial"/>
          <w:sz w:val="24"/>
          <w:szCs w:val="24"/>
        </w:rPr>
      </w:pPr>
    </w:p>
    <w:p w14:paraId="67CA4736"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His Majesty’s Government (2022) *National Cyber Strategy 2022*. London: HMSO.</w:t>
      </w:r>
    </w:p>
    <w:p w14:paraId="23BC06ED" w14:textId="77777777" w:rsidR="009E1AB4" w:rsidRPr="009E1AB4" w:rsidRDefault="009E1AB4" w:rsidP="009E1AB4">
      <w:pPr>
        <w:spacing w:line="360" w:lineRule="auto"/>
        <w:rPr>
          <w:rFonts w:ascii="Arial" w:hAnsi="Arial" w:cs="Arial"/>
          <w:sz w:val="24"/>
          <w:szCs w:val="24"/>
        </w:rPr>
      </w:pPr>
    </w:p>
    <w:p w14:paraId="195C47B2" w14:textId="20B52AA2" w:rsidR="009E1AB4" w:rsidRPr="009E1AB4" w:rsidRDefault="009E1AB4" w:rsidP="009E1AB4">
      <w:pPr>
        <w:spacing w:line="360" w:lineRule="auto"/>
        <w:rPr>
          <w:rFonts w:ascii="Arial" w:hAnsi="Arial" w:cs="Arial"/>
          <w:sz w:val="24"/>
          <w:szCs w:val="24"/>
        </w:rPr>
      </w:pPr>
      <w:r w:rsidRPr="009E1AB4">
        <w:rPr>
          <w:rFonts w:ascii="Arial" w:hAnsi="Arial" w:cs="Arial"/>
          <w:color w:val="000000"/>
          <w:sz w:val="24"/>
          <w:szCs w:val="24"/>
        </w:rPr>
        <w:t>Hoare, P. (2019) </w:t>
      </w:r>
      <w:r w:rsidRPr="009E1AB4">
        <w:rPr>
          <w:rFonts w:ascii="Arial" w:hAnsi="Arial" w:cs="Arial"/>
          <w:i/>
          <w:iCs/>
          <w:color w:val="000000"/>
          <w:sz w:val="24"/>
          <w:szCs w:val="24"/>
        </w:rPr>
        <w:t>Cyber Policing – A Journey</w:t>
      </w:r>
      <w:r w:rsidRPr="009E1AB4">
        <w:rPr>
          <w:rFonts w:ascii="Arial" w:hAnsi="Arial" w:cs="Arial"/>
          <w:color w:val="000000"/>
          <w:sz w:val="24"/>
          <w:szCs w:val="24"/>
        </w:rPr>
        <w:t>. LinkedIn. Available at: </w:t>
      </w:r>
      <w:hyperlink r:id="rId12" w:tgtFrame="_new" w:history="1">
        <w:r w:rsidRPr="009E1AB4">
          <w:rPr>
            <w:rFonts w:ascii="Arial" w:hAnsi="Arial" w:cs="Arial"/>
            <w:color w:val="0000FF"/>
            <w:sz w:val="24"/>
            <w:szCs w:val="24"/>
            <w:u w:val="single"/>
          </w:rPr>
          <w:t>https://www.linkedin.com/pulse/cyber-policing-journey-paul-hoare</w:t>
        </w:r>
      </w:hyperlink>
      <w:r w:rsidRPr="009E1AB4">
        <w:rPr>
          <w:rFonts w:ascii="Arial" w:hAnsi="Arial" w:cs="Arial"/>
          <w:color w:val="000000"/>
          <w:sz w:val="24"/>
          <w:szCs w:val="24"/>
        </w:rPr>
        <w:t> (Accessed: 7 January 2026).</w:t>
      </w:r>
    </w:p>
    <w:p w14:paraId="561AD149" w14:textId="77777777" w:rsidR="009946FC" w:rsidRPr="009E1AB4" w:rsidRDefault="009946FC" w:rsidP="009E1AB4">
      <w:pPr>
        <w:spacing w:line="360" w:lineRule="auto"/>
        <w:rPr>
          <w:rFonts w:ascii="Arial" w:hAnsi="Arial" w:cs="Arial"/>
          <w:sz w:val="24"/>
          <w:szCs w:val="24"/>
        </w:rPr>
      </w:pPr>
    </w:p>
    <w:p w14:paraId="5DDBC239"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lastRenderedPageBreak/>
        <w:t>Home Office (2023) *CONTEST: The United Kingdom’s Strategy for Countering Terrorism*. London: Home Office.</w:t>
      </w:r>
    </w:p>
    <w:p w14:paraId="52B6E357" w14:textId="77777777" w:rsidR="009946FC" w:rsidRPr="009E1AB4" w:rsidRDefault="009946FC" w:rsidP="009E1AB4">
      <w:pPr>
        <w:spacing w:line="360" w:lineRule="auto"/>
        <w:rPr>
          <w:rFonts w:ascii="Arial" w:hAnsi="Arial" w:cs="Arial"/>
          <w:sz w:val="24"/>
          <w:szCs w:val="24"/>
        </w:rPr>
      </w:pPr>
    </w:p>
    <w:p w14:paraId="4D3C6A41"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Hutchings, A. and Clayton, R. (2023) ‘Ransomware-as-a-Service’, *Crime Science*, 12(4), pp. 1–15.</w:t>
      </w:r>
    </w:p>
    <w:p w14:paraId="21C51DCD" w14:textId="77777777" w:rsidR="009946FC" w:rsidRPr="009E1AB4" w:rsidRDefault="009946FC" w:rsidP="009E1AB4">
      <w:pPr>
        <w:spacing w:line="360" w:lineRule="auto"/>
        <w:rPr>
          <w:rFonts w:ascii="Arial" w:hAnsi="Arial" w:cs="Arial"/>
          <w:sz w:val="24"/>
          <w:szCs w:val="24"/>
        </w:rPr>
      </w:pPr>
    </w:p>
    <w:p w14:paraId="22150150"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Hutchings, A., Clayton, R. and Thomas, D. (2022) ‘</w:t>
      </w:r>
      <w:proofErr w:type="spellStart"/>
      <w:r w:rsidRPr="009E1AB4">
        <w:rPr>
          <w:rFonts w:ascii="Arial" w:hAnsi="Arial" w:cs="Arial"/>
          <w:sz w:val="24"/>
          <w:szCs w:val="24"/>
        </w:rPr>
        <w:t>Organised</w:t>
      </w:r>
      <w:proofErr w:type="spellEnd"/>
      <w:r w:rsidRPr="009E1AB4">
        <w:rPr>
          <w:rFonts w:ascii="Arial" w:hAnsi="Arial" w:cs="Arial"/>
          <w:sz w:val="24"/>
          <w:szCs w:val="24"/>
        </w:rPr>
        <w:t xml:space="preserve"> cybercrime and terrorism convergence’, *British Journal of Criminology*, 62(3), pp. 1–19.</w:t>
      </w:r>
    </w:p>
    <w:p w14:paraId="1AE02A9D" w14:textId="77777777" w:rsidR="009946FC" w:rsidRPr="009E1AB4" w:rsidRDefault="009946FC" w:rsidP="009E1AB4">
      <w:pPr>
        <w:spacing w:line="360" w:lineRule="auto"/>
        <w:rPr>
          <w:rFonts w:ascii="Arial" w:hAnsi="Arial" w:cs="Arial"/>
          <w:sz w:val="24"/>
          <w:szCs w:val="24"/>
        </w:rPr>
      </w:pPr>
    </w:p>
    <w:p w14:paraId="24CF86A1"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Huey, L., </w:t>
      </w:r>
      <w:proofErr w:type="spellStart"/>
      <w:r w:rsidRPr="009E1AB4">
        <w:rPr>
          <w:rFonts w:ascii="Arial" w:hAnsi="Arial" w:cs="Arial"/>
          <w:sz w:val="24"/>
          <w:szCs w:val="24"/>
        </w:rPr>
        <w:t>Nhan</w:t>
      </w:r>
      <w:proofErr w:type="spellEnd"/>
      <w:r w:rsidRPr="009E1AB4">
        <w:rPr>
          <w:rFonts w:ascii="Arial" w:hAnsi="Arial" w:cs="Arial"/>
          <w:sz w:val="24"/>
          <w:szCs w:val="24"/>
        </w:rPr>
        <w:t xml:space="preserve">, J. and </w:t>
      </w:r>
      <w:proofErr w:type="spellStart"/>
      <w:r w:rsidRPr="009E1AB4">
        <w:rPr>
          <w:rFonts w:ascii="Arial" w:hAnsi="Arial" w:cs="Arial"/>
          <w:sz w:val="24"/>
          <w:szCs w:val="24"/>
        </w:rPr>
        <w:t>Broll</w:t>
      </w:r>
      <w:proofErr w:type="spellEnd"/>
      <w:r w:rsidRPr="009E1AB4">
        <w:rPr>
          <w:rFonts w:ascii="Arial" w:hAnsi="Arial" w:cs="Arial"/>
          <w:sz w:val="24"/>
          <w:szCs w:val="24"/>
        </w:rPr>
        <w:t>, R. (2021) ‘Policing cybercrime through disruption’, *Policing and Society*, 31(6), pp. 1–18.</w:t>
      </w:r>
    </w:p>
    <w:p w14:paraId="486C8DCD" w14:textId="77777777" w:rsidR="009946FC" w:rsidRPr="009E1AB4" w:rsidRDefault="009946FC" w:rsidP="009E1AB4">
      <w:pPr>
        <w:spacing w:line="360" w:lineRule="auto"/>
        <w:rPr>
          <w:rFonts w:ascii="Arial" w:hAnsi="Arial" w:cs="Arial"/>
          <w:sz w:val="24"/>
          <w:szCs w:val="24"/>
        </w:rPr>
      </w:pPr>
    </w:p>
    <w:p w14:paraId="0788DDF9"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Independent Reviewer of Terrorism Legislation (2023) *Annual Report*. London: Home Office.</w:t>
      </w:r>
    </w:p>
    <w:p w14:paraId="28B84D89" w14:textId="77777777" w:rsidR="009946FC" w:rsidRPr="009E1AB4" w:rsidRDefault="009946FC" w:rsidP="009E1AB4">
      <w:pPr>
        <w:spacing w:line="360" w:lineRule="auto"/>
        <w:rPr>
          <w:rFonts w:ascii="Arial" w:hAnsi="Arial" w:cs="Arial"/>
          <w:sz w:val="24"/>
          <w:szCs w:val="24"/>
        </w:rPr>
      </w:pPr>
    </w:p>
    <w:p w14:paraId="41833D76"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Information Commissioner’s Office (ICO) (2023) *Personal Data Breaches*. </w:t>
      </w:r>
      <w:proofErr w:type="spellStart"/>
      <w:r w:rsidRPr="009E1AB4">
        <w:rPr>
          <w:rFonts w:ascii="Arial" w:hAnsi="Arial" w:cs="Arial"/>
          <w:sz w:val="24"/>
          <w:szCs w:val="24"/>
        </w:rPr>
        <w:t>Wilmslow</w:t>
      </w:r>
      <w:proofErr w:type="spellEnd"/>
      <w:r w:rsidRPr="009E1AB4">
        <w:rPr>
          <w:rFonts w:ascii="Arial" w:hAnsi="Arial" w:cs="Arial"/>
          <w:sz w:val="24"/>
          <w:szCs w:val="24"/>
        </w:rPr>
        <w:t>: ICO.</w:t>
      </w:r>
    </w:p>
    <w:p w14:paraId="62D9B6A6" w14:textId="77777777" w:rsidR="009946FC" w:rsidRPr="009E1AB4" w:rsidRDefault="009946FC" w:rsidP="009E1AB4">
      <w:pPr>
        <w:spacing w:line="360" w:lineRule="auto"/>
        <w:rPr>
          <w:rFonts w:ascii="Arial" w:hAnsi="Arial" w:cs="Arial"/>
          <w:sz w:val="24"/>
          <w:szCs w:val="24"/>
        </w:rPr>
      </w:pPr>
    </w:p>
    <w:p w14:paraId="5540F5E4"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Irwin, A. and Dawson, L. (2021) ‘Lone-actor terrorism and online financing’, *Terrorism and Political Violence*, 33(4), pp. 1–20.</w:t>
      </w:r>
    </w:p>
    <w:p w14:paraId="382601C6" w14:textId="77777777" w:rsidR="009946FC" w:rsidRPr="009E1AB4" w:rsidRDefault="009946FC" w:rsidP="009E1AB4">
      <w:pPr>
        <w:spacing w:line="360" w:lineRule="auto"/>
        <w:rPr>
          <w:rFonts w:ascii="Arial" w:hAnsi="Arial" w:cs="Arial"/>
          <w:sz w:val="24"/>
          <w:szCs w:val="24"/>
        </w:rPr>
      </w:pPr>
    </w:p>
    <w:p w14:paraId="251EC985" w14:textId="77777777" w:rsidR="009946FC" w:rsidRPr="009E1AB4" w:rsidRDefault="009946FC" w:rsidP="009E1AB4">
      <w:pPr>
        <w:spacing w:line="360" w:lineRule="auto"/>
        <w:rPr>
          <w:rFonts w:ascii="Arial" w:hAnsi="Arial" w:cs="Arial"/>
          <w:sz w:val="24"/>
          <w:szCs w:val="24"/>
        </w:rPr>
      </w:pPr>
      <w:proofErr w:type="spellStart"/>
      <w:r w:rsidRPr="009E1AB4">
        <w:rPr>
          <w:rFonts w:ascii="Arial" w:hAnsi="Arial" w:cs="Arial"/>
          <w:sz w:val="24"/>
          <w:szCs w:val="24"/>
        </w:rPr>
        <w:t>Jofre</w:t>
      </w:r>
      <w:proofErr w:type="spellEnd"/>
      <w:r w:rsidRPr="009E1AB4">
        <w:rPr>
          <w:rFonts w:ascii="Arial" w:hAnsi="Arial" w:cs="Arial"/>
          <w:sz w:val="24"/>
          <w:szCs w:val="24"/>
        </w:rPr>
        <w:t xml:space="preserve">, M., </w:t>
      </w:r>
      <w:proofErr w:type="spellStart"/>
      <w:r w:rsidRPr="009E1AB4">
        <w:rPr>
          <w:rFonts w:ascii="Arial" w:hAnsi="Arial" w:cs="Arial"/>
          <w:sz w:val="24"/>
          <w:szCs w:val="24"/>
        </w:rPr>
        <w:t>Aziani</w:t>
      </w:r>
      <w:proofErr w:type="spellEnd"/>
      <w:r w:rsidRPr="009E1AB4">
        <w:rPr>
          <w:rFonts w:ascii="Arial" w:hAnsi="Arial" w:cs="Arial"/>
          <w:sz w:val="24"/>
          <w:szCs w:val="24"/>
        </w:rPr>
        <w:t xml:space="preserve">, A. and Villa, E. (2024) ‘Terrorist financing: Traditional vs. emerging financial technologies’, *Terrorism and Political Violence*. </w:t>
      </w:r>
      <w:proofErr w:type="spellStart"/>
      <w:r w:rsidRPr="009E1AB4">
        <w:rPr>
          <w:rFonts w:ascii="Arial" w:hAnsi="Arial" w:cs="Arial"/>
          <w:sz w:val="24"/>
          <w:szCs w:val="24"/>
        </w:rPr>
        <w:t>doi</w:t>
      </w:r>
      <w:proofErr w:type="spellEnd"/>
      <w:r w:rsidRPr="009E1AB4">
        <w:rPr>
          <w:rFonts w:ascii="Arial" w:hAnsi="Arial" w:cs="Arial"/>
          <w:sz w:val="24"/>
          <w:szCs w:val="24"/>
        </w:rPr>
        <w:t>: 10.1080/09546553.2024.2433635.</w:t>
      </w:r>
    </w:p>
    <w:p w14:paraId="2925BCD3" w14:textId="77777777" w:rsidR="009946FC" w:rsidRPr="009E1AB4" w:rsidRDefault="009946FC" w:rsidP="009E1AB4">
      <w:pPr>
        <w:spacing w:line="360" w:lineRule="auto"/>
        <w:rPr>
          <w:rFonts w:ascii="Arial" w:hAnsi="Arial" w:cs="Arial"/>
          <w:sz w:val="24"/>
          <w:szCs w:val="24"/>
        </w:rPr>
      </w:pPr>
    </w:p>
    <w:p w14:paraId="27C9A566" w14:textId="133C5D56"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Kohn, M., Eloff, M.M. and Olivier, M.S. (2022) ‘A model for digital forensic workflows’, *Digital Investigation*, 44, 301379. Available</w:t>
      </w:r>
      <w:r w:rsidR="009E1AB4" w:rsidRPr="009E1AB4">
        <w:rPr>
          <w:rFonts w:ascii="Arial" w:hAnsi="Arial" w:cs="Arial"/>
          <w:sz w:val="24"/>
          <w:szCs w:val="24"/>
        </w:rPr>
        <w:t xml:space="preserve"> at: </w:t>
      </w:r>
      <w:r w:rsidRPr="009E1AB4">
        <w:rPr>
          <w:rFonts w:ascii="Arial" w:hAnsi="Arial" w:cs="Arial"/>
          <w:sz w:val="24"/>
          <w:szCs w:val="24"/>
        </w:rPr>
        <w:t>](</w:t>
      </w:r>
      <w:hyperlink r:id="rId13" w:history="1">
        <w:r w:rsidR="009E1AB4" w:rsidRPr="009E1AB4">
          <w:rPr>
            <w:rStyle w:val="Hyperlink"/>
            <w:rFonts w:ascii="Arial" w:hAnsi="Arial" w:cs="Arial"/>
            <w:sz w:val="24"/>
            <w:szCs w:val="24"/>
          </w:rPr>
          <w:t>https://www.sciencedirect.com/science</w:t>
        </w:r>
        <w:r w:rsidR="009E1AB4" w:rsidRPr="009E1AB4">
          <w:rPr>
            <w:rStyle w:val="Hyperlink"/>
            <w:rFonts w:ascii="Arial" w:hAnsi="Arial" w:cs="Arial"/>
            <w:sz w:val="24"/>
            <w:szCs w:val="24"/>
          </w:rPr>
          <w:t>/</w:t>
        </w:r>
        <w:r w:rsidR="009E1AB4" w:rsidRPr="009E1AB4">
          <w:rPr>
            <w:rStyle w:val="Hyperlink"/>
            <w:rFonts w:ascii="Arial" w:hAnsi="Arial" w:cs="Arial"/>
            <w:sz w:val="24"/>
            <w:szCs w:val="24"/>
          </w:rPr>
          <w:t>article/pii/S1355030622000144</w:t>
        </w:r>
      </w:hyperlink>
      <w:r w:rsidR="009E1AB4" w:rsidRPr="009E1AB4">
        <w:rPr>
          <w:rFonts w:ascii="Arial" w:hAnsi="Arial" w:cs="Arial"/>
          <w:sz w:val="24"/>
          <w:szCs w:val="24"/>
        </w:rPr>
        <w:t xml:space="preserve"> </w:t>
      </w:r>
      <w:r w:rsidRPr="009E1AB4">
        <w:rPr>
          <w:rFonts w:ascii="Arial" w:hAnsi="Arial" w:cs="Arial"/>
          <w:sz w:val="24"/>
          <w:szCs w:val="24"/>
        </w:rPr>
        <w:t>) (Accessed: 7 January 2026).</w:t>
      </w:r>
    </w:p>
    <w:p w14:paraId="7DDAFD1D" w14:textId="77777777" w:rsidR="009946FC" w:rsidRPr="009E1AB4" w:rsidRDefault="009946FC" w:rsidP="009E1AB4">
      <w:pPr>
        <w:spacing w:line="360" w:lineRule="auto"/>
        <w:rPr>
          <w:rFonts w:ascii="Arial" w:hAnsi="Arial" w:cs="Arial"/>
          <w:sz w:val="24"/>
          <w:szCs w:val="24"/>
        </w:rPr>
      </w:pPr>
    </w:p>
    <w:p w14:paraId="552D312D" w14:textId="77777777" w:rsidR="009946FC" w:rsidRPr="009E1AB4" w:rsidRDefault="009946FC" w:rsidP="009E1AB4">
      <w:pPr>
        <w:spacing w:line="360" w:lineRule="auto"/>
        <w:rPr>
          <w:rFonts w:ascii="Arial" w:hAnsi="Arial" w:cs="Arial"/>
          <w:sz w:val="24"/>
          <w:szCs w:val="24"/>
        </w:rPr>
      </w:pPr>
      <w:proofErr w:type="spellStart"/>
      <w:r w:rsidRPr="009E1AB4">
        <w:rPr>
          <w:rFonts w:ascii="Arial" w:hAnsi="Arial" w:cs="Arial"/>
          <w:sz w:val="24"/>
          <w:szCs w:val="24"/>
        </w:rPr>
        <w:t>Kostadinov</w:t>
      </w:r>
      <w:proofErr w:type="spellEnd"/>
      <w:r w:rsidRPr="009E1AB4">
        <w:rPr>
          <w:rFonts w:ascii="Arial" w:hAnsi="Arial" w:cs="Arial"/>
          <w:sz w:val="24"/>
          <w:szCs w:val="24"/>
        </w:rPr>
        <w:t>, R., Smith, M., Brown, K. and Jones, A. (2021) ‘Barriers to intelligence sharing’, *Security Journal*, 34(2), pp. 1–17.</w:t>
      </w:r>
    </w:p>
    <w:p w14:paraId="41C47DEA" w14:textId="77777777" w:rsidR="009946FC" w:rsidRPr="009E1AB4" w:rsidRDefault="009946FC" w:rsidP="009E1AB4">
      <w:pPr>
        <w:spacing w:line="360" w:lineRule="auto"/>
        <w:rPr>
          <w:rFonts w:ascii="Arial" w:hAnsi="Arial" w:cs="Arial"/>
          <w:sz w:val="24"/>
          <w:szCs w:val="24"/>
        </w:rPr>
      </w:pPr>
    </w:p>
    <w:p w14:paraId="2A1F496F"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Levi, M. and Smith, R. (2022) *Fraud and Financial Crime*. Oxford: Oxford University Press.</w:t>
      </w:r>
    </w:p>
    <w:p w14:paraId="0D50EF7C" w14:textId="77777777" w:rsidR="009946FC" w:rsidRPr="009E1AB4" w:rsidRDefault="009946FC" w:rsidP="009E1AB4">
      <w:pPr>
        <w:spacing w:line="360" w:lineRule="auto"/>
        <w:rPr>
          <w:rFonts w:ascii="Arial" w:hAnsi="Arial" w:cs="Arial"/>
          <w:sz w:val="24"/>
          <w:szCs w:val="24"/>
        </w:rPr>
      </w:pPr>
    </w:p>
    <w:p w14:paraId="75001873"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Loader, I. and Walker, N. (2020) *</w:t>
      </w:r>
      <w:proofErr w:type="spellStart"/>
      <w:r w:rsidRPr="009E1AB4">
        <w:rPr>
          <w:rFonts w:ascii="Arial" w:hAnsi="Arial" w:cs="Arial"/>
          <w:sz w:val="24"/>
          <w:szCs w:val="24"/>
        </w:rPr>
        <w:t>Civilising</w:t>
      </w:r>
      <w:proofErr w:type="spellEnd"/>
      <w:r w:rsidRPr="009E1AB4">
        <w:rPr>
          <w:rFonts w:ascii="Arial" w:hAnsi="Arial" w:cs="Arial"/>
          <w:sz w:val="24"/>
          <w:szCs w:val="24"/>
        </w:rPr>
        <w:t xml:space="preserve"> Security*. Cambridge: Cambridge University Press.</w:t>
      </w:r>
    </w:p>
    <w:p w14:paraId="1FB6DAA8" w14:textId="77777777" w:rsidR="009946FC" w:rsidRPr="009E1AB4" w:rsidRDefault="009946FC" w:rsidP="009E1AB4">
      <w:pPr>
        <w:spacing w:line="360" w:lineRule="auto"/>
        <w:rPr>
          <w:rFonts w:ascii="Arial" w:hAnsi="Arial" w:cs="Arial"/>
          <w:sz w:val="24"/>
          <w:szCs w:val="24"/>
        </w:rPr>
      </w:pPr>
    </w:p>
    <w:p w14:paraId="44EF21A4"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Macdonald, S. and Lorenzo-</w:t>
      </w:r>
      <w:proofErr w:type="spellStart"/>
      <w:r w:rsidRPr="009E1AB4">
        <w:rPr>
          <w:rFonts w:ascii="Arial" w:hAnsi="Arial" w:cs="Arial"/>
          <w:sz w:val="24"/>
          <w:szCs w:val="24"/>
        </w:rPr>
        <w:t>Dus</w:t>
      </w:r>
      <w:proofErr w:type="spellEnd"/>
      <w:r w:rsidRPr="009E1AB4">
        <w:rPr>
          <w:rFonts w:ascii="Arial" w:hAnsi="Arial" w:cs="Arial"/>
          <w:sz w:val="24"/>
          <w:szCs w:val="24"/>
        </w:rPr>
        <w:t>, N. (2021) ‘Encryption and counter-terrorism policing’, *Journal of Policing, Intelligence and Counter Terrorism*, 16(2), pp. 1–16.</w:t>
      </w:r>
    </w:p>
    <w:p w14:paraId="24EA7CC7" w14:textId="77777777" w:rsidR="009946FC" w:rsidRPr="009E1AB4" w:rsidRDefault="009946FC" w:rsidP="009E1AB4">
      <w:pPr>
        <w:spacing w:line="360" w:lineRule="auto"/>
        <w:rPr>
          <w:rFonts w:ascii="Arial" w:hAnsi="Arial" w:cs="Arial"/>
          <w:sz w:val="24"/>
          <w:szCs w:val="24"/>
        </w:rPr>
      </w:pPr>
    </w:p>
    <w:p w14:paraId="52C19CDB"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National Crime Agency (2024) *National Strategic Assessment of Cyber Crime*. London: NCA.</w:t>
      </w:r>
    </w:p>
    <w:p w14:paraId="68AB7119" w14:textId="77777777" w:rsidR="009946FC" w:rsidRPr="009E1AB4" w:rsidRDefault="009946FC" w:rsidP="009E1AB4">
      <w:pPr>
        <w:spacing w:line="360" w:lineRule="auto"/>
        <w:rPr>
          <w:rFonts w:ascii="Arial" w:hAnsi="Arial" w:cs="Arial"/>
          <w:sz w:val="24"/>
          <w:szCs w:val="24"/>
        </w:rPr>
      </w:pPr>
    </w:p>
    <w:p w14:paraId="141EA95F"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National Cyber Security Centre (NCSC) (2024) *Annual Review*. London: NCSC.</w:t>
      </w:r>
    </w:p>
    <w:p w14:paraId="77545A74" w14:textId="77777777" w:rsidR="009946FC" w:rsidRPr="009E1AB4" w:rsidRDefault="009946FC" w:rsidP="009E1AB4">
      <w:pPr>
        <w:spacing w:line="360" w:lineRule="auto"/>
        <w:rPr>
          <w:rFonts w:ascii="Arial" w:hAnsi="Arial" w:cs="Arial"/>
          <w:sz w:val="24"/>
          <w:szCs w:val="24"/>
        </w:rPr>
      </w:pPr>
    </w:p>
    <w:p w14:paraId="7A1F1623"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Neumann, P.R. (2021) *The New Jihadism*. London: I.B. Tauris.</w:t>
      </w:r>
    </w:p>
    <w:p w14:paraId="15A1429D" w14:textId="77777777" w:rsidR="009946FC" w:rsidRPr="009E1AB4" w:rsidRDefault="009946FC" w:rsidP="009E1AB4">
      <w:pPr>
        <w:spacing w:line="360" w:lineRule="auto"/>
        <w:rPr>
          <w:rFonts w:ascii="Arial" w:hAnsi="Arial" w:cs="Arial"/>
          <w:sz w:val="24"/>
          <w:szCs w:val="24"/>
        </w:rPr>
      </w:pPr>
    </w:p>
    <w:p w14:paraId="66854B49"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Office for National Statistics (ONS) (2025) *Crime in England and Wales*. Newport: ONS.</w:t>
      </w:r>
    </w:p>
    <w:p w14:paraId="22A62FF3" w14:textId="77777777" w:rsidR="009946FC" w:rsidRPr="009E1AB4" w:rsidRDefault="009946FC" w:rsidP="009E1AB4">
      <w:pPr>
        <w:spacing w:line="360" w:lineRule="auto"/>
        <w:rPr>
          <w:rFonts w:ascii="Arial" w:hAnsi="Arial" w:cs="Arial"/>
          <w:sz w:val="24"/>
          <w:szCs w:val="24"/>
        </w:rPr>
      </w:pPr>
    </w:p>
    <w:p w14:paraId="5C8A3D7D"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Payment Systems Regulator (PSR) (2024) *</w:t>
      </w:r>
      <w:proofErr w:type="spellStart"/>
      <w:r w:rsidRPr="009E1AB4">
        <w:rPr>
          <w:rFonts w:ascii="Arial" w:hAnsi="Arial" w:cs="Arial"/>
          <w:sz w:val="24"/>
          <w:szCs w:val="24"/>
        </w:rPr>
        <w:t>Authorised</w:t>
      </w:r>
      <w:proofErr w:type="spellEnd"/>
      <w:r w:rsidRPr="009E1AB4">
        <w:rPr>
          <w:rFonts w:ascii="Arial" w:hAnsi="Arial" w:cs="Arial"/>
          <w:sz w:val="24"/>
          <w:szCs w:val="24"/>
        </w:rPr>
        <w:t xml:space="preserve"> Push Payment Fraud Reimbursement*. London: PSR.</w:t>
      </w:r>
    </w:p>
    <w:p w14:paraId="3E65D7CD" w14:textId="77777777" w:rsidR="009946FC" w:rsidRPr="009E1AB4" w:rsidRDefault="009946FC" w:rsidP="009E1AB4">
      <w:pPr>
        <w:spacing w:line="360" w:lineRule="auto"/>
        <w:rPr>
          <w:rFonts w:ascii="Arial" w:hAnsi="Arial" w:cs="Arial"/>
          <w:sz w:val="24"/>
          <w:szCs w:val="24"/>
        </w:rPr>
      </w:pPr>
    </w:p>
    <w:p w14:paraId="6414A2D2" w14:textId="2FB3EDBA"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 xml:space="preserve">Russell-Webster, S. (n.d.) *The Internet and Pathways to Radicalisation*. Available at: </w:t>
      </w:r>
      <w:r w:rsidRPr="009E1AB4">
        <w:rPr>
          <w:rFonts w:ascii="Arial" w:hAnsi="Arial" w:cs="Arial"/>
          <w:sz w:val="24"/>
          <w:szCs w:val="24"/>
        </w:rPr>
        <w:t>(</w:t>
      </w:r>
      <w:hyperlink r:id="rId14" w:history="1">
        <w:r w:rsidR="009E1AB4" w:rsidRPr="009E1AB4">
          <w:rPr>
            <w:rStyle w:val="Hyperlink"/>
            <w:rFonts w:ascii="Arial" w:hAnsi="Arial" w:cs="Arial"/>
            <w:sz w:val="24"/>
            <w:szCs w:val="24"/>
          </w:rPr>
          <w:t>https://</w:t>
        </w:r>
        <w:r w:rsidR="009E1AB4" w:rsidRPr="009E1AB4">
          <w:rPr>
            <w:rStyle w:val="Hyperlink"/>
            <w:rFonts w:ascii="Arial" w:hAnsi="Arial" w:cs="Arial"/>
            <w:sz w:val="24"/>
            <w:szCs w:val="24"/>
          </w:rPr>
          <w:t>w</w:t>
        </w:r>
        <w:r w:rsidR="009E1AB4" w:rsidRPr="009E1AB4">
          <w:rPr>
            <w:rStyle w:val="Hyperlink"/>
            <w:rFonts w:ascii="Arial" w:hAnsi="Arial" w:cs="Arial"/>
            <w:sz w:val="24"/>
            <w:szCs w:val="24"/>
          </w:rPr>
          <w:t>ww.russellwebster.com/the-internet-and-pathways-to-radicalisation</w:t>
        </w:r>
      </w:hyperlink>
      <w:r w:rsidR="009E1AB4" w:rsidRPr="009E1AB4">
        <w:rPr>
          <w:rFonts w:ascii="Arial" w:hAnsi="Arial" w:cs="Arial"/>
          <w:sz w:val="24"/>
          <w:szCs w:val="24"/>
        </w:rPr>
        <w:t xml:space="preserve"> </w:t>
      </w:r>
      <w:r w:rsidRPr="009E1AB4">
        <w:rPr>
          <w:rFonts w:ascii="Arial" w:hAnsi="Arial" w:cs="Arial"/>
          <w:sz w:val="24"/>
          <w:szCs w:val="24"/>
        </w:rPr>
        <w:t>/) (Accessed: 7 January 2026).</w:t>
      </w:r>
    </w:p>
    <w:p w14:paraId="06B739D8" w14:textId="77777777" w:rsidR="009946FC" w:rsidRPr="009E1AB4" w:rsidRDefault="009946FC" w:rsidP="009E1AB4">
      <w:pPr>
        <w:spacing w:line="360" w:lineRule="auto"/>
        <w:rPr>
          <w:rFonts w:ascii="Arial" w:hAnsi="Arial" w:cs="Arial"/>
          <w:sz w:val="24"/>
          <w:szCs w:val="24"/>
        </w:rPr>
      </w:pPr>
    </w:p>
    <w:p w14:paraId="3E32C7FE" w14:textId="2E979431" w:rsidR="009946FC" w:rsidRPr="009E1AB4" w:rsidRDefault="009946FC" w:rsidP="009E1AB4">
      <w:pPr>
        <w:spacing w:line="360" w:lineRule="auto"/>
        <w:rPr>
          <w:rFonts w:ascii="Arial" w:hAnsi="Arial" w:cs="Arial"/>
          <w:sz w:val="24"/>
          <w:szCs w:val="24"/>
        </w:rPr>
      </w:pPr>
      <w:proofErr w:type="spellStart"/>
      <w:r w:rsidRPr="009E1AB4">
        <w:rPr>
          <w:rFonts w:ascii="Arial" w:hAnsi="Arial" w:cs="Arial"/>
          <w:sz w:val="24"/>
          <w:szCs w:val="24"/>
        </w:rPr>
        <w:t>Silobreaker</w:t>
      </w:r>
      <w:proofErr w:type="spellEnd"/>
      <w:r w:rsidRPr="009E1AB4">
        <w:rPr>
          <w:rFonts w:ascii="Arial" w:hAnsi="Arial" w:cs="Arial"/>
          <w:sz w:val="24"/>
          <w:szCs w:val="24"/>
        </w:rPr>
        <w:t xml:space="preserve"> (n.d.) *Threat Intelligence Lifecycle*. Available at:</w:t>
      </w:r>
      <w:r w:rsidR="009E1AB4" w:rsidRPr="009E1AB4">
        <w:rPr>
          <w:rFonts w:ascii="Arial" w:hAnsi="Arial" w:cs="Arial"/>
          <w:sz w:val="24"/>
          <w:szCs w:val="24"/>
        </w:rPr>
        <w:t xml:space="preserve"> </w:t>
      </w:r>
      <w:r w:rsidRPr="009E1AB4">
        <w:rPr>
          <w:rFonts w:ascii="Arial" w:hAnsi="Arial" w:cs="Arial"/>
          <w:sz w:val="24"/>
          <w:szCs w:val="24"/>
        </w:rPr>
        <w:t>(</w:t>
      </w:r>
      <w:hyperlink r:id="rId15" w:history="1">
        <w:r w:rsidR="009E1AB4" w:rsidRPr="009E1AB4">
          <w:rPr>
            <w:rStyle w:val="Hyperlink"/>
            <w:rFonts w:ascii="Arial" w:hAnsi="Arial" w:cs="Arial"/>
            <w:sz w:val="24"/>
            <w:szCs w:val="24"/>
          </w:rPr>
          <w:t>https://www.silobreaker.com/glossary/threat-intellige</w:t>
        </w:r>
        <w:r w:rsidR="009E1AB4" w:rsidRPr="009E1AB4">
          <w:rPr>
            <w:rStyle w:val="Hyperlink"/>
            <w:rFonts w:ascii="Arial" w:hAnsi="Arial" w:cs="Arial"/>
            <w:sz w:val="24"/>
            <w:szCs w:val="24"/>
          </w:rPr>
          <w:t>n</w:t>
        </w:r>
        <w:r w:rsidR="009E1AB4" w:rsidRPr="009E1AB4">
          <w:rPr>
            <w:rStyle w:val="Hyperlink"/>
            <w:rFonts w:ascii="Arial" w:hAnsi="Arial" w:cs="Arial"/>
            <w:sz w:val="24"/>
            <w:szCs w:val="24"/>
          </w:rPr>
          <w:t>ce-lifecycle/</w:t>
        </w:r>
      </w:hyperlink>
      <w:r w:rsidR="009E1AB4" w:rsidRPr="009E1AB4">
        <w:rPr>
          <w:rFonts w:ascii="Arial" w:hAnsi="Arial" w:cs="Arial"/>
          <w:sz w:val="24"/>
          <w:szCs w:val="24"/>
        </w:rPr>
        <w:t xml:space="preserve"> </w:t>
      </w:r>
      <w:r w:rsidRPr="009E1AB4">
        <w:rPr>
          <w:rFonts w:ascii="Arial" w:hAnsi="Arial" w:cs="Arial"/>
          <w:sz w:val="24"/>
          <w:szCs w:val="24"/>
        </w:rPr>
        <w:t>) (Accessed: 7 January 2026).</w:t>
      </w:r>
    </w:p>
    <w:p w14:paraId="3D2F41C7" w14:textId="77777777" w:rsidR="009946FC" w:rsidRPr="009E1AB4" w:rsidRDefault="009946FC" w:rsidP="009E1AB4">
      <w:pPr>
        <w:spacing w:line="360" w:lineRule="auto"/>
        <w:rPr>
          <w:rFonts w:ascii="Arial" w:hAnsi="Arial" w:cs="Arial"/>
          <w:sz w:val="24"/>
          <w:szCs w:val="24"/>
        </w:rPr>
      </w:pPr>
    </w:p>
    <w:p w14:paraId="58FB355A"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United Nations (2023) *United Nations Global Counter-Terrorism Strategy*. New York: United Nations.</w:t>
      </w:r>
    </w:p>
    <w:p w14:paraId="383A912B" w14:textId="77777777" w:rsidR="009946FC" w:rsidRPr="009E1AB4" w:rsidRDefault="009946FC" w:rsidP="009E1AB4">
      <w:pPr>
        <w:spacing w:line="360" w:lineRule="auto"/>
        <w:rPr>
          <w:rFonts w:ascii="Arial" w:hAnsi="Arial" w:cs="Arial"/>
          <w:sz w:val="24"/>
          <w:szCs w:val="24"/>
        </w:rPr>
      </w:pPr>
    </w:p>
    <w:p w14:paraId="39DFDF6F"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United Nations Counter-Terrorism Committee Executive Directorate (UNCTED) (2022) *Trends in Terrorist Use of ICT*. New York: United Nations.</w:t>
      </w:r>
    </w:p>
    <w:p w14:paraId="5C8B83BC" w14:textId="77777777" w:rsidR="009946FC" w:rsidRPr="009E1AB4" w:rsidRDefault="009946FC" w:rsidP="009E1AB4">
      <w:pPr>
        <w:spacing w:line="360" w:lineRule="auto"/>
        <w:rPr>
          <w:rFonts w:ascii="Arial" w:hAnsi="Arial" w:cs="Arial"/>
          <w:sz w:val="24"/>
          <w:szCs w:val="24"/>
        </w:rPr>
      </w:pPr>
    </w:p>
    <w:p w14:paraId="6F49980A"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lastRenderedPageBreak/>
        <w:t>United Nations Office of Counter-Terrorism (UNOCT) (2023) *Global Terrorism Threat Assessment*. New York: United Nations.</w:t>
      </w:r>
    </w:p>
    <w:p w14:paraId="755AA22E" w14:textId="77777777" w:rsidR="009946FC" w:rsidRPr="009E1AB4" w:rsidRDefault="009946FC" w:rsidP="009E1AB4">
      <w:pPr>
        <w:spacing w:line="360" w:lineRule="auto"/>
        <w:rPr>
          <w:rFonts w:ascii="Arial" w:hAnsi="Arial" w:cs="Arial"/>
          <w:sz w:val="24"/>
          <w:szCs w:val="24"/>
        </w:rPr>
      </w:pPr>
    </w:p>
    <w:p w14:paraId="310CA3CA"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UK Finance (2025) *Fraud The Facts 2025*. London: UK Finance.</w:t>
      </w:r>
    </w:p>
    <w:p w14:paraId="4CF45792" w14:textId="77777777" w:rsidR="009946FC" w:rsidRPr="009E1AB4" w:rsidRDefault="009946FC" w:rsidP="009E1AB4">
      <w:pPr>
        <w:spacing w:line="360" w:lineRule="auto"/>
        <w:rPr>
          <w:rFonts w:ascii="Arial" w:hAnsi="Arial" w:cs="Arial"/>
          <w:sz w:val="24"/>
          <w:szCs w:val="24"/>
        </w:rPr>
      </w:pPr>
    </w:p>
    <w:p w14:paraId="54D0580D"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Victims’ Commissioner (2023) *Cybercrime and Victim Harm*. London: Victims’ Commissioner for England and Wales.</w:t>
      </w:r>
    </w:p>
    <w:p w14:paraId="57CEC6A9" w14:textId="77777777" w:rsidR="009946FC" w:rsidRPr="009E1AB4" w:rsidRDefault="009946FC" w:rsidP="009E1AB4">
      <w:pPr>
        <w:spacing w:line="360" w:lineRule="auto"/>
        <w:rPr>
          <w:rFonts w:ascii="Arial" w:hAnsi="Arial" w:cs="Arial"/>
          <w:sz w:val="24"/>
          <w:szCs w:val="24"/>
        </w:rPr>
      </w:pPr>
    </w:p>
    <w:p w14:paraId="58B83DD0" w14:textId="77777777" w:rsidR="009946FC" w:rsidRPr="009E1AB4" w:rsidRDefault="009946FC" w:rsidP="009E1AB4">
      <w:pPr>
        <w:spacing w:line="360" w:lineRule="auto"/>
        <w:rPr>
          <w:rFonts w:ascii="Arial" w:hAnsi="Arial" w:cs="Arial"/>
          <w:sz w:val="24"/>
          <w:szCs w:val="24"/>
        </w:rPr>
      </w:pPr>
      <w:r w:rsidRPr="009E1AB4">
        <w:rPr>
          <w:rFonts w:ascii="Arial" w:hAnsi="Arial" w:cs="Arial"/>
          <w:sz w:val="24"/>
          <w:szCs w:val="24"/>
        </w:rPr>
        <w:t>Wall, D. (2021) *Cybercrime: The Transformation of Crime in the Information Age*. Cambridge: Polity Press.</w:t>
      </w:r>
      <w:bookmarkStart w:id="32" w:name="_Toc218764824"/>
    </w:p>
    <w:p w14:paraId="1F0B04F1" w14:textId="04C9481A" w:rsidR="009946FC" w:rsidRPr="009946FC" w:rsidRDefault="009946FC" w:rsidP="009946FC">
      <w:pPr>
        <w:rPr>
          <w:rFonts w:ascii="Arial" w:hAnsi="Arial" w:cs="Arial"/>
          <w:sz w:val="24"/>
          <w:szCs w:val="24"/>
        </w:rPr>
      </w:pPr>
      <w:r>
        <w:rPr>
          <w:rFonts w:ascii="Arial" w:hAnsi="Arial" w:cs="Arial"/>
          <w:sz w:val="24"/>
          <w:szCs w:val="24"/>
        </w:rPr>
        <w:br w:type="page"/>
      </w:r>
    </w:p>
    <w:p w14:paraId="690F7BBE" w14:textId="4C64F92E" w:rsidR="00F24D23" w:rsidRPr="009946FC" w:rsidRDefault="005A2A06" w:rsidP="009946FC">
      <w:pPr>
        <w:pStyle w:val="Heading1"/>
      </w:pPr>
      <w:r w:rsidRPr="005A2A06">
        <w:lastRenderedPageBreak/>
        <w:t>Appendices</w:t>
      </w:r>
      <w:bookmarkEnd w:id="32"/>
      <w:r w:rsidRPr="005A2A06">
        <w:t xml:space="preserve"> </w:t>
      </w:r>
    </w:p>
    <w:p w14:paraId="63A114EB" w14:textId="77777777" w:rsidR="0017471A" w:rsidRPr="001C2CAF" w:rsidRDefault="0017471A" w:rsidP="0017471A">
      <w:pPr>
        <w:pStyle w:val="Heading2"/>
        <w:rPr>
          <w:rFonts w:ascii="Arial" w:hAnsi="Arial" w:cs="Arial"/>
          <w:color w:val="000000" w:themeColor="text1"/>
          <w:sz w:val="24"/>
          <w:szCs w:val="24"/>
          <w:u w:val="single"/>
        </w:rPr>
      </w:pPr>
      <w:bookmarkStart w:id="33" w:name="_Toc218764825"/>
      <w:r w:rsidRPr="001C2CAF">
        <w:rPr>
          <w:rStyle w:val="Strong"/>
          <w:rFonts w:ascii="Arial" w:hAnsi="Arial" w:cs="Arial"/>
          <w:b w:val="0"/>
          <w:bCs w:val="0"/>
          <w:color w:val="000000" w:themeColor="text1"/>
          <w:sz w:val="24"/>
          <w:szCs w:val="24"/>
          <w:u w:val="single"/>
        </w:rPr>
        <w:t>APPENDIX A – TERRORIST RADICALISATION</w:t>
      </w:r>
      <w:bookmarkEnd w:id="33"/>
    </w:p>
    <w:p w14:paraId="744CE095" w14:textId="77777777" w:rsidR="0017471A" w:rsidRPr="0017471A" w:rsidRDefault="0017471A" w:rsidP="0017471A">
      <w:pPr>
        <w:pStyle w:val="Heading3"/>
        <w:rPr>
          <w:rFonts w:ascii="Arial" w:hAnsi="Arial" w:cs="Arial"/>
          <w:color w:val="000000" w:themeColor="text1"/>
          <w:sz w:val="24"/>
          <w:szCs w:val="24"/>
        </w:rPr>
      </w:pPr>
      <w:bookmarkStart w:id="34" w:name="_Toc218764826"/>
      <w:r w:rsidRPr="0017471A">
        <w:rPr>
          <w:rStyle w:val="Strong"/>
          <w:rFonts w:ascii="Arial" w:hAnsi="Arial" w:cs="Arial"/>
          <w:color w:val="000000" w:themeColor="text1"/>
          <w:sz w:val="24"/>
          <w:szCs w:val="24"/>
        </w:rPr>
        <w:t>Figure A1:</w:t>
      </w:r>
      <w:r w:rsidRPr="0017471A">
        <w:rPr>
          <w:rStyle w:val="Strong"/>
          <w:rFonts w:ascii="Arial" w:hAnsi="Arial" w:cs="Arial"/>
          <w:b w:val="0"/>
          <w:bCs w:val="0"/>
          <w:color w:val="000000" w:themeColor="text1"/>
          <w:sz w:val="24"/>
          <w:szCs w:val="24"/>
        </w:rPr>
        <w:t xml:space="preserve"> Internet-enabled pathways to radicalisation</w:t>
      </w:r>
      <w:bookmarkEnd w:id="34"/>
    </w:p>
    <w:p w14:paraId="6AC084B0" w14:textId="77777777" w:rsidR="0017471A" w:rsidRPr="0017471A" w:rsidRDefault="0017471A" w:rsidP="0017471A"/>
    <w:p w14:paraId="26647EE5" w14:textId="328C39EE" w:rsidR="005A2A06" w:rsidRPr="005A2A06" w:rsidRDefault="005A2A06" w:rsidP="005A2A06">
      <w:pPr>
        <w:spacing w:line="360" w:lineRule="auto"/>
        <w:rPr>
          <w:rFonts w:ascii="Arial" w:hAnsi="Arial" w:cs="Arial"/>
          <w:color w:val="000000"/>
          <w:sz w:val="24"/>
          <w:szCs w:val="24"/>
        </w:rPr>
      </w:pPr>
      <w:r w:rsidRPr="0017471A">
        <w:rPr>
          <w:rFonts w:ascii="Arial" w:hAnsi="Arial" w:cs="Arial"/>
          <w:b/>
          <w:bCs/>
          <w:color w:val="000000" w:themeColor="text1"/>
          <w:sz w:val="24"/>
          <w:szCs w:val="24"/>
        </w:rPr>
        <w:t>Source:</w:t>
      </w:r>
      <w:r w:rsidRPr="0017471A">
        <w:rPr>
          <w:rFonts w:ascii="Arial" w:hAnsi="Arial" w:cs="Arial"/>
          <w:color w:val="000000" w:themeColor="text1"/>
          <w:sz w:val="24"/>
          <w:szCs w:val="24"/>
        </w:rPr>
        <w:t xml:space="preserve"> </w:t>
      </w:r>
      <w:r w:rsidRPr="005A2A06">
        <w:rPr>
          <w:rFonts w:ascii="Arial" w:hAnsi="Arial" w:cs="Arial"/>
          <w:color w:val="000000"/>
          <w:sz w:val="24"/>
          <w:szCs w:val="24"/>
        </w:rPr>
        <w:t>Russell-Webster, S. (n.d.)</w:t>
      </w:r>
      <w:r w:rsidRPr="005A2A06">
        <w:rPr>
          <w:rStyle w:val="apple-converted-space"/>
          <w:rFonts w:ascii="Arial" w:hAnsi="Arial" w:cs="Arial"/>
          <w:color w:val="000000"/>
          <w:sz w:val="24"/>
          <w:szCs w:val="24"/>
        </w:rPr>
        <w:t> </w:t>
      </w:r>
      <w:r w:rsidRPr="005A2A06">
        <w:rPr>
          <w:rStyle w:val="Emphasis"/>
          <w:rFonts w:ascii="Arial" w:hAnsi="Arial" w:cs="Arial"/>
          <w:color w:val="000000"/>
          <w:sz w:val="24"/>
          <w:szCs w:val="24"/>
        </w:rPr>
        <w:t>The Internet and Pathways to Radicalisation</w:t>
      </w:r>
      <w:r w:rsidRPr="005A2A06">
        <w:rPr>
          <w:rFonts w:ascii="Arial" w:hAnsi="Arial" w:cs="Arial"/>
          <w:color w:val="000000"/>
          <w:sz w:val="24"/>
          <w:szCs w:val="24"/>
        </w:rPr>
        <w:t>. Available at:</w:t>
      </w:r>
      <w:r w:rsidRPr="005A2A06">
        <w:rPr>
          <w:rStyle w:val="apple-converted-space"/>
          <w:rFonts w:ascii="Arial" w:hAnsi="Arial" w:cs="Arial"/>
          <w:color w:val="000000"/>
          <w:sz w:val="24"/>
          <w:szCs w:val="24"/>
        </w:rPr>
        <w:t> </w:t>
      </w:r>
      <w:hyperlink r:id="rId16" w:tgtFrame="_new" w:history="1">
        <w:r w:rsidRPr="005A2A06">
          <w:rPr>
            <w:rStyle w:val="Hyperlink"/>
            <w:rFonts w:ascii="Arial" w:hAnsi="Arial" w:cs="Arial"/>
            <w:sz w:val="24"/>
            <w:szCs w:val="24"/>
          </w:rPr>
          <w:t>https://www.russellwebster.com/the-internet-and-pathways-to-radicalisation/</w:t>
        </w:r>
      </w:hyperlink>
      <w:r w:rsidRPr="005A2A06">
        <w:rPr>
          <w:rStyle w:val="apple-converted-space"/>
          <w:rFonts w:ascii="Arial" w:hAnsi="Arial" w:cs="Arial"/>
          <w:color w:val="000000"/>
          <w:sz w:val="24"/>
          <w:szCs w:val="24"/>
        </w:rPr>
        <w:t> </w:t>
      </w:r>
      <w:r w:rsidRPr="005A2A06">
        <w:rPr>
          <w:rFonts w:ascii="Arial" w:hAnsi="Arial" w:cs="Arial"/>
          <w:color w:val="000000"/>
          <w:sz w:val="24"/>
          <w:szCs w:val="24"/>
        </w:rPr>
        <w:t>(Accessed:</w:t>
      </w:r>
      <w:r w:rsidRPr="005A2A06">
        <w:rPr>
          <w:rStyle w:val="apple-converted-space"/>
          <w:rFonts w:ascii="Arial" w:hAnsi="Arial" w:cs="Arial"/>
          <w:color w:val="000000"/>
          <w:sz w:val="24"/>
          <w:szCs w:val="24"/>
        </w:rPr>
        <w:t> </w:t>
      </w:r>
      <w:r w:rsidRPr="005A2A06">
        <w:rPr>
          <w:rStyle w:val="Strong"/>
          <w:rFonts w:ascii="Arial" w:hAnsi="Arial" w:cs="Arial"/>
          <w:b w:val="0"/>
          <w:bCs w:val="0"/>
          <w:color w:val="000000"/>
          <w:sz w:val="24"/>
          <w:szCs w:val="24"/>
        </w:rPr>
        <w:t>07 January 2026</w:t>
      </w:r>
      <w:r w:rsidRPr="005A2A06">
        <w:rPr>
          <w:rFonts w:ascii="Arial" w:hAnsi="Arial" w:cs="Arial"/>
          <w:color w:val="000000"/>
          <w:sz w:val="24"/>
          <w:szCs w:val="24"/>
        </w:rPr>
        <w:t>).</w:t>
      </w:r>
    </w:p>
    <w:p w14:paraId="28D07215" w14:textId="084017B1" w:rsidR="005A2A06" w:rsidRPr="005A2A06" w:rsidRDefault="005A2A06" w:rsidP="005A2A06">
      <w:pPr>
        <w:spacing w:line="360" w:lineRule="auto"/>
        <w:rPr>
          <w:rFonts w:ascii="Arial" w:hAnsi="Arial" w:cs="Arial"/>
          <w:sz w:val="24"/>
          <w:szCs w:val="24"/>
        </w:rPr>
      </w:pPr>
      <w:r w:rsidRPr="005A2A06">
        <w:rPr>
          <w:rStyle w:val="Strong"/>
          <w:rFonts w:ascii="Arial" w:hAnsi="Arial" w:cs="Arial"/>
          <w:color w:val="000000"/>
          <w:sz w:val="24"/>
          <w:szCs w:val="24"/>
        </w:rPr>
        <w:t>Note:</w:t>
      </w:r>
      <w:r w:rsidRPr="005A2A06">
        <w:rPr>
          <w:rStyle w:val="apple-converted-space"/>
          <w:rFonts w:ascii="Arial" w:hAnsi="Arial" w:cs="Arial"/>
          <w:color w:val="000000"/>
          <w:sz w:val="24"/>
          <w:szCs w:val="24"/>
        </w:rPr>
        <w:t> </w:t>
      </w:r>
      <w:r w:rsidRPr="005A2A06">
        <w:rPr>
          <w:rFonts w:ascii="Arial" w:hAnsi="Arial" w:cs="Arial"/>
          <w:color w:val="000000"/>
          <w:sz w:val="24"/>
          <w:szCs w:val="24"/>
        </w:rPr>
        <w:t>This figure provides a conceptual illustration of how individuals may progress through online environments from initial exposure to extremist content toward deeper engagement and facilitation.</w:t>
      </w:r>
    </w:p>
    <w:p w14:paraId="06F07B16" w14:textId="77777777" w:rsidR="005A2A06" w:rsidRDefault="005A2A06" w:rsidP="005A2A06"/>
    <w:p w14:paraId="60081ADB" w14:textId="3E1E4F60" w:rsidR="005A2A06" w:rsidRDefault="005A2A06" w:rsidP="005A2A06">
      <w:r>
        <w:rPr>
          <w:noProof/>
        </w:rPr>
        <w:drawing>
          <wp:inline distT="0" distB="0" distL="0" distR="0" wp14:anchorId="2BD7EE38" wp14:editId="1AAD4449">
            <wp:extent cx="4996151" cy="4114613"/>
            <wp:effectExtent l="0" t="0" r="0" b="635"/>
            <wp:docPr id="584533556" name="Picture 4" descr="A graph of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33556" name="Picture 4" descr="A graph of numbers and a number of people&#10;&#10;Description automatically generated with medium confidence"/>
                    <pic:cNvPicPr/>
                  </pic:nvPicPr>
                  <pic:blipFill rotWithShape="1">
                    <a:blip r:embed="rId17"/>
                    <a:srcRect t="8447"/>
                    <a:stretch/>
                  </pic:blipFill>
                  <pic:spPr bwMode="auto">
                    <a:xfrm>
                      <a:off x="0" y="0"/>
                      <a:ext cx="5010725" cy="4126615"/>
                    </a:xfrm>
                    <a:prstGeom prst="rect">
                      <a:avLst/>
                    </a:prstGeom>
                    <a:ln>
                      <a:noFill/>
                    </a:ln>
                    <a:extLst>
                      <a:ext uri="{53640926-AAD7-44D8-BBD7-CCE9431645EC}">
                        <a14:shadowObscured xmlns:a14="http://schemas.microsoft.com/office/drawing/2010/main"/>
                      </a:ext>
                    </a:extLst>
                  </pic:spPr>
                </pic:pic>
              </a:graphicData>
            </a:graphic>
          </wp:inline>
        </w:drawing>
      </w:r>
    </w:p>
    <w:p w14:paraId="7DC9FCD3" w14:textId="2B2D93B8" w:rsidR="0017471A" w:rsidRPr="001C2CAF" w:rsidRDefault="0017471A" w:rsidP="001C2CAF">
      <w:pPr>
        <w:pStyle w:val="Heading2"/>
        <w:rPr>
          <w:rFonts w:ascii="Arial" w:hAnsi="Arial" w:cs="Arial"/>
          <w:color w:val="000000" w:themeColor="text1"/>
          <w:sz w:val="24"/>
          <w:szCs w:val="24"/>
          <w:u w:val="single"/>
        </w:rPr>
      </w:pPr>
      <w:bookmarkStart w:id="35" w:name="_Toc218764827"/>
      <w:r w:rsidRPr="001C2CAF">
        <w:rPr>
          <w:rFonts w:ascii="Arial" w:hAnsi="Arial" w:cs="Arial"/>
          <w:color w:val="000000" w:themeColor="text1"/>
          <w:sz w:val="24"/>
          <w:szCs w:val="24"/>
          <w:u w:val="single"/>
        </w:rPr>
        <w:lastRenderedPageBreak/>
        <w:t xml:space="preserve">APPENDIX B – </w:t>
      </w:r>
      <w:r w:rsidR="001C2CAF" w:rsidRPr="001C2CAF">
        <w:rPr>
          <w:rFonts w:ascii="Arial" w:hAnsi="Arial" w:cs="Arial"/>
          <w:color w:val="000000" w:themeColor="text1"/>
          <w:sz w:val="24"/>
          <w:szCs w:val="24"/>
          <w:u w:val="single"/>
        </w:rPr>
        <w:t>CYBER-ENABLED TERRORIST FINANCING</w:t>
      </w:r>
      <w:bookmarkEnd w:id="35"/>
      <w:r w:rsidR="001C2CAF" w:rsidRPr="001C2CAF">
        <w:rPr>
          <w:rFonts w:ascii="Arial" w:hAnsi="Arial" w:cs="Arial"/>
          <w:color w:val="000000" w:themeColor="text1"/>
          <w:sz w:val="24"/>
          <w:szCs w:val="24"/>
          <w:u w:val="single"/>
        </w:rPr>
        <w:t xml:space="preserve"> </w:t>
      </w:r>
    </w:p>
    <w:p w14:paraId="0F6DE4E0" w14:textId="4A7821AD" w:rsidR="0017471A" w:rsidRPr="001C2CAF" w:rsidRDefault="001C2CAF" w:rsidP="001C2CAF">
      <w:pPr>
        <w:pStyle w:val="Heading3"/>
        <w:spacing w:line="360" w:lineRule="auto"/>
        <w:rPr>
          <w:rFonts w:ascii="Arial" w:hAnsi="Arial" w:cs="Arial"/>
          <w:sz w:val="24"/>
          <w:szCs w:val="24"/>
        </w:rPr>
      </w:pPr>
      <w:bookmarkStart w:id="36" w:name="_Toc218764828"/>
      <w:r w:rsidRPr="001C2CAF">
        <w:rPr>
          <w:rStyle w:val="Strong"/>
          <w:rFonts w:ascii="Arial" w:hAnsi="Arial" w:cs="Arial"/>
          <w:color w:val="000000"/>
          <w:sz w:val="24"/>
          <w:szCs w:val="24"/>
        </w:rPr>
        <w:t>Figure B1:</w:t>
      </w:r>
      <w:r w:rsidRPr="001C2CAF">
        <w:rPr>
          <w:rStyle w:val="apple-converted-space"/>
          <w:rFonts w:ascii="Arial" w:hAnsi="Arial" w:cs="Arial"/>
          <w:color w:val="000000"/>
          <w:sz w:val="24"/>
          <w:szCs w:val="24"/>
        </w:rPr>
        <w:t> </w:t>
      </w:r>
      <w:r w:rsidRPr="001C2CAF">
        <w:rPr>
          <w:rStyle w:val="Emphasis"/>
          <w:rFonts w:ascii="Arial" w:hAnsi="Arial" w:cs="Arial"/>
          <w:color w:val="000000"/>
          <w:sz w:val="24"/>
          <w:szCs w:val="24"/>
        </w:rPr>
        <w:t>Illustrative flow-chart of cyber-enabled terrorist financing methods</w:t>
      </w:r>
      <w:bookmarkEnd w:id="36"/>
    </w:p>
    <w:p w14:paraId="49C9BA3E" w14:textId="511A630F" w:rsidR="005A2A06" w:rsidRPr="001C2CAF" w:rsidRDefault="005A2A06" w:rsidP="001C2CAF">
      <w:pPr>
        <w:pStyle w:val="NormalWeb"/>
        <w:spacing w:line="360" w:lineRule="auto"/>
        <w:rPr>
          <w:rFonts w:ascii="Arial" w:eastAsiaTheme="majorEastAsia" w:hAnsi="Arial" w:cs="Arial"/>
          <w:b/>
          <w:bCs/>
          <w:color w:val="000000"/>
        </w:rPr>
      </w:pPr>
      <w:r w:rsidRPr="001C2CAF">
        <w:rPr>
          <w:rStyle w:val="Strong"/>
          <w:rFonts w:ascii="Arial" w:eastAsiaTheme="majorEastAsia" w:hAnsi="Arial" w:cs="Arial"/>
          <w:color w:val="000000"/>
        </w:rPr>
        <w:t>Source:</w:t>
      </w:r>
      <w:r w:rsidRPr="001C2CAF">
        <w:rPr>
          <w:rFonts w:ascii="Arial" w:hAnsi="Arial" w:cs="Arial"/>
          <w:color w:val="000000"/>
        </w:rPr>
        <w:br/>
      </w:r>
      <w:proofErr w:type="spellStart"/>
      <w:r w:rsidRPr="001C2CAF">
        <w:rPr>
          <w:rFonts w:ascii="Arial" w:hAnsi="Arial" w:cs="Arial"/>
          <w:color w:val="000000"/>
        </w:rPr>
        <w:t>Jofre</w:t>
      </w:r>
      <w:proofErr w:type="spellEnd"/>
      <w:r w:rsidRPr="001C2CAF">
        <w:rPr>
          <w:rFonts w:ascii="Arial" w:hAnsi="Arial" w:cs="Arial"/>
          <w:color w:val="000000"/>
        </w:rPr>
        <w:t xml:space="preserve">, M., </w:t>
      </w:r>
      <w:proofErr w:type="spellStart"/>
      <w:r w:rsidRPr="001C2CAF">
        <w:rPr>
          <w:rFonts w:ascii="Arial" w:hAnsi="Arial" w:cs="Arial"/>
          <w:color w:val="000000"/>
        </w:rPr>
        <w:t>Aziani</w:t>
      </w:r>
      <w:proofErr w:type="spellEnd"/>
      <w:r w:rsidRPr="001C2CAF">
        <w:rPr>
          <w:rFonts w:ascii="Arial" w:hAnsi="Arial" w:cs="Arial"/>
          <w:color w:val="000000"/>
        </w:rPr>
        <w:t>, A. and Villa, E. (2024) ‘Terrorist Financing: Traditional vs. Emerging Financial Technologies’,</w:t>
      </w:r>
      <w:r w:rsidRPr="001C2CAF">
        <w:rPr>
          <w:rStyle w:val="apple-converted-space"/>
          <w:rFonts w:ascii="Arial" w:eastAsiaTheme="majorEastAsia" w:hAnsi="Arial" w:cs="Arial"/>
          <w:color w:val="000000"/>
        </w:rPr>
        <w:t> </w:t>
      </w:r>
      <w:r w:rsidRPr="001C2CAF">
        <w:rPr>
          <w:rStyle w:val="Emphasis"/>
          <w:rFonts w:ascii="Arial" w:eastAsiaTheme="majorEastAsia" w:hAnsi="Arial" w:cs="Arial"/>
          <w:color w:val="000000"/>
        </w:rPr>
        <w:t>Terrorism and Political Violence</w:t>
      </w:r>
      <w:r w:rsidRPr="001C2CAF">
        <w:rPr>
          <w:rFonts w:ascii="Arial" w:hAnsi="Arial" w:cs="Arial"/>
          <w:color w:val="000000"/>
        </w:rPr>
        <w:t xml:space="preserve">. </w:t>
      </w:r>
      <w:proofErr w:type="spellStart"/>
      <w:r w:rsidRPr="001C2CAF">
        <w:rPr>
          <w:rFonts w:ascii="Arial" w:hAnsi="Arial" w:cs="Arial"/>
          <w:color w:val="000000"/>
        </w:rPr>
        <w:t>doi</w:t>
      </w:r>
      <w:proofErr w:type="spellEnd"/>
      <w:r w:rsidRPr="001C2CAF">
        <w:rPr>
          <w:rFonts w:ascii="Arial" w:hAnsi="Arial" w:cs="Arial"/>
          <w:color w:val="000000"/>
        </w:rPr>
        <w:t>: 10.1080/09546553.2024.2433635.</w:t>
      </w:r>
    </w:p>
    <w:p w14:paraId="4BEF910A" w14:textId="77777777" w:rsidR="001C2CAF" w:rsidRPr="001C2CAF" w:rsidRDefault="005A2A06" w:rsidP="001C2CAF">
      <w:pPr>
        <w:pStyle w:val="NormalWeb"/>
        <w:spacing w:line="360" w:lineRule="auto"/>
        <w:rPr>
          <w:rFonts w:ascii="Arial" w:hAnsi="Arial" w:cs="Arial"/>
          <w:color w:val="000000"/>
        </w:rPr>
      </w:pPr>
      <w:r w:rsidRPr="001C2CAF">
        <w:rPr>
          <w:rStyle w:val="Strong"/>
          <w:rFonts w:ascii="Arial" w:eastAsiaTheme="majorEastAsia" w:hAnsi="Arial" w:cs="Arial"/>
          <w:color w:val="000000"/>
        </w:rPr>
        <w:t>Note:</w:t>
      </w:r>
      <w:r w:rsidRPr="001C2CAF">
        <w:rPr>
          <w:rStyle w:val="apple-converted-space"/>
          <w:rFonts w:ascii="Arial" w:eastAsiaTheme="majorEastAsia" w:hAnsi="Arial" w:cs="Arial"/>
          <w:color w:val="000000"/>
        </w:rPr>
        <w:t> </w:t>
      </w:r>
      <w:r w:rsidR="001C2CAF" w:rsidRPr="001C2CAF">
        <w:rPr>
          <w:rFonts w:ascii="Arial" w:hAnsi="Arial" w:cs="Arial"/>
          <w:color w:val="000000"/>
        </w:rPr>
        <w:t>This figure provides a conceptual flow-chart illustrating how fraudulently obtained funds may be converted into cryptocurrencies and transferred through international networks to support terrorist activity.</w:t>
      </w:r>
    </w:p>
    <w:p w14:paraId="5AFAC9FE" w14:textId="409C15AF" w:rsidR="005A2A06" w:rsidRPr="005A2A06" w:rsidRDefault="005A2A06" w:rsidP="005A2A06">
      <w:pPr>
        <w:pStyle w:val="NormalWeb"/>
        <w:spacing w:line="360" w:lineRule="auto"/>
        <w:rPr>
          <w:rFonts w:ascii="Arial" w:hAnsi="Arial" w:cs="Arial"/>
          <w:color w:val="000000"/>
        </w:rPr>
      </w:pPr>
    </w:p>
    <w:p w14:paraId="7B5B88B9" w14:textId="65B6F40F" w:rsidR="001C2CAF" w:rsidRPr="001C2CAF" w:rsidRDefault="005A2A06" w:rsidP="001C2CAF">
      <w:pPr>
        <w:rPr>
          <w:rFonts w:ascii="Arial" w:hAnsi="Arial" w:cs="Arial"/>
          <w:sz w:val="24"/>
          <w:szCs w:val="24"/>
        </w:rPr>
      </w:pPr>
      <w:r>
        <w:rPr>
          <w:rFonts w:ascii="Arial" w:hAnsi="Arial" w:cs="Arial"/>
          <w:noProof/>
          <w:sz w:val="24"/>
          <w:szCs w:val="24"/>
        </w:rPr>
        <w:drawing>
          <wp:inline distT="0" distB="0" distL="0" distR="0" wp14:anchorId="0D556046" wp14:editId="52B3B29B">
            <wp:extent cx="6109616" cy="2541600"/>
            <wp:effectExtent l="0" t="0" r="0" b="0"/>
            <wp:docPr id="2049195012" name="Picture 5" descr="A diagram of a credit card pay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95012" name="Picture 5" descr="A diagram of a credit card payment&#10;&#10;Description automatically generated"/>
                    <pic:cNvPicPr/>
                  </pic:nvPicPr>
                  <pic:blipFill>
                    <a:blip r:embed="rId18"/>
                    <a:stretch>
                      <a:fillRect/>
                    </a:stretch>
                  </pic:blipFill>
                  <pic:spPr>
                    <a:xfrm>
                      <a:off x="0" y="0"/>
                      <a:ext cx="6109616" cy="2541600"/>
                    </a:xfrm>
                    <a:prstGeom prst="rect">
                      <a:avLst/>
                    </a:prstGeom>
                  </pic:spPr>
                </pic:pic>
              </a:graphicData>
            </a:graphic>
          </wp:inline>
        </w:drawing>
      </w:r>
    </w:p>
    <w:p w14:paraId="6B8F4049" w14:textId="77777777" w:rsidR="001C2CAF" w:rsidRDefault="001C2CAF" w:rsidP="003234FE">
      <w:pPr>
        <w:pStyle w:val="Heading2"/>
        <w:rPr>
          <w:rFonts w:ascii="Arial" w:hAnsi="Arial" w:cs="Arial"/>
          <w:color w:val="000000" w:themeColor="text1"/>
          <w:sz w:val="24"/>
          <w:szCs w:val="24"/>
          <w:u w:val="single"/>
        </w:rPr>
      </w:pPr>
    </w:p>
    <w:p w14:paraId="38C7D804" w14:textId="77777777" w:rsidR="001C2CAF" w:rsidRDefault="001C2CAF" w:rsidP="003234FE">
      <w:pPr>
        <w:pStyle w:val="Heading2"/>
        <w:rPr>
          <w:rFonts w:ascii="Arial" w:hAnsi="Arial" w:cs="Arial"/>
          <w:color w:val="000000" w:themeColor="text1"/>
          <w:sz w:val="24"/>
          <w:szCs w:val="24"/>
          <w:u w:val="single"/>
        </w:rPr>
      </w:pPr>
    </w:p>
    <w:p w14:paraId="707A9629" w14:textId="68F5CD0A" w:rsidR="003234FE" w:rsidRDefault="003234FE" w:rsidP="003234FE">
      <w:pPr>
        <w:pStyle w:val="Heading2"/>
        <w:rPr>
          <w:rFonts w:ascii="Arial" w:hAnsi="Arial" w:cs="Arial"/>
          <w:color w:val="000000" w:themeColor="text1"/>
          <w:sz w:val="24"/>
          <w:szCs w:val="24"/>
          <w:u w:val="single"/>
        </w:rPr>
      </w:pPr>
      <w:bookmarkStart w:id="37" w:name="_Toc218764829"/>
      <w:r w:rsidRPr="001C2CAF">
        <w:rPr>
          <w:rFonts w:ascii="Arial" w:hAnsi="Arial" w:cs="Arial"/>
          <w:color w:val="000000" w:themeColor="text1"/>
          <w:sz w:val="24"/>
          <w:szCs w:val="24"/>
          <w:u w:val="single"/>
        </w:rPr>
        <w:t xml:space="preserve">Appendix </w:t>
      </w:r>
      <w:r w:rsidR="001C2CAF" w:rsidRPr="001C2CAF">
        <w:rPr>
          <w:rFonts w:ascii="Arial" w:hAnsi="Arial" w:cs="Arial"/>
          <w:color w:val="000000" w:themeColor="text1"/>
          <w:sz w:val="24"/>
          <w:szCs w:val="24"/>
          <w:u w:val="single"/>
        </w:rPr>
        <w:t>C</w:t>
      </w:r>
      <w:r w:rsidRPr="001C2CAF">
        <w:rPr>
          <w:rFonts w:ascii="Arial" w:hAnsi="Arial" w:cs="Arial"/>
          <w:color w:val="000000" w:themeColor="text1"/>
          <w:sz w:val="24"/>
          <w:szCs w:val="24"/>
          <w:u w:val="single"/>
        </w:rPr>
        <w:t xml:space="preserve"> - </w:t>
      </w:r>
      <w:r w:rsidR="001C2CAF" w:rsidRPr="001C2CAF">
        <w:rPr>
          <w:rFonts w:ascii="Arial" w:hAnsi="Arial" w:cs="Arial"/>
          <w:color w:val="000000" w:themeColor="text1"/>
          <w:sz w:val="24"/>
          <w:szCs w:val="24"/>
          <w:u w:val="single"/>
        </w:rPr>
        <w:t>CYBERCRIME POLICING STRATEGIES AND TOOLS</w:t>
      </w:r>
      <w:bookmarkEnd w:id="37"/>
    </w:p>
    <w:p w14:paraId="4B47F880" w14:textId="77777777" w:rsidR="001C2CAF" w:rsidRPr="001C2CAF" w:rsidRDefault="001C2CAF" w:rsidP="001C2CAF"/>
    <w:p w14:paraId="6DA62CC2" w14:textId="1FE05147" w:rsidR="00875C40" w:rsidRPr="00875C40" w:rsidRDefault="003234FE" w:rsidP="00875C40">
      <w:pPr>
        <w:pStyle w:val="Heading3"/>
        <w:spacing w:line="360" w:lineRule="auto"/>
        <w:rPr>
          <w:rFonts w:ascii="Arial" w:hAnsi="Arial" w:cs="Arial"/>
          <w:i/>
          <w:iCs/>
          <w:color w:val="000000"/>
          <w:sz w:val="24"/>
          <w:szCs w:val="24"/>
        </w:rPr>
      </w:pPr>
      <w:bookmarkStart w:id="38" w:name="_Toc218764830"/>
      <w:r w:rsidRPr="00875C40">
        <w:rPr>
          <w:rStyle w:val="Strong"/>
          <w:rFonts w:ascii="Arial" w:hAnsi="Arial" w:cs="Arial"/>
          <w:color w:val="000000"/>
          <w:sz w:val="24"/>
          <w:szCs w:val="24"/>
        </w:rPr>
        <w:t xml:space="preserve">Figure </w:t>
      </w:r>
      <w:r w:rsidR="001C2CAF">
        <w:rPr>
          <w:rStyle w:val="Strong"/>
          <w:rFonts w:ascii="Arial" w:hAnsi="Arial" w:cs="Arial"/>
          <w:color w:val="000000"/>
          <w:sz w:val="24"/>
          <w:szCs w:val="24"/>
        </w:rPr>
        <w:t>C</w:t>
      </w:r>
      <w:r w:rsidRPr="00875C40">
        <w:rPr>
          <w:rStyle w:val="Strong"/>
          <w:rFonts w:ascii="Arial" w:hAnsi="Arial" w:cs="Arial"/>
          <w:color w:val="000000"/>
          <w:sz w:val="24"/>
          <w:szCs w:val="24"/>
        </w:rPr>
        <w:t>1:</w:t>
      </w:r>
      <w:r w:rsidRPr="00875C40">
        <w:rPr>
          <w:rStyle w:val="apple-converted-space"/>
          <w:rFonts w:ascii="Arial" w:hAnsi="Arial" w:cs="Arial"/>
          <w:color w:val="000000"/>
          <w:sz w:val="24"/>
          <w:szCs w:val="24"/>
        </w:rPr>
        <w:t> </w:t>
      </w:r>
      <w:r w:rsidRPr="00875C40">
        <w:rPr>
          <w:rStyle w:val="Emphasis"/>
          <w:rFonts w:ascii="Arial" w:hAnsi="Arial" w:cs="Arial"/>
          <w:color w:val="000000"/>
          <w:sz w:val="24"/>
          <w:szCs w:val="24"/>
        </w:rPr>
        <w:t>Digital Forensic Workflow Model (DFWM)</w:t>
      </w:r>
      <w:bookmarkEnd w:id="38"/>
    </w:p>
    <w:p w14:paraId="4D922EB0" w14:textId="73CA9D9C" w:rsidR="00875C40" w:rsidRDefault="00875C40" w:rsidP="00875C40">
      <w:pPr>
        <w:spacing w:line="360" w:lineRule="auto"/>
        <w:rPr>
          <w:rFonts w:ascii="Arial" w:hAnsi="Arial" w:cs="Arial"/>
          <w:color w:val="000000"/>
          <w:sz w:val="24"/>
          <w:szCs w:val="24"/>
        </w:rPr>
      </w:pPr>
      <w:r w:rsidRPr="00875C40">
        <w:rPr>
          <w:rFonts w:ascii="Arial" w:hAnsi="Arial" w:cs="Arial"/>
          <w:b/>
          <w:bCs/>
          <w:color w:val="000000" w:themeColor="text1"/>
          <w:sz w:val="24"/>
          <w:szCs w:val="24"/>
        </w:rPr>
        <w:t>Source:</w:t>
      </w:r>
      <w:r w:rsidRPr="00875C40">
        <w:rPr>
          <w:rFonts w:ascii="Arial" w:hAnsi="Arial" w:cs="Arial"/>
          <w:color w:val="000000" w:themeColor="text1"/>
          <w:sz w:val="24"/>
          <w:szCs w:val="24"/>
        </w:rPr>
        <w:t xml:space="preserve"> </w:t>
      </w:r>
      <w:r w:rsidRPr="00875C40">
        <w:rPr>
          <w:rFonts w:ascii="Arial" w:hAnsi="Arial" w:cs="Arial"/>
          <w:color w:val="000000"/>
          <w:sz w:val="24"/>
          <w:szCs w:val="24"/>
        </w:rPr>
        <w:t>Kohn, M., Eloff, M.M. and Olivier, M.S. (2022) ‘A model for digital forensic workflows’,</w:t>
      </w:r>
      <w:r w:rsidRPr="00875C40">
        <w:rPr>
          <w:rStyle w:val="apple-converted-space"/>
          <w:rFonts w:ascii="Arial" w:hAnsi="Arial" w:cs="Arial"/>
          <w:color w:val="000000"/>
          <w:sz w:val="24"/>
          <w:szCs w:val="24"/>
        </w:rPr>
        <w:t> </w:t>
      </w:r>
      <w:r w:rsidRPr="00875C40">
        <w:rPr>
          <w:rStyle w:val="Emphasis"/>
          <w:rFonts w:ascii="Arial" w:hAnsi="Arial" w:cs="Arial"/>
          <w:color w:val="000000"/>
          <w:sz w:val="24"/>
          <w:szCs w:val="24"/>
        </w:rPr>
        <w:t>Digital Investigation</w:t>
      </w:r>
      <w:r w:rsidRPr="00875C40">
        <w:rPr>
          <w:rFonts w:ascii="Arial" w:hAnsi="Arial" w:cs="Arial"/>
          <w:color w:val="000000"/>
          <w:sz w:val="24"/>
          <w:szCs w:val="24"/>
        </w:rPr>
        <w:t xml:space="preserve">, 44, 301379. Available </w:t>
      </w:r>
      <w:r w:rsidRPr="00875C40">
        <w:rPr>
          <w:rFonts w:ascii="Arial" w:hAnsi="Arial" w:cs="Arial"/>
          <w:color w:val="000000"/>
          <w:sz w:val="24"/>
          <w:szCs w:val="24"/>
        </w:rPr>
        <w:lastRenderedPageBreak/>
        <w:t>at:</w:t>
      </w:r>
      <w:r w:rsidRPr="00875C40">
        <w:rPr>
          <w:rStyle w:val="apple-converted-space"/>
          <w:rFonts w:ascii="Arial" w:hAnsi="Arial" w:cs="Arial"/>
          <w:color w:val="000000"/>
          <w:sz w:val="24"/>
          <w:szCs w:val="24"/>
        </w:rPr>
        <w:t> </w:t>
      </w:r>
      <w:hyperlink r:id="rId19" w:tgtFrame="_new" w:history="1">
        <w:r w:rsidRPr="00875C40">
          <w:rPr>
            <w:rStyle w:val="Hyperlink"/>
            <w:rFonts w:ascii="Arial" w:hAnsi="Arial" w:cs="Arial"/>
            <w:sz w:val="24"/>
            <w:szCs w:val="24"/>
          </w:rPr>
          <w:t>https://www.sciencedirect.com/science/article/pii/S1355030622000144</w:t>
        </w:r>
      </w:hyperlink>
      <w:r w:rsidRPr="00875C40">
        <w:rPr>
          <w:rStyle w:val="apple-converted-space"/>
          <w:rFonts w:ascii="Arial" w:hAnsi="Arial" w:cs="Arial"/>
          <w:color w:val="000000"/>
          <w:sz w:val="24"/>
          <w:szCs w:val="24"/>
        </w:rPr>
        <w:t> </w:t>
      </w:r>
      <w:r w:rsidRPr="00875C40">
        <w:rPr>
          <w:rFonts w:ascii="Arial" w:hAnsi="Arial" w:cs="Arial"/>
          <w:color w:val="000000"/>
          <w:sz w:val="24"/>
          <w:szCs w:val="24"/>
        </w:rPr>
        <w:t>(Accessed: 07 January 2026).</w:t>
      </w:r>
    </w:p>
    <w:p w14:paraId="118B4D08" w14:textId="76D1F305" w:rsidR="00875C40" w:rsidRDefault="00875C40" w:rsidP="00875C40">
      <w:pPr>
        <w:pStyle w:val="NormalWeb"/>
        <w:spacing w:line="360" w:lineRule="auto"/>
        <w:rPr>
          <w:rFonts w:ascii="Arial" w:hAnsi="Arial" w:cs="Arial"/>
          <w:color w:val="000000"/>
        </w:rPr>
      </w:pPr>
      <w:r w:rsidRPr="00875C40">
        <w:rPr>
          <w:rStyle w:val="Strong"/>
          <w:rFonts w:ascii="Arial" w:hAnsi="Arial" w:cs="Arial"/>
          <w:color w:val="000000"/>
        </w:rPr>
        <w:t>N</w:t>
      </w:r>
      <w:r w:rsidRPr="00875C40">
        <w:rPr>
          <w:rStyle w:val="Strong"/>
          <w:rFonts w:ascii="Arial" w:hAnsi="Arial" w:cs="Arial"/>
          <w:color w:val="000000"/>
        </w:rPr>
        <w:t>ote:</w:t>
      </w:r>
      <w:r w:rsidRPr="00875C40">
        <w:rPr>
          <w:rFonts w:ascii="Arial" w:hAnsi="Arial" w:cs="Arial"/>
          <w:color w:val="000000"/>
        </w:rPr>
        <w:br/>
        <w:t>This figure illustrates the Digital Forensic Workflow Model (DFWM) and the key stages involved in digital forensic investigations.</w:t>
      </w:r>
    </w:p>
    <w:p w14:paraId="6B6D4539" w14:textId="03526DCF" w:rsidR="00875C40" w:rsidRDefault="00875C40" w:rsidP="00875C40">
      <w:pPr>
        <w:spacing w:line="360" w:lineRule="auto"/>
        <w:rPr>
          <w:rFonts w:ascii="Arial" w:hAnsi="Arial" w:cs="Arial"/>
          <w:sz w:val="24"/>
          <w:szCs w:val="24"/>
        </w:rPr>
      </w:pPr>
      <w:r>
        <w:rPr>
          <w:rFonts w:ascii="Arial" w:hAnsi="Arial" w:cs="Arial"/>
          <w:noProof/>
          <w:sz w:val="24"/>
          <w:szCs w:val="24"/>
        </w:rPr>
        <w:drawing>
          <wp:inline distT="0" distB="0" distL="0" distR="0" wp14:anchorId="0C4B4BAF" wp14:editId="61A602FC">
            <wp:extent cx="5148206" cy="4289248"/>
            <wp:effectExtent l="0" t="0" r="0" b="3810"/>
            <wp:docPr id="1911361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361469" name="Picture 1911361469"/>
                    <pic:cNvPicPr/>
                  </pic:nvPicPr>
                  <pic:blipFill>
                    <a:blip r:embed="rId20"/>
                    <a:stretch>
                      <a:fillRect/>
                    </a:stretch>
                  </pic:blipFill>
                  <pic:spPr>
                    <a:xfrm>
                      <a:off x="0" y="0"/>
                      <a:ext cx="5197179" cy="4330050"/>
                    </a:xfrm>
                    <a:prstGeom prst="rect">
                      <a:avLst/>
                    </a:prstGeom>
                  </pic:spPr>
                </pic:pic>
              </a:graphicData>
            </a:graphic>
          </wp:inline>
        </w:drawing>
      </w:r>
    </w:p>
    <w:p w14:paraId="40115733" w14:textId="77777777" w:rsidR="0017471A" w:rsidRDefault="0017471A" w:rsidP="001C2CAF">
      <w:pPr>
        <w:spacing w:line="360" w:lineRule="auto"/>
        <w:rPr>
          <w:rFonts w:ascii="Arial" w:hAnsi="Arial" w:cs="Arial"/>
          <w:sz w:val="24"/>
          <w:szCs w:val="24"/>
        </w:rPr>
      </w:pPr>
    </w:p>
    <w:p w14:paraId="327AA4DF" w14:textId="77777777" w:rsidR="00D47C03" w:rsidRDefault="00D47C03" w:rsidP="001C2CAF">
      <w:pPr>
        <w:pStyle w:val="Heading3"/>
        <w:spacing w:line="360" w:lineRule="auto"/>
        <w:rPr>
          <w:rFonts w:ascii="Arial" w:hAnsi="Arial" w:cs="Arial"/>
          <w:b/>
          <w:bCs/>
          <w:color w:val="000000" w:themeColor="text1"/>
          <w:sz w:val="24"/>
          <w:szCs w:val="24"/>
        </w:rPr>
      </w:pPr>
    </w:p>
    <w:p w14:paraId="7CBA88B3" w14:textId="2F510522" w:rsidR="0017471A" w:rsidRDefault="001C2CAF" w:rsidP="001C2CAF">
      <w:pPr>
        <w:pStyle w:val="Heading3"/>
        <w:spacing w:line="360" w:lineRule="auto"/>
        <w:rPr>
          <w:rStyle w:val="apple-converted-space"/>
          <w:rFonts w:ascii="Arial" w:hAnsi="Arial" w:cs="Arial"/>
          <w:color w:val="000000" w:themeColor="text1"/>
          <w:sz w:val="24"/>
          <w:szCs w:val="24"/>
        </w:rPr>
      </w:pPr>
      <w:bookmarkStart w:id="39" w:name="_Toc218764831"/>
      <w:r w:rsidRPr="001C2CAF">
        <w:rPr>
          <w:rFonts w:ascii="Arial" w:hAnsi="Arial" w:cs="Arial"/>
          <w:b/>
          <w:bCs/>
          <w:color w:val="000000" w:themeColor="text1"/>
          <w:sz w:val="24"/>
          <w:szCs w:val="24"/>
        </w:rPr>
        <w:t>Figure C2</w:t>
      </w:r>
      <w:r w:rsidRPr="001C2CAF">
        <w:rPr>
          <w:rFonts w:ascii="Arial" w:hAnsi="Arial" w:cs="Arial"/>
          <w:color w:val="000000" w:themeColor="text1"/>
          <w:sz w:val="24"/>
          <w:szCs w:val="24"/>
        </w:rPr>
        <w:t xml:space="preserve">- </w:t>
      </w:r>
      <w:r w:rsidRPr="001C2CAF">
        <w:rPr>
          <w:rFonts w:ascii="Arial" w:hAnsi="Arial" w:cs="Arial"/>
          <w:color w:val="000000" w:themeColor="text1"/>
          <w:sz w:val="24"/>
          <w:szCs w:val="24"/>
        </w:rPr>
        <w:t>Threat Intelligence Lifecycle</w:t>
      </w:r>
      <w:bookmarkEnd w:id="39"/>
      <w:r w:rsidRPr="001C2CAF">
        <w:rPr>
          <w:rStyle w:val="apple-converted-space"/>
          <w:rFonts w:ascii="Arial" w:hAnsi="Arial" w:cs="Arial"/>
          <w:color w:val="000000" w:themeColor="text1"/>
          <w:sz w:val="24"/>
          <w:szCs w:val="24"/>
        </w:rPr>
        <w:t> </w:t>
      </w:r>
    </w:p>
    <w:p w14:paraId="79DF0C47" w14:textId="77777777" w:rsidR="00D47C03" w:rsidRPr="00D47C03" w:rsidRDefault="00D47C03" w:rsidP="00D47C03"/>
    <w:p w14:paraId="5E5416CB" w14:textId="369F8CD0" w:rsidR="001C2CAF" w:rsidRPr="001C2CAF" w:rsidRDefault="001C2CAF" w:rsidP="001C2CAF">
      <w:pPr>
        <w:pStyle w:val="NormalWeb"/>
        <w:spacing w:line="360" w:lineRule="auto"/>
        <w:rPr>
          <w:rFonts w:ascii="Arial" w:hAnsi="Arial" w:cs="Arial"/>
          <w:color w:val="000000" w:themeColor="text1"/>
        </w:rPr>
      </w:pPr>
      <w:r w:rsidRPr="001C2CAF">
        <w:rPr>
          <w:rStyle w:val="Strong"/>
          <w:rFonts w:ascii="Arial" w:eastAsiaTheme="majorEastAsia" w:hAnsi="Arial" w:cs="Arial"/>
          <w:color w:val="000000" w:themeColor="text1"/>
        </w:rPr>
        <w:t>Source:</w:t>
      </w:r>
      <w:r w:rsidRPr="001C2CAF">
        <w:rPr>
          <w:rFonts w:ascii="Arial" w:hAnsi="Arial" w:cs="Arial"/>
          <w:color w:val="000000" w:themeColor="text1"/>
        </w:rPr>
        <w:br/>
      </w:r>
      <w:proofErr w:type="spellStart"/>
      <w:r w:rsidRPr="001C2CAF">
        <w:rPr>
          <w:rFonts w:ascii="Arial" w:hAnsi="Arial" w:cs="Arial"/>
          <w:color w:val="000000" w:themeColor="text1"/>
        </w:rPr>
        <w:t>Silobreaker</w:t>
      </w:r>
      <w:proofErr w:type="spellEnd"/>
      <w:r w:rsidRPr="001C2CAF">
        <w:rPr>
          <w:rFonts w:ascii="Arial" w:hAnsi="Arial" w:cs="Arial"/>
          <w:color w:val="000000" w:themeColor="text1"/>
        </w:rPr>
        <w:t xml:space="preserve"> (n.d.)</w:t>
      </w:r>
      <w:r w:rsidRPr="001C2CAF">
        <w:rPr>
          <w:rStyle w:val="apple-converted-space"/>
          <w:rFonts w:ascii="Arial" w:eastAsiaTheme="majorEastAsia" w:hAnsi="Arial" w:cs="Arial"/>
          <w:color w:val="000000" w:themeColor="text1"/>
        </w:rPr>
        <w:t> </w:t>
      </w:r>
      <w:r w:rsidRPr="001C2CAF">
        <w:rPr>
          <w:rStyle w:val="Emphasis"/>
          <w:rFonts w:ascii="Arial" w:eastAsiaTheme="majorEastAsia" w:hAnsi="Arial" w:cs="Arial"/>
          <w:color w:val="000000" w:themeColor="text1"/>
        </w:rPr>
        <w:t>Threat Intelligence Lifecycle</w:t>
      </w:r>
      <w:r w:rsidRPr="001C2CAF">
        <w:rPr>
          <w:rFonts w:ascii="Arial" w:hAnsi="Arial" w:cs="Arial"/>
          <w:color w:val="000000" w:themeColor="text1"/>
        </w:rPr>
        <w:t xml:space="preserve">. Available </w:t>
      </w:r>
      <w:r w:rsidRPr="001C2CAF">
        <w:rPr>
          <w:rFonts w:ascii="Arial" w:hAnsi="Arial" w:cs="Arial"/>
          <w:color w:val="000000" w:themeColor="text1"/>
        </w:rPr>
        <w:lastRenderedPageBreak/>
        <w:t>at:</w:t>
      </w:r>
      <w:r w:rsidRPr="001C2CAF">
        <w:rPr>
          <w:rStyle w:val="apple-converted-space"/>
          <w:rFonts w:ascii="Arial" w:eastAsiaTheme="majorEastAsia" w:hAnsi="Arial" w:cs="Arial"/>
          <w:color w:val="000000" w:themeColor="text1"/>
        </w:rPr>
        <w:t> </w:t>
      </w:r>
      <w:hyperlink r:id="rId21" w:tgtFrame="_new" w:history="1">
        <w:r w:rsidRPr="001C2CAF">
          <w:rPr>
            <w:rStyle w:val="Hyperlink"/>
            <w:rFonts w:ascii="Arial" w:eastAsiaTheme="majorEastAsia" w:hAnsi="Arial" w:cs="Arial"/>
            <w:color w:val="000000" w:themeColor="text1"/>
          </w:rPr>
          <w:t>https://www.silobreaker.com/glossary/threat-intelligence-lifecycle/</w:t>
        </w:r>
      </w:hyperlink>
      <w:r w:rsidRPr="001C2CAF">
        <w:rPr>
          <w:rStyle w:val="apple-converted-space"/>
          <w:rFonts w:ascii="Arial" w:eastAsiaTheme="majorEastAsia" w:hAnsi="Arial" w:cs="Arial"/>
          <w:color w:val="000000" w:themeColor="text1"/>
        </w:rPr>
        <w:t> </w:t>
      </w:r>
      <w:r w:rsidRPr="001C2CAF">
        <w:rPr>
          <w:rFonts w:ascii="Arial" w:hAnsi="Arial" w:cs="Arial"/>
          <w:color w:val="000000" w:themeColor="text1"/>
        </w:rPr>
        <w:t>(Accessed: 07 January 2026).</w:t>
      </w:r>
    </w:p>
    <w:p w14:paraId="5AFB654D" w14:textId="77777777" w:rsidR="001C2CAF" w:rsidRPr="001C2CAF" w:rsidRDefault="001C2CAF" w:rsidP="001C2CAF">
      <w:pPr>
        <w:pStyle w:val="NormalWeb"/>
        <w:spacing w:line="360" w:lineRule="auto"/>
        <w:rPr>
          <w:rFonts w:ascii="Arial" w:hAnsi="Arial" w:cs="Arial"/>
          <w:color w:val="000000" w:themeColor="text1"/>
        </w:rPr>
      </w:pPr>
      <w:r w:rsidRPr="001C2CAF">
        <w:rPr>
          <w:rStyle w:val="Strong"/>
          <w:rFonts w:ascii="Arial" w:eastAsiaTheme="majorEastAsia" w:hAnsi="Arial" w:cs="Arial"/>
          <w:color w:val="000000" w:themeColor="text1"/>
        </w:rPr>
        <w:t>Note:</w:t>
      </w:r>
      <w:r w:rsidRPr="001C2CAF">
        <w:rPr>
          <w:rFonts w:ascii="Arial" w:hAnsi="Arial" w:cs="Arial"/>
          <w:color w:val="000000" w:themeColor="text1"/>
        </w:rPr>
        <w:br/>
        <w:t>This figure illustrates the threat intelligence lifecycle, showing the cyclical stages of planning, data collection, processing, analysis, dissemination and decision-making that underpin intelligence-led policing</w:t>
      </w:r>
    </w:p>
    <w:p w14:paraId="36084FA9" w14:textId="444DCB53" w:rsidR="001C2CAF" w:rsidRDefault="00D47C03" w:rsidP="00875C40">
      <w:pPr>
        <w:spacing w:line="360" w:lineRule="auto"/>
      </w:pPr>
      <w:r>
        <w:fldChar w:fldCharType="begin"/>
      </w:r>
      <w:r>
        <w:instrText xml:space="preserve"> INCLUDEPICTURE "/Users/Sadiemason/Library/Group Containers/UBF8T346G9.ms/WebArchiveCopyPasteTempFiles/com.microsoft.Word/Threat-Intel-Cycle-Wheel-Graphic-1024x629.png" \* MERGEFORMATINET </w:instrText>
      </w:r>
      <w:r>
        <w:fldChar w:fldCharType="separate"/>
      </w:r>
      <w:r>
        <w:rPr>
          <w:noProof/>
        </w:rPr>
        <w:drawing>
          <wp:inline distT="0" distB="0" distL="0" distR="0" wp14:anchorId="5468E2E1" wp14:editId="48251B94">
            <wp:extent cx="5889037" cy="3617259"/>
            <wp:effectExtent l="0" t="0" r="0" b="0"/>
            <wp:docPr id="278927865" name="Picture 3" descr="Threat Intelligence Lifecycle: Definition, Explanation,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at Intelligence Lifecycle: Definition, Explanation, Exampl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93682" cy="3620112"/>
                    </a:xfrm>
                    <a:prstGeom prst="rect">
                      <a:avLst/>
                    </a:prstGeom>
                    <a:noFill/>
                    <a:ln>
                      <a:noFill/>
                    </a:ln>
                  </pic:spPr>
                </pic:pic>
              </a:graphicData>
            </a:graphic>
          </wp:inline>
        </w:drawing>
      </w:r>
      <w:r>
        <w:fldChar w:fldCharType="end"/>
      </w:r>
    </w:p>
    <w:p w14:paraId="2D2C5EC2" w14:textId="77777777" w:rsidR="0086336B" w:rsidRDefault="0086336B" w:rsidP="0086336B">
      <w:pPr>
        <w:pStyle w:val="Heading3"/>
        <w:rPr>
          <w:rStyle w:val="Strong"/>
          <w:rFonts w:ascii="Arial" w:hAnsi="Arial" w:cs="Arial"/>
          <w:color w:val="000000"/>
          <w:sz w:val="24"/>
          <w:szCs w:val="24"/>
        </w:rPr>
      </w:pPr>
    </w:p>
    <w:p w14:paraId="6197172B" w14:textId="77777777" w:rsidR="0086336B" w:rsidRPr="0086336B" w:rsidRDefault="0086336B" w:rsidP="0086336B"/>
    <w:p w14:paraId="673DB2F6" w14:textId="6CD7C84F" w:rsidR="0086336B" w:rsidRPr="0086336B" w:rsidRDefault="0086336B" w:rsidP="0086336B">
      <w:pPr>
        <w:pStyle w:val="Heading3"/>
        <w:rPr>
          <w:rFonts w:ascii="Arial" w:hAnsi="Arial" w:cs="Arial"/>
          <w:sz w:val="24"/>
          <w:szCs w:val="24"/>
        </w:rPr>
      </w:pPr>
      <w:bookmarkStart w:id="40" w:name="_Toc218764832"/>
      <w:r w:rsidRPr="0086336B">
        <w:rPr>
          <w:rStyle w:val="Strong"/>
          <w:rFonts w:ascii="Arial" w:hAnsi="Arial" w:cs="Arial"/>
          <w:color w:val="000000"/>
          <w:sz w:val="24"/>
          <w:szCs w:val="24"/>
        </w:rPr>
        <w:t>Figure C3:</w:t>
      </w:r>
      <w:r w:rsidRPr="0086336B">
        <w:rPr>
          <w:rStyle w:val="apple-converted-space"/>
          <w:rFonts w:ascii="Arial" w:hAnsi="Arial" w:cs="Arial"/>
          <w:color w:val="000000"/>
          <w:sz w:val="24"/>
          <w:szCs w:val="24"/>
        </w:rPr>
        <w:t> </w:t>
      </w:r>
      <w:r w:rsidRPr="0086336B">
        <w:rPr>
          <w:rStyle w:val="Emphasis"/>
          <w:rFonts w:ascii="Arial" w:hAnsi="Arial" w:cs="Arial"/>
          <w:color w:val="000000"/>
          <w:sz w:val="24"/>
          <w:szCs w:val="24"/>
        </w:rPr>
        <w:t>Legal, technical, organisational, capacity-building and cooperative dimensions of cybercrime governance</w:t>
      </w:r>
      <w:bookmarkEnd w:id="40"/>
    </w:p>
    <w:p w14:paraId="2C5C1293" w14:textId="77777777" w:rsidR="0086336B" w:rsidRPr="0086336B" w:rsidRDefault="0086336B" w:rsidP="00875C40">
      <w:pPr>
        <w:spacing w:line="360" w:lineRule="auto"/>
        <w:rPr>
          <w:rFonts w:ascii="Arial" w:hAnsi="Arial" w:cs="Arial"/>
          <w:sz w:val="24"/>
          <w:szCs w:val="24"/>
        </w:rPr>
      </w:pPr>
    </w:p>
    <w:p w14:paraId="4BD729E7" w14:textId="57BDBEB5" w:rsidR="0086336B" w:rsidRDefault="0086336B" w:rsidP="00875C40">
      <w:pPr>
        <w:spacing w:line="360" w:lineRule="auto"/>
        <w:rPr>
          <w:rFonts w:ascii="Arial" w:hAnsi="Arial" w:cs="Arial"/>
          <w:color w:val="000000"/>
          <w:sz w:val="24"/>
          <w:szCs w:val="24"/>
        </w:rPr>
      </w:pPr>
      <w:r w:rsidRPr="0086336B">
        <w:rPr>
          <w:rStyle w:val="Strong"/>
          <w:rFonts w:ascii="Arial" w:hAnsi="Arial" w:cs="Arial"/>
          <w:color w:val="000000"/>
          <w:sz w:val="24"/>
          <w:szCs w:val="24"/>
        </w:rPr>
        <w:t>Source:</w:t>
      </w:r>
      <w:r w:rsidRPr="0086336B">
        <w:rPr>
          <w:rFonts w:ascii="Arial" w:hAnsi="Arial" w:cs="Arial"/>
          <w:color w:val="000000"/>
          <w:sz w:val="24"/>
          <w:szCs w:val="24"/>
        </w:rPr>
        <w:br/>
        <w:t>European Union Agency for Cybersecurity (ENISA) (2018)</w:t>
      </w:r>
      <w:r w:rsidRPr="0086336B">
        <w:rPr>
          <w:rStyle w:val="apple-converted-space"/>
          <w:rFonts w:ascii="Arial" w:hAnsi="Arial" w:cs="Arial"/>
          <w:color w:val="000000"/>
          <w:sz w:val="24"/>
          <w:szCs w:val="24"/>
        </w:rPr>
        <w:t> </w:t>
      </w:r>
      <w:r w:rsidRPr="0086336B">
        <w:rPr>
          <w:rStyle w:val="Emphasis"/>
          <w:rFonts w:ascii="Arial" w:hAnsi="Arial" w:cs="Arial"/>
          <w:color w:val="000000"/>
          <w:sz w:val="24"/>
          <w:szCs w:val="24"/>
        </w:rPr>
        <w:t>National Cyber Security Strategies: Practical Guide on Development and Execution</w:t>
      </w:r>
      <w:r w:rsidRPr="0086336B">
        <w:rPr>
          <w:rFonts w:ascii="Arial" w:hAnsi="Arial" w:cs="Arial"/>
          <w:color w:val="000000"/>
          <w:sz w:val="24"/>
          <w:szCs w:val="24"/>
        </w:rPr>
        <w:t xml:space="preserve">. Available </w:t>
      </w:r>
      <w:r w:rsidRPr="0086336B">
        <w:rPr>
          <w:rFonts w:ascii="Arial" w:hAnsi="Arial" w:cs="Arial"/>
          <w:color w:val="000000"/>
          <w:sz w:val="24"/>
          <w:szCs w:val="24"/>
        </w:rPr>
        <w:lastRenderedPageBreak/>
        <w:t>at:</w:t>
      </w:r>
      <w:r w:rsidRPr="0086336B">
        <w:rPr>
          <w:rStyle w:val="apple-converted-space"/>
          <w:rFonts w:ascii="Arial" w:hAnsi="Arial" w:cs="Arial"/>
          <w:color w:val="000000"/>
          <w:sz w:val="24"/>
          <w:szCs w:val="24"/>
        </w:rPr>
        <w:t> </w:t>
      </w:r>
      <w:r w:rsidRPr="0086336B">
        <w:rPr>
          <w:rFonts w:ascii="Arial" w:hAnsi="Arial" w:cs="Arial"/>
          <w:sz w:val="24"/>
          <w:szCs w:val="24"/>
        </w:rPr>
        <w:t>https://www.enisa.europa.eu/publications/national-cyber-security-strategies</w:t>
      </w:r>
      <w:r w:rsidRPr="0086336B">
        <w:rPr>
          <w:rFonts w:ascii="Arial" w:hAnsi="Arial" w:cs="Arial"/>
          <w:color w:val="000000"/>
          <w:sz w:val="24"/>
          <w:szCs w:val="24"/>
        </w:rPr>
        <w:t>(Accessed: 7 January 2026).</w:t>
      </w:r>
    </w:p>
    <w:p w14:paraId="3DE29F18" w14:textId="5F7C0B81" w:rsidR="0086336B" w:rsidRDefault="0086336B" w:rsidP="0086336B">
      <w:pPr>
        <w:spacing w:line="360" w:lineRule="auto"/>
        <w:rPr>
          <w:rFonts w:ascii="Arial" w:hAnsi="Arial" w:cs="Arial"/>
          <w:color w:val="000000"/>
          <w:sz w:val="24"/>
          <w:szCs w:val="24"/>
        </w:rPr>
      </w:pPr>
      <w:r>
        <w:rPr>
          <w:rStyle w:val="Strong"/>
          <w:rFonts w:ascii="Arial" w:hAnsi="Arial" w:cs="Arial"/>
          <w:color w:val="000000"/>
          <w:sz w:val="24"/>
          <w:szCs w:val="24"/>
        </w:rPr>
        <w:t>N</w:t>
      </w:r>
      <w:r w:rsidRPr="0086336B">
        <w:rPr>
          <w:rStyle w:val="Strong"/>
          <w:rFonts w:ascii="Arial" w:hAnsi="Arial" w:cs="Arial"/>
          <w:color w:val="000000"/>
          <w:sz w:val="24"/>
          <w:szCs w:val="24"/>
        </w:rPr>
        <w:t>ote:</w:t>
      </w:r>
      <w:r w:rsidRPr="0086336B">
        <w:rPr>
          <w:rFonts w:ascii="Arial" w:hAnsi="Arial" w:cs="Arial"/>
          <w:color w:val="000000"/>
          <w:sz w:val="24"/>
          <w:szCs w:val="24"/>
        </w:rPr>
        <w:br/>
        <w:t>This figure illustrates a multi-dimensional framework for cybercrime governance, highlighting the interdependence of legal, technical, organisational, capacity-building and cooperative measures required for effective cybercrime prevention and response.</w:t>
      </w:r>
    </w:p>
    <w:p w14:paraId="7F3E57E7" w14:textId="77777777" w:rsidR="0086336B" w:rsidRDefault="0086336B" w:rsidP="0086336B">
      <w:pPr>
        <w:spacing w:line="360" w:lineRule="auto"/>
        <w:rPr>
          <w:rFonts w:ascii="Arial" w:hAnsi="Arial" w:cs="Arial"/>
          <w:color w:val="000000"/>
          <w:sz w:val="24"/>
          <w:szCs w:val="24"/>
        </w:rPr>
      </w:pPr>
    </w:p>
    <w:p w14:paraId="635E3340" w14:textId="66E0069A" w:rsidR="0086336B" w:rsidRPr="0086336B" w:rsidRDefault="0086336B" w:rsidP="0086336B">
      <w:pPr>
        <w:spacing w:line="360" w:lineRule="auto"/>
        <w:rPr>
          <w:rFonts w:ascii="Arial" w:hAnsi="Arial" w:cs="Arial"/>
          <w:sz w:val="24"/>
          <w:szCs w:val="24"/>
        </w:rPr>
      </w:pPr>
      <w:r>
        <w:rPr>
          <w:rFonts w:ascii="Arial" w:hAnsi="Arial" w:cs="Arial"/>
          <w:noProof/>
          <w:sz w:val="24"/>
          <w:szCs w:val="24"/>
        </w:rPr>
        <w:drawing>
          <wp:inline distT="0" distB="0" distL="0" distR="0" wp14:anchorId="3B6A3A48" wp14:editId="75F3510D">
            <wp:extent cx="5486400" cy="5708015"/>
            <wp:effectExtent l="0" t="0" r="0" b="0"/>
            <wp:docPr id="2941139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13957" name="Picture 294113957"/>
                    <pic:cNvPicPr/>
                  </pic:nvPicPr>
                  <pic:blipFill>
                    <a:blip r:embed="rId23"/>
                    <a:stretch>
                      <a:fillRect/>
                    </a:stretch>
                  </pic:blipFill>
                  <pic:spPr>
                    <a:xfrm>
                      <a:off x="0" y="0"/>
                      <a:ext cx="5486400" cy="5708015"/>
                    </a:xfrm>
                    <a:prstGeom prst="rect">
                      <a:avLst/>
                    </a:prstGeom>
                  </pic:spPr>
                </pic:pic>
              </a:graphicData>
            </a:graphic>
          </wp:inline>
        </w:drawing>
      </w:r>
    </w:p>
    <w:sectPr w:rsidR="0086336B" w:rsidRPr="0086336B">
      <w:footerReference w:type="default" r:id="rId2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E742C2" w14:textId="77777777" w:rsidR="00C5128E" w:rsidRDefault="00C5128E">
      <w:pPr>
        <w:spacing w:before="0" w:after="0" w:line="240" w:lineRule="auto"/>
      </w:pPr>
      <w:r>
        <w:separator/>
      </w:r>
    </w:p>
  </w:endnote>
  <w:endnote w:type="continuationSeparator" w:id="0">
    <w:p w14:paraId="319AD1C9" w14:textId="77777777" w:rsidR="00C5128E" w:rsidRDefault="00C512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0B4F70"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CAAD2C" w14:textId="77777777" w:rsidR="00C5128E" w:rsidRDefault="00C5128E">
      <w:pPr>
        <w:spacing w:before="0" w:after="0" w:line="240" w:lineRule="auto"/>
      </w:pPr>
      <w:r>
        <w:separator/>
      </w:r>
    </w:p>
  </w:footnote>
  <w:footnote w:type="continuationSeparator" w:id="0">
    <w:p w14:paraId="365C7AAD" w14:textId="77777777" w:rsidR="00C5128E" w:rsidRDefault="00C5128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9E3B32"/>
    <w:multiLevelType w:val="multilevel"/>
    <w:tmpl w:val="7B4A5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E953A18"/>
    <w:multiLevelType w:val="hybridMultilevel"/>
    <w:tmpl w:val="32B2222E"/>
    <w:lvl w:ilvl="0" w:tplc="07D82D82">
      <w:start w:val="1"/>
      <w:numFmt w:val="decimal"/>
      <w:lvlText w:val="%1."/>
      <w:lvlJc w:val="left"/>
      <w:pPr>
        <w:ind w:left="720" w:hanging="360"/>
      </w:pPr>
      <w:rPr>
        <w:rFonts w:ascii="Aptos" w:hAnsi="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D63B96"/>
    <w:multiLevelType w:val="multilevel"/>
    <w:tmpl w:val="6772E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E5309C"/>
    <w:multiLevelType w:val="hybridMultilevel"/>
    <w:tmpl w:val="FF4A8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2071414644">
    <w:abstractNumId w:val="9"/>
  </w:num>
  <w:num w:numId="2" w16cid:durableId="1315795809">
    <w:abstractNumId w:val="9"/>
  </w:num>
  <w:num w:numId="3" w16cid:durableId="1857844511">
    <w:abstractNumId w:val="8"/>
  </w:num>
  <w:num w:numId="4" w16cid:durableId="13654079">
    <w:abstractNumId w:val="8"/>
  </w:num>
  <w:num w:numId="5" w16cid:durableId="50464547">
    <w:abstractNumId w:val="9"/>
  </w:num>
  <w:num w:numId="6" w16cid:durableId="1677270334">
    <w:abstractNumId w:val="8"/>
  </w:num>
  <w:num w:numId="7" w16cid:durableId="1170024741">
    <w:abstractNumId w:val="12"/>
  </w:num>
  <w:num w:numId="8" w16cid:durableId="964237217">
    <w:abstractNumId w:val="10"/>
  </w:num>
  <w:num w:numId="9" w16cid:durableId="1967271233">
    <w:abstractNumId w:val="14"/>
  </w:num>
  <w:num w:numId="10" w16cid:durableId="367337497">
    <w:abstractNumId w:val="13"/>
  </w:num>
  <w:num w:numId="11" w16cid:durableId="444737587">
    <w:abstractNumId w:val="19"/>
  </w:num>
  <w:num w:numId="12" w16cid:durableId="167140950">
    <w:abstractNumId w:val="18"/>
  </w:num>
  <w:num w:numId="13" w16cid:durableId="1364986333">
    <w:abstractNumId w:val="7"/>
  </w:num>
  <w:num w:numId="14" w16cid:durableId="980962247">
    <w:abstractNumId w:val="6"/>
  </w:num>
  <w:num w:numId="15" w16cid:durableId="1476488941">
    <w:abstractNumId w:val="5"/>
  </w:num>
  <w:num w:numId="16" w16cid:durableId="1988168323">
    <w:abstractNumId w:val="4"/>
  </w:num>
  <w:num w:numId="17" w16cid:durableId="1967353592">
    <w:abstractNumId w:val="3"/>
  </w:num>
  <w:num w:numId="18" w16cid:durableId="1146239483">
    <w:abstractNumId w:val="2"/>
  </w:num>
  <w:num w:numId="19" w16cid:durableId="1208177329">
    <w:abstractNumId w:val="1"/>
  </w:num>
  <w:num w:numId="20" w16cid:durableId="881330871">
    <w:abstractNumId w:val="0"/>
  </w:num>
  <w:num w:numId="21" w16cid:durableId="1923760825">
    <w:abstractNumId w:val="17"/>
  </w:num>
  <w:num w:numId="22" w16cid:durableId="12192326">
    <w:abstractNumId w:val="16"/>
  </w:num>
  <w:num w:numId="23" w16cid:durableId="1077477842">
    <w:abstractNumId w:val="11"/>
  </w:num>
  <w:num w:numId="24" w16cid:durableId="12106790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B10"/>
    <w:rsid w:val="00041AFE"/>
    <w:rsid w:val="000748AA"/>
    <w:rsid w:val="000C08CC"/>
    <w:rsid w:val="001638F6"/>
    <w:rsid w:val="0017471A"/>
    <w:rsid w:val="001A2000"/>
    <w:rsid w:val="001B23B9"/>
    <w:rsid w:val="001C2CAF"/>
    <w:rsid w:val="003209D6"/>
    <w:rsid w:val="003234FE"/>
    <w:rsid w:val="00334A73"/>
    <w:rsid w:val="003422FF"/>
    <w:rsid w:val="004952C4"/>
    <w:rsid w:val="004E736C"/>
    <w:rsid w:val="005A1C5A"/>
    <w:rsid w:val="005A2A06"/>
    <w:rsid w:val="00685B10"/>
    <w:rsid w:val="00690EFD"/>
    <w:rsid w:val="007021DE"/>
    <w:rsid w:val="00732607"/>
    <w:rsid w:val="007911BC"/>
    <w:rsid w:val="00844483"/>
    <w:rsid w:val="0086336B"/>
    <w:rsid w:val="00875C40"/>
    <w:rsid w:val="008E0322"/>
    <w:rsid w:val="008E15D4"/>
    <w:rsid w:val="00934F1C"/>
    <w:rsid w:val="009946FC"/>
    <w:rsid w:val="009D2231"/>
    <w:rsid w:val="009E1AB4"/>
    <w:rsid w:val="00A122DB"/>
    <w:rsid w:val="00A70AA9"/>
    <w:rsid w:val="00A9717B"/>
    <w:rsid w:val="00AD165F"/>
    <w:rsid w:val="00B47B7A"/>
    <w:rsid w:val="00B646B8"/>
    <w:rsid w:val="00C5128E"/>
    <w:rsid w:val="00C80BD4"/>
    <w:rsid w:val="00C8488E"/>
    <w:rsid w:val="00CE4CAA"/>
    <w:rsid w:val="00CF3A42"/>
    <w:rsid w:val="00D47C03"/>
    <w:rsid w:val="00D5413C"/>
    <w:rsid w:val="00DC07A3"/>
    <w:rsid w:val="00E11B8A"/>
    <w:rsid w:val="00F24D23"/>
    <w:rsid w:val="00F677F9"/>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3562280"/>
  <w15:chartTrackingRefBased/>
  <w15:docId w15:val="{B168C444-E398-7444-AB54-70FB1062C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9"/>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9"/>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before="0" w:after="0"/>
    </w:pPr>
    <w:rPr>
      <w:smallCaps/>
    </w:rPr>
  </w:style>
  <w:style w:type="paragraph" w:styleId="TOC1">
    <w:name w:val="toc 1"/>
    <w:basedOn w:val="Normal"/>
    <w:next w:val="Normal"/>
    <w:autoRedefine/>
    <w:uiPriority w:val="39"/>
    <w:unhideWhenUsed/>
    <w:pPr>
      <w:spacing w:before="360" w:after="360"/>
    </w:pPr>
    <w:rPr>
      <w:b/>
      <w:bCs/>
      <w:caps/>
      <w:u w:val="single"/>
    </w:rPr>
  </w:style>
  <w:style w:type="paragraph" w:styleId="TOC2">
    <w:name w:val="toc 2"/>
    <w:basedOn w:val="Normal"/>
    <w:next w:val="Normal"/>
    <w:autoRedefine/>
    <w:uiPriority w:val="39"/>
    <w:unhideWhenUsed/>
    <w:pPr>
      <w:spacing w:before="0" w:after="0"/>
    </w:pPr>
    <w:rPr>
      <w:b/>
      <w:bCs/>
      <w:smallCaps/>
    </w:r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TOC4">
    <w:name w:val="toc 4"/>
    <w:basedOn w:val="Normal"/>
    <w:next w:val="Normal"/>
    <w:autoRedefine/>
    <w:uiPriority w:val="39"/>
    <w:semiHidden/>
    <w:unhideWhenUsed/>
    <w:rsid w:val="00F24D23"/>
    <w:pPr>
      <w:spacing w:before="0" w:after="0"/>
    </w:pPr>
  </w:style>
  <w:style w:type="paragraph" w:styleId="TOC5">
    <w:name w:val="toc 5"/>
    <w:basedOn w:val="Normal"/>
    <w:next w:val="Normal"/>
    <w:autoRedefine/>
    <w:uiPriority w:val="39"/>
    <w:semiHidden/>
    <w:unhideWhenUsed/>
    <w:rsid w:val="00F24D23"/>
    <w:pPr>
      <w:spacing w:before="0" w:after="0"/>
    </w:pPr>
  </w:style>
  <w:style w:type="paragraph" w:styleId="TOC6">
    <w:name w:val="toc 6"/>
    <w:basedOn w:val="Normal"/>
    <w:next w:val="Normal"/>
    <w:autoRedefine/>
    <w:uiPriority w:val="39"/>
    <w:semiHidden/>
    <w:unhideWhenUsed/>
    <w:rsid w:val="00F24D23"/>
    <w:pPr>
      <w:spacing w:before="0" w:after="0"/>
    </w:pPr>
  </w:style>
  <w:style w:type="paragraph" w:styleId="TOC7">
    <w:name w:val="toc 7"/>
    <w:basedOn w:val="Normal"/>
    <w:next w:val="Normal"/>
    <w:autoRedefine/>
    <w:uiPriority w:val="39"/>
    <w:semiHidden/>
    <w:unhideWhenUsed/>
    <w:rsid w:val="00F24D23"/>
    <w:pPr>
      <w:spacing w:before="0" w:after="0"/>
    </w:pPr>
  </w:style>
  <w:style w:type="paragraph" w:styleId="TOC8">
    <w:name w:val="toc 8"/>
    <w:basedOn w:val="Normal"/>
    <w:next w:val="Normal"/>
    <w:autoRedefine/>
    <w:uiPriority w:val="39"/>
    <w:semiHidden/>
    <w:unhideWhenUsed/>
    <w:rsid w:val="00F24D23"/>
    <w:pPr>
      <w:spacing w:before="0" w:after="0"/>
    </w:pPr>
  </w:style>
  <w:style w:type="paragraph" w:styleId="TOC9">
    <w:name w:val="toc 9"/>
    <w:basedOn w:val="Normal"/>
    <w:next w:val="Normal"/>
    <w:autoRedefine/>
    <w:uiPriority w:val="39"/>
    <w:semiHidden/>
    <w:unhideWhenUsed/>
    <w:rsid w:val="00F24D23"/>
    <w:pPr>
      <w:spacing w:before="0" w:after="0"/>
    </w:pPr>
  </w:style>
  <w:style w:type="paragraph" w:styleId="NormalWeb">
    <w:name w:val="Normal (Web)"/>
    <w:basedOn w:val="Normal"/>
    <w:uiPriority w:val="99"/>
    <w:unhideWhenUsed/>
    <w:rsid w:val="005A2A0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pple-converted-space">
    <w:name w:val="apple-converted-space"/>
    <w:basedOn w:val="DefaultParagraphFont"/>
    <w:rsid w:val="005A2A06"/>
  </w:style>
  <w:style w:type="character" w:styleId="Strong">
    <w:name w:val="Strong"/>
    <w:basedOn w:val="DefaultParagraphFont"/>
    <w:uiPriority w:val="22"/>
    <w:qFormat/>
    <w:rsid w:val="005A2A06"/>
    <w:rPr>
      <w:b/>
      <w:bCs/>
    </w:rPr>
  </w:style>
  <w:style w:type="character" w:styleId="Emphasis">
    <w:name w:val="Emphasis"/>
    <w:basedOn w:val="DefaultParagraphFont"/>
    <w:uiPriority w:val="20"/>
    <w:qFormat/>
    <w:rsid w:val="005A2A06"/>
    <w:rPr>
      <w:i/>
      <w:iCs/>
    </w:rPr>
  </w:style>
  <w:style w:type="character" w:styleId="Hyperlink">
    <w:name w:val="Hyperlink"/>
    <w:basedOn w:val="DefaultParagraphFont"/>
    <w:uiPriority w:val="99"/>
    <w:unhideWhenUsed/>
    <w:rsid w:val="005A2A06"/>
    <w:rPr>
      <w:color w:val="0000FF"/>
      <w:u w:val="single"/>
    </w:rPr>
  </w:style>
  <w:style w:type="character" w:styleId="FollowedHyperlink">
    <w:name w:val="FollowedHyperlink"/>
    <w:basedOn w:val="DefaultParagraphFont"/>
    <w:uiPriority w:val="99"/>
    <w:semiHidden/>
    <w:unhideWhenUsed/>
    <w:rsid w:val="003234FE"/>
    <w:rPr>
      <w:color w:val="956400" w:themeColor="followedHyperlink"/>
      <w:u w:val="single"/>
    </w:rPr>
  </w:style>
  <w:style w:type="character" w:styleId="UnresolvedMention">
    <w:name w:val="Unresolved Mention"/>
    <w:basedOn w:val="DefaultParagraphFont"/>
    <w:uiPriority w:val="99"/>
    <w:semiHidden/>
    <w:unhideWhenUsed/>
    <w:rsid w:val="009946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3061">
      <w:bodyDiv w:val="1"/>
      <w:marLeft w:val="0"/>
      <w:marRight w:val="0"/>
      <w:marTop w:val="0"/>
      <w:marBottom w:val="0"/>
      <w:divBdr>
        <w:top w:val="none" w:sz="0" w:space="0" w:color="auto"/>
        <w:left w:val="none" w:sz="0" w:space="0" w:color="auto"/>
        <w:bottom w:val="none" w:sz="0" w:space="0" w:color="auto"/>
        <w:right w:val="none" w:sz="0" w:space="0" w:color="auto"/>
      </w:divBdr>
    </w:div>
    <w:div w:id="30495295">
      <w:bodyDiv w:val="1"/>
      <w:marLeft w:val="0"/>
      <w:marRight w:val="0"/>
      <w:marTop w:val="0"/>
      <w:marBottom w:val="0"/>
      <w:divBdr>
        <w:top w:val="none" w:sz="0" w:space="0" w:color="auto"/>
        <w:left w:val="none" w:sz="0" w:space="0" w:color="auto"/>
        <w:bottom w:val="none" w:sz="0" w:space="0" w:color="auto"/>
        <w:right w:val="none" w:sz="0" w:space="0" w:color="auto"/>
      </w:divBdr>
    </w:div>
    <w:div w:id="59407920">
      <w:bodyDiv w:val="1"/>
      <w:marLeft w:val="0"/>
      <w:marRight w:val="0"/>
      <w:marTop w:val="0"/>
      <w:marBottom w:val="0"/>
      <w:divBdr>
        <w:top w:val="none" w:sz="0" w:space="0" w:color="auto"/>
        <w:left w:val="none" w:sz="0" w:space="0" w:color="auto"/>
        <w:bottom w:val="none" w:sz="0" w:space="0" w:color="auto"/>
        <w:right w:val="none" w:sz="0" w:space="0" w:color="auto"/>
      </w:divBdr>
    </w:div>
    <w:div w:id="84766244">
      <w:bodyDiv w:val="1"/>
      <w:marLeft w:val="0"/>
      <w:marRight w:val="0"/>
      <w:marTop w:val="0"/>
      <w:marBottom w:val="0"/>
      <w:divBdr>
        <w:top w:val="none" w:sz="0" w:space="0" w:color="auto"/>
        <w:left w:val="none" w:sz="0" w:space="0" w:color="auto"/>
        <w:bottom w:val="none" w:sz="0" w:space="0" w:color="auto"/>
        <w:right w:val="none" w:sz="0" w:space="0" w:color="auto"/>
      </w:divBdr>
      <w:divsChild>
        <w:div w:id="18911142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724180">
      <w:bodyDiv w:val="1"/>
      <w:marLeft w:val="0"/>
      <w:marRight w:val="0"/>
      <w:marTop w:val="0"/>
      <w:marBottom w:val="0"/>
      <w:divBdr>
        <w:top w:val="none" w:sz="0" w:space="0" w:color="auto"/>
        <w:left w:val="none" w:sz="0" w:space="0" w:color="auto"/>
        <w:bottom w:val="none" w:sz="0" w:space="0" w:color="auto"/>
        <w:right w:val="none" w:sz="0" w:space="0" w:color="auto"/>
      </w:divBdr>
      <w:divsChild>
        <w:div w:id="14098405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1076000">
      <w:bodyDiv w:val="1"/>
      <w:marLeft w:val="0"/>
      <w:marRight w:val="0"/>
      <w:marTop w:val="0"/>
      <w:marBottom w:val="0"/>
      <w:divBdr>
        <w:top w:val="none" w:sz="0" w:space="0" w:color="auto"/>
        <w:left w:val="none" w:sz="0" w:space="0" w:color="auto"/>
        <w:bottom w:val="none" w:sz="0" w:space="0" w:color="auto"/>
        <w:right w:val="none" w:sz="0" w:space="0" w:color="auto"/>
      </w:divBdr>
    </w:div>
    <w:div w:id="109856472">
      <w:bodyDiv w:val="1"/>
      <w:marLeft w:val="0"/>
      <w:marRight w:val="0"/>
      <w:marTop w:val="0"/>
      <w:marBottom w:val="0"/>
      <w:divBdr>
        <w:top w:val="none" w:sz="0" w:space="0" w:color="auto"/>
        <w:left w:val="none" w:sz="0" w:space="0" w:color="auto"/>
        <w:bottom w:val="none" w:sz="0" w:space="0" w:color="auto"/>
        <w:right w:val="none" w:sz="0" w:space="0" w:color="auto"/>
      </w:divBdr>
    </w:div>
    <w:div w:id="131944329">
      <w:bodyDiv w:val="1"/>
      <w:marLeft w:val="0"/>
      <w:marRight w:val="0"/>
      <w:marTop w:val="0"/>
      <w:marBottom w:val="0"/>
      <w:divBdr>
        <w:top w:val="none" w:sz="0" w:space="0" w:color="auto"/>
        <w:left w:val="none" w:sz="0" w:space="0" w:color="auto"/>
        <w:bottom w:val="none" w:sz="0" w:space="0" w:color="auto"/>
        <w:right w:val="none" w:sz="0" w:space="0" w:color="auto"/>
      </w:divBdr>
    </w:div>
    <w:div w:id="180363926">
      <w:bodyDiv w:val="1"/>
      <w:marLeft w:val="0"/>
      <w:marRight w:val="0"/>
      <w:marTop w:val="0"/>
      <w:marBottom w:val="0"/>
      <w:divBdr>
        <w:top w:val="none" w:sz="0" w:space="0" w:color="auto"/>
        <w:left w:val="none" w:sz="0" w:space="0" w:color="auto"/>
        <w:bottom w:val="none" w:sz="0" w:space="0" w:color="auto"/>
        <w:right w:val="none" w:sz="0" w:space="0" w:color="auto"/>
      </w:divBdr>
      <w:divsChild>
        <w:div w:id="12610617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823219">
      <w:bodyDiv w:val="1"/>
      <w:marLeft w:val="0"/>
      <w:marRight w:val="0"/>
      <w:marTop w:val="0"/>
      <w:marBottom w:val="0"/>
      <w:divBdr>
        <w:top w:val="none" w:sz="0" w:space="0" w:color="auto"/>
        <w:left w:val="none" w:sz="0" w:space="0" w:color="auto"/>
        <w:bottom w:val="none" w:sz="0" w:space="0" w:color="auto"/>
        <w:right w:val="none" w:sz="0" w:space="0" w:color="auto"/>
      </w:divBdr>
    </w:div>
    <w:div w:id="207687319">
      <w:bodyDiv w:val="1"/>
      <w:marLeft w:val="0"/>
      <w:marRight w:val="0"/>
      <w:marTop w:val="0"/>
      <w:marBottom w:val="0"/>
      <w:divBdr>
        <w:top w:val="none" w:sz="0" w:space="0" w:color="auto"/>
        <w:left w:val="none" w:sz="0" w:space="0" w:color="auto"/>
        <w:bottom w:val="none" w:sz="0" w:space="0" w:color="auto"/>
        <w:right w:val="none" w:sz="0" w:space="0" w:color="auto"/>
      </w:divBdr>
    </w:div>
    <w:div w:id="216475095">
      <w:bodyDiv w:val="1"/>
      <w:marLeft w:val="0"/>
      <w:marRight w:val="0"/>
      <w:marTop w:val="0"/>
      <w:marBottom w:val="0"/>
      <w:divBdr>
        <w:top w:val="none" w:sz="0" w:space="0" w:color="auto"/>
        <w:left w:val="none" w:sz="0" w:space="0" w:color="auto"/>
        <w:bottom w:val="none" w:sz="0" w:space="0" w:color="auto"/>
        <w:right w:val="none" w:sz="0" w:space="0" w:color="auto"/>
      </w:divBdr>
    </w:div>
    <w:div w:id="224074161">
      <w:bodyDiv w:val="1"/>
      <w:marLeft w:val="0"/>
      <w:marRight w:val="0"/>
      <w:marTop w:val="0"/>
      <w:marBottom w:val="0"/>
      <w:divBdr>
        <w:top w:val="none" w:sz="0" w:space="0" w:color="auto"/>
        <w:left w:val="none" w:sz="0" w:space="0" w:color="auto"/>
        <w:bottom w:val="none" w:sz="0" w:space="0" w:color="auto"/>
        <w:right w:val="none" w:sz="0" w:space="0" w:color="auto"/>
      </w:divBdr>
    </w:div>
    <w:div w:id="253513961">
      <w:bodyDiv w:val="1"/>
      <w:marLeft w:val="0"/>
      <w:marRight w:val="0"/>
      <w:marTop w:val="0"/>
      <w:marBottom w:val="0"/>
      <w:divBdr>
        <w:top w:val="none" w:sz="0" w:space="0" w:color="auto"/>
        <w:left w:val="none" w:sz="0" w:space="0" w:color="auto"/>
        <w:bottom w:val="none" w:sz="0" w:space="0" w:color="auto"/>
        <w:right w:val="none" w:sz="0" w:space="0" w:color="auto"/>
      </w:divBdr>
    </w:div>
    <w:div w:id="272826888">
      <w:bodyDiv w:val="1"/>
      <w:marLeft w:val="0"/>
      <w:marRight w:val="0"/>
      <w:marTop w:val="0"/>
      <w:marBottom w:val="0"/>
      <w:divBdr>
        <w:top w:val="none" w:sz="0" w:space="0" w:color="auto"/>
        <w:left w:val="none" w:sz="0" w:space="0" w:color="auto"/>
        <w:bottom w:val="none" w:sz="0" w:space="0" w:color="auto"/>
        <w:right w:val="none" w:sz="0" w:space="0" w:color="auto"/>
      </w:divBdr>
    </w:div>
    <w:div w:id="274023131">
      <w:bodyDiv w:val="1"/>
      <w:marLeft w:val="0"/>
      <w:marRight w:val="0"/>
      <w:marTop w:val="0"/>
      <w:marBottom w:val="0"/>
      <w:divBdr>
        <w:top w:val="none" w:sz="0" w:space="0" w:color="auto"/>
        <w:left w:val="none" w:sz="0" w:space="0" w:color="auto"/>
        <w:bottom w:val="none" w:sz="0" w:space="0" w:color="auto"/>
        <w:right w:val="none" w:sz="0" w:space="0" w:color="auto"/>
      </w:divBdr>
    </w:div>
    <w:div w:id="282273930">
      <w:bodyDiv w:val="1"/>
      <w:marLeft w:val="0"/>
      <w:marRight w:val="0"/>
      <w:marTop w:val="0"/>
      <w:marBottom w:val="0"/>
      <w:divBdr>
        <w:top w:val="none" w:sz="0" w:space="0" w:color="auto"/>
        <w:left w:val="none" w:sz="0" w:space="0" w:color="auto"/>
        <w:bottom w:val="none" w:sz="0" w:space="0" w:color="auto"/>
        <w:right w:val="none" w:sz="0" w:space="0" w:color="auto"/>
      </w:divBdr>
    </w:div>
    <w:div w:id="298388504">
      <w:bodyDiv w:val="1"/>
      <w:marLeft w:val="0"/>
      <w:marRight w:val="0"/>
      <w:marTop w:val="0"/>
      <w:marBottom w:val="0"/>
      <w:divBdr>
        <w:top w:val="none" w:sz="0" w:space="0" w:color="auto"/>
        <w:left w:val="none" w:sz="0" w:space="0" w:color="auto"/>
        <w:bottom w:val="none" w:sz="0" w:space="0" w:color="auto"/>
        <w:right w:val="none" w:sz="0" w:space="0" w:color="auto"/>
      </w:divBdr>
    </w:div>
    <w:div w:id="305626996">
      <w:bodyDiv w:val="1"/>
      <w:marLeft w:val="0"/>
      <w:marRight w:val="0"/>
      <w:marTop w:val="0"/>
      <w:marBottom w:val="0"/>
      <w:divBdr>
        <w:top w:val="none" w:sz="0" w:space="0" w:color="auto"/>
        <w:left w:val="none" w:sz="0" w:space="0" w:color="auto"/>
        <w:bottom w:val="none" w:sz="0" w:space="0" w:color="auto"/>
        <w:right w:val="none" w:sz="0" w:space="0" w:color="auto"/>
      </w:divBdr>
      <w:divsChild>
        <w:div w:id="1578898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7422336">
      <w:bodyDiv w:val="1"/>
      <w:marLeft w:val="0"/>
      <w:marRight w:val="0"/>
      <w:marTop w:val="0"/>
      <w:marBottom w:val="0"/>
      <w:divBdr>
        <w:top w:val="none" w:sz="0" w:space="0" w:color="auto"/>
        <w:left w:val="none" w:sz="0" w:space="0" w:color="auto"/>
        <w:bottom w:val="none" w:sz="0" w:space="0" w:color="auto"/>
        <w:right w:val="none" w:sz="0" w:space="0" w:color="auto"/>
      </w:divBdr>
    </w:div>
    <w:div w:id="343290426">
      <w:bodyDiv w:val="1"/>
      <w:marLeft w:val="0"/>
      <w:marRight w:val="0"/>
      <w:marTop w:val="0"/>
      <w:marBottom w:val="0"/>
      <w:divBdr>
        <w:top w:val="none" w:sz="0" w:space="0" w:color="auto"/>
        <w:left w:val="none" w:sz="0" w:space="0" w:color="auto"/>
        <w:bottom w:val="none" w:sz="0" w:space="0" w:color="auto"/>
        <w:right w:val="none" w:sz="0" w:space="0" w:color="auto"/>
      </w:divBdr>
    </w:div>
    <w:div w:id="343672222">
      <w:bodyDiv w:val="1"/>
      <w:marLeft w:val="0"/>
      <w:marRight w:val="0"/>
      <w:marTop w:val="0"/>
      <w:marBottom w:val="0"/>
      <w:divBdr>
        <w:top w:val="none" w:sz="0" w:space="0" w:color="auto"/>
        <w:left w:val="none" w:sz="0" w:space="0" w:color="auto"/>
        <w:bottom w:val="none" w:sz="0" w:space="0" w:color="auto"/>
        <w:right w:val="none" w:sz="0" w:space="0" w:color="auto"/>
      </w:divBdr>
    </w:div>
    <w:div w:id="352457941">
      <w:bodyDiv w:val="1"/>
      <w:marLeft w:val="0"/>
      <w:marRight w:val="0"/>
      <w:marTop w:val="0"/>
      <w:marBottom w:val="0"/>
      <w:divBdr>
        <w:top w:val="none" w:sz="0" w:space="0" w:color="auto"/>
        <w:left w:val="none" w:sz="0" w:space="0" w:color="auto"/>
        <w:bottom w:val="none" w:sz="0" w:space="0" w:color="auto"/>
        <w:right w:val="none" w:sz="0" w:space="0" w:color="auto"/>
      </w:divBdr>
    </w:div>
    <w:div w:id="367529630">
      <w:bodyDiv w:val="1"/>
      <w:marLeft w:val="0"/>
      <w:marRight w:val="0"/>
      <w:marTop w:val="0"/>
      <w:marBottom w:val="0"/>
      <w:divBdr>
        <w:top w:val="none" w:sz="0" w:space="0" w:color="auto"/>
        <w:left w:val="none" w:sz="0" w:space="0" w:color="auto"/>
        <w:bottom w:val="none" w:sz="0" w:space="0" w:color="auto"/>
        <w:right w:val="none" w:sz="0" w:space="0" w:color="auto"/>
      </w:divBdr>
    </w:div>
    <w:div w:id="369958911">
      <w:bodyDiv w:val="1"/>
      <w:marLeft w:val="0"/>
      <w:marRight w:val="0"/>
      <w:marTop w:val="0"/>
      <w:marBottom w:val="0"/>
      <w:divBdr>
        <w:top w:val="none" w:sz="0" w:space="0" w:color="auto"/>
        <w:left w:val="none" w:sz="0" w:space="0" w:color="auto"/>
        <w:bottom w:val="none" w:sz="0" w:space="0" w:color="auto"/>
        <w:right w:val="none" w:sz="0" w:space="0" w:color="auto"/>
      </w:divBdr>
    </w:div>
    <w:div w:id="410006330">
      <w:bodyDiv w:val="1"/>
      <w:marLeft w:val="0"/>
      <w:marRight w:val="0"/>
      <w:marTop w:val="0"/>
      <w:marBottom w:val="0"/>
      <w:divBdr>
        <w:top w:val="none" w:sz="0" w:space="0" w:color="auto"/>
        <w:left w:val="none" w:sz="0" w:space="0" w:color="auto"/>
        <w:bottom w:val="none" w:sz="0" w:space="0" w:color="auto"/>
        <w:right w:val="none" w:sz="0" w:space="0" w:color="auto"/>
      </w:divBdr>
    </w:div>
    <w:div w:id="413013893">
      <w:bodyDiv w:val="1"/>
      <w:marLeft w:val="0"/>
      <w:marRight w:val="0"/>
      <w:marTop w:val="0"/>
      <w:marBottom w:val="0"/>
      <w:divBdr>
        <w:top w:val="none" w:sz="0" w:space="0" w:color="auto"/>
        <w:left w:val="none" w:sz="0" w:space="0" w:color="auto"/>
        <w:bottom w:val="none" w:sz="0" w:space="0" w:color="auto"/>
        <w:right w:val="none" w:sz="0" w:space="0" w:color="auto"/>
      </w:divBdr>
      <w:divsChild>
        <w:div w:id="15096401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6023507">
      <w:bodyDiv w:val="1"/>
      <w:marLeft w:val="0"/>
      <w:marRight w:val="0"/>
      <w:marTop w:val="0"/>
      <w:marBottom w:val="0"/>
      <w:divBdr>
        <w:top w:val="none" w:sz="0" w:space="0" w:color="auto"/>
        <w:left w:val="none" w:sz="0" w:space="0" w:color="auto"/>
        <w:bottom w:val="none" w:sz="0" w:space="0" w:color="auto"/>
        <w:right w:val="none" w:sz="0" w:space="0" w:color="auto"/>
      </w:divBdr>
      <w:divsChild>
        <w:div w:id="21420727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7944397">
      <w:bodyDiv w:val="1"/>
      <w:marLeft w:val="0"/>
      <w:marRight w:val="0"/>
      <w:marTop w:val="0"/>
      <w:marBottom w:val="0"/>
      <w:divBdr>
        <w:top w:val="none" w:sz="0" w:space="0" w:color="auto"/>
        <w:left w:val="none" w:sz="0" w:space="0" w:color="auto"/>
        <w:bottom w:val="none" w:sz="0" w:space="0" w:color="auto"/>
        <w:right w:val="none" w:sz="0" w:space="0" w:color="auto"/>
      </w:divBdr>
    </w:div>
    <w:div w:id="428427085">
      <w:bodyDiv w:val="1"/>
      <w:marLeft w:val="0"/>
      <w:marRight w:val="0"/>
      <w:marTop w:val="0"/>
      <w:marBottom w:val="0"/>
      <w:divBdr>
        <w:top w:val="none" w:sz="0" w:space="0" w:color="auto"/>
        <w:left w:val="none" w:sz="0" w:space="0" w:color="auto"/>
        <w:bottom w:val="none" w:sz="0" w:space="0" w:color="auto"/>
        <w:right w:val="none" w:sz="0" w:space="0" w:color="auto"/>
      </w:divBdr>
    </w:div>
    <w:div w:id="464784631">
      <w:bodyDiv w:val="1"/>
      <w:marLeft w:val="0"/>
      <w:marRight w:val="0"/>
      <w:marTop w:val="0"/>
      <w:marBottom w:val="0"/>
      <w:divBdr>
        <w:top w:val="none" w:sz="0" w:space="0" w:color="auto"/>
        <w:left w:val="none" w:sz="0" w:space="0" w:color="auto"/>
        <w:bottom w:val="none" w:sz="0" w:space="0" w:color="auto"/>
        <w:right w:val="none" w:sz="0" w:space="0" w:color="auto"/>
      </w:divBdr>
    </w:div>
    <w:div w:id="475875746">
      <w:bodyDiv w:val="1"/>
      <w:marLeft w:val="0"/>
      <w:marRight w:val="0"/>
      <w:marTop w:val="0"/>
      <w:marBottom w:val="0"/>
      <w:divBdr>
        <w:top w:val="none" w:sz="0" w:space="0" w:color="auto"/>
        <w:left w:val="none" w:sz="0" w:space="0" w:color="auto"/>
        <w:bottom w:val="none" w:sz="0" w:space="0" w:color="auto"/>
        <w:right w:val="none" w:sz="0" w:space="0" w:color="auto"/>
      </w:divBdr>
    </w:div>
    <w:div w:id="493648954">
      <w:bodyDiv w:val="1"/>
      <w:marLeft w:val="0"/>
      <w:marRight w:val="0"/>
      <w:marTop w:val="0"/>
      <w:marBottom w:val="0"/>
      <w:divBdr>
        <w:top w:val="none" w:sz="0" w:space="0" w:color="auto"/>
        <w:left w:val="none" w:sz="0" w:space="0" w:color="auto"/>
        <w:bottom w:val="none" w:sz="0" w:space="0" w:color="auto"/>
        <w:right w:val="none" w:sz="0" w:space="0" w:color="auto"/>
      </w:divBdr>
    </w:div>
    <w:div w:id="507253480">
      <w:bodyDiv w:val="1"/>
      <w:marLeft w:val="0"/>
      <w:marRight w:val="0"/>
      <w:marTop w:val="0"/>
      <w:marBottom w:val="0"/>
      <w:divBdr>
        <w:top w:val="none" w:sz="0" w:space="0" w:color="auto"/>
        <w:left w:val="none" w:sz="0" w:space="0" w:color="auto"/>
        <w:bottom w:val="none" w:sz="0" w:space="0" w:color="auto"/>
        <w:right w:val="none" w:sz="0" w:space="0" w:color="auto"/>
      </w:divBdr>
    </w:div>
    <w:div w:id="518348967">
      <w:bodyDiv w:val="1"/>
      <w:marLeft w:val="0"/>
      <w:marRight w:val="0"/>
      <w:marTop w:val="0"/>
      <w:marBottom w:val="0"/>
      <w:divBdr>
        <w:top w:val="none" w:sz="0" w:space="0" w:color="auto"/>
        <w:left w:val="none" w:sz="0" w:space="0" w:color="auto"/>
        <w:bottom w:val="none" w:sz="0" w:space="0" w:color="auto"/>
        <w:right w:val="none" w:sz="0" w:space="0" w:color="auto"/>
      </w:divBdr>
    </w:div>
    <w:div w:id="530994413">
      <w:bodyDiv w:val="1"/>
      <w:marLeft w:val="0"/>
      <w:marRight w:val="0"/>
      <w:marTop w:val="0"/>
      <w:marBottom w:val="0"/>
      <w:divBdr>
        <w:top w:val="none" w:sz="0" w:space="0" w:color="auto"/>
        <w:left w:val="none" w:sz="0" w:space="0" w:color="auto"/>
        <w:bottom w:val="none" w:sz="0" w:space="0" w:color="auto"/>
        <w:right w:val="none" w:sz="0" w:space="0" w:color="auto"/>
      </w:divBdr>
    </w:div>
    <w:div w:id="538051198">
      <w:bodyDiv w:val="1"/>
      <w:marLeft w:val="0"/>
      <w:marRight w:val="0"/>
      <w:marTop w:val="0"/>
      <w:marBottom w:val="0"/>
      <w:divBdr>
        <w:top w:val="none" w:sz="0" w:space="0" w:color="auto"/>
        <w:left w:val="none" w:sz="0" w:space="0" w:color="auto"/>
        <w:bottom w:val="none" w:sz="0" w:space="0" w:color="auto"/>
        <w:right w:val="none" w:sz="0" w:space="0" w:color="auto"/>
      </w:divBdr>
      <w:divsChild>
        <w:div w:id="3448675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2890104">
      <w:bodyDiv w:val="1"/>
      <w:marLeft w:val="0"/>
      <w:marRight w:val="0"/>
      <w:marTop w:val="0"/>
      <w:marBottom w:val="0"/>
      <w:divBdr>
        <w:top w:val="none" w:sz="0" w:space="0" w:color="auto"/>
        <w:left w:val="none" w:sz="0" w:space="0" w:color="auto"/>
        <w:bottom w:val="none" w:sz="0" w:space="0" w:color="auto"/>
        <w:right w:val="none" w:sz="0" w:space="0" w:color="auto"/>
      </w:divBdr>
    </w:div>
    <w:div w:id="585849297">
      <w:bodyDiv w:val="1"/>
      <w:marLeft w:val="0"/>
      <w:marRight w:val="0"/>
      <w:marTop w:val="0"/>
      <w:marBottom w:val="0"/>
      <w:divBdr>
        <w:top w:val="none" w:sz="0" w:space="0" w:color="auto"/>
        <w:left w:val="none" w:sz="0" w:space="0" w:color="auto"/>
        <w:bottom w:val="none" w:sz="0" w:space="0" w:color="auto"/>
        <w:right w:val="none" w:sz="0" w:space="0" w:color="auto"/>
      </w:divBdr>
    </w:div>
    <w:div w:id="587497366">
      <w:bodyDiv w:val="1"/>
      <w:marLeft w:val="0"/>
      <w:marRight w:val="0"/>
      <w:marTop w:val="0"/>
      <w:marBottom w:val="0"/>
      <w:divBdr>
        <w:top w:val="none" w:sz="0" w:space="0" w:color="auto"/>
        <w:left w:val="none" w:sz="0" w:space="0" w:color="auto"/>
        <w:bottom w:val="none" w:sz="0" w:space="0" w:color="auto"/>
        <w:right w:val="none" w:sz="0" w:space="0" w:color="auto"/>
      </w:divBdr>
      <w:divsChild>
        <w:div w:id="12840722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8951626">
      <w:bodyDiv w:val="1"/>
      <w:marLeft w:val="0"/>
      <w:marRight w:val="0"/>
      <w:marTop w:val="0"/>
      <w:marBottom w:val="0"/>
      <w:divBdr>
        <w:top w:val="none" w:sz="0" w:space="0" w:color="auto"/>
        <w:left w:val="none" w:sz="0" w:space="0" w:color="auto"/>
        <w:bottom w:val="none" w:sz="0" w:space="0" w:color="auto"/>
        <w:right w:val="none" w:sz="0" w:space="0" w:color="auto"/>
      </w:divBdr>
    </w:div>
    <w:div w:id="602616502">
      <w:bodyDiv w:val="1"/>
      <w:marLeft w:val="0"/>
      <w:marRight w:val="0"/>
      <w:marTop w:val="0"/>
      <w:marBottom w:val="0"/>
      <w:divBdr>
        <w:top w:val="none" w:sz="0" w:space="0" w:color="auto"/>
        <w:left w:val="none" w:sz="0" w:space="0" w:color="auto"/>
        <w:bottom w:val="none" w:sz="0" w:space="0" w:color="auto"/>
        <w:right w:val="none" w:sz="0" w:space="0" w:color="auto"/>
      </w:divBdr>
    </w:div>
    <w:div w:id="653996645">
      <w:bodyDiv w:val="1"/>
      <w:marLeft w:val="0"/>
      <w:marRight w:val="0"/>
      <w:marTop w:val="0"/>
      <w:marBottom w:val="0"/>
      <w:divBdr>
        <w:top w:val="none" w:sz="0" w:space="0" w:color="auto"/>
        <w:left w:val="none" w:sz="0" w:space="0" w:color="auto"/>
        <w:bottom w:val="none" w:sz="0" w:space="0" w:color="auto"/>
        <w:right w:val="none" w:sz="0" w:space="0" w:color="auto"/>
      </w:divBdr>
    </w:div>
    <w:div w:id="665210007">
      <w:bodyDiv w:val="1"/>
      <w:marLeft w:val="0"/>
      <w:marRight w:val="0"/>
      <w:marTop w:val="0"/>
      <w:marBottom w:val="0"/>
      <w:divBdr>
        <w:top w:val="none" w:sz="0" w:space="0" w:color="auto"/>
        <w:left w:val="none" w:sz="0" w:space="0" w:color="auto"/>
        <w:bottom w:val="none" w:sz="0" w:space="0" w:color="auto"/>
        <w:right w:val="none" w:sz="0" w:space="0" w:color="auto"/>
      </w:divBdr>
    </w:div>
    <w:div w:id="697856732">
      <w:bodyDiv w:val="1"/>
      <w:marLeft w:val="0"/>
      <w:marRight w:val="0"/>
      <w:marTop w:val="0"/>
      <w:marBottom w:val="0"/>
      <w:divBdr>
        <w:top w:val="none" w:sz="0" w:space="0" w:color="auto"/>
        <w:left w:val="none" w:sz="0" w:space="0" w:color="auto"/>
        <w:bottom w:val="none" w:sz="0" w:space="0" w:color="auto"/>
        <w:right w:val="none" w:sz="0" w:space="0" w:color="auto"/>
      </w:divBdr>
      <w:divsChild>
        <w:div w:id="7725537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1315692">
      <w:bodyDiv w:val="1"/>
      <w:marLeft w:val="0"/>
      <w:marRight w:val="0"/>
      <w:marTop w:val="0"/>
      <w:marBottom w:val="0"/>
      <w:divBdr>
        <w:top w:val="none" w:sz="0" w:space="0" w:color="auto"/>
        <w:left w:val="none" w:sz="0" w:space="0" w:color="auto"/>
        <w:bottom w:val="none" w:sz="0" w:space="0" w:color="auto"/>
        <w:right w:val="none" w:sz="0" w:space="0" w:color="auto"/>
      </w:divBdr>
    </w:div>
    <w:div w:id="772088237">
      <w:bodyDiv w:val="1"/>
      <w:marLeft w:val="0"/>
      <w:marRight w:val="0"/>
      <w:marTop w:val="0"/>
      <w:marBottom w:val="0"/>
      <w:divBdr>
        <w:top w:val="none" w:sz="0" w:space="0" w:color="auto"/>
        <w:left w:val="none" w:sz="0" w:space="0" w:color="auto"/>
        <w:bottom w:val="none" w:sz="0" w:space="0" w:color="auto"/>
        <w:right w:val="none" w:sz="0" w:space="0" w:color="auto"/>
      </w:divBdr>
    </w:div>
    <w:div w:id="772944988">
      <w:bodyDiv w:val="1"/>
      <w:marLeft w:val="0"/>
      <w:marRight w:val="0"/>
      <w:marTop w:val="0"/>
      <w:marBottom w:val="0"/>
      <w:divBdr>
        <w:top w:val="none" w:sz="0" w:space="0" w:color="auto"/>
        <w:left w:val="none" w:sz="0" w:space="0" w:color="auto"/>
        <w:bottom w:val="none" w:sz="0" w:space="0" w:color="auto"/>
        <w:right w:val="none" w:sz="0" w:space="0" w:color="auto"/>
      </w:divBdr>
    </w:div>
    <w:div w:id="776412066">
      <w:bodyDiv w:val="1"/>
      <w:marLeft w:val="0"/>
      <w:marRight w:val="0"/>
      <w:marTop w:val="0"/>
      <w:marBottom w:val="0"/>
      <w:divBdr>
        <w:top w:val="none" w:sz="0" w:space="0" w:color="auto"/>
        <w:left w:val="none" w:sz="0" w:space="0" w:color="auto"/>
        <w:bottom w:val="none" w:sz="0" w:space="0" w:color="auto"/>
        <w:right w:val="none" w:sz="0" w:space="0" w:color="auto"/>
      </w:divBdr>
    </w:div>
    <w:div w:id="793716743">
      <w:bodyDiv w:val="1"/>
      <w:marLeft w:val="0"/>
      <w:marRight w:val="0"/>
      <w:marTop w:val="0"/>
      <w:marBottom w:val="0"/>
      <w:divBdr>
        <w:top w:val="none" w:sz="0" w:space="0" w:color="auto"/>
        <w:left w:val="none" w:sz="0" w:space="0" w:color="auto"/>
        <w:bottom w:val="none" w:sz="0" w:space="0" w:color="auto"/>
        <w:right w:val="none" w:sz="0" w:space="0" w:color="auto"/>
      </w:divBdr>
    </w:div>
    <w:div w:id="812412288">
      <w:bodyDiv w:val="1"/>
      <w:marLeft w:val="0"/>
      <w:marRight w:val="0"/>
      <w:marTop w:val="0"/>
      <w:marBottom w:val="0"/>
      <w:divBdr>
        <w:top w:val="none" w:sz="0" w:space="0" w:color="auto"/>
        <w:left w:val="none" w:sz="0" w:space="0" w:color="auto"/>
        <w:bottom w:val="none" w:sz="0" w:space="0" w:color="auto"/>
        <w:right w:val="none" w:sz="0" w:space="0" w:color="auto"/>
      </w:divBdr>
    </w:div>
    <w:div w:id="819350489">
      <w:bodyDiv w:val="1"/>
      <w:marLeft w:val="0"/>
      <w:marRight w:val="0"/>
      <w:marTop w:val="0"/>
      <w:marBottom w:val="0"/>
      <w:divBdr>
        <w:top w:val="none" w:sz="0" w:space="0" w:color="auto"/>
        <w:left w:val="none" w:sz="0" w:space="0" w:color="auto"/>
        <w:bottom w:val="none" w:sz="0" w:space="0" w:color="auto"/>
        <w:right w:val="none" w:sz="0" w:space="0" w:color="auto"/>
      </w:divBdr>
    </w:div>
    <w:div w:id="837384383">
      <w:bodyDiv w:val="1"/>
      <w:marLeft w:val="0"/>
      <w:marRight w:val="0"/>
      <w:marTop w:val="0"/>
      <w:marBottom w:val="0"/>
      <w:divBdr>
        <w:top w:val="none" w:sz="0" w:space="0" w:color="auto"/>
        <w:left w:val="none" w:sz="0" w:space="0" w:color="auto"/>
        <w:bottom w:val="none" w:sz="0" w:space="0" w:color="auto"/>
        <w:right w:val="none" w:sz="0" w:space="0" w:color="auto"/>
      </w:divBdr>
    </w:div>
    <w:div w:id="840781719">
      <w:bodyDiv w:val="1"/>
      <w:marLeft w:val="0"/>
      <w:marRight w:val="0"/>
      <w:marTop w:val="0"/>
      <w:marBottom w:val="0"/>
      <w:divBdr>
        <w:top w:val="none" w:sz="0" w:space="0" w:color="auto"/>
        <w:left w:val="none" w:sz="0" w:space="0" w:color="auto"/>
        <w:bottom w:val="none" w:sz="0" w:space="0" w:color="auto"/>
        <w:right w:val="none" w:sz="0" w:space="0" w:color="auto"/>
      </w:divBdr>
    </w:div>
    <w:div w:id="854155501">
      <w:bodyDiv w:val="1"/>
      <w:marLeft w:val="0"/>
      <w:marRight w:val="0"/>
      <w:marTop w:val="0"/>
      <w:marBottom w:val="0"/>
      <w:divBdr>
        <w:top w:val="none" w:sz="0" w:space="0" w:color="auto"/>
        <w:left w:val="none" w:sz="0" w:space="0" w:color="auto"/>
        <w:bottom w:val="none" w:sz="0" w:space="0" w:color="auto"/>
        <w:right w:val="none" w:sz="0" w:space="0" w:color="auto"/>
      </w:divBdr>
    </w:div>
    <w:div w:id="871843203">
      <w:bodyDiv w:val="1"/>
      <w:marLeft w:val="0"/>
      <w:marRight w:val="0"/>
      <w:marTop w:val="0"/>
      <w:marBottom w:val="0"/>
      <w:divBdr>
        <w:top w:val="none" w:sz="0" w:space="0" w:color="auto"/>
        <w:left w:val="none" w:sz="0" w:space="0" w:color="auto"/>
        <w:bottom w:val="none" w:sz="0" w:space="0" w:color="auto"/>
        <w:right w:val="none" w:sz="0" w:space="0" w:color="auto"/>
      </w:divBdr>
    </w:div>
    <w:div w:id="872158572">
      <w:bodyDiv w:val="1"/>
      <w:marLeft w:val="0"/>
      <w:marRight w:val="0"/>
      <w:marTop w:val="0"/>
      <w:marBottom w:val="0"/>
      <w:divBdr>
        <w:top w:val="none" w:sz="0" w:space="0" w:color="auto"/>
        <w:left w:val="none" w:sz="0" w:space="0" w:color="auto"/>
        <w:bottom w:val="none" w:sz="0" w:space="0" w:color="auto"/>
        <w:right w:val="none" w:sz="0" w:space="0" w:color="auto"/>
      </w:divBdr>
    </w:div>
    <w:div w:id="887495176">
      <w:bodyDiv w:val="1"/>
      <w:marLeft w:val="0"/>
      <w:marRight w:val="0"/>
      <w:marTop w:val="0"/>
      <w:marBottom w:val="0"/>
      <w:divBdr>
        <w:top w:val="none" w:sz="0" w:space="0" w:color="auto"/>
        <w:left w:val="none" w:sz="0" w:space="0" w:color="auto"/>
        <w:bottom w:val="none" w:sz="0" w:space="0" w:color="auto"/>
        <w:right w:val="none" w:sz="0" w:space="0" w:color="auto"/>
      </w:divBdr>
    </w:div>
    <w:div w:id="910195887">
      <w:bodyDiv w:val="1"/>
      <w:marLeft w:val="0"/>
      <w:marRight w:val="0"/>
      <w:marTop w:val="0"/>
      <w:marBottom w:val="0"/>
      <w:divBdr>
        <w:top w:val="none" w:sz="0" w:space="0" w:color="auto"/>
        <w:left w:val="none" w:sz="0" w:space="0" w:color="auto"/>
        <w:bottom w:val="none" w:sz="0" w:space="0" w:color="auto"/>
        <w:right w:val="none" w:sz="0" w:space="0" w:color="auto"/>
      </w:divBdr>
    </w:div>
    <w:div w:id="918294529">
      <w:bodyDiv w:val="1"/>
      <w:marLeft w:val="0"/>
      <w:marRight w:val="0"/>
      <w:marTop w:val="0"/>
      <w:marBottom w:val="0"/>
      <w:divBdr>
        <w:top w:val="none" w:sz="0" w:space="0" w:color="auto"/>
        <w:left w:val="none" w:sz="0" w:space="0" w:color="auto"/>
        <w:bottom w:val="none" w:sz="0" w:space="0" w:color="auto"/>
        <w:right w:val="none" w:sz="0" w:space="0" w:color="auto"/>
      </w:divBdr>
      <w:divsChild>
        <w:div w:id="1841788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3244627">
      <w:bodyDiv w:val="1"/>
      <w:marLeft w:val="0"/>
      <w:marRight w:val="0"/>
      <w:marTop w:val="0"/>
      <w:marBottom w:val="0"/>
      <w:divBdr>
        <w:top w:val="none" w:sz="0" w:space="0" w:color="auto"/>
        <w:left w:val="none" w:sz="0" w:space="0" w:color="auto"/>
        <w:bottom w:val="none" w:sz="0" w:space="0" w:color="auto"/>
        <w:right w:val="none" w:sz="0" w:space="0" w:color="auto"/>
      </w:divBdr>
    </w:div>
    <w:div w:id="999894149">
      <w:bodyDiv w:val="1"/>
      <w:marLeft w:val="0"/>
      <w:marRight w:val="0"/>
      <w:marTop w:val="0"/>
      <w:marBottom w:val="0"/>
      <w:divBdr>
        <w:top w:val="none" w:sz="0" w:space="0" w:color="auto"/>
        <w:left w:val="none" w:sz="0" w:space="0" w:color="auto"/>
        <w:bottom w:val="none" w:sz="0" w:space="0" w:color="auto"/>
        <w:right w:val="none" w:sz="0" w:space="0" w:color="auto"/>
      </w:divBdr>
    </w:div>
    <w:div w:id="1024405422">
      <w:bodyDiv w:val="1"/>
      <w:marLeft w:val="0"/>
      <w:marRight w:val="0"/>
      <w:marTop w:val="0"/>
      <w:marBottom w:val="0"/>
      <w:divBdr>
        <w:top w:val="none" w:sz="0" w:space="0" w:color="auto"/>
        <w:left w:val="none" w:sz="0" w:space="0" w:color="auto"/>
        <w:bottom w:val="none" w:sz="0" w:space="0" w:color="auto"/>
        <w:right w:val="none" w:sz="0" w:space="0" w:color="auto"/>
      </w:divBdr>
    </w:div>
    <w:div w:id="1059591102">
      <w:bodyDiv w:val="1"/>
      <w:marLeft w:val="0"/>
      <w:marRight w:val="0"/>
      <w:marTop w:val="0"/>
      <w:marBottom w:val="0"/>
      <w:divBdr>
        <w:top w:val="none" w:sz="0" w:space="0" w:color="auto"/>
        <w:left w:val="none" w:sz="0" w:space="0" w:color="auto"/>
        <w:bottom w:val="none" w:sz="0" w:space="0" w:color="auto"/>
        <w:right w:val="none" w:sz="0" w:space="0" w:color="auto"/>
      </w:divBdr>
    </w:div>
    <w:div w:id="1071587136">
      <w:bodyDiv w:val="1"/>
      <w:marLeft w:val="0"/>
      <w:marRight w:val="0"/>
      <w:marTop w:val="0"/>
      <w:marBottom w:val="0"/>
      <w:divBdr>
        <w:top w:val="none" w:sz="0" w:space="0" w:color="auto"/>
        <w:left w:val="none" w:sz="0" w:space="0" w:color="auto"/>
        <w:bottom w:val="none" w:sz="0" w:space="0" w:color="auto"/>
        <w:right w:val="none" w:sz="0" w:space="0" w:color="auto"/>
      </w:divBdr>
    </w:div>
    <w:div w:id="1094282348">
      <w:bodyDiv w:val="1"/>
      <w:marLeft w:val="0"/>
      <w:marRight w:val="0"/>
      <w:marTop w:val="0"/>
      <w:marBottom w:val="0"/>
      <w:divBdr>
        <w:top w:val="none" w:sz="0" w:space="0" w:color="auto"/>
        <w:left w:val="none" w:sz="0" w:space="0" w:color="auto"/>
        <w:bottom w:val="none" w:sz="0" w:space="0" w:color="auto"/>
        <w:right w:val="none" w:sz="0" w:space="0" w:color="auto"/>
      </w:divBdr>
    </w:div>
    <w:div w:id="1107240160">
      <w:bodyDiv w:val="1"/>
      <w:marLeft w:val="0"/>
      <w:marRight w:val="0"/>
      <w:marTop w:val="0"/>
      <w:marBottom w:val="0"/>
      <w:divBdr>
        <w:top w:val="none" w:sz="0" w:space="0" w:color="auto"/>
        <w:left w:val="none" w:sz="0" w:space="0" w:color="auto"/>
        <w:bottom w:val="none" w:sz="0" w:space="0" w:color="auto"/>
        <w:right w:val="none" w:sz="0" w:space="0" w:color="auto"/>
      </w:divBdr>
    </w:div>
    <w:div w:id="1107314494">
      <w:bodyDiv w:val="1"/>
      <w:marLeft w:val="0"/>
      <w:marRight w:val="0"/>
      <w:marTop w:val="0"/>
      <w:marBottom w:val="0"/>
      <w:divBdr>
        <w:top w:val="none" w:sz="0" w:space="0" w:color="auto"/>
        <w:left w:val="none" w:sz="0" w:space="0" w:color="auto"/>
        <w:bottom w:val="none" w:sz="0" w:space="0" w:color="auto"/>
        <w:right w:val="none" w:sz="0" w:space="0" w:color="auto"/>
      </w:divBdr>
    </w:div>
    <w:div w:id="1117987188">
      <w:bodyDiv w:val="1"/>
      <w:marLeft w:val="0"/>
      <w:marRight w:val="0"/>
      <w:marTop w:val="0"/>
      <w:marBottom w:val="0"/>
      <w:divBdr>
        <w:top w:val="none" w:sz="0" w:space="0" w:color="auto"/>
        <w:left w:val="none" w:sz="0" w:space="0" w:color="auto"/>
        <w:bottom w:val="none" w:sz="0" w:space="0" w:color="auto"/>
        <w:right w:val="none" w:sz="0" w:space="0" w:color="auto"/>
      </w:divBdr>
    </w:div>
    <w:div w:id="1126504139">
      <w:bodyDiv w:val="1"/>
      <w:marLeft w:val="0"/>
      <w:marRight w:val="0"/>
      <w:marTop w:val="0"/>
      <w:marBottom w:val="0"/>
      <w:divBdr>
        <w:top w:val="none" w:sz="0" w:space="0" w:color="auto"/>
        <w:left w:val="none" w:sz="0" w:space="0" w:color="auto"/>
        <w:bottom w:val="none" w:sz="0" w:space="0" w:color="auto"/>
        <w:right w:val="none" w:sz="0" w:space="0" w:color="auto"/>
      </w:divBdr>
    </w:div>
    <w:div w:id="1145242187">
      <w:bodyDiv w:val="1"/>
      <w:marLeft w:val="0"/>
      <w:marRight w:val="0"/>
      <w:marTop w:val="0"/>
      <w:marBottom w:val="0"/>
      <w:divBdr>
        <w:top w:val="none" w:sz="0" w:space="0" w:color="auto"/>
        <w:left w:val="none" w:sz="0" w:space="0" w:color="auto"/>
        <w:bottom w:val="none" w:sz="0" w:space="0" w:color="auto"/>
        <w:right w:val="none" w:sz="0" w:space="0" w:color="auto"/>
      </w:divBdr>
    </w:div>
    <w:div w:id="1263761897">
      <w:bodyDiv w:val="1"/>
      <w:marLeft w:val="0"/>
      <w:marRight w:val="0"/>
      <w:marTop w:val="0"/>
      <w:marBottom w:val="0"/>
      <w:divBdr>
        <w:top w:val="none" w:sz="0" w:space="0" w:color="auto"/>
        <w:left w:val="none" w:sz="0" w:space="0" w:color="auto"/>
        <w:bottom w:val="none" w:sz="0" w:space="0" w:color="auto"/>
        <w:right w:val="none" w:sz="0" w:space="0" w:color="auto"/>
      </w:divBdr>
    </w:div>
    <w:div w:id="1268535705">
      <w:bodyDiv w:val="1"/>
      <w:marLeft w:val="0"/>
      <w:marRight w:val="0"/>
      <w:marTop w:val="0"/>
      <w:marBottom w:val="0"/>
      <w:divBdr>
        <w:top w:val="none" w:sz="0" w:space="0" w:color="auto"/>
        <w:left w:val="none" w:sz="0" w:space="0" w:color="auto"/>
        <w:bottom w:val="none" w:sz="0" w:space="0" w:color="auto"/>
        <w:right w:val="none" w:sz="0" w:space="0" w:color="auto"/>
      </w:divBdr>
    </w:div>
    <w:div w:id="1269115797">
      <w:bodyDiv w:val="1"/>
      <w:marLeft w:val="0"/>
      <w:marRight w:val="0"/>
      <w:marTop w:val="0"/>
      <w:marBottom w:val="0"/>
      <w:divBdr>
        <w:top w:val="none" w:sz="0" w:space="0" w:color="auto"/>
        <w:left w:val="none" w:sz="0" w:space="0" w:color="auto"/>
        <w:bottom w:val="none" w:sz="0" w:space="0" w:color="auto"/>
        <w:right w:val="none" w:sz="0" w:space="0" w:color="auto"/>
      </w:divBdr>
    </w:div>
    <w:div w:id="1295676426">
      <w:bodyDiv w:val="1"/>
      <w:marLeft w:val="0"/>
      <w:marRight w:val="0"/>
      <w:marTop w:val="0"/>
      <w:marBottom w:val="0"/>
      <w:divBdr>
        <w:top w:val="none" w:sz="0" w:space="0" w:color="auto"/>
        <w:left w:val="none" w:sz="0" w:space="0" w:color="auto"/>
        <w:bottom w:val="none" w:sz="0" w:space="0" w:color="auto"/>
        <w:right w:val="none" w:sz="0" w:space="0" w:color="auto"/>
      </w:divBdr>
    </w:div>
    <w:div w:id="1299533617">
      <w:bodyDiv w:val="1"/>
      <w:marLeft w:val="0"/>
      <w:marRight w:val="0"/>
      <w:marTop w:val="0"/>
      <w:marBottom w:val="0"/>
      <w:divBdr>
        <w:top w:val="none" w:sz="0" w:space="0" w:color="auto"/>
        <w:left w:val="none" w:sz="0" w:space="0" w:color="auto"/>
        <w:bottom w:val="none" w:sz="0" w:space="0" w:color="auto"/>
        <w:right w:val="none" w:sz="0" w:space="0" w:color="auto"/>
      </w:divBdr>
    </w:div>
    <w:div w:id="1319654571">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75813159">
      <w:bodyDiv w:val="1"/>
      <w:marLeft w:val="0"/>
      <w:marRight w:val="0"/>
      <w:marTop w:val="0"/>
      <w:marBottom w:val="0"/>
      <w:divBdr>
        <w:top w:val="none" w:sz="0" w:space="0" w:color="auto"/>
        <w:left w:val="none" w:sz="0" w:space="0" w:color="auto"/>
        <w:bottom w:val="none" w:sz="0" w:space="0" w:color="auto"/>
        <w:right w:val="none" w:sz="0" w:space="0" w:color="auto"/>
      </w:divBdr>
      <w:divsChild>
        <w:div w:id="14015562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2867502">
      <w:bodyDiv w:val="1"/>
      <w:marLeft w:val="0"/>
      <w:marRight w:val="0"/>
      <w:marTop w:val="0"/>
      <w:marBottom w:val="0"/>
      <w:divBdr>
        <w:top w:val="none" w:sz="0" w:space="0" w:color="auto"/>
        <w:left w:val="none" w:sz="0" w:space="0" w:color="auto"/>
        <w:bottom w:val="none" w:sz="0" w:space="0" w:color="auto"/>
        <w:right w:val="none" w:sz="0" w:space="0" w:color="auto"/>
      </w:divBdr>
    </w:div>
    <w:div w:id="1403092521">
      <w:bodyDiv w:val="1"/>
      <w:marLeft w:val="0"/>
      <w:marRight w:val="0"/>
      <w:marTop w:val="0"/>
      <w:marBottom w:val="0"/>
      <w:divBdr>
        <w:top w:val="none" w:sz="0" w:space="0" w:color="auto"/>
        <w:left w:val="none" w:sz="0" w:space="0" w:color="auto"/>
        <w:bottom w:val="none" w:sz="0" w:space="0" w:color="auto"/>
        <w:right w:val="none" w:sz="0" w:space="0" w:color="auto"/>
      </w:divBdr>
    </w:div>
    <w:div w:id="1409233714">
      <w:bodyDiv w:val="1"/>
      <w:marLeft w:val="0"/>
      <w:marRight w:val="0"/>
      <w:marTop w:val="0"/>
      <w:marBottom w:val="0"/>
      <w:divBdr>
        <w:top w:val="none" w:sz="0" w:space="0" w:color="auto"/>
        <w:left w:val="none" w:sz="0" w:space="0" w:color="auto"/>
        <w:bottom w:val="none" w:sz="0" w:space="0" w:color="auto"/>
        <w:right w:val="none" w:sz="0" w:space="0" w:color="auto"/>
      </w:divBdr>
    </w:div>
    <w:div w:id="1414006255">
      <w:bodyDiv w:val="1"/>
      <w:marLeft w:val="0"/>
      <w:marRight w:val="0"/>
      <w:marTop w:val="0"/>
      <w:marBottom w:val="0"/>
      <w:divBdr>
        <w:top w:val="none" w:sz="0" w:space="0" w:color="auto"/>
        <w:left w:val="none" w:sz="0" w:space="0" w:color="auto"/>
        <w:bottom w:val="none" w:sz="0" w:space="0" w:color="auto"/>
        <w:right w:val="none" w:sz="0" w:space="0" w:color="auto"/>
      </w:divBdr>
    </w:div>
    <w:div w:id="1421949716">
      <w:bodyDiv w:val="1"/>
      <w:marLeft w:val="0"/>
      <w:marRight w:val="0"/>
      <w:marTop w:val="0"/>
      <w:marBottom w:val="0"/>
      <w:divBdr>
        <w:top w:val="none" w:sz="0" w:space="0" w:color="auto"/>
        <w:left w:val="none" w:sz="0" w:space="0" w:color="auto"/>
        <w:bottom w:val="none" w:sz="0" w:space="0" w:color="auto"/>
        <w:right w:val="none" w:sz="0" w:space="0" w:color="auto"/>
      </w:divBdr>
    </w:div>
    <w:div w:id="1428575086">
      <w:bodyDiv w:val="1"/>
      <w:marLeft w:val="0"/>
      <w:marRight w:val="0"/>
      <w:marTop w:val="0"/>
      <w:marBottom w:val="0"/>
      <w:divBdr>
        <w:top w:val="none" w:sz="0" w:space="0" w:color="auto"/>
        <w:left w:val="none" w:sz="0" w:space="0" w:color="auto"/>
        <w:bottom w:val="none" w:sz="0" w:space="0" w:color="auto"/>
        <w:right w:val="none" w:sz="0" w:space="0" w:color="auto"/>
      </w:divBdr>
    </w:div>
    <w:div w:id="1441997875">
      <w:bodyDiv w:val="1"/>
      <w:marLeft w:val="0"/>
      <w:marRight w:val="0"/>
      <w:marTop w:val="0"/>
      <w:marBottom w:val="0"/>
      <w:divBdr>
        <w:top w:val="none" w:sz="0" w:space="0" w:color="auto"/>
        <w:left w:val="none" w:sz="0" w:space="0" w:color="auto"/>
        <w:bottom w:val="none" w:sz="0" w:space="0" w:color="auto"/>
        <w:right w:val="none" w:sz="0" w:space="0" w:color="auto"/>
      </w:divBdr>
    </w:div>
    <w:div w:id="1449857044">
      <w:bodyDiv w:val="1"/>
      <w:marLeft w:val="0"/>
      <w:marRight w:val="0"/>
      <w:marTop w:val="0"/>
      <w:marBottom w:val="0"/>
      <w:divBdr>
        <w:top w:val="none" w:sz="0" w:space="0" w:color="auto"/>
        <w:left w:val="none" w:sz="0" w:space="0" w:color="auto"/>
        <w:bottom w:val="none" w:sz="0" w:space="0" w:color="auto"/>
        <w:right w:val="none" w:sz="0" w:space="0" w:color="auto"/>
      </w:divBdr>
    </w:div>
    <w:div w:id="1455322834">
      <w:bodyDiv w:val="1"/>
      <w:marLeft w:val="0"/>
      <w:marRight w:val="0"/>
      <w:marTop w:val="0"/>
      <w:marBottom w:val="0"/>
      <w:divBdr>
        <w:top w:val="none" w:sz="0" w:space="0" w:color="auto"/>
        <w:left w:val="none" w:sz="0" w:space="0" w:color="auto"/>
        <w:bottom w:val="none" w:sz="0" w:space="0" w:color="auto"/>
        <w:right w:val="none" w:sz="0" w:space="0" w:color="auto"/>
      </w:divBdr>
    </w:div>
    <w:div w:id="1482891296">
      <w:bodyDiv w:val="1"/>
      <w:marLeft w:val="0"/>
      <w:marRight w:val="0"/>
      <w:marTop w:val="0"/>
      <w:marBottom w:val="0"/>
      <w:divBdr>
        <w:top w:val="none" w:sz="0" w:space="0" w:color="auto"/>
        <w:left w:val="none" w:sz="0" w:space="0" w:color="auto"/>
        <w:bottom w:val="none" w:sz="0" w:space="0" w:color="auto"/>
        <w:right w:val="none" w:sz="0" w:space="0" w:color="auto"/>
      </w:divBdr>
    </w:div>
    <w:div w:id="1514567229">
      <w:bodyDiv w:val="1"/>
      <w:marLeft w:val="0"/>
      <w:marRight w:val="0"/>
      <w:marTop w:val="0"/>
      <w:marBottom w:val="0"/>
      <w:divBdr>
        <w:top w:val="none" w:sz="0" w:space="0" w:color="auto"/>
        <w:left w:val="none" w:sz="0" w:space="0" w:color="auto"/>
        <w:bottom w:val="none" w:sz="0" w:space="0" w:color="auto"/>
        <w:right w:val="none" w:sz="0" w:space="0" w:color="auto"/>
      </w:divBdr>
    </w:div>
    <w:div w:id="1527065447">
      <w:bodyDiv w:val="1"/>
      <w:marLeft w:val="0"/>
      <w:marRight w:val="0"/>
      <w:marTop w:val="0"/>
      <w:marBottom w:val="0"/>
      <w:divBdr>
        <w:top w:val="none" w:sz="0" w:space="0" w:color="auto"/>
        <w:left w:val="none" w:sz="0" w:space="0" w:color="auto"/>
        <w:bottom w:val="none" w:sz="0" w:space="0" w:color="auto"/>
        <w:right w:val="none" w:sz="0" w:space="0" w:color="auto"/>
      </w:divBdr>
    </w:div>
    <w:div w:id="1545633529">
      <w:bodyDiv w:val="1"/>
      <w:marLeft w:val="0"/>
      <w:marRight w:val="0"/>
      <w:marTop w:val="0"/>
      <w:marBottom w:val="0"/>
      <w:divBdr>
        <w:top w:val="none" w:sz="0" w:space="0" w:color="auto"/>
        <w:left w:val="none" w:sz="0" w:space="0" w:color="auto"/>
        <w:bottom w:val="none" w:sz="0" w:space="0" w:color="auto"/>
        <w:right w:val="none" w:sz="0" w:space="0" w:color="auto"/>
      </w:divBdr>
    </w:div>
    <w:div w:id="1583223334">
      <w:bodyDiv w:val="1"/>
      <w:marLeft w:val="0"/>
      <w:marRight w:val="0"/>
      <w:marTop w:val="0"/>
      <w:marBottom w:val="0"/>
      <w:divBdr>
        <w:top w:val="none" w:sz="0" w:space="0" w:color="auto"/>
        <w:left w:val="none" w:sz="0" w:space="0" w:color="auto"/>
        <w:bottom w:val="none" w:sz="0" w:space="0" w:color="auto"/>
        <w:right w:val="none" w:sz="0" w:space="0" w:color="auto"/>
      </w:divBdr>
    </w:div>
    <w:div w:id="1597595604">
      <w:bodyDiv w:val="1"/>
      <w:marLeft w:val="0"/>
      <w:marRight w:val="0"/>
      <w:marTop w:val="0"/>
      <w:marBottom w:val="0"/>
      <w:divBdr>
        <w:top w:val="none" w:sz="0" w:space="0" w:color="auto"/>
        <w:left w:val="none" w:sz="0" w:space="0" w:color="auto"/>
        <w:bottom w:val="none" w:sz="0" w:space="0" w:color="auto"/>
        <w:right w:val="none" w:sz="0" w:space="0" w:color="auto"/>
      </w:divBdr>
      <w:divsChild>
        <w:div w:id="15459444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2005782">
      <w:bodyDiv w:val="1"/>
      <w:marLeft w:val="0"/>
      <w:marRight w:val="0"/>
      <w:marTop w:val="0"/>
      <w:marBottom w:val="0"/>
      <w:divBdr>
        <w:top w:val="none" w:sz="0" w:space="0" w:color="auto"/>
        <w:left w:val="none" w:sz="0" w:space="0" w:color="auto"/>
        <w:bottom w:val="none" w:sz="0" w:space="0" w:color="auto"/>
        <w:right w:val="none" w:sz="0" w:space="0" w:color="auto"/>
      </w:divBdr>
    </w:div>
    <w:div w:id="1620336139">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60842012">
      <w:bodyDiv w:val="1"/>
      <w:marLeft w:val="0"/>
      <w:marRight w:val="0"/>
      <w:marTop w:val="0"/>
      <w:marBottom w:val="0"/>
      <w:divBdr>
        <w:top w:val="none" w:sz="0" w:space="0" w:color="auto"/>
        <w:left w:val="none" w:sz="0" w:space="0" w:color="auto"/>
        <w:bottom w:val="none" w:sz="0" w:space="0" w:color="auto"/>
        <w:right w:val="none" w:sz="0" w:space="0" w:color="auto"/>
      </w:divBdr>
    </w:div>
    <w:div w:id="1669361243">
      <w:bodyDiv w:val="1"/>
      <w:marLeft w:val="0"/>
      <w:marRight w:val="0"/>
      <w:marTop w:val="0"/>
      <w:marBottom w:val="0"/>
      <w:divBdr>
        <w:top w:val="none" w:sz="0" w:space="0" w:color="auto"/>
        <w:left w:val="none" w:sz="0" w:space="0" w:color="auto"/>
        <w:bottom w:val="none" w:sz="0" w:space="0" w:color="auto"/>
        <w:right w:val="none" w:sz="0" w:space="0" w:color="auto"/>
      </w:divBdr>
    </w:div>
    <w:div w:id="1683162152">
      <w:bodyDiv w:val="1"/>
      <w:marLeft w:val="0"/>
      <w:marRight w:val="0"/>
      <w:marTop w:val="0"/>
      <w:marBottom w:val="0"/>
      <w:divBdr>
        <w:top w:val="none" w:sz="0" w:space="0" w:color="auto"/>
        <w:left w:val="none" w:sz="0" w:space="0" w:color="auto"/>
        <w:bottom w:val="none" w:sz="0" w:space="0" w:color="auto"/>
        <w:right w:val="none" w:sz="0" w:space="0" w:color="auto"/>
      </w:divBdr>
    </w:div>
    <w:div w:id="1691952514">
      <w:bodyDiv w:val="1"/>
      <w:marLeft w:val="0"/>
      <w:marRight w:val="0"/>
      <w:marTop w:val="0"/>
      <w:marBottom w:val="0"/>
      <w:divBdr>
        <w:top w:val="none" w:sz="0" w:space="0" w:color="auto"/>
        <w:left w:val="none" w:sz="0" w:space="0" w:color="auto"/>
        <w:bottom w:val="none" w:sz="0" w:space="0" w:color="auto"/>
        <w:right w:val="none" w:sz="0" w:space="0" w:color="auto"/>
      </w:divBdr>
    </w:div>
    <w:div w:id="1713115236">
      <w:bodyDiv w:val="1"/>
      <w:marLeft w:val="0"/>
      <w:marRight w:val="0"/>
      <w:marTop w:val="0"/>
      <w:marBottom w:val="0"/>
      <w:divBdr>
        <w:top w:val="none" w:sz="0" w:space="0" w:color="auto"/>
        <w:left w:val="none" w:sz="0" w:space="0" w:color="auto"/>
        <w:bottom w:val="none" w:sz="0" w:space="0" w:color="auto"/>
        <w:right w:val="none" w:sz="0" w:space="0" w:color="auto"/>
      </w:divBdr>
    </w:div>
    <w:div w:id="1754668016">
      <w:bodyDiv w:val="1"/>
      <w:marLeft w:val="0"/>
      <w:marRight w:val="0"/>
      <w:marTop w:val="0"/>
      <w:marBottom w:val="0"/>
      <w:divBdr>
        <w:top w:val="none" w:sz="0" w:space="0" w:color="auto"/>
        <w:left w:val="none" w:sz="0" w:space="0" w:color="auto"/>
        <w:bottom w:val="none" w:sz="0" w:space="0" w:color="auto"/>
        <w:right w:val="none" w:sz="0" w:space="0" w:color="auto"/>
      </w:divBdr>
    </w:div>
    <w:div w:id="1782846211">
      <w:bodyDiv w:val="1"/>
      <w:marLeft w:val="0"/>
      <w:marRight w:val="0"/>
      <w:marTop w:val="0"/>
      <w:marBottom w:val="0"/>
      <w:divBdr>
        <w:top w:val="none" w:sz="0" w:space="0" w:color="auto"/>
        <w:left w:val="none" w:sz="0" w:space="0" w:color="auto"/>
        <w:bottom w:val="none" w:sz="0" w:space="0" w:color="auto"/>
        <w:right w:val="none" w:sz="0" w:space="0" w:color="auto"/>
      </w:divBdr>
    </w:div>
    <w:div w:id="1790276131">
      <w:bodyDiv w:val="1"/>
      <w:marLeft w:val="0"/>
      <w:marRight w:val="0"/>
      <w:marTop w:val="0"/>
      <w:marBottom w:val="0"/>
      <w:divBdr>
        <w:top w:val="none" w:sz="0" w:space="0" w:color="auto"/>
        <w:left w:val="none" w:sz="0" w:space="0" w:color="auto"/>
        <w:bottom w:val="none" w:sz="0" w:space="0" w:color="auto"/>
        <w:right w:val="none" w:sz="0" w:space="0" w:color="auto"/>
      </w:divBdr>
    </w:div>
    <w:div w:id="1811552858">
      <w:bodyDiv w:val="1"/>
      <w:marLeft w:val="0"/>
      <w:marRight w:val="0"/>
      <w:marTop w:val="0"/>
      <w:marBottom w:val="0"/>
      <w:divBdr>
        <w:top w:val="none" w:sz="0" w:space="0" w:color="auto"/>
        <w:left w:val="none" w:sz="0" w:space="0" w:color="auto"/>
        <w:bottom w:val="none" w:sz="0" w:space="0" w:color="auto"/>
        <w:right w:val="none" w:sz="0" w:space="0" w:color="auto"/>
      </w:divBdr>
    </w:div>
    <w:div w:id="1834684560">
      <w:bodyDiv w:val="1"/>
      <w:marLeft w:val="0"/>
      <w:marRight w:val="0"/>
      <w:marTop w:val="0"/>
      <w:marBottom w:val="0"/>
      <w:divBdr>
        <w:top w:val="none" w:sz="0" w:space="0" w:color="auto"/>
        <w:left w:val="none" w:sz="0" w:space="0" w:color="auto"/>
        <w:bottom w:val="none" w:sz="0" w:space="0" w:color="auto"/>
        <w:right w:val="none" w:sz="0" w:space="0" w:color="auto"/>
      </w:divBdr>
    </w:div>
    <w:div w:id="1834684884">
      <w:bodyDiv w:val="1"/>
      <w:marLeft w:val="0"/>
      <w:marRight w:val="0"/>
      <w:marTop w:val="0"/>
      <w:marBottom w:val="0"/>
      <w:divBdr>
        <w:top w:val="none" w:sz="0" w:space="0" w:color="auto"/>
        <w:left w:val="none" w:sz="0" w:space="0" w:color="auto"/>
        <w:bottom w:val="none" w:sz="0" w:space="0" w:color="auto"/>
        <w:right w:val="none" w:sz="0" w:space="0" w:color="auto"/>
      </w:divBdr>
    </w:div>
    <w:div w:id="1843470528">
      <w:bodyDiv w:val="1"/>
      <w:marLeft w:val="0"/>
      <w:marRight w:val="0"/>
      <w:marTop w:val="0"/>
      <w:marBottom w:val="0"/>
      <w:divBdr>
        <w:top w:val="none" w:sz="0" w:space="0" w:color="auto"/>
        <w:left w:val="none" w:sz="0" w:space="0" w:color="auto"/>
        <w:bottom w:val="none" w:sz="0" w:space="0" w:color="auto"/>
        <w:right w:val="none" w:sz="0" w:space="0" w:color="auto"/>
      </w:divBdr>
    </w:div>
    <w:div w:id="1846699738">
      <w:bodyDiv w:val="1"/>
      <w:marLeft w:val="0"/>
      <w:marRight w:val="0"/>
      <w:marTop w:val="0"/>
      <w:marBottom w:val="0"/>
      <w:divBdr>
        <w:top w:val="none" w:sz="0" w:space="0" w:color="auto"/>
        <w:left w:val="none" w:sz="0" w:space="0" w:color="auto"/>
        <w:bottom w:val="none" w:sz="0" w:space="0" w:color="auto"/>
        <w:right w:val="none" w:sz="0" w:space="0" w:color="auto"/>
      </w:divBdr>
    </w:div>
    <w:div w:id="1871332765">
      <w:bodyDiv w:val="1"/>
      <w:marLeft w:val="0"/>
      <w:marRight w:val="0"/>
      <w:marTop w:val="0"/>
      <w:marBottom w:val="0"/>
      <w:divBdr>
        <w:top w:val="none" w:sz="0" w:space="0" w:color="auto"/>
        <w:left w:val="none" w:sz="0" w:space="0" w:color="auto"/>
        <w:bottom w:val="none" w:sz="0" w:space="0" w:color="auto"/>
        <w:right w:val="none" w:sz="0" w:space="0" w:color="auto"/>
      </w:divBdr>
      <w:divsChild>
        <w:div w:id="1929344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3248180">
      <w:bodyDiv w:val="1"/>
      <w:marLeft w:val="0"/>
      <w:marRight w:val="0"/>
      <w:marTop w:val="0"/>
      <w:marBottom w:val="0"/>
      <w:divBdr>
        <w:top w:val="none" w:sz="0" w:space="0" w:color="auto"/>
        <w:left w:val="none" w:sz="0" w:space="0" w:color="auto"/>
        <w:bottom w:val="none" w:sz="0" w:space="0" w:color="auto"/>
        <w:right w:val="none" w:sz="0" w:space="0" w:color="auto"/>
      </w:divBdr>
    </w:div>
    <w:div w:id="1908492387">
      <w:bodyDiv w:val="1"/>
      <w:marLeft w:val="0"/>
      <w:marRight w:val="0"/>
      <w:marTop w:val="0"/>
      <w:marBottom w:val="0"/>
      <w:divBdr>
        <w:top w:val="none" w:sz="0" w:space="0" w:color="auto"/>
        <w:left w:val="none" w:sz="0" w:space="0" w:color="auto"/>
        <w:bottom w:val="none" w:sz="0" w:space="0" w:color="auto"/>
        <w:right w:val="none" w:sz="0" w:space="0" w:color="auto"/>
      </w:divBdr>
    </w:div>
    <w:div w:id="1926304273">
      <w:bodyDiv w:val="1"/>
      <w:marLeft w:val="0"/>
      <w:marRight w:val="0"/>
      <w:marTop w:val="0"/>
      <w:marBottom w:val="0"/>
      <w:divBdr>
        <w:top w:val="none" w:sz="0" w:space="0" w:color="auto"/>
        <w:left w:val="none" w:sz="0" w:space="0" w:color="auto"/>
        <w:bottom w:val="none" w:sz="0" w:space="0" w:color="auto"/>
        <w:right w:val="none" w:sz="0" w:space="0" w:color="auto"/>
      </w:divBdr>
    </w:div>
    <w:div w:id="1948854854">
      <w:bodyDiv w:val="1"/>
      <w:marLeft w:val="0"/>
      <w:marRight w:val="0"/>
      <w:marTop w:val="0"/>
      <w:marBottom w:val="0"/>
      <w:divBdr>
        <w:top w:val="none" w:sz="0" w:space="0" w:color="auto"/>
        <w:left w:val="none" w:sz="0" w:space="0" w:color="auto"/>
        <w:bottom w:val="none" w:sz="0" w:space="0" w:color="auto"/>
        <w:right w:val="none" w:sz="0" w:space="0" w:color="auto"/>
      </w:divBdr>
    </w:div>
    <w:div w:id="1951626969">
      <w:bodyDiv w:val="1"/>
      <w:marLeft w:val="0"/>
      <w:marRight w:val="0"/>
      <w:marTop w:val="0"/>
      <w:marBottom w:val="0"/>
      <w:divBdr>
        <w:top w:val="none" w:sz="0" w:space="0" w:color="auto"/>
        <w:left w:val="none" w:sz="0" w:space="0" w:color="auto"/>
        <w:bottom w:val="none" w:sz="0" w:space="0" w:color="auto"/>
        <w:right w:val="none" w:sz="0" w:space="0" w:color="auto"/>
      </w:divBdr>
    </w:div>
    <w:div w:id="1959221782">
      <w:bodyDiv w:val="1"/>
      <w:marLeft w:val="0"/>
      <w:marRight w:val="0"/>
      <w:marTop w:val="0"/>
      <w:marBottom w:val="0"/>
      <w:divBdr>
        <w:top w:val="none" w:sz="0" w:space="0" w:color="auto"/>
        <w:left w:val="none" w:sz="0" w:space="0" w:color="auto"/>
        <w:bottom w:val="none" w:sz="0" w:space="0" w:color="auto"/>
        <w:right w:val="none" w:sz="0" w:space="0" w:color="auto"/>
      </w:divBdr>
    </w:div>
    <w:div w:id="1960339060">
      <w:bodyDiv w:val="1"/>
      <w:marLeft w:val="0"/>
      <w:marRight w:val="0"/>
      <w:marTop w:val="0"/>
      <w:marBottom w:val="0"/>
      <w:divBdr>
        <w:top w:val="none" w:sz="0" w:space="0" w:color="auto"/>
        <w:left w:val="none" w:sz="0" w:space="0" w:color="auto"/>
        <w:bottom w:val="none" w:sz="0" w:space="0" w:color="auto"/>
        <w:right w:val="none" w:sz="0" w:space="0" w:color="auto"/>
      </w:divBdr>
    </w:div>
    <w:div w:id="1977103782">
      <w:bodyDiv w:val="1"/>
      <w:marLeft w:val="0"/>
      <w:marRight w:val="0"/>
      <w:marTop w:val="0"/>
      <w:marBottom w:val="0"/>
      <w:divBdr>
        <w:top w:val="none" w:sz="0" w:space="0" w:color="auto"/>
        <w:left w:val="none" w:sz="0" w:space="0" w:color="auto"/>
        <w:bottom w:val="none" w:sz="0" w:space="0" w:color="auto"/>
        <w:right w:val="none" w:sz="0" w:space="0" w:color="auto"/>
      </w:divBdr>
    </w:div>
    <w:div w:id="2014721464">
      <w:bodyDiv w:val="1"/>
      <w:marLeft w:val="0"/>
      <w:marRight w:val="0"/>
      <w:marTop w:val="0"/>
      <w:marBottom w:val="0"/>
      <w:divBdr>
        <w:top w:val="none" w:sz="0" w:space="0" w:color="auto"/>
        <w:left w:val="none" w:sz="0" w:space="0" w:color="auto"/>
        <w:bottom w:val="none" w:sz="0" w:space="0" w:color="auto"/>
        <w:right w:val="none" w:sz="0" w:space="0" w:color="auto"/>
      </w:divBdr>
    </w:div>
    <w:div w:id="2061516894">
      <w:bodyDiv w:val="1"/>
      <w:marLeft w:val="0"/>
      <w:marRight w:val="0"/>
      <w:marTop w:val="0"/>
      <w:marBottom w:val="0"/>
      <w:divBdr>
        <w:top w:val="none" w:sz="0" w:space="0" w:color="auto"/>
        <w:left w:val="none" w:sz="0" w:space="0" w:color="auto"/>
        <w:bottom w:val="none" w:sz="0" w:space="0" w:color="auto"/>
        <w:right w:val="none" w:sz="0" w:space="0" w:color="auto"/>
      </w:divBdr>
    </w:div>
    <w:div w:id="2084526723">
      <w:bodyDiv w:val="1"/>
      <w:marLeft w:val="0"/>
      <w:marRight w:val="0"/>
      <w:marTop w:val="0"/>
      <w:marBottom w:val="0"/>
      <w:divBdr>
        <w:top w:val="none" w:sz="0" w:space="0" w:color="auto"/>
        <w:left w:val="none" w:sz="0" w:space="0" w:color="auto"/>
        <w:bottom w:val="none" w:sz="0" w:space="0" w:color="auto"/>
        <w:right w:val="none" w:sz="0" w:space="0" w:color="auto"/>
      </w:divBdr>
    </w:div>
    <w:div w:id="2087799263">
      <w:bodyDiv w:val="1"/>
      <w:marLeft w:val="0"/>
      <w:marRight w:val="0"/>
      <w:marTop w:val="0"/>
      <w:marBottom w:val="0"/>
      <w:divBdr>
        <w:top w:val="none" w:sz="0" w:space="0" w:color="auto"/>
        <w:left w:val="none" w:sz="0" w:space="0" w:color="auto"/>
        <w:bottom w:val="none" w:sz="0" w:space="0" w:color="auto"/>
        <w:right w:val="none" w:sz="0" w:space="0" w:color="auto"/>
      </w:divBdr>
    </w:div>
    <w:div w:id="2130777929">
      <w:bodyDiv w:val="1"/>
      <w:marLeft w:val="0"/>
      <w:marRight w:val="0"/>
      <w:marTop w:val="0"/>
      <w:marBottom w:val="0"/>
      <w:divBdr>
        <w:top w:val="none" w:sz="0" w:space="0" w:color="auto"/>
        <w:left w:val="none" w:sz="0" w:space="0" w:color="auto"/>
        <w:bottom w:val="none" w:sz="0" w:space="0" w:color="auto"/>
        <w:right w:val="none" w:sz="0" w:space="0" w:color="auto"/>
      </w:divBdr>
    </w:div>
    <w:div w:id="213682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article/pii/S1355030622000144"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ilobreaker.com/glossary/threat-intelligence-lifecycle/" TargetMode="External"/><Relationship Id="rId7" Type="http://schemas.openxmlformats.org/officeDocument/2006/relationships/endnotes" Target="endnotes.xml"/><Relationship Id="rId12" Type="http://schemas.openxmlformats.org/officeDocument/2006/relationships/hyperlink" Target="https://www.linkedin.com/pulse/cyber-policing-journey-paul-hoare?utm_source=chatgpt.com"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ussellwebster.com/the-internet-and-pathways-to-radicalisation/" TargetMode="External"/><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isa.europa.eu"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ilobreaker.com/glossary/threat-intelligence-lifecycle/" TargetMode="External"/><Relationship Id="rId23" Type="http://schemas.openxmlformats.org/officeDocument/2006/relationships/image" Target="media/image6.PNG"/><Relationship Id="rId10" Type="http://schemas.openxmlformats.org/officeDocument/2006/relationships/hyperlink" Target="https://www.enisa.europa.eu/publications/national-cyber-security-strategies" TargetMode="External"/><Relationship Id="rId19" Type="http://schemas.openxmlformats.org/officeDocument/2006/relationships/hyperlink" Target="https://www.sciencedirect.com/science/article/pii/S1355030622000144?utm_source=chatgpt.com" TargetMode="External"/><Relationship Id="rId4" Type="http://schemas.openxmlformats.org/officeDocument/2006/relationships/settings" Target="settings.xml"/><Relationship Id="rId9" Type="http://schemas.openxmlformats.org/officeDocument/2006/relationships/hyperlink" Target="https://www.google.com/search?client=safari&amp;rls=en&amp;q=Digital+Forensics%3A+Authorised+Professional+Practice+college+of+polcing&amp;ie=UTF-8&amp;oe=UTF-8" TargetMode="External"/><Relationship Id="rId14" Type="http://schemas.openxmlformats.org/officeDocument/2006/relationships/hyperlink" Target="https://www.russellwebster.com/the-internet-and-pathways-to-radicalisation" TargetMode="External"/><Relationship Id="rId22"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adiemason/Library/Containers/com.microsoft.Word/Data/Library/Application%20Support/Microsoft/Office/16.0/DTS/Search/%7b9857A1A4-4772-E14B-A642-2C657EFB6619%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cover.dotx</Template>
  <TotalTime>126</TotalTime>
  <Pages>34</Pages>
  <Words>4897</Words>
  <Characters>43100</Characters>
  <Application>Microsoft Office Word</Application>
  <DocSecurity>0</DocSecurity>
  <Lines>828</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Sadie Mason </dc:creator>
  <cp:keywords/>
  <cp:lastModifiedBy>Sadie Mason (2204171)</cp:lastModifiedBy>
  <cp:revision>6</cp:revision>
  <dcterms:created xsi:type="dcterms:W3CDTF">2026-01-07T21:51:00Z</dcterms:created>
  <dcterms:modified xsi:type="dcterms:W3CDTF">2026-01-08T11:58:00Z</dcterms:modified>
  <cp:version/>
</cp:coreProperties>
</file>