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BC87E6" w14:textId="77777777" w:rsidR="00942E11" w:rsidRPr="001B4A39" w:rsidRDefault="00942E11">
      <w:pPr>
        <w:spacing w:after="20" w:line="256" w:lineRule="auto"/>
        <w:ind w:left="120"/>
        <w:jc w:val="center"/>
        <w:rPr>
          <w:b/>
          <w:sz w:val="32"/>
          <w:szCs w:val="32"/>
          <w:lang w:val="en-GB"/>
        </w:rPr>
      </w:pPr>
    </w:p>
    <w:p w14:paraId="50B66E73" w14:textId="77777777" w:rsidR="00942E11" w:rsidRPr="001B4A39" w:rsidRDefault="00942E11">
      <w:pPr>
        <w:spacing w:after="20" w:line="256" w:lineRule="auto"/>
        <w:ind w:left="120"/>
        <w:jc w:val="center"/>
        <w:rPr>
          <w:b/>
          <w:sz w:val="32"/>
          <w:szCs w:val="32"/>
          <w:lang w:val="en-GB"/>
        </w:rPr>
      </w:pPr>
    </w:p>
    <w:p w14:paraId="01B82133" w14:textId="77777777" w:rsidR="00942E11" w:rsidRPr="001B4A39" w:rsidRDefault="00942E11">
      <w:pPr>
        <w:spacing w:after="20" w:line="256" w:lineRule="auto"/>
        <w:ind w:left="120"/>
        <w:jc w:val="center"/>
        <w:rPr>
          <w:b/>
          <w:sz w:val="32"/>
          <w:szCs w:val="32"/>
          <w:lang w:val="en-GB"/>
        </w:rPr>
      </w:pPr>
    </w:p>
    <w:p w14:paraId="0FDE58D4" w14:textId="77777777" w:rsidR="00942E11" w:rsidRPr="001B4A39" w:rsidRDefault="00942E11">
      <w:pPr>
        <w:spacing w:after="20" w:line="256" w:lineRule="auto"/>
        <w:ind w:left="120"/>
        <w:jc w:val="center"/>
        <w:rPr>
          <w:b/>
          <w:sz w:val="32"/>
          <w:szCs w:val="32"/>
          <w:lang w:val="en-GB"/>
        </w:rPr>
      </w:pPr>
    </w:p>
    <w:p w14:paraId="60027271" w14:textId="77777777" w:rsidR="00942E11" w:rsidRPr="001B4A39" w:rsidRDefault="00942E11">
      <w:pPr>
        <w:spacing w:after="20" w:line="256" w:lineRule="auto"/>
        <w:ind w:left="120"/>
        <w:jc w:val="center"/>
        <w:rPr>
          <w:b/>
          <w:sz w:val="32"/>
          <w:szCs w:val="32"/>
          <w:lang w:val="en-GB"/>
        </w:rPr>
      </w:pPr>
    </w:p>
    <w:p w14:paraId="58ED3716" w14:textId="77777777" w:rsidR="00942E11" w:rsidRPr="001B4A39" w:rsidRDefault="00942E11">
      <w:pPr>
        <w:spacing w:after="20" w:line="256" w:lineRule="auto"/>
        <w:ind w:left="120"/>
        <w:jc w:val="center"/>
        <w:rPr>
          <w:b/>
          <w:sz w:val="32"/>
          <w:szCs w:val="32"/>
          <w:lang w:val="en-GB"/>
        </w:rPr>
      </w:pPr>
    </w:p>
    <w:p w14:paraId="1F671F43" w14:textId="77777777" w:rsidR="00942E11" w:rsidRPr="001B4A39" w:rsidRDefault="00942E11">
      <w:pPr>
        <w:spacing w:after="20" w:line="256" w:lineRule="auto"/>
        <w:ind w:left="120"/>
        <w:jc w:val="center"/>
        <w:rPr>
          <w:b/>
          <w:sz w:val="32"/>
          <w:szCs w:val="32"/>
          <w:lang w:val="en-GB"/>
        </w:rPr>
      </w:pPr>
    </w:p>
    <w:p w14:paraId="5226FFC4" w14:textId="77777777" w:rsidR="00942E11" w:rsidRPr="001B4A39" w:rsidRDefault="00942E11">
      <w:pPr>
        <w:spacing w:after="20" w:line="256" w:lineRule="auto"/>
        <w:ind w:left="120"/>
        <w:jc w:val="center"/>
        <w:rPr>
          <w:b/>
          <w:sz w:val="32"/>
          <w:szCs w:val="32"/>
          <w:lang w:val="en-GB"/>
        </w:rPr>
      </w:pPr>
    </w:p>
    <w:p w14:paraId="5C9EB00C" w14:textId="384BC0E8" w:rsidR="006F5F7B" w:rsidRDefault="006F5F7B">
      <w:pPr>
        <w:spacing w:after="120" w:line="273" w:lineRule="auto"/>
        <w:ind w:left="120"/>
        <w:jc w:val="center"/>
        <w:rPr>
          <w:b/>
          <w:sz w:val="32"/>
          <w:szCs w:val="32"/>
        </w:rPr>
      </w:pPr>
    </w:p>
    <w:p w14:paraId="7B9C92C6" w14:textId="77777777" w:rsidR="006F5F7B" w:rsidRDefault="006F5F7B">
      <w:pPr>
        <w:spacing w:after="120" w:line="273" w:lineRule="auto"/>
        <w:ind w:left="120"/>
        <w:jc w:val="center"/>
        <w:rPr>
          <w:b/>
          <w:sz w:val="32"/>
          <w:szCs w:val="32"/>
        </w:rPr>
      </w:pPr>
      <w:r w:rsidRPr="006F5F7B">
        <w:rPr>
          <w:b/>
          <w:sz w:val="32"/>
          <w:szCs w:val="32"/>
        </w:rPr>
        <w:t>Assignment title: Planning and Delivering an International Meeting/Event.</w:t>
      </w:r>
    </w:p>
    <w:p w14:paraId="4AEB9EB1" w14:textId="77777777" w:rsidR="006F5F7B" w:rsidRDefault="006F5F7B">
      <w:pPr>
        <w:spacing w:after="120" w:line="273" w:lineRule="auto"/>
        <w:ind w:left="120"/>
        <w:jc w:val="center"/>
        <w:rPr>
          <w:b/>
          <w:sz w:val="32"/>
          <w:szCs w:val="32"/>
        </w:rPr>
      </w:pPr>
      <w:r w:rsidRPr="006F5F7B">
        <w:rPr>
          <w:b/>
          <w:sz w:val="32"/>
          <w:szCs w:val="32"/>
        </w:rPr>
        <w:t>The module title: International Meetings Management BMIH6007</w:t>
      </w:r>
    </w:p>
    <w:p w14:paraId="63AEF018" w14:textId="63B8FDC0" w:rsidR="00DE4919" w:rsidRPr="00351D20" w:rsidRDefault="006F5F7B">
      <w:pPr>
        <w:spacing w:after="120" w:line="273" w:lineRule="auto"/>
        <w:ind w:left="120"/>
        <w:jc w:val="center"/>
        <w:rPr>
          <w:bCs/>
          <w:sz w:val="32"/>
          <w:szCs w:val="32"/>
          <w:lang w:val="en-GB"/>
        </w:rPr>
      </w:pPr>
      <w:r w:rsidRPr="006F5F7B">
        <w:rPr>
          <w:b/>
          <w:sz w:val="32"/>
          <w:szCs w:val="32"/>
        </w:rPr>
        <w:t>Lecturer: Kathryn Flynn</w:t>
      </w:r>
    </w:p>
    <w:p w14:paraId="4D344611" w14:textId="77777777" w:rsidR="006F5F7B" w:rsidRDefault="006F5F7B" w:rsidP="006F5F7B">
      <w:pPr>
        <w:spacing w:after="120" w:line="273" w:lineRule="auto"/>
        <w:ind w:left="120"/>
        <w:jc w:val="center"/>
        <w:rPr>
          <w:b/>
          <w:sz w:val="32"/>
          <w:szCs w:val="32"/>
        </w:rPr>
      </w:pPr>
      <w:r w:rsidRPr="006F5F7B">
        <w:rPr>
          <w:b/>
          <w:sz w:val="32"/>
          <w:szCs w:val="32"/>
        </w:rPr>
        <w:t xml:space="preserve">Student Name: </w:t>
      </w:r>
      <w:r w:rsidRPr="00A17918">
        <w:rPr>
          <w:bCs/>
          <w:sz w:val="32"/>
          <w:szCs w:val="32"/>
        </w:rPr>
        <w:t xml:space="preserve">Abdul </w:t>
      </w:r>
      <w:proofErr w:type="spellStart"/>
      <w:r w:rsidRPr="00A17918">
        <w:rPr>
          <w:bCs/>
          <w:sz w:val="32"/>
          <w:szCs w:val="32"/>
        </w:rPr>
        <w:t>Quiyum</w:t>
      </w:r>
      <w:proofErr w:type="spellEnd"/>
    </w:p>
    <w:p w14:paraId="2C5C46C6" w14:textId="77777777" w:rsidR="009554B7" w:rsidRDefault="006F5F7B" w:rsidP="006F5F7B">
      <w:pPr>
        <w:jc w:val="center"/>
        <w:rPr>
          <w:b/>
          <w:sz w:val="32"/>
          <w:szCs w:val="32"/>
          <w:lang w:val="en-GB"/>
        </w:rPr>
      </w:pPr>
      <w:r w:rsidRPr="006F5F7B">
        <w:rPr>
          <w:b/>
          <w:sz w:val="32"/>
          <w:szCs w:val="32"/>
        </w:rPr>
        <w:t xml:space="preserve">Student ID: </w:t>
      </w:r>
      <w:r w:rsidRPr="00A17918">
        <w:rPr>
          <w:bCs/>
          <w:sz w:val="32"/>
          <w:szCs w:val="32"/>
        </w:rPr>
        <w:t>2229328</w:t>
      </w:r>
    </w:p>
    <w:p w14:paraId="34FE0369" w14:textId="77777777" w:rsidR="009554B7" w:rsidRDefault="009554B7" w:rsidP="006F5F7B">
      <w:pPr>
        <w:jc w:val="center"/>
        <w:rPr>
          <w:b/>
          <w:sz w:val="32"/>
          <w:szCs w:val="32"/>
        </w:rPr>
      </w:pPr>
    </w:p>
    <w:p w14:paraId="3FCE43E4" w14:textId="79D5A3E9" w:rsidR="001B4A39" w:rsidRPr="009554B7" w:rsidRDefault="009554B7" w:rsidP="009554B7">
      <w:pPr>
        <w:rPr>
          <w:bCs/>
          <w:lang w:val="en-GB"/>
        </w:rPr>
      </w:pPr>
      <w:r w:rsidRPr="009554B7">
        <w:rPr>
          <w:bCs/>
        </w:rPr>
        <w:t>I confirm that I have not used any AI tools in the research and creation of this assignment. I confirm that I have not presented any AI generated materials as my own work. I confirm that I have copies of my drafts, notes, and other resources I used, which I may be asked to provide in evidence</w:t>
      </w:r>
      <w:r w:rsidR="006169B4">
        <w:rPr>
          <w:bCs/>
        </w:rPr>
        <w:t>.</w:t>
      </w:r>
      <w:r w:rsidR="001B4A39" w:rsidRPr="009554B7">
        <w:rPr>
          <w:bCs/>
          <w:lang w:val="en-GB"/>
        </w:rPr>
        <w:br w:type="page"/>
      </w:r>
    </w:p>
    <w:sdt>
      <w:sdtPr>
        <w:rPr>
          <w:rFonts w:ascii="Times New Roman" w:eastAsia="Times New Roman" w:hAnsi="Times New Roman" w:cs="Times New Roman"/>
          <w:color w:val="auto"/>
          <w:sz w:val="24"/>
          <w:szCs w:val="24"/>
          <w:lang w:val="en-GB" w:eastAsia="en-IN"/>
        </w:rPr>
        <w:id w:val="-1629239923"/>
        <w:docPartObj>
          <w:docPartGallery w:val="Table of Contents"/>
          <w:docPartUnique/>
        </w:docPartObj>
      </w:sdtPr>
      <w:sdtEndPr>
        <w:rPr>
          <w:b/>
          <w:bCs/>
          <w:noProof/>
        </w:rPr>
      </w:sdtEndPr>
      <w:sdtContent>
        <w:p w14:paraId="6C28671C" w14:textId="10034012" w:rsidR="001B4A39" w:rsidRPr="001B4A39" w:rsidRDefault="001B4A39" w:rsidP="001B4A39">
          <w:pPr>
            <w:pStyle w:val="TOCHeading"/>
            <w:jc w:val="center"/>
            <w:rPr>
              <w:rFonts w:ascii="Times New Roman" w:hAnsi="Times New Roman" w:cs="Times New Roman"/>
              <w:b/>
              <w:bCs/>
              <w:color w:val="auto"/>
              <w:sz w:val="24"/>
              <w:szCs w:val="24"/>
              <w:lang w:val="en-GB"/>
            </w:rPr>
          </w:pPr>
          <w:r w:rsidRPr="001B4A39">
            <w:rPr>
              <w:rFonts w:ascii="Times New Roman" w:hAnsi="Times New Roman" w:cs="Times New Roman"/>
              <w:b/>
              <w:bCs/>
              <w:color w:val="auto"/>
              <w:sz w:val="24"/>
              <w:szCs w:val="24"/>
              <w:lang w:val="en-GB"/>
            </w:rPr>
            <w:t>Table of Contents</w:t>
          </w:r>
        </w:p>
        <w:p w14:paraId="5C554B74" w14:textId="11183E0A" w:rsidR="001B4A39" w:rsidRPr="001B4A39" w:rsidRDefault="001B4A39">
          <w:pPr>
            <w:pStyle w:val="TOC1"/>
            <w:tabs>
              <w:tab w:val="right" w:leader="dot" w:pos="9350"/>
            </w:tabs>
            <w:rPr>
              <w:noProof/>
              <w:lang w:val="en-GB"/>
            </w:rPr>
          </w:pPr>
          <w:r w:rsidRPr="001B4A39">
            <w:rPr>
              <w:lang w:val="en-GB"/>
            </w:rPr>
            <w:fldChar w:fldCharType="begin"/>
          </w:r>
          <w:r w:rsidRPr="001B4A39">
            <w:rPr>
              <w:lang w:val="en-GB"/>
            </w:rPr>
            <w:instrText xml:space="preserve"> TOC \o "1-3" \h \z \u </w:instrText>
          </w:r>
          <w:r w:rsidRPr="001B4A39">
            <w:rPr>
              <w:lang w:val="en-GB"/>
            </w:rPr>
            <w:fldChar w:fldCharType="separate"/>
          </w:r>
          <w:hyperlink w:anchor="_Toc190991143" w:history="1">
            <w:r w:rsidRPr="001B4A39">
              <w:rPr>
                <w:rStyle w:val="Hyperlink"/>
                <w:noProof/>
                <w:lang w:val="en-GB"/>
              </w:rPr>
              <w:t>1. Introduction</w:t>
            </w:r>
            <w:r w:rsidRPr="001B4A39">
              <w:rPr>
                <w:noProof/>
                <w:webHidden/>
                <w:lang w:val="en-GB"/>
              </w:rPr>
              <w:tab/>
            </w:r>
            <w:r w:rsidRPr="001B4A39">
              <w:rPr>
                <w:noProof/>
                <w:webHidden/>
                <w:lang w:val="en-GB"/>
              </w:rPr>
              <w:fldChar w:fldCharType="begin"/>
            </w:r>
            <w:r w:rsidRPr="001B4A39">
              <w:rPr>
                <w:noProof/>
                <w:webHidden/>
                <w:lang w:val="en-GB"/>
              </w:rPr>
              <w:instrText xml:space="preserve"> PAGEREF _Toc190991143 \h </w:instrText>
            </w:r>
            <w:r w:rsidRPr="001B4A39">
              <w:rPr>
                <w:noProof/>
                <w:webHidden/>
                <w:lang w:val="en-GB"/>
              </w:rPr>
            </w:r>
            <w:r w:rsidRPr="001B4A39">
              <w:rPr>
                <w:noProof/>
                <w:webHidden/>
                <w:lang w:val="en-GB"/>
              </w:rPr>
              <w:fldChar w:fldCharType="separate"/>
            </w:r>
            <w:r w:rsidRPr="001B4A39">
              <w:rPr>
                <w:noProof/>
                <w:webHidden/>
                <w:lang w:val="en-GB"/>
              </w:rPr>
              <w:t>3</w:t>
            </w:r>
            <w:r w:rsidRPr="001B4A39">
              <w:rPr>
                <w:noProof/>
                <w:webHidden/>
                <w:lang w:val="en-GB"/>
              </w:rPr>
              <w:fldChar w:fldCharType="end"/>
            </w:r>
          </w:hyperlink>
        </w:p>
        <w:p w14:paraId="4F3C8C5D" w14:textId="0DB0DDD1" w:rsidR="001B4A39" w:rsidRPr="001B4A39" w:rsidRDefault="001B4A39">
          <w:pPr>
            <w:pStyle w:val="TOC1"/>
            <w:tabs>
              <w:tab w:val="right" w:leader="dot" w:pos="9350"/>
            </w:tabs>
            <w:rPr>
              <w:noProof/>
              <w:lang w:val="en-GB"/>
            </w:rPr>
          </w:pPr>
          <w:hyperlink w:anchor="_Toc190991144" w:history="1">
            <w:r w:rsidRPr="001B4A39">
              <w:rPr>
                <w:rStyle w:val="Hyperlink"/>
                <w:noProof/>
                <w:lang w:val="en-GB"/>
              </w:rPr>
              <w:t>2. The Event Cycle</w:t>
            </w:r>
            <w:r w:rsidRPr="001B4A39">
              <w:rPr>
                <w:noProof/>
                <w:webHidden/>
                <w:lang w:val="en-GB"/>
              </w:rPr>
              <w:tab/>
            </w:r>
            <w:r w:rsidRPr="001B4A39">
              <w:rPr>
                <w:noProof/>
                <w:webHidden/>
                <w:lang w:val="en-GB"/>
              </w:rPr>
              <w:fldChar w:fldCharType="begin"/>
            </w:r>
            <w:r w:rsidRPr="001B4A39">
              <w:rPr>
                <w:noProof/>
                <w:webHidden/>
                <w:lang w:val="en-GB"/>
              </w:rPr>
              <w:instrText xml:space="preserve"> PAGEREF _Toc190991144 \h </w:instrText>
            </w:r>
            <w:r w:rsidRPr="001B4A39">
              <w:rPr>
                <w:noProof/>
                <w:webHidden/>
                <w:lang w:val="en-GB"/>
              </w:rPr>
            </w:r>
            <w:r w:rsidRPr="001B4A39">
              <w:rPr>
                <w:noProof/>
                <w:webHidden/>
                <w:lang w:val="en-GB"/>
              </w:rPr>
              <w:fldChar w:fldCharType="separate"/>
            </w:r>
            <w:r w:rsidRPr="001B4A39">
              <w:rPr>
                <w:noProof/>
                <w:webHidden/>
                <w:lang w:val="en-GB"/>
              </w:rPr>
              <w:t>3</w:t>
            </w:r>
            <w:r w:rsidRPr="001B4A39">
              <w:rPr>
                <w:noProof/>
                <w:webHidden/>
                <w:lang w:val="en-GB"/>
              </w:rPr>
              <w:fldChar w:fldCharType="end"/>
            </w:r>
          </w:hyperlink>
        </w:p>
        <w:p w14:paraId="60E1A2DA" w14:textId="3A978F77" w:rsidR="001B4A39" w:rsidRPr="001B4A39" w:rsidRDefault="001B4A39">
          <w:pPr>
            <w:pStyle w:val="TOC1"/>
            <w:tabs>
              <w:tab w:val="right" w:leader="dot" w:pos="9350"/>
            </w:tabs>
            <w:rPr>
              <w:noProof/>
              <w:lang w:val="en-GB"/>
            </w:rPr>
          </w:pPr>
          <w:hyperlink w:anchor="_Toc190991145" w:history="1">
            <w:r w:rsidRPr="001B4A39">
              <w:rPr>
                <w:rStyle w:val="Hyperlink"/>
                <w:noProof/>
                <w:lang w:val="en-GB"/>
              </w:rPr>
              <w:t>3. Event Concept</w:t>
            </w:r>
            <w:r w:rsidRPr="001B4A39">
              <w:rPr>
                <w:noProof/>
                <w:webHidden/>
                <w:lang w:val="en-GB"/>
              </w:rPr>
              <w:tab/>
            </w:r>
            <w:r w:rsidRPr="001B4A39">
              <w:rPr>
                <w:noProof/>
                <w:webHidden/>
                <w:lang w:val="en-GB"/>
              </w:rPr>
              <w:fldChar w:fldCharType="begin"/>
            </w:r>
            <w:r w:rsidRPr="001B4A39">
              <w:rPr>
                <w:noProof/>
                <w:webHidden/>
                <w:lang w:val="en-GB"/>
              </w:rPr>
              <w:instrText xml:space="preserve"> PAGEREF _Toc190991145 \h </w:instrText>
            </w:r>
            <w:r w:rsidRPr="001B4A39">
              <w:rPr>
                <w:noProof/>
                <w:webHidden/>
                <w:lang w:val="en-GB"/>
              </w:rPr>
            </w:r>
            <w:r w:rsidRPr="001B4A39">
              <w:rPr>
                <w:noProof/>
                <w:webHidden/>
                <w:lang w:val="en-GB"/>
              </w:rPr>
              <w:fldChar w:fldCharType="separate"/>
            </w:r>
            <w:r w:rsidRPr="001B4A39">
              <w:rPr>
                <w:noProof/>
                <w:webHidden/>
                <w:lang w:val="en-GB"/>
              </w:rPr>
              <w:t>4</w:t>
            </w:r>
            <w:r w:rsidRPr="001B4A39">
              <w:rPr>
                <w:noProof/>
                <w:webHidden/>
                <w:lang w:val="en-GB"/>
              </w:rPr>
              <w:fldChar w:fldCharType="end"/>
            </w:r>
          </w:hyperlink>
        </w:p>
        <w:p w14:paraId="4B316195" w14:textId="02E8058F" w:rsidR="001B4A39" w:rsidRPr="001B4A39" w:rsidRDefault="001B4A39">
          <w:pPr>
            <w:pStyle w:val="TOC1"/>
            <w:tabs>
              <w:tab w:val="right" w:leader="dot" w:pos="9350"/>
            </w:tabs>
            <w:rPr>
              <w:noProof/>
              <w:lang w:val="en-GB"/>
            </w:rPr>
          </w:pPr>
          <w:hyperlink w:anchor="_Toc190991146" w:history="1">
            <w:r w:rsidRPr="001B4A39">
              <w:rPr>
                <w:rStyle w:val="Hyperlink"/>
                <w:noProof/>
                <w:lang w:val="en-GB"/>
              </w:rPr>
              <w:t>4. Aim and Objectives of the Meeting/Event</w:t>
            </w:r>
            <w:r w:rsidRPr="001B4A39">
              <w:rPr>
                <w:noProof/>
                <w:webHidden/>
                <w:lang w:val="en-GB"/>
              </w:rPr>
              <w:tab/>
            </w:r>
            <w:r w:rsidRPr="001B4A39">
              <w:rPr>
                <w:noProof/>
                <w:webHidden/>
                <w:lang w:val="en-GB"/>
              </w:rPr>
              <w:fldChar w:fldCharType="begin"/>
            </w:r>
            <w:r w:rsidRPr="001B4A39">
              <w:rPr>
                <w:noProof/>
                <w:webHidden/>
                <w:lang w:val="en-GB"/>
              </w:rPr>
              <w:instrText xml:space="preserve"> PAGEREF _Toc190991146 \h </w:instrText>
            </w:r>
            <w:r w:rsidRPr="001B4A39">
              <w:rPr>
                <w:noProof/>
                <w:webHidden/>
                <w:lang w:val="en-GB"/>
              </w:rPr>
            </w:r>
            <w:r w:rsidRPr="001B4A39">
              <w:rPr>
                <w:noProof/>
                <w:webHidden/>
                <w:lang w:val="en-GB"/>
              </w:rPr>
              <w:fldChar w:fldCharType="separate"/>
            </w:r>
            <w:r w:rsidRPr="001B4A39">
              <w:rPr>
                <w:noProof/>
                <w:webHidden/>
                <w:lang w:val="en-GB"/>
              </w:rPr>
              <w:t>5</w:t>
            </w:r>
            <w:r w:rsidRPr="001B4A39">
              <w:rPr>
                <w:noProof/>
                <w:webHidden/>
                <w:lang w:val="en-GB"/>
              </w:rPr>
              <w:fldChar w:fldCharType="end"/>
            </w:r>
          </w:hyperlink>
        </w:p>
        <w:p w14:paraId="4079698B" w14:textId="4F8F0024" w:rsidR="001B4A39" w:rsidRPr="001B4A39" w:rsidRDefault="001B4A39">
          <w:pPr>
            <w:pStyle w:val="TOC1"/>
            <w:tabs>
              <w:tab w:val="right" w:leader="dot" w:pos="9350"/>
            </w:tabs>
            <w:rPr>
              <w:noProof/>
              <w:lang w:val="en-GB"/>
            </w:rPr>
          </w:pPr>
          <w:hyperlink w:anchor="_Toc190991147" w:history="1">
            <w:r w:rsidRPr="001B4A39">
              <w:rPr>
                <w:rStyle w:val="Hyperlink"/>
                <w:noProof/>
                <w:lang w:val="en-GB"/>
              </w:rPr>
              <w:t>5. Event Management</w:t>
            </w:r>
            <w:r w:rsidRPr="001B4A39">
              <w:rPr>
                <w:noProof/>
                <w:webHidden/>
                <w:lang w:val="en-GB"/>
              </w:rPr>
              <w:tab/>
            </w:r>
            <w:r w:rsidRPr="001B4A39">
              <w:rPr>
                <w:noProof/>
                <w:webHidden/>
                <w:lang w:val="en-GB"/>
              </w:rPr>
              <w:fldChar w:fldCharType="begin"/>
            </w:r>
            <w:r w:rsidRPr="001B4A39">
              <w:rPr>
                <w:noProof/>
                <w:webHidden/>
                <w:lang w:val="en-GB"/>
              </w:rPr>
              <w:instrText xml:space="preserve"> PAGEREF _Toc190991147 \h </w:instrText>
            </w:r>
            <w:r w:rsidRPr="001B4A39">
              <w:rPr>
                <w:noProof/>
                <w:webHidden/>
                <w:lang w:val="en-GB"/>
              </w:rPr>
            </w:r>
            <w:r w:rsidRPr="001B4A39">
              <w:rPr>
                <w:noProof/>
                <w:webHidden/>
                <w:lang w:val="en-GB"/>
              </w:rPr>
              <w:fldChar w:fldCharType="separate"/>
            </w:r>
            <w:r w:rsidRPr="001B4A39">
              <w:rPr>
                <w:noProof/>
                <w:webHidden/>
                <w:lang w:val="en-GB"/>
              </w:rPr>
              <w:t>6</w:t>
            </w:r>
            <w:r w:rsidRPr="001B4A39">
              <w:rPr>
                <w:noProof/>
                <w:webHidden/>
                <w:lang w:val="en-GB"/>
              </w:rPr>
              <w:fldChar w:fldCharType="end"/>
            </w:r>
          </w:hyperlink>
        </w:p>
        <w:p w14:paraId="0CD2E03A" w14:textId="63EC9301" w:rsidR="001B4A39" w:rsidRPr="001B4A39" w:rsidRDefault="001B4A39">
          <w:pPr>
            <w:pStyle w:val="TOC1"/>
            <w:tabs>
              <w:tab w:val="right" w:leader="dot" w:pos="9350"/>
            </w:tabs>
            <w:rPr>
              <w:noProof/>
              <w:lang w:val="en-GB"/>
            </w:rPr>
          </w:pPr>
          <w:hyperlink w:anchor="_Toc190991148" w:history="1">
            <w:r w:rsidRPr="001B4A39">
              <w:rPr>
                <w:rStyle w:val="Hyperlink"/>
                <w:noProof/>
                <w:lang w:val="en-GB"/>
              </w:rPr>
              <w:t>6. Event Budget</w:t>
            </w:r>
            <w:r w:rsidRPr="001B4A39">
              <w:rPr>
                <w:noProof/>
                <w:webHidden/>
                <w:lang w:val="en-GB"/>
              </w:rPr>
              <w:tab/>
            </w:r>
            <w:r w:rsidRPr="001B4A39">
              <w:rPr>
                <w:noProof/>
                <w:webHidden/>
                <w:lang w:val="en-GB"/>
              </w:rPr>
              <w:fldChar w:fldCharType="begin"/>
            </w:r>
            <w:r w:rsidRPr="001B4A39">
              <w:rPr>
                <w:noProof/>
                <w:webHidden/>
                <w:lang w:val="en-GB"/>
              </w:rPr>
              <w:instrText xml:space="preserve"> PAGEREF _Toc190991148 \h </w:instrText>
            </w:r>
            <w:r w:rsidRPr="001B4A39">
              <w:rPr>
                <w:noProof/>
                <w:webHidden/>
                <w:lang w:val="en-GB"/>
              </w:rPr>
            </w:r>
            <w:r w:rsidRPr="001B4A39">
              <w:rPr>
                <w:noProof/>
                <w:webHidden/>
                <w:lang w:val="en-GB"/>
              </w:rPr>
              <w:fldChar w:fldCharType="separate"/>
            </w:r>
            <w:r w:rsidRPr="001B4A39">
              <w:rPr>
                <w:noProof/>
                <w:webHidden/>
                <w:lang w:val="en-GB"/>
              </w:rPr>
              <w:t>8</w:t>
            </w:r>
            <w:r w:rsidRPr="001B4A39">
              <w:rPr>
                <w:noProof/>
                <w:webHidden/>
                <w:lang w:val="en-GB"/>
              </w:rPr>
              <w:fldChar w:fldCharType="end"/>
            </w:r>
          </w:hyperlink>
        </w:p>
        <w:p w14:paraId="10F0C5AC" w14:textId="3A6E0EC9" w:rsidR="001B4A39" w:rsidRPr="001B4A39" w:rsidRDefault="001B4A39">
          <w:pPr>
            <w:pStyle w:val="TOC1"/>
            <w:tabs>
              <w:tab w:val="right" w:leader="dot" w:pos="9350"/>
            </w:tabs>
            <w:rPr>
              <w:noProof/>
              <w:lang w:val="en-GB"/>
            </w:rPr>
          </w:pPr>
          <w:hyperlink w:anchor="_Toc190991149" w:history="1">
            <w:r w:rsidRPr="001B4A39">
              <w:rPr>
                <w:rStyle w:val="Hyperlink"/>
                <w:noProof/>
                <w:lang w:val="en-GB"/>
              </w:rPr>
              <w:t>7. Industry Trends / Issues / Impacts</w:t>
            </w:r>
            <w:r w:rsidRPr="001B4A39">
              <w:rPr>
                <w:noProof/>
                <w:webHidden/>
                <w:lang w:val="en-GB"/>
              </w:rPr>
              <w:tab/>
            </w:r>
            <w:r w:rsidRPr="001B4A39">
              <w:rPr>
                <w:noProof/>
                <w:webHidden/>
                <w:lang w:val="en-GB"/>
              </w:rPr>
              <w:fldChar w:fldCharType="begin"/>
            </w:r>
            <w:r w:rsidRPr="001B4A39">
              <w:rPr>
                <w:noProof/>
                <w:webHidden/>
                <w:lang w:val="en-GB"/>
              </w:rPr>
              <w:instrText xml:space="preserve"> PAGEREF _Toc190991149 \h </w:instrText>
            </w:r>
            <w:r w:rsidRPr="001B4A39">
              <w:rPr>
                <w:noProof/>
                <w:webHidden/>
                <w:lang w:val="en-GB"/>
              </w:rPr>
            </w:r>
            <w:r w:rsidRPr="001B4A39">
              <w:rPr>
                <w:noProof/>
                <w:webHidden/>
                <w:lang w:val="en-GB"/>
              </w:rPr>
              <w:fldChar w:fldCharType="separate"/>
            </w:r>
            <w:r w:rsidRPr="001B4A39">
              <w:rPr>
                <w:noProof/>
                <w:webHidden/>
                <w:lang w:val="en-GB"/>
              </w:rPr>
              <w:t>9</w:t>
            </w:r>
            <w:r w:rsidRPr="001B4A39">
              <w:rPr>
                <w:noProof/>
                <w:webHidden/>
                <w:lang w:val="en-GB"/>
              </w:rPr>
              <w:fldChar w:fldCharType="end"/>
            </w:r>
          </w:hyperlink>
        </w:p>
        <w:p w14:paraId="7FDC1E96" w14:textId="77F82CF2" w:rsidR="001B4A39" w:rsidRPr="001B4A39" w:rsidRDefault="001B4A39">
          <w:pPr>
            <w:pStyle w:val="TOC1"/>
            <w:tabs>
              <w:tab w:val="right" w:leader="dot" w:pos="9350"/>
            </w:tabs>
            <w:rPr>
              <w:noProof/>
              <w:lang w:val="en-GB"/>
            </w:rPr>
          </w:pPr>
          <w:hyperlink w:anchor="_Toc190991150" w:history="1">
            <w:r w:rsidRPr="001B4A39">
              <w:rPr>
                <w:rStyle w:val="Hyperlink"/>
                <w:noProof/>
                <w:lang w:val="en-GB"/>
              </w:rPr>
              <w:t>8. Situational and Cultural Considerations</w:t>
            </w:r>
            <w:r w:rsidRPr="001B4A39">
              <w:rPr>
                <w:noProof/>
                <w:webHidden/>
                <w:lang w:val="en-GB"/>
              </w:rPr>
              <w:tab/>
            </w:r>
            <w:r w:rsidRPr="001B4A39">
              <w:rPr>
                <w:noProof/>
                <w:webHidden/>
                <w:lang w:val="en-GB"/>
              </w:rPr>
              <w:fldChar w:fldCharType="begin"/>
            </w:r>
            <w:r w:rsidRPr="001B4A39">
              <w:rPr>
                <w:noProof/>
                <w:webHidden/>
                <w:lang w:val="en-GB"/>
              </w:rPr>
              <w:instrText xml:space="preserve"> PAGEREF _Toc190991150 \h </w:instrText>
            </w:r>
            <w:r w:rsidRPr="001B4A39">
              <w:rPr>
                <w:noProof/>
                <w:webHidden/>
                <w:lang w:val="en-GB"/>
              </w:rPr>
            </w:r>
            <w:r w:rsidRPr="001B4A39">
              <w:rPr>
                <w:noProof/>
                <w:webHidden/>
                <w:lang w:val="en-GB"/>
              </w:rPr>
              <w:fldChar w:fldCharType="separate"/>
            </w:r>
            <w:r w:rsidRPr="001B4A39">
              <w:rPr>
                <w:noProof/>
                <w:webHidden/>
                <w:lang w:val="en-GB"/>
              </w:rPr>
              <w:t>10</w:t>
            </w:r>
            <w:r w:rsidRPr="001B4A39">
              <w:rPr>
                <w:noProof/>
                <w:webHidden/>
                <w:lang w:val="en-GB"/>
              </w:rPr>
              <w:fldChar w:fldCharType="end"/>
            </w:r>
          </w:hyperlink>
        </w:p>
        <w:p w14:paraId="3A8E6F28" w14:textId="681AADDA" w:rsidR="001B4A39" w:rsidRPr="001B4A39" w:rsidRDefault="001B4A39">
          <w:pPr>
            <w:pStyle w:val="TOC1"/>
            <w:tabs>
              <w:tab w:val="right" w:leader="dot" w:pos="9350"/>
            </w:tabs>
            <w:rPr>
              <w:noProof/>
              <w:lang w:val="en-GB"/>
            </w:rPr>
          </w:pPr>
          <w:hyperlink w:anchor="_Toc190991151" w:history="1">
            <w:r w:rsidRPr="001B4A39">
              <w:rPr>
                <w:rStyle w:val="Hyperlink"/>
                <w:noProof/>
                <w:lang w:val="en-GB"/>
              </w:rPr>
              <w:t>Cultural Considerations</w:t>
            </w:r>
            <w:r w:rsidRPr="001B4A39">
              <w:rPr>
                <w:noProof/>
                <w:webHidden/>
                <w:lang w:val="en-GB"/>
              </w:rPr>
              <w:tab/>
            </w:r>
            <w:r w:rsidRPr="001B4A39">
              <w:rPr>
                <w:noProof/>
                <w:webHidden/>
                <w:lang w:val="en-GB"/>
              </w:rPr>
              <w:fldChar w:fldCharType="begin"/>
            </w:r>
            <w:r w:rsidRPr="001B4A39">
              <w:rPr>
                <w:noProof/>
                <w:webHidden/>
                <w:lang w:val="en-GB"/>
              </w:rPr>
              <w:instrText xml:space="preserve"> PAGEREF _Toc190991151 \h </w:instrText>
            </w:r>
            <w:r w:rsidRPr="001B4A39">
              <w:rPr>
                <w:noProof/>
                <w:webHidden/>
                <w:lang w:val="en-GB"/>
              </w:rPr>
            </w:r>
            <w:r w:rsidRPr="001B4A39">
              <w:rPr>
                <w:noProof/>
                <w:webHidden/>
                <w:lang w:val="en-GB"/>
              </w:rPr>
              <w:fldChar w:fldCharType="separate"/>
            </w:r>
            <w:r w:rsidRPr="001B4A39">
              <w:rPr>
                <w:noProof/>
                <w:webHidden/>
                <w:lang w:val="en-GB"/>
              </w:rPr>
              <w:t>12</w:t>
            </w:r>
            <w:r w:rsidRPr="001B4A39">
              <w:rPr>
                <w:noProof/>
                <w:webHidden/>
                <w:lang w:val="en-GB"/>
              </w:rPr>
              <w:fldChar w:fldCharType="end"/>
            </w:r>
          </w:hyperlink>
        </w:p>
        <w:p w14:paraId="054B2561" w14:textId="1B5553BA" w:rsidR="001B4A39" w:rsidRPr="001B4A39" w:rsidRDefault="001B4A39">
          <w:pPr>
            <w:pStyle w:val="TOC1"/>
            <w:tabs>
              <w:tab w:val="right" w:leader="dot" w:pos="9350"/>
            </w:tabs>
            <w:rPr>
              <w:noProof/>
              <w:lang w:val="en-GB"/>
            </w:rPr>
          </w:pPr>
          <w:hyperlink w:anchor="_Toc190991152" w:history="1">
            <w:r w:rsidRPr="001B4A39">
              <w:rPr>
                <w:rStyle w:val="Hyperlink"/>
                <w:noProof/>
                <w:lang w:val="en-GB"/>
              </w:rPr>
              <w:t>9. Conclusion</w:t>
            </w:r>
            <w:r w:rsidRPr="001B4A39">
              <w:rPr>
                <w:noProof/>
                <w:webHidden/>
                <w:lang w:val="en-GB"/>
              </w:rPr>
              <w:tab/>
            </w:r>
            <w:r w:rsidRPr="001B4A39">
              <w:rPr>
                <w:noProof/>
                <w:webHidden/>
                <w:lang w:val="en-GB"/>
              </w:rPr>
              <w:fldChar w:fldCharType="begin"/>
            </w:r>
            <w:r w:rsidRPr="001B4A39">
              <w:rPr>
                <w:noProof/>
                <w:webHidden/>
                <w:lang w:val="en-GB"/>
              </w:rPr>
              <w:instrText xml:space="preserve"> PAGEREF _Toc190991152 \h </w:instrText>
            </w:r>
            <w:r w:rsidRPr="001B4A39">
              <w:rPr>
                <w:noProof/>
                <w:webHidden/>
                <w:lang w:val="en-GB"/>
              </w:rPr>
            </w:r>
            <w:r w:rsidRPr="001B4A39">
              <w:rPr>
                <w:noProof/>
                <w:webHidden/>
                <w:lang w:val="en-GB"/>
              </w:rPr>
              <w:fldChar w:fldCharType="separate"/>
            </w:r>
            <w:r w:rsidRPr="001B4A39">
              <w:rPr>
                <w:noProof/>
                <w:webHidden/>
                <w:lang w:val="en-GB"/>
              </w:rPr>
              <w:t>12</w:t>
            </w:r>
            <w:r w:rsidRPr="001B4A39">
              <w:rPr>
                <w:noProof/>
                <w:webHidden/>
                <w:lang w:val="en-GB"/>
              </w:rPr>
              <w:fldChar w:fldCharType="end"/>
            </w:r>
          </w:hyperlink>
        </w:p>
        <w:p w14:paraId="2EE5B788" w14:textId="0BD8DF2A" w:rsidR="001B4A39" w:rsidRPr="001B4A39" w:rsidRDefault="001B4A39">
          <w:pPr>
            <w:pStyle w:val="TOC1"/>
            <w:tabs>
              <w:tab w:val="right" w:leader="dot" w:pos="9350"/>
            </w:tabs>
            <w:rPr>
              <w:noProof/>
              <w:lang w:val="en-GB"/>
            </w:rPr>
          </w:pPr>
          <w:hyperlink w:anchor="_Toc190991153" w:history="1">
            <w:r w:rsidRPr="001B4A39">
              <w:rPr>
                <w:rStyle w:val="Hyperlink"/>
                <w:noProof/>
                <w:lang w:val="en-GB"/>
              </w:rPr>
              <w:t>10. References</w:t>
            </w:r>
            <w:r w:rsidRPr="001B4A39">
              <w:rPr>
                <w:noProof/>
                <w:webHidden/>
                <w:lang w:val="en-GB"/>
              </w:rPr>
              <w:tab/>
            </w:r>
            <w:r w:rsidRPr="001B4A39">
              <w:rPr>
                <w:noProof/>
                <w:webHidden/>
                <w:lang w:val="en-GB"/>
              </w:rPr>
              <w:fldChar w:fldCharType="begin"/>
            </w:r>
            <w:r w:rsidRPr="001B4A39">
              <w:rPr>
                <w:noProof/>
                <w:webHidden/>
                <w:lang w:val="en-GB"/>
              </w:rPr>
              <w:instrText xml:space="preserve"> PAGEREF _Toc190991153 \h </w:instrText>
            </w:r>
            <w:r w:rsidRPr="001B4A39">
              <w:rPr>
                <w:noProof/>
                <w:webHidden/>
                <w:lang w:val="en-GB"/>
              </w:rPr>
            </w:r>
            <w:r w:rsidRPr="001B4A39">
              <w:rPr>
                <w:noProof/>
                <w:webHidden/>
                <w:lang w:val="en-GB"/>
              </w:rPr>
              <w:fldChar w:fldCharType="separate"/>
            </w:r>
            <w:r w:rsidRPr="001B4A39">
              <w:rPr>
                <w:noProof/>
                <w:webHidden/>
                <w:lang w:val="en-GB"/>
              </w:rPr>
              <w:t>13</w:t>
            </w:r>
            <w:r w:rsidRPr="001B4A39">
              <w:rPr>
                <w:noProof/>
                <w:webHidden/>
                <w:lang w:val="en-GB"/>
              </w:rPr>
              <w:fldChar w:fldCharType="end"/>
            </w:r>
          </w:hyperlink>
        </w:p>
        <w:p w14:paraId="6508A158" w14:textId="19F61152" w:rsidR="001B4A39" w:rsidRPr="001B4A39" w:rsidRDefault="001B4A39">
          <w:pPr>
            <w:rPr>
              <w:lang w:val="en-GB"/>
            </w:rPr>
          </w:pPr>
          <w:r w:rsidRPr="001B4A39">
            <w:rPr>
              <w:b/>
              <w:bCs/>
              <w:noProof/>
              <w:lang w:val="en-GB"/>
            </w:rPr>
            <w:fldChar w:fldCharType="end"/>
          </w:r>
        </w:p>
      </w:sdtContent>
    </w:sdt>
    <w:p w14:paraId="5484320D" w14:textId="77777777" w:rsidR="001B4A39" w:rsidRPr="001B4A39" w:rsidRDefault="001B4A39">
      <w:pPr>
        <w:spacing w:after="120" w:line="273" w:lineRule="auto"/>
        <w:ind w:left="120"/>
        <w:jc w:val="center"/>
        <w:rPr>
          <w:b/>
          <w:sz w:val="32"/>
          <w:szCs w:val="32"/>
          <w:lang w:val="en-GB"/>
        </w:rPr>
      </w:pPr>
    </w:p>
    <w:p w14:paraId="33AA24D8" w14:textId="77777777" w:rsidR="00942E11" w:rsidRPr="001B4A39" w:rsidRDefault="00954311">
      <w:pPr>
        <w:rPr>
          <w:lang w:val="en-GB"/>
        </w:rPr>
      </w:pPr>
      <w:r w:rsidRPr="001B4A39">
        <w:rPr>
          <w:lang w:val="en-GB"/>
        </w:rPr>
        <w:br w:type="page"/>
      </w:r>
    </w:p>
    <w:p w14:paraId="2154492A" w14:textId="77777777" w:rsidR="00942E11" w:rsidRPr="001B4A39" w:rsidRDefault="00954311">
      <w:pPr>
        <w:pStyle w:val="Heading1"/>
        <w:rPr>
          <w:lang w:val="en-GB"/>
        </w:rPr>
      </w:pPr>
      <w:bookmarkStart w:id="0" w:name="_yyp4ykikdcpx" w:colFirst="0" w:colLast="0"/>
      <w:bookmarkStart w:id="1" w:name="_Toc190991143"/>
      <w:bookmarkEnd w:id="0"/>
      <w:r w:rsidRPr="001B4A39">
        <w:rPr>
          <w:lang w:val="en-GB"/>
        </w:rPr>
        <w:lastRenderedPageBreak/>
        <w:t>1. Introduction</w:t>
      </w:r>
      <w:bookmarkEnd w:id="1"/>
    </w:p>
    <w:p w14:paraId="398789CE" w14:textId="6F21F79B" w:rsidR="00942E11" w:rsidRPr="001B4A39" w:rsidRDefault="00954311">
      <w:pPr>
        <w:rPr>
          <w:lang w:val="en-GB"/>
        </w:rPr>
      </w:pPr>
      <w:r w:rsidRPr="001B4A39">
        <w:rPr>
          <w:lang w:val="en-GB"/>
        </w:rPr>
        <w:t xml:space="preserve">Organising an international conference on equality diversity and inclusion in the work is a major step towards promoting inclusive corporate cultures. This event is scheduled to be held in London, bringing together policymakers, leaders and academics to discuss best practices for workplace inclusion and diversity. London UK world-class venue with state-of-the-art accessibility features is precisely located to accommodate </w:t>
      </w:r>
      <w:r w:rsidR="001B4A39">
        <w:rPr>
          <w:lang w:val="en-GB"/>
        </w:rPr>
        <w:t>g</w:t>
      </w:r>
      <w:r w:rsidRPr="001B4A39">
        <w:rPr>
          <w:lang w:val="en-GB"/>
        </w:rPr>
        <w:t>lobal attend</w:t>
      </w:r>
      <w:r w:rsidR="001B4A39">
        <w:rPr>
          <w:lang w:val="en-GB"/>
        </w:rPr>
        <w:t>ee</w:t>
      </w:r>
      <w:r w:rsidRPr="001B4A39">
        <w:rPr>
          <w:lang w:val="en-GB"/>
        </w:rPr>
        <w:t xml:space="preserve">, challenging a seamless experience for participants from various backgrounds and cultures. </w:t>
      </w:r>
    </w:p>
    <w:p w14:paraId="1FBE6A7F" w14:textId="77777777" w:rsidR="00942E11" w:rsidRPr="001B4A39" w:rsidRDefault="00954311">
      <w:pPr>
        <w:rPr>
          <w:lang w:val="en-GB"/>
        </w:rPr>
      </w:pPr>
      <w:r w:rsidRPr="001B4A39">
        <w:rPr>
          <w:lang w:val="en-GB"/>
        </w:rPr>
        <w:t>The major part of this event depends on mitigating constant inequalities in corporate structures. According to the opinion of Zeb et al., (2021), corporate cultures, help to enhance innovation and financial performance. Besides, difficulties such as unequal career opportunities and unconscious bias remain widespread (</w:t>
      </w:r>
      <w:proofErr w:type="spellStart"/>
      <w:r w:rsidRPr="001B4A39">
        <w:rPr>
          <w:lang w:val="en-GB"/>
        </w:rPr>
        <w:t>Meidert</w:t>
      </w:r>
      <w:proofErr w:type="spellEnd"/>
      <w:r w:rsidRPr="001B4A39">
        <w:rPr>
          <w:lang w:val="en-GB"/>
        </w:rPr>
        <w:t xml:space="preserve"> et al., 2023). The purpose of this event is to foster actionable strategies for organisations to enhance EDI policies by hosting expert-led panel discussions, network sessions and workshops. </w:t>
      </w:r>
    </w:p>
    <w:p w14:paraId="670848A0" w14:textId="77777777" w:rsidR="00942E11" w:rsidRPr="001B4A39" w:rsidRDefault="00954311">
      <w:pPr>
        <w:rPr>
          <w:lang w:val="en-GB"/>
        </w:rPr>
      </w:pPr>
      <w:r w:rsidRPr="001B4A39">
        <w:rPr>
          <w:lang w:val="en-GB"/>
        </w:rPr>
        <w:t xml:space="preserve">The feasibility study from assignment 1 confirmed high industry demand for such platforms, emphasising the requirement for extensive solutions in various sectors. This report will address the strategic planning and delivery procedure by covering critical management considerations, industry trends and budgetary allocations. It will also access cultural and situational factors influencing event success. The findings of this event will contribute to impactful and sustainable event management initiatives which </w:t>
      </w:r>
      <w:r w:rsidRPr="001B4A39">
        <w:rPr>
          <w:lang w:val="en-GB"/>
        </w:rPr>
        <w:t>drive measurable development in workplace diversity.</w:t>
      </w:r>
    </w:p>
    <w:p w14:paraId="43D70EB2" w14:textId="77777777" w:rsidR="00942E11" w:rsidRPr="001B4A39" w:rsidRDefault="00954311">
      <w:pPr>
        <w:pStyle w:val="Heading1"/>
        <w:rPr>
          <w:lang w:val="en-GB"/>
        </w:rPr>
      </w:pPr>
      <w:bookmarkStart w:id="2" w:name="_vm8hs0m8oqk1" w:colFirst="0" w:colLast="0"/>
      <w:bookmarkStart w:id="3" w:name="_Toc190991144"/>
      <w:bookmarkEnd w:id="2"/>
      <w:r w:rsidRPr="001B4A39">
        <w:rPr>
          <w:lang w:val="en-GB"/>
        </w:rPr>
        <w:t>2. The Event Cycle</w:t>
      </w:r>
      <w:bookmarkEnd w:id="3"/>
    </w:p>
    <w:p w14:paraId="2C5BA413" w14:textId="77777777" w:rsidR="00942E11" w:rsidRPr="001B4A39" w:rsidRDefault="00954311">
      <w:pPr>
        <w:rPr>
          <w:lang w:val="en-GB"/>
        </w:rPr>
      </w:pPr>
      <w:r w:rsidRPr="001B4A39">
        <w:rPr>
          <w:lang w:val="en-GB"/>
        </w:rPr>
        <w:t>The Event Cycle is a structured method for event management that helps achieve successful planning execution and evaluation of events. The Event Cycle represents an endless process which spans through concept planning along with implementation and event execution before evaluation takes place. Event creators should follow Getz’s Model of Event Planning to establish orderly systems that link organizational strategy to audience demands and strategic objectives (Getz, 2008).</w:t>
      </w:r>
    </w:p>
    <w:p w14:paraId="52B22579" w14:textId="77777777" w:rsidR="00942E11" w:rsidRPr="001B4A39" w:rsidRDefault="00954311">
      <w:pPr>
        <w:rPr>
          <w:lang w:val="en-GB"/>
        </w:rPr>
      </w:pPr>
      <w:r w:rsidRPr="001B4A39">
        <w:rPr>
          <w:lang w:val="en-GB"/>
        </w:rPr>
        <w:t>The starting stage of concept and planning requires event objective definition together with stakeholder identification and resource acquisition. The first phase of the EDI Event requires obtaining funds, choosing appropriate venues along adhering to health and safety requirements. The literature shows that achieving event success requires the involvement of stakeholders combined with risk evaluation for identifying potential difficulties (</w:t>
      </w:r>
      <w:proofErr w:type="spellStart"/>
      <w:r w:rsidRPr="001B4A39">
        <w:rPr>
          <w:lang w:val="en-GB"/>
        </w:rPr>
        <w:t>Wojewnik-Filipkowska</w:t>
      </w:r>
      <w:proofErr w:type="spellEnd"/>
      <w:r w:rsidRPr="001B4A39">
        <w:rPr>
          <w:lang w:val="en-GB"/>
        </w:rPr>
        <w:t xml:space="preserve"> et al., 2021).</w:t>
      </w:r>
    </w:p>
    <w:p w14:paraId="1754721E" w14:textId="77777777" w:rsidR="00942E11" w:rsidRPr="001B4A39" w:rsidRDefault="00954311">
      <w:pPr>
        <w:rPr>
          <w:lang w:val="en-GB"/>
        </w:rPr>
      </w:pPr>
      <w:r w:rsidRPr="001B4A39">
        <w:rPr>
          <w:lang w:val="en-GB"/>
        </w:rPr>
        <w:lastRenderedPageBreak/>
        <w:t>The implementation phase requires the officials to coordinate vendors alongside marketing techniques and organize volunteer management activities. The chosen event will use digital marketing methods, focusing on social media strategies and forming alliances with neighbourhood communities to achieve the best coverage. Event implementation tactics drive participant interaction as well as achieving successful outcomes (Hagen, 2021).</w:t>
      </w:r>
    </w:p>
    <w:p w14:paraId="1DAAB69A" w14:textId="77777777" w:rsidR="00942E11" w:rsidRPr="001B4A39" w:rsidRDefault="00954311">
      <w:pPr>
        <w:rPr>
          <w:lang w:val="en-GB"/>
        </w:rPr>
      </w:pPr>
      <w:r w:rsidRPr="001B4A39">
        <w:rPr>
          <w:lang w:val="en-GB"/>
        </w:rPr>
        <w:t>Event Execution starts as the scheduled activities unfold which demands time-sensitive coordination while addressing on-site challenges and maintaining planned timelines. Correct accessibility solutions combined with crowd management programs and prepared emergency response protocols must receive high priority during the execution phase. Real-time monitoring systems help improve operations efficiency and improve visitor experience (</w:t>
      </w:r>
      <w:proofErr w:type="spellStart"/>
      <w:r w:rsidRPr="001B4A39">
        <w:rPr>
          <w:lang w:val="en-GB"/>
        </w:rPr>
        <w:t>Mercan</w:t>
      </w:r>
      <w:proofErr w:type="spellEnd"/>
      <w:r w:rsidRPr="001B4A39">
        <w:rPr>
          <w:lang w:val="en-GB"/>
        </w:rPr>
        <w:t xml:space="preserve"> et al., 2021).</w:t>
      </w:r>
    </w:p>
    <w:p w14:paraId="392BF349" w14:textId="77777777" w:rsidR="00942E11" w:rsidRPr="001B4A39" w:rsidRDefault="00954311">
      <w:pPr>
        <w:rPr>
          <w:lang w:val="en-GB"/>
        </w:rPr>
      </w:pPr>
      <w:r w:rsidRPr="001B4A39">
        <w:rPr>
          <w:lang w:val="en-GB"/>
        </w:rPr>
        <w:t>Post-Event Analysis and Evaluation constitute the last stage during which event success is measured through participant surveys and financial data analysis in addition to media coverage analysis. Future event planning strategies will improve through post-event assessment slides and stakeholder discussions. Continuous assessment methods of event management lead to improved innovation in this sector (</w:t>
      </w:r>
      <w:proofErr w:type="spellStart"/>
      <w:r w:rsidRPr="001B4A39">
        <w:rPr>
          <w:lang w:val="en-GB"/>
        </w:rPr>
        <w:t>Criado</w:t>
      </w:r>
      <w:proofErr w:type="spellEnd"/>
      <w:r w:rsidRPr="001B4A39">
        <w:rPr>
          <w:lang w:val="en-GB"/>
        </w:rPr>
        <w:t xml:space="preserve"> et al., 2021). </w:t>
      </w:r>
    </w:p>
    <w:p w14:paraId="6620F9FB" w14:textId="77777777" w:rsidR="00942E11" w:rsidRPr="001B4A39" w:rsidRDefault="00954311">
      <w:pPr>
        <w:rPr>
          <w:lang w:val="en-GB"/>
        </w:rPr>
      </w:pPr>
      <w:r w:rsidRPr="001B4A39">
        <w:rPr>
          <w:lang w:val="en-GB"/>
        </w:rPr>
        <w:t>Strategic success combined with efficiency and inclusivity becomes achievable for EDI events through constant implementation of the Event Cycle.</w:t>
      </w:r>
    </w:p>
    <w:p w14:paraId="1A22F072" w14:textId="77777777" w:rsidR="00942E11" w:rsidRPr="001B4A39" w:rsidRDefault="00954311">
      <w:pPr>
        <w:pStyle w:val="Heading1"/>
        <w:rPr>
          <w:lang w:val="en-GB"/>
        </w:rPr>
      </w:pPr>
      <w:bookmarkStart w:id="4" w:name="_yg0bc7iqng9g" w:colFirst="0" w:colLast="0"/>
      <w:bookmarkStart w:id="5" w:name="_Toc190991145"/>
      <w:bookmarkEnd w:id="4"/>
      <w:r w:rsidRPr="001B4A39">
        <w:rPr>
          <w:lang w:val="en-GB"/>
        </w:rPr>
        <w:t>3. Event Concept</w:t>
      </w:r>
      <w:bookmarkEnd w:id="5"/>
    </w:p>
    <w:p w14:paraId="496F0C39" w14:textId="77777777" w:rsidR="00942E11" w:rsidRPr="001B4A39" w:rsidRDefault="00954311">
      <w:pPr>
        <w:rPr>
          <w:lang w:val="en-GB"/>
        </w:rPr>
      </w:pPr>
      <w:r w:rsidRPr="001B4A39">
        <w:rPr>
          <w:lang w:val="en-GB"/>
        </w:rPr>
        <w:t>The program runs as a single-day conference that aims to support equality, diversity and inclusion across all businesses. The conference establishes itself as a diverse environment for professionals who want to exchange knowledge and develop practical solutions to boost workplace EDI. Registration and networking activities will begin the day so attendees can connect before the keynote speech focuses on EDI's importance in contemporary businesses. The event will continue with an expert panel that will discus</w:t>
      </w:r>
      <w:r w:rsidRPr="001B4A39">
        <w:rPr>
          <w:lang w:val="en-GB"/>
        </w:rPr>
        <w:t>s actual workplace EDI implementation obstacles and solutions (</w:t>
      </w:r>
      <w:proofErr w:type="spellStart"/>
      <w:r w:rsidRPr="001B4A39">
        <w:rPr>
          <w:lang w:val="en-GB"/>
        </w:rPr>
        <w:t>Wolbring</w:t>
      </w:r>
      <w:proofErr w:type="spellEnd"/>
      <w:r w:rsidRPr="001B4A39">
        <w:rPr>
          <w:lang w:val="en-GB"/>
        </w:rPr>
        <w:t xml:space="preserve"> and Nguyen, 2023).</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942E11" w:rsidRPr="001B4A39" w14:paraId="5DE73DF1" w14:textId="77777777">
        <w:tc>
          <w:tcPr>
            <w:tcW w:w="3120" w:type="dxa"/>
            <w:shd w:val="clear" w:color="auto" w:fill="auto"/>
            <w:tcMar>
              <w:top w:w="100" w:type="dxa"/>
              <w:left w:w="100" w:type="dxa"/>
              <w:bottom w:w="100" w:type="dxa"/>
              <w:right w:w="100" w:type="dxa"/>
            </w:tcMar>
          </w:tcPr>
          <w:p w14:paraId="4434B322" w14:textId="77777777" w:rsidR="00942E11" w:rsidRPr="001B4A39" w:rsidRDefault="00954311">
            <w:pPr>
              <w:widowControl w:val="0"/>
              <w:pBdr>
                <w:top w:val="nil"/>
                <w:left w:val="nil"/>
                <w:bottom w:val="nil"/>
                <w:right w:val="nil"/>
                <w:between w:val="nil"/>
              </w:pBdr>
              <w:jc w:val="center"/>
              <w:rPr>
                <w:b/>
                <w:lang w:val="en-GB"/>
              </w:rPr>
            </w:pPr>
            <w:r w:rsidRPr="001B4A39">
              <w:rPr>
                <w:b/>
                <w:lang w:val="en-GB"/>
              </w:rPr>
              <w:t>Time</w:t>
            </w:r>
          </w:p>
        </w:tc>
        <w:tc>
          <w:tcPr>
            <w:tcW w:w="3120" w:type="dxa"/>
            <w:shd w:val="clear" w:color="auto" w:fill="auto"/>
            <w:tcMar>
              <w:top w:w="100" w:type="dxa"/>
              <w:left w:w="100" w:type="dxa"/>
              <w:bottom w:w="100" w:type="dxa"/>
              <w:right w:w="100" w:type="dxa"/>
            </w:tcMar>
          </w:tcPr>
          <w:p w14:paraId="34C903AE" w14:textId="77777777" w:rsidR="00942E11" w:rsidRPr="001B4A39" w:rsidRDefault="00954311">
            <w:pPr>
              <w:widowControl w:val="0"/>
              <w:pBdr>
                <w:top w:val="nil"/>
                <w:left w:val="nil"/>
                <w:bottom w:val="nil"/>
                <w:right w:val="nil"/>
                <w:between w:val="nil"/>
              </w:pBdr>
              <w:jc w:val="center"/>
              <w:rPr>
                <w:b/>
                <w:lang w:val="en-GB"/>
              </w:rPr>
            </w:pPr>
            <w:r w:rsidRPr="001B4A39">
              <w:rPr>
                <w:b/>
                <w:lang w:val="en-GB"/>
              </w:rPr>
              <w:t>Activity</w:t>
            </w:r>
          </w:p>
        </w:tc>
        <w:tc>
          <w:tcPr>
            <w:tcW w:w="3120" w:type="dxa"/>
            <w:shd w:val="clear" w:color="auto" w:fill="auto"/>
            <w:tcMar>
              <w:top w:w="100" w:type="dxa"/>
              <w:left w:w="100" w:type="dxa"/>
              <w:bottom w:w="100" w:type="dxa"/>
              <w:right w:w="100" w:type="dxa"/>
            </w:tcMar>
          </w:tcPr>
          <w:p w14:paraId="1E9F0C5F" w14:textId="77777777" w:rsidR="00942E11" w:rsidRPr="001B4A39" w:rsidRDefault="00954311">
            <w:pPr>
              <w:widowControl w:val="0"/>
              <w:pBdr>
                <w:top w:val="nil"/>
                <w:left w:val="nil"/>
                <w:bottom w:val="nil"/>
                <w:right w:val="nil"/>
                <w:between w:val="nil"/>
              </w:pBdr>
              <w:jc w:val="center"/>
              <w:rPr>
                <w:b/>
                <w:lang w:val="en-GB"/>
              </w:rPr>
            </w:pPr>
            <w:r w:rsidRPr="001B4A39">
              <w:rPr>
                <w:b/>
                <w:lang w:val="en-GB"/>
              </w:rPr>
              <w:t>Speaker/Host</w:t>
            </w:r>
          </w:p>
          <w:p w14:paraId="56AA4A0A" w14:textId="77777777" w:rsidR="00942E11" w:rsidRPr="001B4A39" w:rsidRDefault="00942E11">
            <w:pPr>
              <w:widowControl w:val="0"/>
              <w:pBdr>
                <w:top w:val="nil"/>
                <w:left w:val="nil"/>
                <w:bottom w:val="nil"/>
                <w:right w:val="nil"/>
                <w:between w:val="nil"/>
              </w:pBdr>
              <w:jc w:val="center"/>
              <w:rPr>
                <w:b/>
                <w:lang w:val="en-GB"/>
              </w:rPr>
            </w:pPr>
          </w:p>
        </w:tc>
      </w:tr>
      <w:tr w:rsidR="00942E11" w:rsidRPr="001B4A39" w14:paraId="31654EA9" w14:textId="77777777">
        <w:tc>
          <w:tcPr>
            <w:tcW w:w="3120" w:type="dxa"/>
            <w:shd w:val="clear" w:color="auto" w:fill="auto"/>
            <w:tcMar>
              <w:top w:w="100" w:type="dxa"/>
              <w:left w:w="100" w:type="dxa"/>
              <w:bottom w:w="100" w:type="dxa"/>
              <w:right w:w="100" w:type="dxa"/>
            </w:tcMar>
          </w:tcPr>
          <w:p w14:paraId="0B403E5D" w14:textId="77777777" w:rsidR="00942E11" w:rsidRPr="001B4A39" w:rsidRDefault="00954311">
            <w:pPr>
              <w:widowControl w:val="0"/>
              <w:pBdr>
                <w:top w:val="nil"/>
                <w:left w:val="nil"/>
                <w:bottom w:val="nil"/>
                <w:right w:val="nil"/>
                <w:between w:val="nil"/>
              </w:pBdr>
              <w:jc w:val="left"/>
              <w:rPr>
                <w:lang w:val="en-GB"/>
              </w:rPr>
            </w:pPr>
            <w:r w:rsidRPr="001B4A39">
              <w:rPr>
                <w:lang w:val="en-GB"/>
              </w:rPr>
              <w:t>8:00 AM</w:t>
            </w:r>
          </w:p>
        </w:tc>
        <w:tc>
          <w:tcPr>
            <w:tcW w:w="3120" w:type="dxa"/>
            <w:shd w:val="clear" w:color="auto" w:fill="auto"/>
            <w:tcMar>
              <w:top w:w="100" w:type="dxa"/>
              <w:left w:w="100" w:type="dxa"/>
              <w:bottom w:w="100" w:type="dxa"/>
              <w:right w:w="100" w:type="dxa"/>
            </w:tcMar>
          </w:tcPr>
          <w:p w14:paraId="3AA53A45" w14:textId="77777777" w:rsidR="00942E11" w:rsidRPr="001B4A39" w:rsidRDefault="00954311">
            <w:pPr>
              <w:widowControl w:val="0"/>
              <w:pBdr>
                <w:top w:val="nil"/>
                <w:left w:val="nil"/>
                <w:bottom w:val="nil"/>
                <w:right w:val="nil"/>
                <w:between w:val="nil"/>
              </w:pBdr>
              <w:jc w:val="left"/>
              <w:rPr>
                <w:lang w:val="en-GB"/>
              </w:rPr>
            </w:pPr>
            <w:r w:rsidRPr="001B4A39">
              <w:rPr>
                <w:lang w:val="en-GB"/>
              </w:rPr>
              <w:t>Networking and Registration</w:t>
            </w:r>
          </w:p>
        </w:tc>
        <w:tc>
          <w:tcPr>
            <w:tcW w:w="3120" w:type="dxa"/>
            <w:shd w:val="clear" w:color="auto" w:fill="auto"/>
            <w:tcMar>
              <w:top w:w="100" w:type="dxa"/>
              <w:left w:w="100" w:type="dxa"/>
              <w:bottom w:w="100" w:type="dxa"/>
              <w:right w:w="100" w:type="dxa"/>
            </w:tcMar>
          </w:tcPr>
          <w:p w14:paraId="6FB943A7" w14:textId="77777777" w:rsidR="00942E11" w:rsidRPr="001B4A39" w:rsidRDefault="00954311">
            <w:pPr>
              <w:widowControl w:val="0"/>
              <w:pBdr>
                <w:top w:val="nil"/>
                <w:left w:val="nil"/>
                <w:bottom w:val="nil"/>
                <w:right w:val="nil"/>
                <w:between w:val="nil"/>
              </w:pBdr>
              <w:jc w:val="left"/>
              <w:rPr>
                <w:lang w:val="en-GB"/>
              </w:rPr>
            </w:pPr>
            <w:r w:rsidRPr="001B4A39">
              <w:rPr>
                <w:lang w:val="en-GB"/>
              </w:rPr>
              <w:t>Event Team</w:t>
            </w:r>
          </w:p>
        </w:tc>
      </w:tr>
      <w:tr w:rsidR="00942E11" w:rsidRPr="001B4A39" w14:paraId="0EAFE2DB" w14:textId="77777777">
        <w:tc>
          <w:tcPr>
            <w:tcW w:w="3120" w:type="dxa"/>
            <w:shd w:val="clear" w:color="auto" w:fill="auto"/>
            <w:tcMar>
              <w:top w:w="100" w:type="dxa"/>
              <w:left w:w="100" w:type="dxa"/>
              <w:bottom w:w="100" w:type="dxa"/>
              <w:right w:w="100" w:type="dxa"/>
            </w:tcMar>
          </w:tcPr>
          <w:p w14:paraId="16877FF1" w14:textId="77777777" w:rsidR="00942E11" w:rsidRPr="001B4A39" w:rsidRDefault="00954311">
            <w:pPr>
              <w:widowControl w:val="0"/>
              <w:pBdr>
                <w:top w:val="nil"/>
                <w:left w:val="nil"/>
                <w:bottom w:val="nil"/>
                <w:right w:val="nil"/>
                <w:between w:val="nil"/>
              </w:pBdr>
              <w:jc w:val="left"/>
              <w:rPr>
                <w:lang w:val="en-GB"/>
              </w:rPr>
            </w:pPr>
            <w:r w:rsidRPr="001B4A39">
              <w:rPr>
                <w:lang w:val="en-GB"/>
              </w:rPr>
              <w:t>9:00</w:t>
            </w:r>
          </w:p>
        </w:tc>
        <w:tc>
          <w:tcPr>
            <w:tcW w:w="3120" w:type="dxa"/>
            <w:shd w:val="clear" w:color="auto" w:fill="auto"/>
            <w:tcMar>
              <w:top w:w="100" w:type="dxa"/>
              <w:left w:w="100" w:type="dxa"/>
              <w:bottom w:w="100" w:type="dxa"/>
              <w:right w:w="100" w:type="dxa"/>
            </w:tcMar>
          </w:tcPr>
          <w:p w14:paraId="6743EC28" w14:textId="77777777" w:rsidR="00942E11" w:rsidRPr="001B4A39" w:rsidRDefault="00954311">
            <w:pPr>
              <w:widowControl w:val="0"/>
              <w:pBdr>
                <w:top w:val="nil"/>
                <w:left w:val="nil"/>
                <w:bottom w:val="nil"/>
                <w:right w:val="nil"/>
                <w:between w:val="nil"/>
              </w:pBdr>
              <w:jc w:val="left"/>
              <w:rPr>
                <w:lang w:val="en-GB"/>
              </w:rPr>
            </w:pPr>
            <w:r w:rsidRPr="001B4A39">
              <w:rPr>
                <w:lang w:val="en-GB"/>
              </w:rPr>
              <w:t>Keynote Speech: The Future of EDI in Workplaces</w:t>
            </w:r>
          </w:p>
        </w:tc>
        <w:tc>
          <w:tcPr>
            <w:tcW w:w="3120" w:type="dxa"/>
            <w:shd w:val="clear" w:color="auto" w:fill="auto"/>
            <w:tcMar>
              <w:top w:w="100" w:type="dxa"/>
              <w:left w:w="100" w:type="dxa"/>
              <w:bottom w:w="100" w:type="dxa"/>
              <w:right w:w="100" w:type="dxa"/>
            </w:tcMar>
          </w:tcPr>
          <w:p w14:paraId="33C7AFCC" w14:textId="77777777" w:rsidR="00942E11" w:rsidRPr="001B4A39" w:rsidRDefault="00954311">
            <w:pPr>
              <w:widowControl w:val="0"/>
              <w:pBdr>
                <w:top w:val="nil"/>
                <w:left w:val="nil"/>
                <w:bottom w:val="nil"/>
                <w:right w:val="nil"/>
                <w:between w:val="nil"/>
              </w:pBdr>
              <w:jc w:val="left"/>
              <w:rPr>
                <w:lang w:val="en-GB"/>
              </w:rPr>
            </w:pPr>
            <w:r w:rsidRPr="001B4A39">
              <w:rPr>
                <w:lang w:val="en-GB"/>
              </w:rPr>
              <w:t>Industry Professional</w:t>
            </w:r>
          </w:p>
        </w:tc>
      </w:tr>
      <w:tr w:rsidR="00942E11" w:rsidRPr="001B4A39" w14:paraId="57DBBCB6" w14:textId="77777777">
        <w:tc>
          <w:tcPr>
            <w:tcW w:w="3120" w:type="dxa"/>
            <w:shd w:val="clear" w:color="auto" w:fill="auto"/>
            <w:tcMar>
              <w:top w:w="100" w:type="dxa"/>
              <w:left w:w="100" w:type="dxa"/>
              <w:bottom w:w="100" w:type="dxa"/>
              <w:right w:w="100" w:type="dxa"/>
            </w:tcMar>
          </w:tcPr>
          <w:p w14:paraId="0C9E9273" w14:textId="77777777" w:rsidR="00942E11" w:rsidRPr="001B4A39" w:rsidRDefault="00954311">
            <w:pPr>
              <w:widowControl w:val="0"/>
              <w:pBdr>
                <w:top w:val="nil"/>
                <w:left w:val="nil"/>
                <w:bottom w:val="nil"/>
                <w:right w:val="nil"/>
                <w:between w:val="nil"/>
              </w:pBdr>
              <w:jc w:val="left"/>
              <w:rPr>
                <w:lang w:val="en-GB"/>
              </w:rPr>
            </w:pPr>
            <w:r w:rsidRPr="001B4A39">
              <w:rPr>
                <w:lang w:val="en-GB"/>
              </w:rPr>
              <w:lastRenderedPageBreak/>
              <w:t>10:00 AM</w:t>
            </w:r>
          </w:p>
        </w:tc>
        <w:tc>
          <w:tcPr>
            <w:tcW w:w="3120" w:type="dxa"/>
            <w:shd w:val="clear" w:color="auto" w:fill="auto"/>
            <w:tcMar>
              <w:top w:w="100" w:type="dxa"/>
              <w:left w:w="100" w:type="dxa"/>
              <w:bottom w:w="100" w:type="dxa"/>
              <w:right w:w="100" w:type="dxa"/>
            </w:tcMar>
          </w:tcPr>
          <w:p w14:paraId="3A6503AB" w14:textId="77777777" w:rsidR="00942E11" w:rsidRPr="001B4A39" w:rsidRDefault="00954311">
            <w:pPr>
              <w:widowControl w:val="0"/>
              <w:pBdr>
                <w:top w:val="nil"/>
                <w:left w:val="nil"/>
                <w:bottom w:val="nil"/>
                <w:right w:val="nil"/>
                <w:between w:val="nil"/>
              </w:pBdr>
              <w:jc w:val="left"/>
              <w:rPr>
                <w:lang w:val="en-GB"/>
              </w:rPr>
            </w:pPr>
            <w:r w:rsidRPr="001B4A39">
              <w:rPr>
                <w:lang w:val="en-GB"/>
              </w:rPr>
              <w:t xml:space="preserve">Panel </w:t>
            </w:r>
            <w:r w:rsidRPr="001B4A39">
              <w:rPr>
                <w:lang w:val="en-GB"/>
              </w:rPr>
              <w:t>Discussion: Overcoming Obstacles to EDI</w:t>
            </w:r>
          </w:p>
        </w:tc>
        <w:tc>
          <w:tcPr>
            <w:tcW w:w="3120" w:type="dxa"/>
            <w:shd w:val="clear" w:color="auto" w:fill="auto"/>
            <w:tcMar>
              <w:top w:w="100" w:type="dxa"/>
              <w:left w:w="100" w:type="dxa"/>
              <w:bottom w:w="100" w:type="dxa"/>
              <w:right w:w="100" w:type="dxa"/>
            </w:tcMar>
          </w:tcPr>
          <w:p w14:paraId="504A924F" w14:textId="77777777" w:rsidR="00942E11" w:rsidRPr="001B4A39" w:rsidRDefault="00954311">
            <w:pPr>
              <w:widowControl w:val="0"/>
              <w:pBdr>
                <w:top w:val="nil"/>
                <w:left w:val="nil"/>
                <w:bottom w:val="nil"/>
                <w:right w:val="nil"/>
                <w:between w:val="nil"/>
              </w:pBdr>
              <w:jc w:val="left"/>
              <w:rPr>
                <w:lang w:val="en-GB"/>
              </w:rPr>
            </w:pPr>
            <w:r w:rsidRPr="001B4A39">
              <w:rPr>
                <w:lang w:val="en-GB"/>
              </w:rPr>
              <w:t xml:space="preserve">Leaders from Various Industries </w:t>
            </w:r>
          </w:p>
        </w:tc>
      </w:tr>
      <w:tr w:rsidR="00942E11" w:rsidRPr="001B4A39" w14:paraId="093D8511" w14:textId="77777777">
        <w:tc>
          <w:tcPr>
            <w:tcW w:w="3120" w:type="dxa"/>
            <w:shd w:val="clear" w:color="auto" w:fill="auto"/>
            <w:tcMar>
              <w:top w:w="100" w:type="dxa"/>
              <w:left w:w="100" w:type="dxa"/>
              <w:bottom w:w="100" w:type="dxa"/>
              <w:right w:w="100" w:type="dxa"/>
            </w:tcMar>
          </w:tcPr>
          <w:p w14:paraId="23E36E0E" w14:textId="77777777" w:rsidR="00942E11" w:rsidRPr="001B4A39" w:rsidRDefault="00954311">
            <w:pPr>
              <w:widowControl w:val="0"/>
              <w:pBdr>
                <w:top w:val="nil"/>
                <w:left w:val="nil"/>
                <w:bottom w:val="nil"/>
                <w:right w:val="nil"/>
                <w:between w:val="nil"/>
              </w:pBdr>
              <w:jc w:val="left"/>
              <w:rPr>
                <w:lang w:val="en-GB"/>
              </w:rPr>
            </w:pPr>
            <w:r w:rsidRPr="001B4A39">
              <w:rPr>
                <w:lang w:val="en-GB"/>
              </w:rPr>
              <w:t>11:00 AM</w:t>
            </w:r>
          </w:p>
        </w:tc>
        <w:tc>
          <w:tcPr>
            <w:tcW w:w="3120" w:type="dxa"/>
            <w:shd w:val="clear" w:color="auto" w:fill="auto"/>
            <w:tcMar>
              <w:top w:w="100" w:type="dxa"/>
              <w:left w:w="100" w:type="dxa"/>
              <w:bottom w:w="100" w:type="dxa"/>
              <w:right w:w="100" w:type="dxa"/>
            </w:tcMar>
          </w:tcPr>
          <w:p w14:paraId="6701E40D" w14:textId="77777777" w:rsidR="00942E11" w:rsidRPr="001B4A39" w:rsidRDefault="00954311">
            <w:pPr>
              <w:widowControl w:val="0"/>
              <w:pBdr>
                <w:top w:val="nil"/>
                <w:left w:val="nil"/>
                <w:bottom w:val="nil"/>
                <w:right w:val="nil"/>
                <w:between w:val="nil"/>
              </w:pBdr>
              <w:jc w:val="left"/>
              <w:rPr>
                <w:lang w:val="en-GB"/>
              </w:rPr>
            </w:pPr>
            <w:r w:rsidRPr="001B4A39">
              <w:rPr>
                <w:lang w:val="en-GB"/>
              </w:rPr>
              <w:t>Coffee Break</w:t>
            </w:r>
          </w:p>
        </w:tc>
        <w:tc>
          <w:tcPr>
            <w:tcW w:w="3120" w:type="dxa"/>
            <w:shd w:val="clear" w:color="auto" w:fill="auto"/>
            <w:tcMar>
              <w:top w:w="100" w:type="dxa"/>
              <w:left w:w="100" w:type="dxa"/>
              <w:bottom w:w="100" w:type="dxa"/>
              <w:right w:w="100" w:type="dxa"/>
            </w:tcMar>
          </w:tcPr>
          <w:p w14:paraId="4E96C62D" w14:textId="77777777" w:rsidR="00942E11" w:rsidRPr="001B4A39" w:rsidRDefault="00954311">
            <w:pPr>
              <w:widowControl w:val="0"/>
              <w:pBdr>
                <w:top w:val="nil"/>
                <w:left w:val="nil"/>
                <w:bottom w:val="nil"/>
                <w:right w:val="nil"/>
                <w:between w:val="nil"/>
              </w:pBdr>
              <w:jc w:val="left"/>
              <w:rPr>
                <w:lang w:val="en-GB"/>
              </w:rPr>
            </w:pPr>
            <w:r w:rsidRPr="001B4A39">
              <w:rPr>
                <w:lang w:val="en-GB"/>
              </w:rPr>
              <w:t xml:space="preserve">        —</w:t>
            </w:r>
          </w:p>
        </w:tc>
      </w:tr>
      <w:tr w:rsidR="00942E11" w:rsidRPr="001B4A39" w14:paraId="671F8D59" w14:textId="77777777">
        <w:tc>
          <w:tcPr>
            <w:tcW w:w="3120" w:type="dxa"/>
            <w:shd w:val="clear" w:color="auto" w:fill="auto"/>
            <w:tcMar>
              <w:top w:w="100" w:type="dxa"/>
              <w:left w:w="100" w:type="dxa"/>
              <w:bottom w:w="100" w:type="dxa"/>
              <w:right w:w="100" w:type="dxa"/>
            </w:tcMar>
          </w:tcPr>
          <w:p w14:paraId="1826930D" w14:textId="77777777" w:rsidR="00942E11" w:rsidRPr="001B4A39" w:rsidRDefault="00954311">
            <w:pPr>
              <w:widowControl w:val="0"/>
              <w:pBdr>
                <w:top w:val="nil"/>
                <w:left w:val="nil"/>
                <w:bottom w:val="nil"/>
                <w:right w:val="nil"/>
                <w:between w:val="nil"/>
              </w:pBdr>
              <w:jc w:val="left"/>
              <w:rPr>
                <w:lang w:val="en-GB"/>
              </w:rPr>
            </w:pPr>
            <w:r w:rsidRPr="001B4A39">
              <w:rPr>
                <w:lang w:val="en-GB"/>
              </w:rPr>
              <w:t>11:15 AM</w:t>
            </w:r>
          </w:p>
        </w:tc>
        <w:tc>
          <w:tcPr>
            <w:tcW w:w="3120" w:type="dxa"/>
            <w:shd w:val="clear" w:color="auto" w:fill="auto"/>
            <w:tcMar>
              <w:top w:w="100" w:type="dxa"/>
              <w:left w:w="100" w:type="dxa"/>
              <w:bottom w:w="100" w:type="dxa"/>
              <w:right w:w="100" w:type="dxa"/>
            </w:tcMar>
          </w:tcPr>
          <w:p w14:paraId="1AE42434" w14:textId="77777777" w:rsidR="00942E11" w:rsidRPr="001B4A39" w:rsidRDefault="00954311">
            <w:pPr>
              <w:widowControl w:val="0"/>
              <w:pBdr>
                <w:top w:val="nil"/>
                <w:left w:val="nil"/>
                <w:bottom w:val="nil"/>
                <w:right w:val="nil"/>
                <w:between w:val="nil"/>
              </w:pBdr>
              <w:jc w:val="left"/>
              <w:rPr>
                <w:lang w:val="en-GB"/>
              </w:rPr>
            </w:pPr>
            <w:r w:rsidRPr="001B4A39">
              <w:rPr>
                <w:lang w:val="en-GB"/>
              </w:rPr>
              <w:t>Interactive Workshop: Constructing Inclusive Work Cultures</w:t>
            </w:r>
          </w:p>
        </w:tc>
        <w:tc>
          <w:tcPr>
            <w:tcW w:w="3120" w:type="dxa"/>
            <w:shd w:val="clear" w:color="auto" w:fill="auto"/>
            <w:tcMar>
              <w:top w:w="100" w:type="dxa"/>
              <w:left w:w="100" w:type="dxa"/>
              <w:bottom w:w="100" w:type="dxa"/>
              <w:right w:w="100" w:type="dxa"/>
            </w:tcMar>
          </w:tcPr>
          <w:p w14:paraId="3D4DA77F" w14:textId="77777777" w:rsidR="00942E11" w:rsidRPr="001B4A39" w:rsidRDefault="00954311">
            <w:pPr>
              <w:widowControl w:val="0"/>
              <w:pBdr>
                <w:top w:val="nil"/>
                <w:left w:val="nil"/>
                <w:bottom w:val="nil"/>
                <w:right w:val="nil"/>
                <w:between w:val="nil"/>
              </w:pBdr>
              <w:jc w:val="left"/>
              <w:rPr>
                <w:lang w:val="en-GB"/>
              </w:rPr>
            </w:pPr>
            <w:r w:rsidRPr="001B4A39">
              <w:rPr>
                <w:lang w:val="en-GB"/>
              </w:rPr>
              <w:t>EDI and HR Professional</w:t>
            </w:r>
          </w:p>
        </w:tc>
      </w:tr>
      <w:tr w:rsidR="00942E11" w:rsidRPr="001B4A39" w14:paraId="303331A5" w14:textId="77777777">
        <w:tc>
          <w:tcPr>
            <w:tcW w:w="3120" w:type="dxa"/>
            <w:shd w:val="clear" w:color="auto" w:fill="auto"/>
            <w:tcMar>
              <w:top w:w="100" w:type="dxa"/>
              <w:left w:w="100" w:type="dxa"/>
              <w:bottom w:w="100" w:type="dxa"/>
              <w:right w:w="100" w:type="dxa"/>
            </w:tcMar>
          </w:tcPr>
          <w:p w14:paraId="407E83D9" w14:textId="77777777" w:rsidR="00942E11" w:rsidRPr="001B4A39" w:rsidRDefault="00954311">
            <w:pPr>
              <w:widowControl w:val="0"/>
              <w:pBdr>
                <w:top w:val="nil"/>
                <w:left w:val="nil"/>
                <w:bottom w:val="nil"/>
                <w:right w:val="nil"/>
                <w:between w:val="nil"/>
              </w:pBdr>
              <w:jc w:val="left"/>
              <w:rPr>
                <w:lang w:val="en-GB"/>
              </w:rPr>
            </w:pPr>
            <w:r w:rsidRPr="001B4A39">
              <w:rPr>
                <w:lang w:val="en-GB"/>
              </w:rPr>
              <w:t>12.:30 PM</w:t>
            </w:r>
          </w:p>
        </w:tc>
        <w:tc>
          <w:tcPr>
            <w:tcW w:w="3120" w:type="dxa"/>
            <w:shd w:val="clear" w:color="auto" w:fill="auto"/>
            <w:tcMar>
              <w:top w:w="100" w:type="dxa"/>
              <w:left w:w="100" w:type="dxa"/>
              <w:bottom w:w="100" w:type="dxa"/>
              <w:right w:w="100" w:type="dxa"/>
            </w:tcMar>
          </w:tcPr>
          <w:p w14:paraId="5094E09E" w14:textId="77777777" w:rsidR="00942E11" w:rsidRPr="001B4A39" w:rsidRDefault="00954311">
            <w:pPr>
              <w:widowControl w:val="0"/>
              <w:pBdr>
                <w:top w:val="nil"/>
                <w:left w:val="nil"/>
                <w:bottom w:val="nil"/>
                <w:right w:val="nil"/>
                <w:between w:val="nil"/>
              </w:pBdr>
              <w:jc w:val="left"/>
              <w:rPr>
                <w:lang w:val="en-GB"/>
              </w:rPr>
            </w:pPr>
            <w:r w:rsidRPr="001B4A39">
              <w:rPr>
                <w:lang w:val="en-GB"/>
              </w:rPr>
              <w:t>Networking Lunch</w:t>
            </w:r>
          </w:p>
        </w:tc>
        <w:tc>
          <w:tcPr>
            <w:tcW w:w="3120" w:type="dxa"/>
            <w:shd w:val="clear" w:color="auto" w:fill="auto"/>
            <w:tcMar>
              <w:top w:w="100" w:type="dxa"/>
              <w:left w:w="100" w:type="dxa"/>
              <w:bottom w:w="100" w:type="dxa"/>
              <w:right w:w="100" w:type="dxa"/>
            </w:tcMar>
          </w:tcPr>
          <w:p w14:paraId="7A79DD7E" w14:textId="77777777" w:rsidR="00942E11" w:rsidRPr="001B4A39" w:rsidRDefault="00954311">
            <w:pPr>
              <w:widowControl w:val="0"/>
              <w:pBdr>
                <w:top w:val="nil"/>
                <w:left w:val="nil"/>
                <w:bottom w:val="nil"/>
                <w:right w:val="nil"/>
                <w:between w:val="nil"/>
              </w:pBdr>
              <w:jc w:val="left"/>
              <w:rPr>
                <w:lang w:val="en-GB"/>
              </w:rPr>
            </w:pPr>
            <w:r w:rsidRPr="001B4A39">
              <w:rPr>
                <w:lang w:val="en-GB"/>
              </w:rPr>
              <w:t>All Attendees</w:t>
            </w:r>
          </w:p>
        </w:tc>
      </w:tr>
      <w:tr w:rsidR="00942E11" w:rsidRPr="001B4A39" w14:paraId="2A8FDAA4" w14:textId="77777777">
        <w:tc>
          <w:tcPr>
            <w:tcW w:w="3120" w:type="dxa"/>
            <w:shd w:val="clear" w:color="auto" w:fill="auto"/>
            <w:tcMar>
              <w:top w:w="100" w:type="dxa"/>
              <w:left w:w="100" w:type="dxa"/>
              <w:bottom w:w="100" w:type="dxa"/>
              <w:right w:w="100" w:type="dxa"/>
            </w:tcMar>
          </w:tcPr>
          <w:p w14:paraId="37045EFC" w14:textId="77777777" w:rsidR="00942E11" w:rsidRPr="001B4A39" w:rsidRDefault="00954311">
            <w:pPr>
              <w:widowControl w:val="0"/>
              <w:pBdr>
                <w:top w:val="nil"/>
                <w:left w:val="nil"/>
                <w:bottom w:val="nil"/>
                <w:right w:val="nil"/>
                <w:between w:val="nil"/>
              </w:pBdr>
              <w:jc w:val="left"/>
              <w:rPr>
                <w:lang w:val="en-GB"/>
              </w:rPr>
            </w:pPr>
            <w:r w:rsidRPr="001B4A39">
              <w:rPr>
                <w:lang w:val="en-GB"/>
              </w:rPr>
              <w:t>1:30 PM</w:t>
            </w:r>
          </w:p>
        </w:tc>
        <w:tc>
          <w:tcPr>
            <w:tcW w:w="3120" w:type="dxa"/>
            <w:shd w:val="clear" w:color="auto" w:fill="auto"/>
            <w:tcMar>
              <w:top w:w="100" w:type="dxa"/>
              <w:left w:w="100" w:type="dxa"/>
              <w:bottom w:w="100" w:type="dxa"/>
              <w:right w:w="100" w:type="dxa"/>
            </w:tcMar>
          </w:tcPr>
          <w:p w14:paraId="3DBCAD6F" w14:textId="77777777" w:rsidR="00942E11" w:rsidRPr="001B4A39" w:rsidRDefault="00954311">
            <w:pPr>
              <w:widowControl w:val="0"/>
              <w:pBdr>
                <w:top w:val="nil"/>
                <w:left w:val="nil"/>
                <w:bottom w:val="nil"/>
                <w:right w:val="nil"/>
                <w:between w:val="nil"/>
              </w:pBdr>
              <w:jc w:val="left"/>
              <w:rPr>
                <w:lang w:val="en-GB"/>
              </w:rPr>
            </w:pPr>
            <w:r w:rsidRPr="001B4A39">
              <w:rPr>
                <w:lang w:val="en-GB"/>
              </w:rPr>
              <w:t>Case Study Representations: EDI Success Stories</w:t>
            </w:r>
          </w:p>
        </w:tc>
        <w:tc>
          <w:tcPr>
            <w:tcW w:w="3120" w:type="dxa"/>
            <w:shd w:val="clear" w:color="auto" w:fill="auto"/>
            <w:tcMar>
              <w:top w:w="100" w:type="dxa"/>
              <w:left w:w="100" w:type="dxa"/>
              <w:bottom w:w="100" w:type="dxa"/>
              <w:right w:w="100" w:type="dxa"/>
            </w:tcMar>
          </w:tcPr>
          <w:p w14:paraId="0A564488" w14:textId="77777777" w:rsidR="00942E11" w:rsidRPr="001B4A39" w:rsidRDefault="00954311">
            <w:pPr>
              <w:widowControl w:val="0"/>
              <w:pBdr>
                <w:top w:val="nil"/>
                <w:left w:val="nil"/>
                <w:bottom w:val="nil"/>
                <w:right w:val="nil"/>
                <w:between w:val="nil"/>
              </w:pBdr>
              <w:jc w:val="left"/>
              <w:rPr>
                <w:lang w:val="en-GB"/>
              </w:rPr>
            </w:pPr>
            <w:r w:rsidRPr="001B4A39">
              <w:rPr>
                <w:lang w:val="en-GB"/>
              </w:rPr>
              <w:t>Business Leaders</w:t>
            </w:r>
          </w:p>
        </w:tc>
      </w:tr>
      <w:tr w:rsidR="00942E11" w:rsidRPr="001B4A39" w14:paraId="19B75F67" w14:textId="77777777">
        <w:tc>
          <w:tcPr>
            <w:tcW w:w="3120" w:type="dxa"/>
            <w:shd w:val="clear" w:color="auto" w:fill="auto"/>
            <w:tcMar>
              <w:top w:w="100" w:type="dxa"/>
              <w:left w:w="100" w:type="dxa"/>
              <w:bottom w:w="100" w:type="dxa"/>
              <w:right w:w="100" w:type="dxa"/>
            </w:tcMar>
          </w:tcPr>
          <w:p w14:paraId="6BC3991F" w14:textId="77777777" w:rsidR="00942E11" w:rsidRPr="001B4A39" w:rsidRDefault="00954311">
            <w:pPr>
              <w:widowControl w:val="0"/>
              <w:pBdr>
                <w:top w:val="nil"/>
                <w:left w:val="nil"/>
                <w:bottom w:val="nil"/>
                <w:right w:val="nil"/>
                <w:between w:val="nil"/>
              </w:pBdr>
              <w:jc w:val="left"/>
              <w:rPr>
                <w:lang w:val="en-GB"/>
              </w:rPr>
            </w:pPr>
            <w:r w:rsidRPr="001B4A39">
              <w:rPr>
                <w:lang w:val="en-GB"/>
              </w:rPr>
              <w:t>2:30 PM</w:t>
            </w:r>
          </w:p>
        </w:tc>
        <w:tc>
          <w:tcPr>
            <w:tcW w:w="3120" w:type="dxa"/>
            <w:shd w:val="clear" w:color="auto" w:fill="auto"/>
            <w:tcMar>
              <w:top w:w="100" w:type="dxa"/>
              <w:left w:w="100" w:type="dxa"/>
              <w:bottom w:w="100" w:type="dxa"/>
              <w:right w:w="100" w:type="dxa"/>
            </w:tcMar>
          </w:tcPr>
          <w:p w14:paraId="49D62868" w14:textId="77777777" w:rsidR="00942E11" w:rsidRPr="001B4A39" w:rsidRDefault="00954311">
            <w:pPr>
              <w:widowControl w:val="0"/>
              <w:pBdr>
                <w:top w:val="nil"/>
                <w:left w:val="nil"/>
                <w:bottom w:val="nil"/>
                <w:right w:val="nil"/>
                <w:between w:val="nil"/>
              </w:pBdr>
              <w:jc w:val="left"/>
              <w:rPr>
                <w:lang w:val="en-GB"/>
              </w:rPr>
            </w:pPr>
            <w:r w:rsidRPr="001B4A39">
              <w:rPr>
                <w:lang w:val="en-GB"/>
              </w:rPr>
              <w:t>Future Commitments and Closing Remarks</w:t>
            </w:r>
          </w:p>
        </w:tc>
        <w:tc>
          <w:tcPr>
            <w:tcW w:w="3120" w:type="dxa"/>
            <w:shd w:val="clear" w:color="auto" w:fill="auto"/>
            <w:tcMar>
              <w:top w:w="100" w:type="dxa"/>
              <w:left w:w="100" w:type="dxa"/>
              <w:bottom w:w="100" w:type="dxa"/>
              <w:right w:w="100" w:type="dxa"/>
            </w:tcMar>
          </w:tcPr>
          <w:p w14:paraId="37D8F838" w14:textId="77777777" w:rsidR="00942E11" w:rsidRPr="001B4A39" w:rsidRDefault="00954311">
            <w:pPr>
              <w:widowControl w:val="0"/>
              <w:pBdr>
                <w:top w:val="nil"/>
                <w:left w:val="nil"/>
                <w:bottom w:val="nil"/>
                <w:right w:val="nil"/>
                <w:between w:val="nil"/>
              </w:pBdr>
              <w:jc w:val="left"/>
              <w:rPr>
                <w:lang w:val="en-GB"/>
              </w:rPr>
            </w:pPr>
            <w:r w:rsidRPr="001B4A39">
              <w:rPr>
                <w:lang w:val="en-GB"/>
              </w:rPr>
              <w:t>Event Organizers</w:t>
            </w:r>
          </w:p>
        </w:tc>
      </w:tr>
    </w:tbl>
    <w:p w14:paraId="2AD3AAD7" w14:textId="77777777" w:rsidR="00942E11" w:rsidRPr="001B4A39" w:rsidRDefault="00954311">
      <w:pPr>
        <w:rPr>
          <w:lang w:val="en-GB"/>
        </w:rPr>
      </w:pPr>
      <w:r w:rsidRPr="001B4A39">
        <w:rPr>
          <w:lang w:val="en-GB"/>
        </w:rPr>
        <w:t>All visitors can access the venue completely by using wheelchair ramps and sign language interpreters and having access to a</w:t>
      </w:r>
      <w:r w:rsidRPr="001B4A39">
        <w:rPr>
          <w:lang w:val="en-GB"/>
        </w:rPr>
        <w:t xml:space="preserve"> quiet space that supports </w:t>
      </w:r>
      <w:proofErr w:type="spellStart"/>
      <w:r w:rsidRPr="001B4A39">
        <w:rPr>
          <w:lang w:val="en-GB"/>
        </w:rPr>
        <w:t>neurodivergent</w:t>
      </w:r>
      <w:proofErr w:type="spellEnd"/>
      <w:r w:rsidRPr="001B4A39">
        <w:rPr>
          <w:lang w:val="en-GB"/>
        </w:rPr>
        <w:t xml:space="preserve"> participants. All attendees will find comfortable dining options through the provision of vegan, halal and allergen-free foods during the event. Attendants will receive concrete resources during the event for applying EDI strategies through policy guidance and digital resources that organizations can implement (Groenewald, 2024). Through mutual learning and cooperative collaboration, the event will push organizations toward lasting EDI development.</w:t>
      </w:r>
    </w:p>
    <w:p w14:paraId="154DCB55" w14:textId="77777777" w:rsidR="00942E11" w:rsidRPr="001B4A39" w:rsidRDefault="00954311">
      <w:pPr>
        <w:pStyle w:val="Heading1"/>
        <w:rPr>
          <w:lang w:val="en-GB"/>
        </w:rPr>
      </w:pPr>
      <w:bookmarkStart w:id="6" w:name="_exosj7u1kt29" w:colFirst="0" w:colLast="0"/>
      <w:bookmarkStart w:id="7" w:name="_Toc190991146"/>
      <w:bookmarkEnd w:id="6"/>
      <w:r w:rsidRPr="001B4A39">
        <w:rPr>
          <w:lang w:val="en-GB"/>
        </w:rPr>
        <w:t>4. Aim and Objectives of the Meeting/Event</w:t>
      </w:r>
      <w:bookmarkEnd w:id="7"/>
    </w:p>
    <w:p w14:paraId="647E2B75" w14:textId="77777777" w:rsidR="00942E11" w:rsidRPr="001B4A39" w:rsidRDefault="00954311">
      <w:pPr>
        <w:rPr>
          <w:lang w:val="en-GB"/>
        </w:rPr>
      </w:pPr>
      <w:r w:rsidRPr="001B4A39">
        <w:rPr>
          <w:lang w:val="en-GB"/>
        </w:rPr>
        <w:t>This event functions as a main objective to establish optimal workplace practices for equality, diversity and inclusion (EDI) through the combination of professional networking activities and informational exchanges between industry members. Organizations will have access to this platform where insights on building inclusive cultures and implementing effective policies and long-term change will be exchanged.</w:t>
      </w:r>
    </w:p>
    <w:p w14:paraId="57560E74" w14:textId="77777777" w:rsidR="00942E11" w:rsidRPr="001B4A39" w:rsidRDefault="00954311">
      <w:pPr>
        <w:rPr>
          <w:lang w:val="en-GB"/>
        </w:rPr>
      </w:pPr>
      <w:r w:rsidRPr="001B4A39">
        <w:rPr>
          <w:lang w:val="en-GB"/>
        </w:rPr>
        <w:t>The upcoming event follows a system of SMART objectives for organization and delivery.</w:t>
      </w:r>
    </w:p>
    <w:tbl>
      <w:tblPr>
        <w:tblStyle w:val="a0"/>
        <w:tblW w:w="10830" w:type="dxa"/>
        <w:tblInd w:w="-5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95"/>
        <w:gridCol w:w="1710"/>
        <w:gridCol w:w="1710"/>
        <w:gridCol w:w="1710"/>
        <w:gridCol w:w="1710"/>
        <w:gridCol w:w="1695"/>
      </w:tblGrid>
      <w:tr w:rsidR="00942E11" w:rsidRPr="001B4A39" w14:paraId="6090A399" w14:textId="77777777">
        <w:tc>
          <w:tcPr>
            <w:tcW w:w="2295" w:type="dxa"/>
            <w:shd w:val="clear" w:color="auto" w:fill="auto"/>
            <w:tcMar>
              <w:top w:w="100" w:type="dxa"/>
              <w:left w:w="100" w:type="dxa"/>
              <w:bottom w:w="100" w:type="dxa"/>
              <w:right w:w="100" w:type="dxa"/>
            </w:tcMar>
          </w:tcPr>
          <w:p w14:paraId="1B756803" w14:textId="77777777" w:rsidR="00942E11" w:rsidRPr="001B4A39" w:rsidRDefault="00954311">
            <w:pPr>
              <w:widowControl w:val="0"/>
              <w:rPr>
                <w:b/>
                <w:lang w:val="en-GB"/>
              </w:rPr>
            </w:pPr>
            <w:r w:rsidRPr="001B4A39">
              <w:rPr>
                <w:b/>
                <w:lang w:val="en-GB"/>
              </w:rPr>
              <w:t>Objective</w:t>
            </w:r>
          </w:p>
        </w:tc>
        <w:tc>
          <w:tcPr>
            <w:tcW w:w="1710" w:type="dxa"/>
            <w:shd w:val="clear" w:color="auto" w:fill="auto"/>
            <w:tcMar>
              <w:top w:w="100" w:type="dxa"/>
              <w:left w:w="100" w:type="dxa"/>
              <w:bottom w:w="100" w:type="dxa"/>
              <w:right w:w="100" w:type="dxa"/>
            </w:tcMar>
          </w:tcPr>
          <w:p w14:paraId="0223F5D6" w14:textId="77777777" w:rsidR="00942E11" w:rsidRPr="001B4A39" w:rsidRDefault="00954311">
            <w:pPr>
              <w:widowControl w:val="0"/>
              <w:rPr>
                <w:b/>
                <w:lang w:val="en-GB"/>
              </w:rPr>
            </w:pPr>
            <w:r w:rsidRPr="001B4A39">
              <w:rPr>
                <w:b/>
                <w:lang w:val="en-GB"/>
              </w:rPr>
              <w:t>Specific</w:t>
            </w:r>
          </w:p>
        </w:tc>
        <w:tc>
          <w:tcPr>
            <w:tcW w:w="1710" w:type="dxa"/>
            <w:shd w:val="clear" w:color="auto" w:fill="auto"/>
            <w:tcMar>
              <w:top w:w="100" w:type="dxa"/>
              <w:left w:w="100" w:type="dxa"/>
              <w:bottom w:w="100" w:type="dxa"/>
              <w:right w:w="100" w:type="dxa"/>
            </w:tcMar>
          </w:tcPr>
          <w:p w14:paraId="389AD5CE" w14:textId="77777777" w:rsidR="00942E11" w:rsidRPr="001B4A39" w:rsidRDefault="00954311">
            <w:pPr>
              <w:widowControl w:val="0"/>
              <w:rPr>
                <w:b/>
                <w:lang w:val="en-GB"/>
              </w:rPr>
            </w:pPr>
            <w:r w:rsidRPr="001B4A39">
              <w:rPr>
                <w:b/>
                <w:lang w:val="en-GB"/>
              </w:rPr>
              <w:t>Measurable</w:t>
            </w:r>
          </w:p>
        </w:tc>
        <w:tc>
          <w:tcPr>
            <w:tcW w:w="1710" w:type="dxa"/>
            <w:shd w:val="clear" w:color="auto" w:fill="auto"/>
            <w:tcMar>
              <w:top w:w="100" w:type="dxa"/>
              <w:left w:w="100" w:type="dxa"/>
              <w:bottom w:w="100" w:type="dxa"/>
              <w:right w:w="100" w:type="dxa"/>
            </w:tcMar>
          </w:tcPr>
          <w:p w14:paraId="2709091F" w14:textId="77777777" w:rsidR="00942E11" w:rsidRPr="001B4A39" w:rsidRDefault="00954311">
            <w:pPr>
              <w:widowControl w:val="0"/>
              <w:rPr>
                <w:b/>
                <w:lang w:val="en-GB"/>
              </w:rPr>
            </w:pPr>
            <w:r w:rsidRPr="001B4A39">
              <w:rPr>
                <w:b/>
                <w:lang w:val="en-GB"/>
              </w:rPr>
              <w:t>Achievable</w:t>
            </w:r>
          </w:p>
        </w:tc>
        <w:tc>
          <w:tcPr>
            <w:tcW w:w="1710" w:type="dxa"/>
            <w:shd w:val="clear" w:color="auto" w:fill="auto"/>
            <w:tcMar>
              <w:top w:w="100" w:type="dxa"/>
              <w:left w:w="100" w:type="dxa"/>
              <w:bottom w:w="100" w:type="dxa"/>
              <w:right w:w="100" w:type="dxa"/>
            </w:tcMar>
          </w:tcPr>
          <w:p w14:paraId="20AFA71B" w14:textId="77777777" w:rsidR="00942E11" w:rsidRPr="001B4A39" w:rsidRDefault="00954311">
            <w:pPr>
              <w:widowControl w:val="0"/>
              <w:rPr>
                <w:b/>
                <w:lang w:val="en-GB"/>
              </w:rPr>
            </w:pPr>
            <w:r w:rsidRPr="001B4A39">
              <w:rPr>
                <w:b/>
                <w:lang w:val="en-GB"/>
              </w:rPr>
              <w:t>Relevant</w:t>
            </w:r>
          </w:p>
        </w:tc>
        <w:tc>
          <w:tcPr>
            <w:tcW w:w="1695" w:type="dxa"/>
            <w:shd w:val="clear" w:color="auto" w:fill="auto"/>
            <w:tcMar>
              <w:top w:w="100" w:type="dxa"/>
              <w:left w:w="100" w:type="dxa"/>
              <w:bottom w:w="100" w:type="dxa"/>
              <w:right w:w="100" w:type="dxa"/>
            </w:tcMar>
          </w:tcPr>
          <w:p w14:paraId="0DAA7D2B" w14:textId="77777777" w:rsidR="00942E11" w:rsidRPr="001B4A39" w:rsidRDefault="00954311">
            <w:pPr>
              <w:widowControl w:val="0"/>
              <w:rPr>
                <w:b/>
                <w:lang w:val="en-GB"/>
              </w:rPr>
            </w:pPr>
            <w:r w:rsidRPr="001B4A39">
              <w:rPr>
                <w:b/>
                <w:lang w:val="en-GB"/>
              </w:rPr>
              <w:t>Time-Bound</w:t>
            </w:r>
            <w:r w:rsidRPr="001B4A39">
              <w:rPr>
                <w:b/>
                <w:lang w:val="en-GB"/>
              </w:rPr>
              <w:tab/>
            </w:r>
          </w:p>
        </w:tc>
      </w:tr>
      <w:tr w:rsidR="00942E11" w:rsidRPr="001B4A39" w14:paraId="0E32119C" w14:textId="77777777">
        <w:tc>
          <w:tcPr>
            <w:tcW w:w="2295" w:type="dxa"/>
            <w:shd w:val="clear" w:color="auto" w:fill="auto"/>
            <w:tcMar>
              <w:top w:w="100" w:type="dxa"/>
              <w:left w:w="100" w:type="dxa"/>
              <w:bottom w:w="100" w:type="dxa"/>
              <w:right w:w="100" w:type="dxa"/>
            </w:tcMar>
          </w:tcPr>
          <w:p w14:paraId="27E121A4" w14:textId="77777777" w:rsidR="00942E11" w:rsidRPr="001B4A39" w:rsidRDefault="00954311">
            <w:pPr>
              <w:widowControl w:val="0"/>
              <w:rPr>
                <w:lang w:val="en-GB"/>
              </w:rPr>
            </w:pPr>
            <w:r w:rsidRPr="001B4A39">
              <w:rPr>
                <w:lang w:val="en-GB"/>
              </w:rPr>
              <w:t xml:space="preserve">To raise awareness of </w:t>
            </w:r>
            <w:r w:rsidRPr="001B4A39">
              <w:rPr>
                <w:lang w:val="en-GB"/>
              </w:rPr>
              <w:lastRenderedPageBreak/>
              <w:t xml:space="preserve">EDI obstacles and mitigating measures </w:t>
            </w:r>
          </w:p>
        </w:tc>
        <w:tc>
          <w:tcPr>
            <w:tcW w:w="1710" w:type="dxa"/>
            <w:shd w:val="clear" w:color="auto" w:fill="auto"/>
            <w:tcMar>
              <w:top w:w="100" w:type="dxa"/>
              <w:left w:w="100" w:type="dxa"/>
              <w:bottom w:w="100" w:type="dxa"/>
              <w:right w:w="100" w:type="dxa"/>
            </w:tcMar>
          </w:tcPr>
          <w:p w14:paraId="02D44A21" w14:textId="77777777" w:rsidR="00942E11" w:rsidRPr="001B4A39" w:rsidRDefault="00954311">
            <w:pPr>
              <w:widowControl w:val="0"/>
              <w:rPr>
                <w:lang w:val="en-GB"/>
              </w:rPr>
            </w:pPr>
            <w:r w:rsidRPr="001B4A39">
              <w:rPr>
                <w:lang w:val="en-GB"/>
              </w:rPr>
              <w:lastRenderedPageBreak/>
              <w:t xml:space="preserve">Including  200 </w:t>
            </w:r>
            <w:r w:rsidRPr="001B4A39">
              <w:rPr>
                <w:lang w:val="en-GB"/>
              </w:rPr>
              <w:lastRenderedPageBreak/>
              <w:t xml:space="preserve">participants in meetings with industry leaders </w:t>
            </w:r>
          </w:p>
          <w:p w14:paraId="252C7449" w14:textId="77777777" w:rsidR="00942E11" w:rsidRPr="001B4A39" w:rsidRDefault="00942E11">
            <w:pPr>
              <w:widowControl w:val="0"/>
              <w:rPr>
                <w:lang w:val="en-GB"/>
              </w:rPr>
            </w:pPr>
          </w:p>
        </w:tc>
        <w:tc>
          <w:tcPr>
            <w:tcW w:w="1710" w:type="dxa"/>
            <w:shd w:val="clear" w:color="auto" w:fill="auto"/>
            <w:tcMar>
              <w:top w:w="100" w:type="dxa"/>
              <w:left w:w="100" w:type="dxa"/>
              <w:bottom w:w="100" w:type="dxa"/>
              <w:right w:w="100" w:type="dxa"/>
            </w:tcMar>
          </w:tcPr>
          <w:p w14:paraId="3575D303" w14:textId="77777777" w:rsidR="00942E11" w:rsidRPr="001B4A39" w:rsidRDefault="00954311">
            <w:pPr>
              <w:widowControl w:val="0"/>
              <w:rPr>
                <w:lang w:val="en-GB"/>
              </w:rPr>
            </w:pPr>
            <w:r w:rsidRPr="001B4A39">
              <w:rPr>
                <w:lang w:val="en-GB"/>
              </w:rPr>
              <w:lastRenderedPageBreak/>
              <w:t xml:space="preserve">Participant  </w:t>
            </w:r>
            <w:r w:rsidRPr="001B4A39">
              <w:rPr>
                <w:lang w:val="en-GB"/>
              </w:rPr>
              <w:lastRenderedPageBreak/>
              <w:t>feedback surveys and Attendance numbers</w:t>
            </w:r>
          </w:p>
        </w:tc>
        <w:tc>
          <w:tcPr>
            <w:tcW w:w="1710" w:type="dxa"/>
            <w:shd w:val="clear" w:color="auto" w:fill="auto"/>
            <w:tcMar>
              <w:top w:w="100" w:type="dxa"/>
              <w:left w:w="100" w:type="dxa"/>
              <w:bottom w:w="100" w:type="dxa"/>
              <w:right w:w="100" w:type="dxa"/>
            </w:tcMar>
          </w:tcPr>
          <w:p w14:paraId="042CF74E" w14:textId="77777777" w:rsidR="00942E11" w:rsidRPr="001B4A39" w:rsidRDefault="00954311">
            <w:pPr>
              <w:widowControl w:val="0"/>
              <w:rPr>
                <w:lang w:val="en-GB"/>
              </w:rPr>
            </w:pPr>
            <w:r w:rsidRPr="001B4A39">
              <w:rPr>
                <w:lang w:val="en-GB"/>
              </w:rPr>
              <w:lastRenderedPageBreak/>
              <w:t xml:space="preserve">Industry </w:t>
            </w:r>
            <w:r w:rsidRPr="001B4A39">
              <w:rPr>
                <w:lang w:val="en-GB"/>
              </w:rPr>
              <w:lastRenderedPageBreak/>
              <w:t xml:space="preserve">experts and leaders will provide strategies and case studies </w:t>
            </w:r>
          </w:p>
        </w:tc>
        <w:tc>
          <w:tcPr>
            <w:tcW w:w="1710" w:type="dxa"/>
            <w:shd w:val="clear" w:color="auto" w:fill="auto"/>
            <w:tcMar>
              <w:top w:w="100" w:type="dxa"/>
              <w:left w:w="100" w:type="dxa"/>
              <w:bottom w:w="100" w:type="dxa"/>
              <w:right w:w="100" w:type="dxa"/>
            </w:tcMar>
          </w:tcPr>
          <w:p w14:paraId="4C181D50" w14:textId="77777777" w:rsidR="00942E11" w:rsidRPr="001B4A39" w:rsidRDefault="00954311">
            <w:pPr>
              <w:widowControl w:val="0"/>
              <w:rPr>
                <w:lang w:val="en-GB"/>
              </w:rPr>
            </w:pPr>
            <w:r w:rsidRPr="001B4A39">
              <w:rPr>
                <w:lang w:val="en-GB"/>
              </w:rPr>
              <w:lastRenderedPageBreak/>
              <w:t xml:space="preserve">Improving </w:t>
            </w:r>
            <w:r w:rsidRPr="001B4A39">
              <w:rPr>
                <w:lang w:val="en-GB"/>
              </w:rPr>
              <w:lastRenderedPageBreak/>
              <w:t>awareness of workplace diversity and inclusion.</w:t>
            </w:r>
            <w:r w:rsidRPr="001B4A39">
              <w:rPr>
                <w:lang w:val="en-GB"/>
              </w:rPr>
              <w:tab/>
            </w:r>
          </w:p>
        </w:tc>
        <w:tc>
          <w:tcPr>
            <w:tcW w:w="1695" w:type="dxa"/>
            <w:shd w:val="clear" w:color="auto" w:fill="auto"/>
            <w:tcMar>
              <w:top w:w="100" w:type="dxa"/>
              <w:left w:w="100" w:type="dxa"/>
              <w:bottom w:w="100" w:type="dxa"/>
              <w:right w:w="100" w:type="dxa"/>
            </w:tcMar>
          </w:tcPr>
          <w:p w14:paraId="542965D2" w14:textId="77777777" w:rsidR="00942E11" w:rsidRPr="001B4A39" w:rsidRDefault="00954311">
            <w:pPr>
              <w:widowControl w:val="0"/>
              <w:rPr>
                <w:lang w:val="en-GB"/>
              </w:rPr>
            </w:pPr>
            <w:r w:rsidRPr="001B4A39">
              <w:rPr>
                <w:lang w:val="en-GB"/>
              </w:rPr>
              <w:lastRenderedPageBreak/>
              <w:t xml:space="preserve">Completed by </w:t>
            </w:r>
            <w:r w:rsidRPr="001B4A39">
              <w:rPr>
                <w:lang w:val="en-GB"/>
              </w:rPr>
              <w:lastRenderedPageBreak/>
              <w:t>the end of the event.</w:t>
            </w:r>
          </w:p>
          <w:p w14:paraId="5334085F" w14:textId="77777777" w:rsidR="00942E11" w:rsidRPr="001B4A39" w:rsidRDefault="00942E11">
            <w:pPr>
              <w:widowControl w:val="0"/>
              <w:rPr>
                <w:lang w:val="en-GB"/>
              </w:rPr>
            </w:pPr>
          </w:p>
        </w:tc>
      </w:tr>
      <w:tr w:rsidR="00942E11" w:rsidRPr="001B4A39" w14:paraId="52A45D11" w14:textId="77777777">
        <w:tc>
          <w:tcPr>
            <w:tcW w:w="2295" w:type="dxa"/>
            <w:shd w:val="clear" w:color="auto" w:fill="auto"/>
            <w:tcMar>
              <w:top w:w="100" w:type="dxa"/>
              <w:left w:w="100" w:type="dxa"/>
              <w:bottom w:w="100" w:type="dxa"/>
              <w:right w:w="100" w:type="dxa"/>
            </w:tcMar>
          </w:tcPr>
          <w:p w14:paraId="31DA5322" w14:textId="77777777" w:rsidR="00942E11" w:rsidRPr="001B4A39" w:rsidRDefault="00954311">
            <w:pPr>
              <w:widowControl w:val="0"/>
              <w:rPr>
                <w:lang w:val="en-GB"/>
              </w:rPr>
            </w:pPr>
            <w:r w:rsidRPr="001B4A39">
              <w:rPr>
                <w:lang w:val="en-GB"/>
              </w:rPr>
              <w:lastRenderedPageBreak/>
              <w:t xml:space="preserve">To equip attendees with practical EDI approaches </w:t>
            </w:r>
          </w:p>
        </w:tc>
        <w:tc>
          <w:tcPr>
            <w:tcW w:w="1710" w:type="dxa"/>
            <w:shd w:val="clear" w:color="auto" w:fill="auto"/>
            <w:tcMar>
              <w:top w:w="100" w:type="dxa"/>
              <w:left w:w="100" w:type="dxa"/>
              <w:bottom w:w="100" w:type="dxa"/>
              <w:right w:w="100" w:type="dxa"/>
            </w:tcMar>
          </w:tcPr>
          <w:p w14:paraId="1FB40171" w14:textId="77777777" w:rsidR="00942E11" w:rsidRPr="001B4A39" w:rsidRDefault="00954311">
            <w:pPr>
              <w:widowControl w:val="0"/>
              <w:rPr>
                <w:lang w:val="en-GB"/>
              </w:rPr>
            </w:pPr>
            <w:r w:rsidRPr="001B4A39">
              <w:rPr>
                <w:lang w:val="en-GB"/>
              </w:rPr>
              <w:t xml:space="preserve">Offer three actionable takeaways per session </w:t>
            </w:r>
          </w:p>
        </w:tc>
        <w:tc>
          <w:tcPr>
            <w:tcW w:w="1710" w:type="dxa"/>
            <w:shd w:val="clear" w:color="auto" w:fill="auto"/>
            <w:tcMar>
              <w:top w:w="100" w:type="dxa"/>
              <w:left w:w="100" w:type="dxa"/>
              <w:bottom w:w="100" w:type="dxa"/>
              <w:right w:w="100" w:type="dxa"/>
            </w:tcMar>
          </w:tcPr>
          <w:p w14:paraId="57A80778" w14:textId="77777777" w:rsidR="00942E11" w:rsidRPr="001B4A39" w:rsidRDefault="00954311">
            <w:pPr>
              <w:widowControl w:val="0"/>
              <w:rPr>
                <w:lang w:val="en-GB"/>
              </w:rPr>
            </w:pPr>
            <w:r w:rsidRPr="001B4A39">
              <w:rPr>
                <w:lang w:val="en-GB"/>
              </w:rPr>
              <w:t xml:space="preserve">Documented a number of takeaways  and conveyed them in the post-event toolkit </w:t>
            </w:r>
          </w:p>
        </w:tc>
        <w:tc>
          <w:tcPr>
            <w:tcW w:w="1710" w:type="dxa"/>
            <w:shd w:val="clear" w:color="auto" w:fill="auto"/>
            <w:tcMar>
              <w:top w:w="100" w:type="dxa"/>
              <w:left w:w="100" w:type="dxa"/>
              <w:bottom w:w="100" w:type="dxa"/>
              <w:right w:w="100" w:type="dxa"/>
            </w:tcMar>
          </w:tcPr>
          <w:p w14:paraId="64336201" w14:textId="77777777" w:rsidR="00942E11" w:rsidRPr="001B4A39" w:rsidRDefault="00954311">
            <w:pPr>
              <w:widowControl w:val="0"/>
              <w:rPr>
                <w:lang w:val="en-GB"/>
              </w:rPr>
            </w:pPr>
            <w:r w:rsidRPr="001B4A39">
              <w:rPr>
                <w:lang w:val="en-GB"/>
              </w:rPr>
              <w:t xml:space="preserve">Every session will be developed with proper learning outcomes </w:t>
            </w:r>
          </w:p>
        </w:tc>
        <w:tc>
          <w:tcPr>
            <w:tcW w:w="1710" w:type="dxa"/>
            <w:shd w:val="clear" w:color="auto" w:fill="auto"/>
            <w:tcMar>
              <w:top w:w="100" w:type="dxa"/>
              <w:left w:w="100" w:type="dxa"/>
              <w:bottom w:w="100" w:type="dxa"/>
              <w:right w:w="100" w:type="dxa"/>
            </w:tcMar>
          </w:tcPr>
          <w:p w14:paraId="2243B148" w14:textId="77777777" w:rsidR="00942E11" w:rsidRPr="001B4A39" w:rsidRDefault="00954311">
            <w:pPr>
              <w:widowControl w:val="0"/>
              <w:rPr>
                <w:lang w:val="en-GB"/>
              </w:rPr>
            </w:pPr>
            <w:r w:rsidRPr="001B4A39">
              <w:rPr>
                <w:lang w:val="en-GB"/>
              </w:rPr>
              <w:t>Provides applicable application of EDI regulations in workplaces.</w:t>
            </w:r>
            <w:r w:rsidRPr="001B4A39">
              <w:rPr>
                <w:lang w:val="en-GB"/>
              </w:rPr>
              <w:tab/>
            </w:r>
          </w:p>
        </w:tc>
        <w:tc>
          <w:tcPr>
            <w:tcW w:w="1695" w:type="dxa"/>
            <w:shd w:val="clear" w:color="auto" w:fill="auto"/>
            <w:tcMar>
              <w:top w:w="100" w:type="dxa"/>
              <w:left w:w="100" w:type="dxa"/>
              <w:bottom w:w="100" w:type="dxa"/>
              <w:right w:w="100" w:type="dxa"/>
            </w:tcMar>
          </w:tcPr>
          <w:p w14:paraId="19F4E6BC" w14:textId="77777777" w:rsidR="00942E11" w:rsidRPr="001B4A39" w:rsidRDefault="00954311">
            <w:pPr>
              <w:widowControl w:val="0"/>
              <w:rPr>
                <w:lang w:val="en-GB"/>
              </w:rPr>
            </w:pPr>
            <w:r w:rsidRPr="001B4A39">
              <w:rPr>
                <w:lang w:val="en-GB"/>
              </w:rPr>
              <w:t>Participants will obtain toolkits directly after the event.</w:t>
            </w:r>
          </w:p>
          <w:p w14:paraId="63446A06" w14:textId="77777777" w:rsidR="00942E11" w:rsidRPr="001B4A39" w:rsidRDefault="00942E11">
            <w:pPr>
              <w:widowControl w:val="0"/>
              <w:rPr>
                <w:lang w:val="en-GB"/>
              </w:rPr>
            </w:pPr>
          </w:p>
        </w:tc>
      </w:tr>
      <w:tr w:rsidR="00942E11" w:rsidRPr="001B4A39" w14:paraId="7A63FC0E" w14:textId="77777777">
        <w:tc>
          <w:tcPr>
            <w:tcW w:w="2295" w:type="dxa"/>
            <w:shd w:val="clear" w:color="auto" w:fill="auto"/>
            <w:tcMar>
              <w:top w:w="100" w:type="dxa"/>
              <w:left w:w="100" w:type="dxa"/>
              <w:bottom w:w="100" w:type="dxa"/>
              <w:right w:w="100" w:type="dxa"/>
            </w:tcMar>
          </w:tcPr>
          <w:p w14:paraId="06933CCE" w14:textId="77777777" w:rsidR="00942E11" w:rsidRPr="001B4A39" w:rsidRDefault="00954311">
            <w:pPr>
              <w:widowControl w:val="0"/>
              <w:rPr>
                <w:lang w:val="en-GB"/>
              </w:rPr>
            </w:pPr>
            <w:r w:rsidRPr="001B4A39">
              <w:rPr>
                <w:lang w:val="en-GB"/>
              </w:rPr>
              <w:t xml:space="preserve">To motivate measurable commitments to EDI policies </w:t>
            </w:r>
          </w:p>
        </w:tc>
        <w:tc>
          <w:tcPr>
            <w:tcW w:w="1710" w:type="dxa"/>
            <w:shd w:val="clear" w:color="auto" w:fill="auto"/>
            <w:tcMar>
              <w:top w:w="100" w:type="dxa"/>
              <w:left w:w="100" w:type="dxa"/>
              <w:bottom w:w="100" w:type="dxa"/>
              <w:right w:w="100" w:type="dxa"/>
            </w:tcMar>
          </w:tcPr>
          <w:p w14:paraId="59906654" w14:textId="77777777" w:rsidR="00942E11" w:rsidRPr="001B4A39" w:rsidRDefault="00954311">
            <w:pPr>
              <w:widowControl w:val="0"/>
              <w:rPr>
                <w:lang w:val="en-GB"/>
              </w:rPr>
            </w:pPr>
            <w:r w:rsidRPr="001B4A39">
              <w:rPr>
                <w:lang w:val="en-GB"/>
              </w:rPr>
              <w:t xml:space="preserve">Ensure assurances from at least 10 organizations to </w:t>
            </w:r>
            <w:r w:rsidRPr="001B4A39">
              <w:rPr>
                <w:lang w:val="en-GB"/>
              </w:rPr>
              <w:t>enhance diversity guidelines.</w:t>
            </w:r>
          </w:p>
        </w:tc>
        <w:tc>
          <w:tcPr>
            <w:tcW w:w="1710" w:type="dxa"/>
            <w:shd w:val="clear" w:color="auto" w:fill="auto"/>
            <w:tcMar>
              <w:top w:w="100" w:type="dxa"/>
              <w:left w:w="100" w:type="dxa"/>
              <w:bottom w:w="100" w:type="dxa"/>
              <w:right w:w="100" w:type="dxa"/>
            </w:tcMar>
          </w:tcPr>
          <w:p w14:paraId="13B286E6" w14:textId="77777777" w:rsidR="00942E11" w:rsidRPr="001B4A39" w:rsidRDefault="00954311">
            <w:pPr>
              <w:widowControl w:val="0"/>
              <w:rPr>
                <w:lang w:val="en-GB"/>
              </w:rPr>
            </w:pPr>
            <w:r w:rsidRPr="001B4A39">
              <w:rPr>
                <w:lang w:val="en-GB"/>
              </w:rPr>
              <w:t xml:space="preserve">Number of companies making formal commitments </w:t>
            </w:r>
          </w:p>
        </w:tc>
        <w:tc>
          <w:tcPr>
            <w:tcW w:w="1710" w:type="dxa"/>
            <w:shd w:val="clear" w:color="auto" w:fill="auto"/>
            <w:tcMar>
              <w:top w:w="100" w:type="dxa"/>
              <w:left w:w="100" w:type="dxa"/>
              <w:bottom w:w="100" w:type="dxa"/>
              <w:right w:w="100" w:type="dxa"/>
            </w:tcMar>
          </w:tcPr>
          <w:p w14:paraId="42EDEBFD" w14:textId="77777777" w:rsidR="00942E11" w:rsidRPr="001B4A39" w:rsidRDefault="00954311">
            <w:pPr>
              <w:widowControl w:val="0"/>
              <w:rPr>
                <w:lang w:val="en-GB"/>
              </w:rPr>
            </w:pPr>
            <w:r w:rsidRPr="001B4A39">
              <w:rPr>
                <w:lang w:val="en-GB"/>
              </w:rPr>
              <w:t>A reliable pledge-signing session will be maintained during the event.</w:t>
            </w:r>
          </w:p>
        </w:tc>
        <w:tc>
          <w:tcPr>
            <w:tcW w:w="1710" w:type="dxa"/>
            <w:shd w:val="clear" w:color="auto" w:fill="auto"/>
            <w:tcMar>
              <w:top w:w="100" w:type="dxa"/>
              <w:left w:w="100" w:type="dxa"/>
              <w:bottom w:w="100" w:type="dxa"/>
              <w:right w:w="100" w:type="dxa"/>
            </w:tcMar>
          </w:tcPr>
          <w:p w14:paraId="3C8318DC" w14:textId="77777777" w:rsidR="00942E11" w:rsidRPr="001B4A39" w:rsidRDefault="00954311">
            <w:pPr>
              <w:widowControl w:val="0"/>
              <w:rPr>
                <w:lang w:val="en-GB"/>
              </w:rPr>
            </w:pPr>
            <w:r w:rsidRPr="001B4A39">
              <w:rPr>
                <w:lang w:val="en-GB"/>
              </w:rPr>
              <w:t>Navigates authentic policy modifications in the workplace.</w:t>
            </w:r>
            <w:r w:rsidRPr="001B4A39">
              <w:rPr>
                <w:lang w:val="en-GB"/>
              </w:rPr>
              <w:tab/>
            </w:r>
          </w:p>
        </w:tc>
        <w:tc>
          <w:tcPr>
            <w:tcW w:w="1695" w:type="dxa"/>
            <w:shd w:val="clear" w:color="auto" w:fill="auto"/>
            <w:tcMar>
              <w:top w:w="100" w:type="dxa"/>
              <w:left w:w="100" w:type="dxa"/>
              <w:bottom w:w="100" w:type="dxa"/>
              <w:right w:w="100" w:type="dxa"/>
            </w:tcMar>
          </w:tcPr>
          <w:p w14:paraId="0C5D827F" w14:textId="77777777" w:rsidR="00942E11" w:rsidRPr="001B4A39" w:rsidRDefault="00954311">
            <w:pPr>
              <w:widowControl w:val="0"/>
              <w:rPr>
                <w:lang w:val="en-GB"/>
              </w:rPr>
            </w:pPr>
            <w:r w:rsidRPr="001B4A39">
              <w:rPr>
                <w:lang w:val="en-GB"/>
              </w:rPr>
              <w:t>Associations will be observed within six months.</w:t>
            </w:r>
          </w:p>
        </w:tc>
      </w:tr>
    </w:tbl>
    <w:p w14:paraId="68C98E95" w14:textId="77777777" w:rsidR="00942E11" w:rsidRPr="001B4A39" w:rsidRDefault="00954311">
      <w:pPr>
        <w:rPr>
          <w:lang w:val="en-GB"/>
        </w:rPr>
      </w:pPr>
      <w:r w:rsidRPr="001B4A39">
        <w:rPr>
          <w:lang w:val="en-GB"/>
        </w:rPr>
        <w:t xml:space="preserve">These objectives determine that the event increases awareness as well as provides tangible results.  The events aim to make a strong impact on workplace inclusivity, by offering actionable takeaways and ensuring organisational commitments. </w:t>
      </w:r>
    </w:p>
    <w:p w14:paraId="176FE0BE" w14:textId="77777777" w:rsidR="00942E11" w:rsidRPr="001B4A39" w:rsidRDefault="00954311">
      <w:pPr>
        <w:pStyle w:val="Heading1"/>
        <w:rPr>
          <w:lang w:val="en-GB"/>
        </w:rPr>
      </w:pPr>
      <w:bookmarkStart w:id="8" w:name="_gk07e9wo74q6" w:colFirst="0" w:colLast="0"/>
      <w:bookmarkStart w:id="9" w:name="_Toc190991147"/>
      <w:bookmarkEnd w:id="8"/>
      <w:r w:rsidRPr="001B4A39">
        <w:rPr>
          <w:lang w:val="en-GB"/>
        </w:rPr>
        <w:t>5. Event Management</w:t>
      </w:r>
      <w:bookmarkEnd w:id="9"/>
    </w:p>
    <w:p w14:paraId="3A0DA11B" w14:textId="77777777" w:rsidR="00942E11" w:rsidRPr="001B4A39" w:rsidRDefault="00954311">
      <w:pPr>
        <w:rPr>
          <w:lang w:val="en-GB"/>
        </w:rPr>
      </w:pPr>
      <w:r w:rsidRPr="001B4A39">
        <w:rPr>
          <w:lang w:val="en-GB"/>
        </w:rPr>
        <w:t>The complete execution of an event depends on strategic planning together with proper coordination to ensure the successful delivery of planned outcomes. The necessary management competencies for carrying out this process consist of:</w:t>
      </w:r>
    </w:p>
    <w:p w14:paraId="37EA589C" w14:textId="77777777" w:rsidR="00942E11" w:rsidRPr="001B4A39" w:rsidRDefault="00954311">
      <w:pPr>
        <w:numPr>
          <w:ilvl w:val="0"/>
          <w:numId w:val="7"/>
        </w:numPr>
        <w:rPr>
          <w:lang w:val="en-GB"/>
        </w:rPr>
      </w:pPr>
      <w:r w:rsidRPr="001B4A39">
        <w:rPr>
          <w:lang w:val="en-GB"/>
        </w:rPr>
        <w:t>Executions of budgeting and scheduling and risk management tasks can be effectively handled through Project Management Body of Knowledge (PMBOK) structured methods (</w:t>
      </w:r>
      <w:proofErr w:type="spellStart"/>
      <w:r w:rsidRPr="001B4A39">
        <w:rPr>
          <w:lang w:val="en-GB"/>
        </w:rPr>
        <w:t>Anandarao</w:t>
      </w:r>
      <w:proofErr w:type="spellEnd"/>
      <w:r w:rsidRPr="001B4A39">
        <w:rPr>
          <w:lang w:val="en-GB"/>
        </w:rPr>
        <w:t xml:space="preserve"> et al., 2023).</w:t>
      </w:r>
    </w:p>
    <w:p w14:paraId="34561D4F" w14:textId="77777777" w:rsidR="00942E11" w:rsidRPr="001B4A39" w:rsidRDefault="00954311">
      <w:pPr>
        <w:numPr>
          <w:ilvl w:val="0"/>
          <w:numId w:val="7"/>
        </w:numPr>
        <w:rPr>
          <w:lang w:val="en-GB"/>
        </w:rPr>
      </w:pPr>
      <w:r w:rsidRPr="001B4A39">
        <w:rPr>
          <w:lang w:val="en-GB"/>
        </w:rPr>
        <w:t xml:space="preserve">The planning of events requires good negotiation and communication skills as </w:t>
      </w:r>
      <w:r w:rsidRPr="001B4A39">
        <w:rPr>
          <w:lang w:val="en-GB"/>
        </w:rPr>
        <w:t>these enable dealing with vendors through contracts and stakeholder coordination that maintains event objectives alignment (Badu et al., 2023).</w:t>
      </w:r>
    </w:p>
    <w:p w14:paraId="66AF21DC" w14:textId="77777777" w:rsidR="00942E11" w:rsidRPr="001B4A39" w:rsidRDefault="00954311">
      <w:pPr>
        <w:numPr>
          <w:ilvl w:val="0"/>
          <w:numId w:val="7"/>
        </w:numPr>
        <w:rPr>
          <w:lang w:val="en-GB"/>
        </w:rPr>
      </w:pPr>
      <w:r w:rsidRPr="001B4A39">
        <w:rPr>
          <w:lang w:val="en-GB"/>
        </w:rPr>
        <w:lastRenderedPageBreak/>
        <w:t>The execution process includes venue reservation speaker acquisition and transportation management alongside venue operations control for presenters' smooth event attendance.</w:t>
      </w:r>
    </w:p>
    <w:p w14:paraId="67B2DDAB" w14:textId="77777777" w:rsidR="00942E11" w:rsidRPr="001B4A39" w:rsidRDefault="00954311">
      <w:pPr>
        <w:numPr>
          <w:ilvl w:val="0"/>
          <w:numId w:val="7"/>
        </w:numPr>
        <w:rPr>
          <w:lang w:val="en-GB"/>
        </w:rPr>
      </w:pPr>
      <w:r w:rsidRPr="001B4A39">
        <w:rPr>
          <w:lang w:val="en-GB"/>
        </w:rPr>
        <w:t>The process of crisis and risk management allows the identification of possible risks like technical breakdowns and speaker cancellations which leads to forming contingency procedures to address these challenges.</w:t>
      </w:r>
    </w:p>
    <w:p w14:paraId="53EEE6C6" w14:textId="77777777" w:rsidR="00942E11" w:rsidRPr="001B4A39" w:rsidRDefault="00954311">
      <w:pPr>
        <w:rPr>
          <w:b/>
          <w:lang w:val="en-GB"/>
        </w:rPr>
      </w:pPr>
      <w:r w:rsidRPr="001B4A39">
        <w:rPr>
          <w:b/>
          <w:lang w:val="en-GB"/>
        </w:rPr>
        <w:t>Operational and Planning Activities</w:t>
      </w:r>
    </w:p>
    <w:p w14:paraId="0F182B39" w14:textId="77777777" w:rsidR="00942E11" w:rsidRPr="001B4A39" w:rsidRDefault="00954311">
      <w:pPr>
        <w:rPr>
          <w:lang w:val="en-GB"/>
        </w:rPr>
      </w:pPr>
      <w:r w:rsidRPr="001B4A39">
        <w:rPr>
          <w:lang w:val="en-GB"/>
        </w:rPr>
        <w:t>Operational plans for event management require a complete set of steps to achieve success.</w:t>
      </w:r>
    </w:p>
    <w:p w14:paraId="2D3EF5C3" w14:textId="77777777" w:rsidR="00942E11" w:rsidRPr="001B4A39" w:rsidRDefault="00954311">
      <w:pPr>
        <w:numPr>
          <w:ilvl w:val="0"/>
          <w:numId w:val="2"/>
        </w:numPr>
        <w:rPr>
          <w:lang w:val="en-GB"/>
        </w:rPr>
      </w:pPr>
      <w:r w:rsidRPr="001B4A39">
        <w:rPr>
          <w:lang w:val="en-GB"/>
        </w:rPr>
        <w:t>The first task includes finding suitable venue space according to event goals and confirming both guest speakers and panel members and facilitators beforehand.</w:t>
      </w:r>
    </w:p>
    <w:p w14:paraId="6366FB53" w14:textId="77777777" w:rsidR="00942E11" w:rsidRPr="001B4A39" w:rsidRDefault="00954311">
      <w:pPr>
        <w:numPr>
          <w:ilvl w:val="0"/>
          <w:numId w:val="2"/>
        </w:numPr>
        <w:rPr>
          <w:lang w:val="en-GB"/>
        </w:rPr>
      </w:pPr>
      <w:r w:rsidRPr="001B4A39">
        <w:rPr>
          <w:lang w:val="en-GB"/>
        </w:rPr>
        <w:t>The event agenda includes meaningful sessions combined with interactive workshops together with panel discussions to optimize attendee participation throughout the program.</w:t>
      </w:r>
    </w:p>
    <w:p w14:paraId="00C495EB" w14:textId="77777777" w:rsidR="00942E11" w:rsidRPr="001B4A39" w:rsidRDefault="00954311">
      <w:pPr>
        <w:numPr>
          <w:ilvl w:val="0"/>
          <w:numId w:val="2"/>
        </w:numPr>
        <w:rPr>
          <w:lang w:val="en-GB"/>
        </w:rPr>
      </w:pPr>
      <w:r w:rsidRPr="001B4A39">
        <w:rPr>
          <w:lang w:val="en-GB"/>
        </w:rPr>
        <w:t>Technology Management requires the implementation of real-time audience engagement tools along with live-streaming services and online registration infrastructure for increasing accessibility (</w:t>
      </w:r>
      <w:proofErr w:type="spellStart"/>
      <w:r w:rsidRPr="001B4A39">
        <w:rPr>
          <w:lang w:val="en-GB"/>
        </w:rPr>
        <w:t>Oham</w:t>
      </w:r>
      <w:proofErr w:type="spellEnd"/>
      <w:r w:rsidRPr="001B4A39">
        <w:rPr>
          <w:lang w:val="en-GB"/>
        </w:rPr>
        <w:t xml:space="preserve"> and </w:t>
      </w:r>
      <w:proofErr w:type="spellStart"/>
      <w:r w:rsidRPr="001B4A39">
        <w:rPr>
          <w:lang w:val="en-GB"/>
        </w:rPr>
        <w:t>Ejike</w:t>
      </w:r>
      <w:proofErr w:type="spellEnd"/>
      <w:r w:rsidRPr="001B4A39">
        <w:rPr>
          <w:lang w:val="en-GB"/>
        </w:rPr>
        <w:t>, 2024).</w:t>
      </w:r>
    </w:p>
    <w:p w14:paraId="10B80807" w14:textId="77777777" w:rsidR="00942E11" w:rsidRPr="001B4A39" w:rsidRDefault="00954311">
      <w:pPr>
        <w:rPr>
          <w:b/>
          <w:lang w:val="en-GB"/>
        </w:rPr>
      </w:pPr>
      <w:r w:rsidRPr="001B4A39">
        <w:rPr>
          <w:b/>
          <w:lang w:val="en-GB"/>
        </w:rPr>
        <w:t>Marketing Activities</w:t>
      </w:r>
    </w:p>
    <w:p w14:paraId="7F18BC19" w14:textId="77777777" w:rsidR="00942E11" w:rsidRPr="001B4A39" w:rsidRDefault="00954311">
      <w:pPr>
        <w:rPr>
          <w:lang w:val="en-GB"/>
        </w:rPr>
      </w:pPr>
      <w:r w:rsidRPr="001B4A39">
        <w:rPr>
          <w:lang w:val="en-GB"/>
        </w:rPr>
        <w:t>The execution of a strategic marketing approach leads to high levels of exhibition participation from both attendees and guests. Key promotional activities include:</w:t>
      </w:r>
    </w:p>
    <w:p w14:paraId="72F50254" w14:textId="77777777" w:rsidR="00942E11" w:rsidRPr="001B4A39" w:rsidRDefault="00954311">
      <w:pPr>
        <w:numPr>
          <w:ilvl w:val="0"/>
          <w:numId w:val="1"/>
        </w:numPr>
        <w:rPr>
          <w:lang w:val="en-GB"/>
        </w:rPr>
      </w:pPr>
      <w:r w:rsidRPr="001B4A39">
        <w:rPr>
          <w:lang w:val="en-GB"/>
        </w:rPr>
        <w:t>The promotion strategy combines social media platforms with a website presence through content designed for LinkedIn Twitter and industry networking websites to target relevant professional profiles.</w:t>
      </w:r>
    </w:p>
    <w:p w14:paraId="3C6740AF" w14:textId="77777777" w:rsidR="00942E11" w:rsidRPr="001B4A39" w:rsidRDefault="00954311">
      <w:pPr>
        <w:numPr>
          <w:ilvl w:val="0"/>
          <w:numId w:val="1"/>
        </w:numPr>
        <w:rPr>
          <w:lang w:val="en-GB"/>
        </w:rPr>
      </w:pPr>
      <w:r w:rsidRPr="001B4A39">
        <w:rPr>
          <w:lang w:val="en-GB"/>
        </w:rPr>
        <w:t>Custom email invitations alongside reminders will be dispatched to selected participants who consist of business executives together with HR experts (</w:t>
      </w:r>
      <w:proofErr w:type="spellStart"/>
      <w:r w:rsidRPr="001B4A39">
        <w:rPr>
          <w:lang w:val="en-GB"/>
        </w:rPr>
        <w:t>Fessi</w:t>
      </w:r>
      <w:proofErr w:type="spellEnd"/>
      <w:r w:rsidRPr="001B4A39">
        <w:rPr>
          <w:lang w:val="en-GB"/>
        </w:rPr>
        <w:t xml:space="preserve"> et al., 2023).</w:t>
      </w:r>
    </w:p>
    <w:p w14:paraId="60295044" w14:textId="77777777" w:rsidR="00942E11" w:rsidRPr="001B4A39" w:rsidRDefault="00954311">
      <w:pPr>
        <w:numPr>
          <w:ilvl w:val="0"/>
          <w:numId w:val="1"/>
        </w:numPr>
        <w:rPr>
          <w:lang w:val="en-GB"/>
        </w:rPr>
      </w:pPr>
      <w:r w:rsidRPr="001B4A39">
        <w:rPr>
          <w:lang w:val="en-GB"/>
        </w:rPr>
        <w:t>The organization will establish partnerships with business-oriented professional associations and organizations that focus on diversity to expand its outreach.</w:t>
      </w:r>
    </w:p>
    <w:p w14:paraId="2BF9209D" w14:textId="77777777" w:rsidR="00942E11" w:rsidRPr="001B4A39" w:rsidRDefault="00954311">
      <w:pPr>
        <w:rPr>
          <w:lang w:val="en-GB"/>
        </w:rPr>
      </w:pPr>
      <w:r w:rsidRPr="001B4A39">
        <w:rPr>
          <w:lang w:val="en-GB"/>
        </w:rPr>
        <w:t>The combination of project management frameworks with communication strategies and marketing strategies will bring success to the event both in facilitating meaningful industry change as well as promoting equality and diversity (Irfan et al., 2021).</w:t>
      </w:r>
    </w:p>
    <w:p w14:paraId="0F64EDB2" w14:textId="77777777" w:rsidR="00942E11" w:rsidRPr="001B4A39" w:rsidRDefault="00954311">
      <w:pPr>
        <w:pStyle w:val="Heading1"/>
        <w:rPr>
          <w:lang w:val="en-GB"/>
        </w:rPr>
      </w:pPr>
      <w:bookmarkStart w:id="10" w:name="_qj0crm620awd" w:colFirst="0" w:colLast="0"/>
      <w:bookmarkStart w:id="11" w:name="_Toc190991148"/>
      <w:bookmarkEnd w:id="10"/>
      <w:r w:rsidRPr="001B4A39">
        <w:rPr>
          <w:lang w:val="en-GB"/>
        </w:rPr>
        <w:t>6. Event Budget</w:t>
      </w:r>
      <w:bookmarkEnd w:id="11"/>
    </w:p>
    <w:p w14:paraId="2DFF8428" w14:textId="77777777" w:rsidR="00942E11" w:rsidRPr="001B4A39" w:rsidRDefault="00954311">
      <w:pPr>
        <w:rPr>
          <w:lang w:val="en-GB"/>
        </w:rPr>
      </w:pPr>
      <w:r w:rsidRPr="001B4A39">
        <w:rPr>
          <w:lang w:val="en-GB"/>
        </w:rPr>
        <w:t>The financial achievement of a successful event depends on budget planning which enables affordable access for all participants. The budget will detail all financial features by showing income sources along with planned costs for efficient management.</w:t>
      </w:r>
    </w:p>
    <w:tbl>
      <w:tblPr>
        <w:tblStyle w:val="a1"/>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942E11" w:rsidRPr="001B4A39" w14:paraId="5C7F5C68" w14:textId="77777777">
        <w:tc>
          <w:tcPr>
            <w:tcW w:w="3120" w:type="dxa"/>
            <w:shd w:val="clear" w:color="auto" w:fill="auto"/>
            <w:tcMar>
              <w:top w:w="100" w:type="dxa"/>
              <w:left w:w="100" w:type="dxa"/>
              <w:bottom w:w="100" w:type="dxa"/>
              <w:right w:w="100" w:type="dxa"/>
            </w:tcMar>
          </w:tcPr>
          <w:p w14:paraId="3E7DB8BD" w14:textId="77777777" w:rsidR="00942E11" w:rsidRPr="001B4A39" w:rsidRDefault="00954311">
            <w:pPr>
              <w:widowControl w:val="0"/>
              <w:pBdr>
                <w:top w:val="nil"/>
                <w:left w:val="nil"/>
                <w:bottom w:val="nil"/>
                <w:right w:val="nil"/>
                <w:between w:val="nil"/>
              </w:pBdr>
              <w:jc w:val="center"/>
              <w:rPr>
                <w:b/>
                <w:lang w:val="en-GB"/>
              </w:rPr>
            </w:pPr>
            <w:r w:rsidRPr="001B4A39">
              <w:rPr>
                <w:b/>
                <w:lang w:val="en-GB"/>
              </w:rPr>
              <w:lastRenderedPageBreak/>
              <w:t>Category</w:t>
            </w:r>
          </w:p>
        </w:tc>
        <w:tc>
          <w:tcPr>
            <w:tcW w:w="3120" w:type="dxa"/>
            <w:shd w:val="clear" w:color="auto" w:fill="auto"/>
            <w:tcMar>
              <w:top w:w="100" w:type="dxa"/>
              <w:left w:w="100" w:type="dxa"/>
              <w:bottom w:w="100" w:type="dxa"/>
              <w:right w:w="100" w:type="dxa"/>
            </w:tcMar>
          </w:tcPr>
          <w:p w14:paraId="78250C10" w14:textId="77777777" w:rsidR="00942E11" w:rsidRPr="001B4A39" w:rsidRDefault="00954311">
            <w:pPr>
              <w:widowControl w:val="0"/>
              <w:pBdr>
                <w:top w:val="nil"/>
                <w:left w:val="nil"/>
                <w:bottom w:val="nil"/>
                <w:right w:val="nil"/>
                <w:between w:val="nil"/>
              </w:pBdr>
              <w:jc w:val="center"/>
              <w:rPr>
                <w:b/>
                <w:lang w:val="en-GB"/>
              </w:rPr>
            </w:pPr>
            <w:r w:rsidRPr="001B4A39">
              <w:rPr>
                <w:b/>
                <w:lang w:val="en-GB"/>
              </w:rPr>
              <w:t>Estimated Cost (£)</w:t>
            </w:r>
            <w:r w:rsidRPr="001B4A39">
              <w:rPr>
                <w:b/>
                <w:lang w:val="en-GB"/>
              </w:rPr>
              <w:tab/>
            </w:r>
          </w:p>
        </w:tc>
        <w:tc>
          <w:tcPr>
            <w:tcW w:w="3120" w:type="dxa"/>
            <w:shd w:val="clear" w:color="auto" w:fill="auto"/>
            <w:tcMar>
              <w:top w:w="100" w:type="dxa"/>
              <w:left w:w="100" w:type="dxa"/>
              <w:bottom w:w="100" w:type="dxa"/>
              <w:right w:w="100" w:type="dxa"/>
            </w:tcMar>
          </w:tcPr>
          <w:p w14:paraId="404CC71C" w14:textId="77777777" w:rsidR="00942E11" w:rsidRPr="001B4A39" w:rsidRDefault="00954311">
            <w:pPr>
              <w:widowControl w:val="0"/>
              <w:pBdr>
                <w:top w:val="nil"/>
                <w:left w:val="nil"/>
                <w:bottom w:val="nil"/>
                <w:right w:val="nil"/>
                <w:between w:val="nil"/>
              </w:pBdr>
              <w:jc w:val="center"/>
              <w:rPr>
                <w:b/>
                <w:lang w:val="en-GB"/>
              </w:rPr>
            </w:pPr>
            <w:r w:rsidRPr="001B4A39">
              <w:rPr>
                <w:b/>
                <w:lang w:val="en-GB"/>
              </w:rPr>
              <w:t>Notes</w:t>
            </w:r>
          </w:p>
        </w:tc>
      </w:tr>
      <w:tr w:rsidR="00942E11" w:rsidRPr="001B4A39" w14:paraId="67691FB6" w14:textId="77777777">
        <w:tc>
          <w:tcPr>
            <w:tcW w:w="3120" w:type="dxa"/>
            <w:shd w:val="clear" w:color="auto" w:fill="auto"/>
            <w:tcMar>
              <w:top w:w="100" w:type="dxa"/>
              <w:left w:w="100" w:type="dxa"/>
              <w:bottom w:w="100" w:type="dxa"/>
              <w:right w:w="100" w:type="dxa"/>
            </w:tcMar>
          </w:tcPr>
          <w:p w14:paraId="1D08D674" w14:textId="77777777" w:rsidR="00942E11" w:rsidRPr="001B4A39" w:rsidRDefault="00954311">
            <w:pPr>
              <w:widowControl w:val="0"/>
              <w:pBdr>
                <w:top w:val="nil"/>
                <w:left w:val="nil"/>
                <w:bottom w:val="nil"/>
                <w:right w:val="nil"/>
                <w:between w:val="nil"/>
              </w:pBdr>
              <w:jc w:val="left"/>
              <w:rPr>
                <w:b/>
                <w:lang w:val="en-GB"/>
              </w:rPr>
            </w:pPr>
            <w:r w:rsidRPr="001B4A39">
              <w:rPr>
                <w:b/>
                <w:lang w:val="en-GB"/>
              </w:rPr>
              <w:t>Venue Hire</w:t>
            </w:r>
          </w:p>
        </w:tc>
        <w:tc>
          <w:tcPr>
            <w:tcW w:w="3120" w:type="dxa"/>
            <w:shd w:val="clear" w:color="auto" w:fill="auto"/>
            <w:tcMar>
              <w:top w:w="100" w:type="dxa"/>
              <w:left w:w="100" w:type="dxa"/>
              <w:bottom w:w="100" w:type="dxa"/>
              <w:right w:w="100" w:type="dxa"/>
            </w:tcMar>
          </w:tcPr>
          <w:p w14:paraId="7717DD5B" w14:textId="77777777" w:rsidR="00942E11" w:rsidRPr="001B4A39" w:rsidRDefault="00954311">
            <w:pPr>
              <w:widowControl w:val="0"/>
              <w:pBdr>
                <w:top w:val="nil"/>
                <w:left w:val="nil"/>
                <w:bottom w:val="nil"/>
                <w:right w:val="nil"/>
                <w:between w:val="nil"/>
              </w:pBdr>
              <w:jc w:val="left"/>
              <w:rPr>
                <w:lang w:val="en-GB"/>
              </w:rPr>
            </w:pPr>
            <w:r w:rsidRPr="001B4A39">
              <w:rPr>
                <w:lang w:val="en-GB"/>
              </w:rPr>
              <w:t>7, 000</w:t>
            </w:r>
          </w:p>
        </w:tc>
        <w:tc>
          <w:tcPr>
            <w:tcW w:w="3120" w:type="dxa"/>
            <w:shd w:val="clear" w:color="auto" w:fill="auto"/>
            <w:tcMar>
              <w:top w:w="100" w:type="dxa"/>
              <w:left w:w="100" w:type="dxa"/>
              <w:bottom w:w="100" w:type="dxa"/>
              <w:right w:w="100" w:type="dxa"/>
            </w:tcMar>
          </w:tcPr>
          <w:p w14:paraId="6993D541" w14:textId="77777777" w:rsidR="00942E11" w:rsidRPr="001B4A39" w:rsidRDefault="00954311">
            <w:pPr>
              <w:widowControl w:val="0"/>
              <w:pBdr>
                <w:top w:val="nil"/>
                <w:left w:val="nil"/>
                <w:bottom w:val="nil"/>
                <w:right w:val="nil"/>
                <w:between w:val="nil"/>
              </w:pBdr>
              <w:jc w:val="left"/>
              <w:rPr>
                <w:lang w:val="en-GB"/>
              </w:rPr>
            </w:pPr>
            <w:r w:rsidRPr="001B4A39">
              <w:rPr>
                <w:lang w:val="en-GB"/>
              </w:rPr>
              <w:t>Conference hall rental</w:t>
            </w:r>
          </w:p>
        </w:tc>
      </w:tr>
      <w:tr w:rsidR="00942E11" w:rsidRPr="001B4A39" w14:paraId="02B6A6C2" w14:textId="77777777">
        <w:tc>
          <w:tcPr>
            <w:tcW w:w="3120" w:type="dxa"/>
            <w:shd w:val="clear" w:color="auto" w:fill="auto"/>
            <w:tcMar>
              <w:top w:w="100" w:type="dxa"/>
              <w:left w:w="100" w:type="dxa"/>
              <w:bottom w:w="100" w:type="dxa"/>
              <w:right w:w="100" w:type="dxa"/>
            </w:tcMar>
          </w:tcPr>
          <w:p w14:paraId="46F2880C" w14:textId="77777777" w:rsidR="00942E11" w:rsidRPr="001B4A39" w:rsidRDefault="00954311">
            <w:pPr>
              <w:widowControl w:val="0"/>
              <w:pBdr>
                <w:top w:val="nil"/>
                <w:left w:val="nil"/>
                <w:bottom w:val="nil"/>
                <w:right w:val="nil"/>
                <w:between w:val="nil"/>
              </w:pBdr>
              <w:jc w:val="left"/>
              <w:rPr>
                <w:b/>
                <w:lang w:val="en-GB"/>
              </w:rPr>
            </w:pPr>
            <w:r w:rsidRPr="001B4A39">
              <w:rPr>
                <w:b/>
                <w:lang w:val="en-GB"/>
              </w:rPr>
              <w:t>Catering</w:t>
            </w:r>
          </w:p>
        </w:tc>
        <w:tc>
          <w:tcPr>
            <w:tcW w:w="3120" w:type="dxa"/>
            <w:shd w:val="clear" w:color="auto" w:fill="auto"/>
            <w:tcMar>
              <w:top w:w="100" w:type="dxa"/>
              <w:left w:w="100" w:type="dxa"/>
              <w:bottom w:w="100" w:type="dxa"/>
              <w:right w:w="100" w:type="dxa"/>
            </w:tcMar>
          </w:tcPr>
          <w:p w14:paraId="615A02A8" w14:textId="77777777" w:rsidR="00942E11" w:rsidRPr="001B4A39" w:rsidRDefault="00954311">
            <w:pPr>
              <w:widowControl w:val="0"/>
              <w:pBdr>
                <w:top w:val="nil"/>
                <w:left w:val="nil"/>
                <w:bottom w:val="nil"/>
                <w:right w:val="nil"/>
                <w:between w:val="nil"/>
              </w:pBdr>
              <w:jc w:val="left"/>
              <w:rPr>
                <w:lang w:val="en-GB"/>
              </w:rPr>
            </w:pPr>
            <w:r w:rsidRPr="001B4A39">
              <w:rPr>
                <w:lang w:val="en-GB"/>
              </w:rPr>
              <w:t>3,000</w:t>
            </w:r>
          </w:p>
        </w:tc>
        <w:tc>
          <w:tcPr>
            <w:tcW w:w="3120" w:type="dxa"/>
            <w:shd w:val="clear" w:color="auto" w:fill="auto"/>
            <w:tcMar>
              <w:top w:w="100" w:type="dxa"/>
              <w:left w:w="100" w:type="dxa"/>
              <w:bottom w:w="100" w:type="dxa"/>
              <w:right w:w="100" w:type="dxa"/>
            </w:tcMar>
          </w:tcPr>
          <w:p w14:paraId="5524E01D" w14:textId="77777777" w:rsidR="00942E11" w:rsidRPr="001B4A39" w:rsidRDefault="00954311">
            <w:pPr>
              <w:widowControl w:val="0"/>
              <w:pBdr>
                <w:top w:val="nil"/>
                <w:left w:val="nil"/>
                <w:bottom w:val="nil"/>
                <w:right w:val="nil"/>
                <w:between w:val="nil"/>
              </w:pBdr>
              <w:jc w:val="left"/>
              <w:rPr>
                <w:lang w:val="en-GB"/>
              </w:rPr>
            </w:pPr>
            <w:r w:rsidRPr="001B4A39">
              <w:rPr>
                <w:lang w:val="en-GB"/>
              </w:rPr>
              <w:t xml:space="preserve">Refreshments for 200 </w:t>
            </w:r>
            <w:r w:rsidRPr="001B4A39">
              <w:rPr>
                <w:lang w:val="en-GB"/>
              </w:rPr>
              <w:t>guests</w:t>
            </w:r>
          </w:p>
        </w:tc>
      </w:tr>
      <w:tr w:rsidR="00942E11" w:rsidRPr="001B4A39" w14:paraId="569DBBBD" w14:textId="77777777">
        <w:tc>
          <w:tcPr>
            <w:tcW w:w="3120" w:type="dxa"/>
            <w:shd w:val="clear" w:color="auto" w:fill="auto"/>
            <w:tcMar>
              <w:top w:w="100" w:type="dxa"/>
              <w:left w:w="100" w:type="dxa"/>
              <w:bottom w:w="100" w:type="dxa"/>
              <w:right w:w="100" w:type="dxa"/>
            </w:tcMar>
          </w:tcPr>
          <w:p w14:paraId="34281B5F" w14:textId="77777777" w:rsidR="00942E11" w:rsidRPr="001B4A39" w:rsidRDefault="00954311">
            <w:pPr>
              <w:widowControl w:val="0"/>
              <w:pBdr>
                <w:top w:val="nil"/>
                <w:left w:val="nil"/>
                <w:bottom w:val="nil"/>
                <w:right w:val="nil"/>
                <w:between w:val="nil"/>
              </w:pBdr>
              <w:jc w:val="left"/>
              <w:rPr>
                <w:b/>
                <w:lang w:val="en-GB"/>
              </w:rPr>
            </w:pPr>
            <w:r w:rsidRPr="001B4A39">
              <w:rPr>
                <w:b/>
                <w:lang w:val="en-GB"/>
              </w:rPr>
              <w:t>Speaker Fees</w:t>
            </w:r>
            <w:r w:rsidRPr="001B4A39">
              <w:rPr>
                <w:b/>
                <w:lang w:val="en-GB"/>
              </w:rPr>
              <w:tab/>
            </w:r>
          </w:p>
        </w:tc>
        <w:tc>
          <w:tcPr>
            <w:tcW w:w="3120" w:type="dxa"/>
            <w:shd w:val="clear" w:color="auto" w:fill="auto"/>
            <w:tcMar>
              <w:top w:w="100" w:type="dxa"/>
              <w:left w:w="100" w:type="dxa"/>
              <w:bottom w:w="100" w:type="dxa"/>
              <w:right w:w="100" w:type="dxa"/>
            </w:tcMar>
          </w:tcPr>
          <w:p w14:paraId="01AEDC84" w14:textId="77777777" w:rsidR="00942E11" w:rsidRPr="001B4A39" w:rsidRDefault="00954311">
            <w:pPr>
              <w:widowControl w:val="0"/>
              <w:pBdr>
                <w:top w:val="nil"/>
                <w:left w:val="nil"/>
                <w:bottom w:val="nil"/>
                <w:right w:val="nil"/>
                <w:between w:val="nil"/>
              </w:pBdr>
              <w:jc w:val="left"/>
              <w:rPr>
                <w:lang w:val="en-GB"/>
              </w:rPr>
            </w:pPr>
            <w:r w:rsidRPr="001B4A39">
              <w:rPr>
                <w:lang w:val="en-GB"/>
              </w:rPr>
              <w:t>4,000</w:t>
            </w:r>
          </w:p>
        </w:tc>
        <w:tc>
          <w:tcPr>
            <w:tcW w:w="3120" w:type="dxa"/>
            <w:shd w:val="clear" w:color="auto" w:fill="auto"/>
            <w:tcMar>
              <w:top w:w="100" w:type="dxa"/>
              <w:left w:w="100" w:type="dxa"/>
              <w:bottom w:w="100" w:type="dxa"/>
              <w:right w:w="100" w:type="dxa"/>
            </w:tcMar>
          </w:tcPr>
          <w:p w14:paraId="2C4E65A2" w14:textId="77777777" w:rsidR="00942E11" w:rsidRPr="001B4A39" w:rsidRDefault="00954311">
            <w:pPr>
              <w:widowControl w:val="0"/>
              <w:pBdr>
                <w:top w:val="nil"/>
                <w:left w:val="nil"/>
                <w:bottom w:val="nil"/>
                <w:right w:val="nil"/>
                <w:between w:val="nil"/>
              </w:pBdr>
              <w:jc w:val="left"/>
              <w:rPr>
                <w:lang w:val="en-GB"/>
              </w:rPr>
            </w:pPr>
            <w:r w:rsidRPr="001B4A39">
              <w:rPr>
                <w:lang w:val="en-GB"/>
              </w:rPr>
              <w:t>Honorarium for guest speakers</w:t>
            </w:r>
          </w:p>
        </w:tc>
      </w:tr>
      <w:tr w:rsidR="00942E11" w:rsidRPr="001B4A39" w14:paraId="5B9B4634" w14:textId="77777777">
        <w:tc>
          <w:tcPr>
            <w:tcW w:w="3120" w:type="dxa"/>
            <w:shd w:val="clear" w:color="auto" w:fill="auto"/>
            <w:tcMar>
              <w:top w:w="100" w:type="dxa"/>
              <w:left w:w="100" w:type="dxa"/>
              <w:bottom w:w="100" w:type="dxa"/>
              <w:right w:w="100" w:type="dxa"/>
            </w:tcMar>
          </w:tcPr>
          <w:p w14:paraId="7C3821DD" w14:textId="77777777" w:rsidR="00942E11" w:rsidRPr="001B4A39" w:rsidRDefault="00954311">
            <w:pPr>
              <w:widowControl w:val="0"/>
              <w:pBdr>
                <w:top w:val="nil"/>
                <w:left w:val="nil"/>
                <w:bottom w:val="nil"/>
                <w:right w:val="nil"/>
                <w:between w:val="nil"/>
              </w:pBdr>
              <w:jc w:val="left"/>
              <w:rPr>
                <w:b/>
                <w:lang w:val="en-GB"/>
              </w:rPr>
            </w:pPr>
            <w:r w:rsidRPr="001B4A39">
              <w:rPr>
                <w:b/>
                <w:lang w:val="en-GB"/>
              </w:rPr>
              <w:t>Technology &amp; AV</w:t>
            </w:r>
            <w:r w:rsidRPr="001B4A39">
              <w:rPr>
                <w:b/>
                <w:lang w:val="en-GB"/>
              </w:rPr>
              <w:tab/>
            </w:r>
          </w:p>
        </w:tc>
        <w:tc>
          <w:tcPr>
            <w:tcW w:w="3120" w:type="dxa"/>
            <w:shd w:val="clear" w:color="auto" w:fill="auto"/>
            <w:tcMar>
              <w:top w:w="100" w:type="dxa"/>
              <w:left w:w="100" w:type="dxa"/>
              <w:bottom w:w="100" w:type="dxa"/>
              <w:right w:w="100" w:type="dxa"/>
            </w:tcMar>
          </w:tcPr>
          <w:p w14:paraId="1078242F" w14:textId="77777777" w:rsidR="00942E11" w:rsidRPr="001B4A39" w:rsidRDefault="00954311">
            <w:pPr>
              <w:widowControl w:val="0"/>
              <w:pBdr>
                <w:top w:val="nil"/>
                <w:left w:val="nil"/>
                <w:bottom w:val="nil"/>
                <w:right w:val="nil"/>
                <w:between w:val="nil"/>
              </w:pBdr>
              <w:jc w:val="left"/>
              <w:rPr>
                <w:lang w:val="en-GB"/>
              </w:rPr>
            </w:pPr>
            <w:r w:rsidRPr="001B4A39">
              <w:rPr>
                <w:lang w:val="en-GB"/>
              </w:rPr>
              <w:t>1,500</w:t>
            </w:r>
          </w:p>
        </w:tc>
        <w:tc>
          <w:tcPr>
            <w:tcW w:w="3120" w:type="dxa"/>
            <w:shd w:val="clear" w:color="auto" w:fill="auto"/>
            <w:tcMar>
              <w:top w:w="100" w:type="dxa"/>
              <w:left w:w="100" w:type="dxa"/>
              <w:bottom w:w="100" w:type="dxa"/>
              <w:right w:w="100" w:type="dxa"/>
            </w:tcMar>
          </w:tcPr>
          <w:p w14:paraId="6C10CD27" w14:textId="77777777" w:rsidR="00942E11" w:rsidRPr="001B4A39" w:rsidRDefault="00954311">
            <w:pPr>
              <w:widowControl w:val="0"/>
              <w:pBdr>
                <w:top w:val="nil"/>
                <w:left w:val="nil"/>
                <w:bottom w:val="nil"/>
                <w:right w:val="nil"/>
                <w:between w:val="nil"/>
              </w:pBdr>
              <w:jc w:val="left"/>
              <w:rPr>
                <w:lang w:val="en-GB"/>
              </w:rPr>
            </w:pPr>
            <w:r w:rsidRPr="001B4A39">
              <w:rPr>
                <w:lang w:val="en-GB"/>
              </w:rPr>
              <w:t>Live streaming, registration setup</w:t>
            </w:r>
          </w:p>
        </w:tc>
      </w:tr>
      <w:tr w:rsidR="00942E11" w:rsidRPr="001B4A39" w14:paraId="563FFC6C" w14:textId="77777777">
        <w:tc>
          <w:tcPr>
            <w:tcW w:w="3120" w:type="dxa"/>
            <w:shd w:val="clear" w:color="auto" w:fill="auto"/>
            <w:tcMar>
              <w:top w:w="100" w:type="dxa"/>
              <w:left w:w="100" w:type="dxa"/>
              <w:bottom w:w="100" w:type="dxa"/>
              <w:right w:w="100" w:type="dxa"/>
            </w:tcMar>
          </w:tcPr>
          <w:p w14:paraId="6EE12E9A" w14:textId="77777777" w:rsidR="00942E11" w:rsidRPr="001B4A39" w:rsidRDefault="00954311">
            <w:pPr>
              <w:widowControl w:val="0"/>
              <w:pBdr>
                <w:top w:val="nil"/>
                <w:left w:val="nil"/>
                <w:bottom w:val="nil"/>
                <w:right w:val="nil"/>
                <w:between w:val="nil"/>
              </w:pBdr>
              <w:jc w:val="left"/>
              <w:rPr>
                <w:b/>
                <w:lang w:val="en-GB"/>
              </w:rPr>
            </w:pPr>
            <w:r w:rsidRPr="001B4A39">
              <w:rPr>
                <w:b/>
                <w:lang w:val="en-GB"/>
              </w:rPr>
              <w:t>Miscellaneous</w:t>
            </w:r>
            <w:r w:rsidRPr="001B4A39">
              <w:rPr>
                <w:b/>
                <w:lang w:val="en-GB"/>
              </w:rPr>
              <w:tab/>
            </w:r>
          </w:p>
        </w:tc>
        <w:tc>
          <w:tcPr>
            <w:tcW w:w="3120" w:type="dxa"/>
            <w:shd w:val="clear" w:color="auto" w:fill="auto"/>
            <w:tcMar>
              <w:top w:w="100" w:type="dxa"/>
              <w:left w:w="100" w:type="dxa"/>
              <w:bottom w:w="100" w:type="dxa"/>
              <w:right w:w="100" w:type="dxa"/>
            </w:tcMar>
          </w:tcPr>
          <w:p w14:paraId="4FC5B17F" w14:textId="77777777" w:rsidR="00942E11" w:rsidRPr="001B4A39" w:rsidRDefault="00954311">
            <w:pPr>
              <w:widowControl w:val="0"/>
              <w:pBdr>
                <w:top w:val="nil"/>
                <w:left w:val="nil"/>
                <w:bottom w:val="nil"/>
                <w:right w:val="nil"/>
                <w:between w:val="nil"/>
              </w:pBdr>
              <w:jc w:val="left"/>
              <w:rPr>
                <w:lang w:val="en-GB"/>
              </w:rPr>
            </w:pPr>
            <w:r w:rsidRPr="001B4A39">
              <w:rPr>
                <w:lang w:val="en-GB"/>
              </w:rPr>
              <w:t>1,500</w:t>
            </w:r>
          </w:p>
        </w:tc>
        <w:tc>
          <w:tcPr>
            <w:tcW w:w="3120" w:type="dxa"/>
            <w:shd w:val="clear" w:color="auto" w:fill="auto"/>
            <w:tcMar>
              <w:top w:w="100" w:type="dxa"/>
              <w:left w:w="100" w:type="dxa"/>
              <w:bottom w:w="100" w:type="dxa"/>
              <w:right w:w="100" w:type="dxa"/>
            </w:tcMar>
          </w:tcPr>
          <w:p w14:paraId="6E37302C" w14:textId="77777777" w:rsidR="00942E11" w:rsidRPr="001B4A39" w:rsidRDefault="00954311">
            <w:pPr>
              <w:widowControl w:val="0"/>
              <w:pBdr>
                <w:top w:val="nil"/>
                <w:left w:val="nil"/>
                <w:bottom w:val="nil"/>
                <w:right w:val="nil"/>
                <w:between w:val="nil"/>
              </w:pBdr>
              <w:jc w:val="left"/>
              <w:rPr>
                <w:lang w:val="en-GB"/>
              </w:rPr>
            </w:pPr>
            <w:r w:rsidRPr="001B4A39">
              <w:rPr>
                <w:lang w:val="en-GB"/>
              </w:rPr>
              <w:t>Contingency fund</w:t>
            </w:r>
          </w:p>
        </w:tc>
      </w:tr>
      <w:tr w:rsidR="00942E11" w:rsidRPr="001B4A39" w14:paraId="61E09919" w14:textId="77777777">
        <w:tc>
          <w:tcPr>
            <w:tcW w:w="3120" w:type="dxa"/>
            <w:shd w:val="clear" w:color="auto" w:fill="auto"/>
            <w:tcMar>
              <w:top w:w="100" w:type="dxa"/>
              <w:left w:w="100" w:type="dxa"/>
              <w:bottom w:w="100" w:type="dxa"/>
              <w:right w:w="100" w:type="dxa"/>
            </w:tcMar>
          </w:tcPr>
          <w:p w14:paraId="6FC39F90" w14:textId="77777777" w:rsidR="00942E11" w:rsidRPr="001B4A39" w:rsidRDefault="00954311">
            <w:pPr>
              <w:widowControl w:val="0"/>
              <w:pBdr>
                <w:top w:val="nil"/>
                <w:left w:val="nil"/>
                <w:bottom w:val="nil"/>
                <w:right w:val="nil"/>
                <w:between w:val="nil"/>
              </w:pBdr>
              <w:jc w:val="left"/>
              <w:rPr>
                <w:b/>
                <w:lang w:val="en-GB"/>
              </w:rPr>
            </w:pPr>
            <w:r w:rsidRPr="001B4A39">
              <w:rPr>
                <w:b/>
                <w:lang w:val="en-GB"/>
              </w:rPr>
              <w:t>Marketing</w:t>
            </w:r>
          </w:p>
        </w:tc>
        <w:tc>
          <w:tcPr>
            <w:tcW w:w="3120" w:type="dxa"/>
            <w:shd w:val="clear" w:color="auto" w:fill="auto"/>
            <w:tcMar>
              <w:top w:w="100" w:type="dxa"/>
              <w:left w:w="100" w:type="dxa"/>
              <w:bottom w:w="100" w:type="dxa"/>
              <w:right w:w="100" w:type="dxa"/>
            </w:tcMar>
          </w:tcPr>
          <w:p w14:paraId="3ECD3978" w14:textId="77777777" w:rsidR="00942E11" w:rsidRPr="001B4A39" w:rsidRDefault="00954311">
            <w:pPr>
              <w:widowControl w:val="0"/>
              <w:pBdr>
                <w:top w:val="nil"/>
                <w:left w:val="nil"/>
                <w:bottom w:val="nil"/>
                <w:right w:val="nil"/>
                <w:between w:val="nil"/>
              </w:pBdr>
              <w:jc w:val="left"/>
              <w:rPr>
                <w:lang w:val="en-GB"/>
              </w:rPr>
            </w:pPr>
            <w:r w:rsidRPr="001B4A39">
              <w:rPr>
                <w:lang w:val="en-GB"/>
              </w:rPr>
              <w:t>3,000</w:t>
            </w:r>
          </w:p>
        </w:tc>
        <w:tc>
          <w:tcPr>
            <w:tcW w:w="3120" w:type="dxa"/>
            <w:shd w:val="clear" w:color="auto" w:fill="auto"/>
            <w:tcMar>
              <w:top w:w="100" w:type="dxa"/>
              <w:left w:w="100" w:type="dxa"/>
              <w:bottom w:w="100" w:type="dxa"/>
              <w:right w:w="100" w:type="dxa"/>
            </w:tcMar>
          </w:tcPr>
          <w:p w14:paraId="622288A2" w14:textId="77777777" w:rsidR="00942E11" w:rsidRPr="001B4A39" w:rsidRDefault="00954311">
            <w:pPr>
              <w:widowControl w:val="0"/>
              <w:pBdr>
                <w:top w:val="nil"/>
                <w:left w:val="nil"/>
                <w:bottom w:val="nil"/>
                <w:right w:val="nil"/>
                <w:between w:val="nil"/>
              </w:pBdr>
              <w:jc w:val="left"/>
              <w:rPr>
                <w:lang w:val="en-GB"/>
              </w:rPr>
            </w:pPr>
            <w:r w:rsidRPr="001B4A39">
              <w:rPr>
                <w:lang w:val="en-GB"/>
              </w:rPr>
              <w:t xml:space="preserve">Print and Digital promotions </w:t>
            </w:r>
          </w:p>
        </w:tc>
      </w:tr>
      <w:tr w:rsidR="00942E11" w:rsidRPr="001B4A39" w14:paraId="11DB6A67" w14:textId="77777777">
        <w:tc>
          <w:tcPr>
            <w:tcW w:w="3120" w:type="dxa"/>
            <w:shd w:val="clear" w:color="auto" w:fill="auto"/>
            <w:tcMar>
              <w:top w:w="100" w:type="dxa"/>
              <w:left w:w="100" w:type="dxa"/>
              <w:bottom w:w="100" w:type="dxa"/>
              <w:right w:w="100" w:type="dxa"/>
            </w:tcMar>
          </w:tcPr>
          <w:p w14:paraId="005E43A8" w14:textId="77777777" w:rsidR="00942E11" w:rsidRPr="001B4A39" w:rsidRDefault="00954311">
            <w:pPr>
              <w:widowControl w:val="0"/>
              <w:jc w:val="left"/>
              <w:rPr>
                <w:b/>
                <w:lang w:val="en-GB"/>
              </w:rPr>
            </w:pPr>
            <w:r w:rsidRPr="001B4A39">
              <w:rPr>
                <w:b/>
                <w:lang w:val="en-GB"/>
              </w:rPr>
              <w:t>Total</w:t>
            </w:r>
          </w:p>
        </w:tc>
        <w:tc>
          <w:tcPr>
            <w:tcW w:w="3120" w:type="dxa"/>
            <w:shd w:val="clear" w:color="auto" w:fill="auto"/>
            <w:tcMar>
              <w:top w:w="100" w:type="dxa"/>
              <w:left w:w="100" w:type="dxa"/>
              <w:bottom w:w="100" w:type="dxa"/>
              <w:right w:w="100" w:type="dxa"/>
            </w:tcMar>
          </w:tcPr>
          <w:p w14:paraId="3B5622E7" w14:textId="77777777" w:rsidR="00942E11" w:rsidRPr="001B4A39" w:rsidRDefault="00954311">
            <w:pPr>
              <w:widowControl w:val="0"/>
              <w:pBdr>
                <w:top w:val="nil"/>
                <w:left w:val="nil"/>
                <w:bottom w:val="nil"/>
                <w:right w:val="nil"/>
                <w:between w:val="nil"/>
              </w:pBdr>
              <w:jc w:val="left"/>
              <w:rPr>
                <w:lang w:val="en-GB"/>
              </w:rPr>
            </w:pPr>
            <w:r w:rsidRPr="001B4A39">
              <w:rPr>
                <w:lang w:val="en-GB"/>
              </w:rPr>
              <w:t>20,000</w:t>
            </w:r>
          </w:p>
        </w:tc>
        <w:tc>
          <w:tcPr>
            <w:tcW w:w="3120" w:type="dxa"/>
            <w:shd w:val="clear" w:color="auto" w:fill="auto"/>
            <w:tcMar>
              <w:top w:w="100" w:type="dxa"/>
              <w:left w:w="100" w:type="dxa"/>
              <w:bottom w:w="100" w:type="dxa"/>
              <w:right w:w="100" w:type="dxa"/>
            </w:tcMar>
          </w:tcPr>
          <w:p w14:paraId="7285CB76" w14:textId="77777777" w:rsidR="00942E11" w:rsidRPr="001B4A39" w:rsidRDefault="00942E11">
            <w:pPr>
              <w:widowControl w:val="0"/>
              <w:pBdr>
                <w:top w:val="nil"/>
                <w:left w:val="nil"/>
                <w:bottom w:val="nil"/>
                <w:right w:val="nil"/>
                <w:between w:val="nil"/>
              </w:pBdr>
              <w:jc w:val="left"/>
              <w:rPr>
                <w:lang w:val="en-GB"/>
              </w:rPr>
            </w:pPr>
          </w:p>
        </w:tc>
      </w:tr>
    </w:tbl>
    <w:p w14:paraId="298DA0B3" w14:textId="77777777" w:rsidR="00942E11" w:rsidRPr="001B4A39" w:rsidRDefault="00954311">
      <w:pPr>
        <w:rPr>
          <w:b/>
          <w:lang w:val="en-GB"/>
        </w:rPr>
      </w:pPr>
      <w:r w:rsidRPr="001B4A39">
        <w:rPr>
          <w:b/>
          <w:lang w:val="en-GB"/>
        </w:rPr>
        <w:t>Funding Sources</w:t>
      </w:r>
    </w:p>
    <w:p w14:paraId="395ABE1B" w14:textId="77777777" w:rsidR="00942E11" w:rsidRPr="001B4A39" w:rsidRDefault="00954311">
      <w:pPr>
        <w:rPr>
          <w:lang w:val="en-GB"/>
        </w:rPr>
      </w:pPr>
      <w:r w:rsidRPr="001B4A39">
        <w:rPr>
          <w:lang w:val="en-GB"/>
        </w:rPr>
        <w:t xml:space="preserve">The event </w:t>
      </w:r>
      <w:r w:rsidRPr="001B4A39">
        <w:rPr>
          <w:lang w:val="en-GB"/>
        </w:rPr>
        <w:t>requires multiple financial sources from which the organizers will seek contributions:</w:t>
      </w:r>
    </w:p>
    <w:p w14:paraId="693BEBCC" w14:textId="77777777" w:rsidR="00942E11" w:rsidRPr="001B4A39" w:rsidRDefault="00954311">
      <w:pPr>
        <w:numPr>
          <w:ilvl w:val="0"/>
          <w:numId w:val="4"/>
        </w:numPr>
        <w:rPr>
          <w:lang w:val="en-GB"/>
        </w:rPr>
      </w:pPr>
      <w:r w:rsidRPr="001B4A39">
        <w:rPr>
          <w:lang w:val="en-GB"/>
        </w:rPr>
        <w:t>The event will seek corporate sponsorships to finance keynote session presentations along with catering services which offer the sponsor's logo visibility.</w:t>
      </w:r>
    </w:p>
    <w:p w14:paraId="3AD1D0B8" w14:textId="77777777" w:rsidR="00942E11" w:rsidRPr="001B4A39" w:rsidRDefault="00954311">
      <w:pPr>
        <w:numPr>
          <w:ilvl w:val="0"/>
          <w:numId w:val="4"/>
        </w:numPr>
        <w:rPr>
          <w:lang w:val="en-GB"/>
        </w:rPr>
      </w:pPr>
      <w:r w:rsidRPr="001B4A39">
        <w:rPr>
          <w:lang w:val="en-GB"/>
        </w:rPr>
        <w:t>Registration fees with small prices will exist to maintain participant engagement without deterring students or minority groups who want to participate.</w:t>
      </w:r>
    </w:p>
    <w:p w14:paraId="1E40F3FE" w14:textId="77777777" w:rsidR="00942E11" w:rsidRPr="001B4A39" w:rsidRDefault="00954311">
      <w:pPr>
        <w:numPr>
          <w:ilvl w:val="0"/>
          <w:numId w:val="4"/>
        </w:numPr>
        <w:rPr>
          <w:lang w:val="en-GB"/>
        </w:rPr>
      </w:pPr>
      <w:r w:rsidRPr="001B4A39">
        <w:rPr>
          <w:lang w:val="en-GB"/>
        </w:rPr>
        <w:t xml:space="preserve">An application process will be initiated for EDI grants that public sector bodies alongside </w:t>
      </w:r>
      <w:proofErr w:type="spellStart"/>
      <w:r w:rsidRPr="001B4A39">
        <w:rPr>
          <w:lang w:val="en-GB"/>
        </w:rPr>
        <w:t>nonprofit</w:t>
      </w:r>
      <w:proofErr w:type="spellEnd"/>
      <w:r w:rsidRPr="001B4A39">
        <w:rPr>
          <w:lang w:val="en-GB"/>
        </w:rPr>
        <w:t xml:space="preserve"> organizations provide (Peers et al., 2023).</w:t>
      </w:r>
    </w:p>
    <w:p w14:paraId="3CDD2640" w14:textId="77777777" w:rsidR="00942E11" w:rsidRPr="001B4A39" w:rsidRDefault="00954311">
      <w:pPr>
        <w:numPr>
          <w:ilvl w:val="0"/>
          <w:numId w:val="4"/>
        </w:numPr>
        <w:rPr>
          <w:lang w:val="en-GB"/>
        </w:rPr>
      </w:pPr>
      <w:r w:rsidRPr="001B4A39">
        <w:rPr>
          <w:lang w:val="en-GB"/>
        </w:rPr>
        <w:t>The project will benefit from its partnerships with professional organizations alongside universities since both entities will offer financial backing and coordination assistance for event management.</w:t>
      </w:r>
    </w:p>
    <w:p w14:paraId="0B1129F6" w14:textId="77777777" w:rsidR="00942E11" w:rsidRPr="001B4A39" w:rsidRDefault="00954311">
      <w:pPr>
        <w:rPr>
          <w:b/>
          <w:lang w:val="en-GB"/>
        </w:rPr>
      </w:pPr>
      <w:r w:rsidRPr="001B4A39">
        <w:rPr>
          <w:b/>
          <w:lang w:val="en-GB"/>
        </w:rPr>
        <w:t>Cost Control Strategies</w:t>
      </w:r>
    </w:p>
    <w:p w14:paraId="2C838B80" w14:textId="77777777" w:rsidR="00942E11" w:rsidRPr="001B4A39" w:rsidRDefault="00954311">
      <w:pPr>
        <w:numPr>
          <w:ilvl w:val="0"/>
          <w:numId w:val="5"/>
        </w:numPr>
        <w:rPr>
          <w:lang w:val="en-GB"/>
        </w:rPr>
      </w:pPr>
      <w:r w:rsidRPr="001B4A39">
        <w:rPr>
          <w:lang w:val="en-GB"/>
        </w:rPr>
        <w:t>First bookings with vendors enable the acquisition of discounted services for sites along with speakers and dining facilities in advance.</w:t>
      </w:r>
    </w:p>
    <w:p w14:paraId="4D8B6BC4" w14:textId="77777777" w:rsidR="00942E11" w:rsidRPr="001B4A39" w:rsidRDefault="00954311">
      <w:pPr>
        <w:numPr>
          <w:ilvl w:val="0"/>
          <w:numId w:val="5"/>
        </w:numPr>
        <w:rPr>
          <w:lang w:val="en-GB"/>
        </w:rPr>
      </w:pPr>
      <w:r w:rsidRPr="001B4A39">
        <w:rPr>
          <w:lang w:val="en-GB"/>
        </w:rPr>
        <w:t>Sponsorship agreements that seek contributions in the form of free venues and discounted catering and Audio-Visual equipment.</w:t>
      </w:r>
    </w:p>
    <w:p w14:paraId="78B215DE" w14:textId="77777777" w:rsidR="00942E11" w:rsidRPr="001B4A39" w:rsidRDefault="00954311">
      <w:pPr>
        <w:numPr>
          <w:ilvl w:val="0"/>
          <w:numId w:val="5"/>
        </w:numPr>
        <w:rPr>
          <w:lang w:val="en-GB"/>
        </w:rPr>
      </w:pPr>
      <w:r w:rsidRPr="001B4A39">
        <w:rPr>
          <w:lang w:val="en-GB"/>
        </w:rPr>
        <w:t>The event reduces printing expenses through a combination of email broadcasting and social media promotional activities.</w:t>
      </w:r>
    </w:p>
    <w:p w14:paraId="62FDD36B" w14:textId="77777777" w:rsidR="00942E11" w:rsidRPr="001B4A39" w:rsidRDefault="00954311">
      <w:pPr>
        <w:numPr>
          <w:ilvl w:val="0"/>
          <w:numId w:val="5"/>
        </w:numPr>
        <w:rPr>
          <w:lang w:val="en-GB"/>
        </w:rPr>
      </w:pPr>
      <w:r w:rsidRPr="001B4A39">
        <w:rPr>
          <w:lang w:val="en-GB"/>
        </w:rPr>
        <w:lastRenderedPageBreak/>
        <w:t>The event brings in volunteers to decrease staffing expenses.</w:t>
      </w:r>
    </w:p>
    <w:p w14:paraId="3EA48DC2" w14:textId="77777777" w:rsidR="00942E11" w:rsidRPr="001B4A39" w:rsidRDefault="00954311">
      <w:pPr>
        <w:rPr>
          <w:lang w:val="en-GB"/>
        </w:rPr>
      </w:pPr>
      <w:r w:rsidRPr="001B4A39">
        <w:rPr>
          <w:lang w:val="en-GB"/>
        </w:rPr>
        <w:t xml:space="preserve">Effective expense management and diverse funding channels will </w:t>
      </w:r>
      <w:r w:rsidRPr="001B4A39">
        <w:rPr>
          <w:lang w:val="en-GB"/>
        </w:rPr>
        <w:t>maintain financial sustainability and guarantee high-quality levels with broad accessibility (Wu et al., 2022).</w:t>
      </w:r>
    </w:p>
    <w:p w14:paraId="49DF15CE" w14:textId="77777777" w:rsidR="00942E11" w:rsidRPr="001B4A39" w:rsidRDefault="00954311">
      <w:pPr>
        <w:pStyle w:val="Heading1"/>
        <w:rPr>
          <w:lang w:val="en-GB"/>
        </w:rPr>
      </w:pPr>
      <w:bookmarkStart w:id="12" w:name="_5zhajydi24p2" w:colFirst="0" w:colLast="0"/>
      <w:bookmarkStart w:id="13" w:name="_Toc190991149"/>
      <w:bookmarkEnd w:id="12"/>
      <w:r w:rsidRPr="001B4A39">
        <w:rPr>
          <w:lang w:val="en-GB"/>
        </w:rPr>
        <w:t>7. Industry Trends / Issues / Impacts</w:t>
      </w:r>
      <w:bookmarkEnd w:id="13"/>
      <w:r w:rsidRPr="001B4A39">
        <w:rPr>
          <w:lang w:val="en-GB"/>
        </w:rPr>
        <w:t xml:space="preserve"> </w:t>
      </w:r>
    </w:p>
    <w:p w14:paraId="0E5460DF" w14:textId="77777777" w:rsidR="00942E11" w:rsidRPr="001B4A39" w:rsidRDefault="00954311">
      <w:pPr>
        <w:rPr>
          <w:lang w:val="en-GB"/>
        </w:rPr>
      </w:pPr>
      <w:r w:rsidRPr="001B4A39">
        <w:rPr>
          <w:lang w:val="en-GB"/>
        </w:rPr>
        <w:t xml:space="preserve">Sustainability concerns, technology developments and post-pandemic transformations rapidly evolving the events and meeting industries. These transformations are developing the way events are planned, executed and experienced. </w:t>
      </w:r>
    </w:p>
    <w:p w14:paraId="5615071A" w14:textId="77777777" w:rsidR="00942E11" w:rsidRPr="001B4A39" w:rsidRDefault="00954311">
      <w:pPr>
        <w:rPr>
          <w:b/>
          <w:lang w:val="en-GB"/>
        </w:rPr>
      </w:pPr>
      <w:r w:rsidRPr="001B4A39">
        <w:rPr>
          <w:b/>
          <w:lang w:val="en-GB"/>
        </w:rPr>
        <w:t xml:space="preserve">In the event industry current trends </w:t>
      </w:r>
    </w:p>
    <w:p w14:paraId="7FBE6435" w14:textId="77777777" w:rsidR="00942E11" w:rsidRPr="001B4A39" w:rsidRDefault="00954311">
      <w:pPr>
        <w:rPr>
          <w:b/>
          <w:lang w:val="en-GB"/>
        </w:rPr>
      </w:pPr>
      <w:r w:rsidRPr="001B4A39">
        <w:rPr>
          <w:b/>
          <w:lang w:val="en-GB"/>
        </w:rPr>
        <w:t xml:space="preserve">Hybrid and virtual events </w:t>
      </w:r>
    </w:p>
    <w:p w14:paraId="46173772" w14:textId="77777777" w:rsidR="00942E11" w:rsidRPr="001B4A39" w:rsidRDefault="00954311">
      <w:pPr>
        <w:rPr>
          <w:lang w:val="en-GB"/>
        </w:rPr>
      </w:pPr>
      <w:r w:rsidRPr="001B4A39">
        <w:rPr>
          <w:lang w:val="en-GB"/>
        </w:rPr>
        <w:t>The increase of hybrid and virtual events has developed the industry by making events more cost-effective, globally inclusive and accessible. Multiple business organisations now select hybrid models which permit attendees to join remotely, boarding participants and reducing travel-related emissions (</w:t>
      </w:r>
      <w:proofErr w:type="spellStart"/>
      <w:r w:rsidRPr="001B4A39">
        <w:rPr>
          <w:lang w:val="en-GB"/>
        </w:rPr>
        <w:t>Mahadewi</w:t>
      </w:r>
      <w:proofErr w:type="spellEnd"/>
      <w:r w:rsidRPr="001B4A39">
        <w:rPr>
          <w:lang w:val="en-GB"/>
        </w:rPr>
        <w:t xml:space="preserve">, 2023). Platforms such as Microsoft Teams, zoom and Hooping have become significant tools for event planners. </w:t>
      </w:r>
    </w:p>
    <w:p w14:paraId="03B6E35D" w14:textId="77777777" w:rsidR="00942E11" w:rsidRPr="001B4A39" w:rsidRDefault="00954311">
      <w:pPr>
        <w:rPr>
          <w:b/>
          <w:lang w:val="en-GB"/>
        </w:rPr>
      </w:pPr>
      <w:r w:rsidRPr="001B4A39">
        <w:rPr>
          <w:b/>
          <w:lang w:val="en-GB"/>
        </w:rPr>
        <w:t xml:space="preserve">Sustainable event planning </w:t>
      </w:r>
    </w:p>
    <w:p w14:paraId="1A3D1D30" w14:textId="77777777" w:rsidR="00942E11" w:rsidRPr="001B4A39" w:rsidRDefault="00954311">
      <w:pPr>
        <w:rPr>
          <w:lang w:val="en-GB"/>
        </w:rPr>
      </w:pPr>
      <w:r w:rsidRPr="001B4A39">
        <w:rPr>
          <w:lang w:val="en-GB"/>
        </w:rPr>
        <w:t xml:space="preserve">Presently, celebrity is the cornerstone for every event planning business organisation looking to decrease carbon footprints, eco-friendly venues and minimise waste. Green practices such as reusable materials, paperless programs and energy-efficient lighting become industry standards (Huda, 2024). Sponsors and attendees highly preferred events with clean sustainability goals. </w:t>
      </w:r>
    </w:p>
    <w:p w14:paraId="359568F8" w14:textId="77777777" w:rsidR="00942E11" w:rsidRPr="001B4A39" w:rsidRDefault="00954311">
      <w:pPr>
        <w:rPr>
          <w:b/>
          <w:lang w:val="en-GB"/>
        </w:rPr>
      </w:pPr>
      <w:r w:rsidRPr="001B4A39">
        <w:rPr>
          <w:b/>
          <w:lang w:val="en-GB"/>
        </w:rPr>
        <w:t xml:space="preserve">AI in event management </w:t>
      </w:r>
    </w:p>
    <w:p w14:paraId="3FE8C437" w14:textId="77777777" w:rsidR="00942E11" w:rsidRPr="001B4A39" w:rsidRDefault="00954311">
      <w:pPr>
        <w:rPr>
          <w:lang w:val="en-GB"/>
        </w:rPr>
      </w:pPr>
      <w:r w:rsidRPr="001B4A39">
        <w:rPr>
          <w:lang w:val="en-GB"/>
        </w:rPr>
        <w:t>Artificial intelligence is essentially used in event planning via chat boots for customized service, and schedule schedules in personalized event recommendations. AI data-driven analytics coordinates event organisers to forecast attendee behaviour, enhance engagement and optimise logistics (Castro-</w:t>
      </w:r>
      <w:proofErr w:type="spellStart"/>
      <w:r w:rsidRPr="001B4A39">
        <w:rPr>
          <w:lang w:val="en-GB"/>
        </w:rPr>
        <w:t>Schez</w:t>
      </w:r>
      <w:proofErr w:type="spellEnd"/>
      <w:r w:rsidRPr="001B4A39">
        <w:rPr>
          <w:lang w:val="en-GB"/>
        </w:rPr>
        <w:t xml:space="preserve"> et al., 2024). AI also improves accessibility by offering real-time translations and captioning services for various audiences.</w:t>
      </w:r>
    </w:p>
    <w:p w14:paraId="5FBC4ED1" w14:textId="77777777" w:rsidR="00942E11" w:rsidRPr="001B4A39" w:rsidRDefault="00954311">
      <w:pPr>
        <w:rPr>
          <w:b/>
          <w:lang w:val="en-GB"/>
        </w:rPr>
      </w:pPr>
      <w:r w:rsidRPr="001B4A39">
        <w:rPr>
          <w:b/>
          <w:lang w:val="en-GB"/>
        </w:rPr>
        <w:t>Challenges and Impacts on the Industry</w:t>
      </w:r>
    </w:p>
    <w:p w14:paraId="562883C9" w14:textId="77777777" w:rsidR="00942E11" w:rsidRPr="001B4A39" w:rsidRDefault="00954311">
      <w:pPr>
        <w:rPr>
          <w:b/>
          <w:lang w:val="en-GB"/>
        </w:rPr>
      </w:pPr>
      <w:r w:rsidRPr="001B4A39">
        <w:rPr>
          <w:b/>
          <w:lang w:val="en-GB"/>
        </w:rPr>
        <w:t xml:space="preserve">Increasing expenses and budget constraints </w:t>
      </w:r>
    </w:p>
    <w:p w14:paraId="6B54AA61" w14:textId="77777777" w:rsidR="00942E11" w:rsidRPr="001B4A39" w:rsidRDefault="00954311">
      <w:pPr>
        <w:rPr>
          <w:lang w:val="en-GB"/>
        </w:rPr>
      </w:pPr>
      <w:r w:rsidRPr="001B4A39">
        <w:rPr>
          <w:lang w:val="en-GB"/>
        </w:rPr>
        <w:t>The inflation of catering services, technology expenses and when price is a major concern for event planners. The demand for hybrid functionalities, high-tech setups and sustainable resources has increased operational costs. Multiple business organisations now depend on strategic partnerships and sponsorship to manage financial feasibility (Parker, 2024).</w:t>
      </w:r>
    </w:p>
    <w:p w14:paraId="2A194ED0" w14:textId="77777777" w:rsidR="00942E11" w:rsidRPr="001B4A39" w:rsidRDefault="00954311">
      <w:pPr>
        <w:rPr>
          <w:b/>
          <w:lang w:val="en-GB"/>
        </w:rPr>
      </w:pPr>
      <w:r w:rsidRPr="001B4A39">
        <w:rPr>
          <w:b/>
          <w:lang w:val="en-GB"/>
        </w:rPr>
        <w:t xml:space="preserve">Inclusivity concerns </w:t>
      </w:r>
    </w:p>
    <w:p w14:paraId="27F159E8" w14:textId="77777777" w:rsidR="00942E11" w:rsidRPr="001B4A39" w:rsidRDefault="00954311">
      <w:pPr>
        <w:rPr>
          <w:lang w:val="en-GB"/>
        </w:rPr>
      </w:pPr>
      <w:r w:rsidRPr="001B4A39">
        <w:rPr>
          <w:lang w:val="en-GB"/>
        </w:rPr>
        <w:lastRenderedPageBreak/>
        <w:t xml:space="preserve">It is important to determine that events mitigate diverse attendance which remains a major issue. Accessibility for individuals with disabilities, financial constraints and language various have to be considered in event planning. Features such as sign language interpretation, live captioning and flexible pricing models permit to address this kind of issue. Besides, reaching through inclusivity needs continuous investment and effort. </w:t>
      </w:r>
    </w:p>
    <w:p w14:paraId="7112D2AC" w14:textId="77777777" w:rsidR="00942E11" w:rsidRPr="001B4A39" w:rsidRDefault="00954311">
      <w:pPr>
        <w:rPr>
          <w:b/>
          <w:lang w:val="en-GB"/>
        </w:rPr>
      </w:pPr>
      <w:r w:rsidRPr="001B4A39">
        <w:rPr>
          <w:b/>
          <w:lang w:val="en-GB"/>
        </w:rPr>
        <w:t xml:space="preserve">Post pandemic recovery </w:t>
      </w:r>
    </w:p>
    <w:p w14:paraId="7A2915EE" w14:textId="77777777" w:rsidR="00942E11" w:rsidRPr="001B4A39" w:rsidRDefault="00954311">
      <w:pPr>
        <w:rPr>
          <w:lang w:val="en-GB"/>
        </w:rPr>
      </w:pPr>
      <w:r w:rsidRPr="001B4A39">
        <w:rPr>
          <w:lang w:val="en-GB"/>
        </w:rPr>
        <w:t>The event industry recovering from the severe impact of covid-19. Transferred being attendee expectations, health and safety regulations as well as risk management protocols have permanently transformed event planning. Event organisers have to balance in-person engagement with remote accessibility to determine safety without compromising the experience (</w:t>
      </w:r>
      <w:proofErr w:type="spellStart"/>
      <w:r w:rsidRPr="001B4A39">
        <w:rPr>
          <w:lang w:val="en-GB"/>
        </w:rPr>
        <w:t>Suderman</w:t>
      </w:r>
      <w:proofErr w:type="spellEnd"/>
      <w:r w:rsidRPr="001B4A39">
        <w:rPr>
          <w:lang w:val="en-GB"/>
        </w:rPr>
        <w:t xml:space="preserve"> et al. 2022).</w:t>
      </w:r>
    </w:p>
    <w:p w14:paraId="153B38A2" w14:textId="77777777" w:rsidR="00942E11" w:rsidRPr="001B4A39" w:rsidRDefault="00954311">
      <w:pPr>
        <w:pStyle w:val="Heading1"/>
        <w:rPr>
          <w:lang w:val="en-GB"/>
        </w:rPr>
      </w:pPr>
      <w:bookmarkStart w:id="14" w:name="_ybrbp1uhl4gr" w:colFirst="0" w:colLast="0"/>
      <w:bookmarkStart w:id="15" w:name="_Toc190991150"/>
      <w:bookmarkEnd w:id="14"/>
      <w:r w:rsidRPr="001B4A39">
        <w:rPr>
          <w:lang w:val="en-GB"/>
        </w:rPr>
        <w:t>8. Situational and Cultural Considerations</w:t>
      </w:r>
      <w:bookmarkEnd w:id="15"/>
    </w:p>
    <w:p w14:paraId="1BF86B5B" w14:textId="47B0BC6C" w:rsidR="00942E11" w:rsidRPr="001B4A39" w:rsidRDefault="00954311">
      <w:pPr>
        <w:rPr>
          <w:b/>
          <w:lang w:val="en-GB"/>
        </w:rPr>
      </w:pPr>
      <w:r w:rsidRPr="001B4A39">
        <w:rPr>
          <w:b/>
          <w:lang w:val="en-GB"/>
        </w:rPr>
        <w:t xml:space="preserve">PESTLE Analysis for the EDI Event in </w:t>
      </w:r>
      <w:r w:rsidR="00D22FB9" w:rsidRPr="001B4A39">
        <w:rPr>
          <w:b/>
          <w:lang w:val="en-GB"/>
        </w:rPr>
        <w:t>London Cultural</w:t>
      </w:r>
      <w:r w:rsidRPr="001B4A39">
        <w:rPr>
          <w:b/>
          <w:lang w:val="en-GB"/>
        </w:rPr>
        <w:t xml:space="preserve"> Considerations</w:t>
      </w:r>
    </w:p>
    <w:tbl>
      <w:tblPr>
        <w:tblStyle w:val="a2"/>
        <w:tblpPr w:leftFromText="180" w:rightFromText="180" w:topFromText="180" w:bottomFromText="180" w:vertAnchor="text" w:tblpX="15"/>
        <w:tblW w:w="92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45"/>
        <w:gridCol w:w="7410"/>
      </w:tblGrid>
      <w:tr w:rsidR="00942E11" w:rsidRPr="001B4A39" w14:paraId="7B251AF6" w14:textId="77777777">
        <w:tc>
          <w:tcPr>
            <w:tcW w:w="1845" w:type="dxa"/>
          </w:tcPr>
          <w:p w14:paraId="243B46FF" w14:textId="77777777" w:rsidR="00942E11" w:rsidRPr="001B4A39" w:rsidRDefault="00954311">
            <w:pPr>
              <w:widowControl w:val="0"/>
              <w:jc w:val="center"/>
              <w:rPr>
                <w:b/>
                <w:lang w:val="en-GB"/>
              </w:rPr>
            </w:pPr>
            <w:r w:rsidRPr="001B4A39">
              <w:rPr>
                <w:b/>
                <w:lang w:val="en-GB"/>
              </w:rPr>
              <w:lastRenderedPageBreak/>
              <w:t xml:space="preserve">Factors </w:t>
            </w:r>
          </w:p>
        </w:tc>
        <w:tc>
          <w:tcPr>
            <w:tcW w:w="7410" w:type="dxa"/>
          </w:tcPr>
          <w:p w14:paraId="111F5C50" w14:textId="77777777" w:rsidR="00942E11" w:rsidRPr="001B4A39" w:rsidRDefault="00954311">
            <w:pPr>
              <w:widowControl w:val="0"/>
              <w:jc w:val="center"/>
              <w:rPr>
                <w:b/>
                <w:lang w:val="en-GB"/>
              </w:rPr>
            </w:pPr>
            <w:r w:rsidRPr="001B4A39">
              <w:rPr>
                <w:b/>
                <w:lang w:val="en-GB"/>
              </w:rPr>
              <w:t xml:space="preserve">Descriptions </w:t>
            </w:r>
          </w:p>
        </w:tc>
      </w:tr>
      <w:tr w:rsidR="00942E11" w:rsidRPr="001B4A39" w14:paraId="4170E081" w14:textId="77777777">
        <w:tc>
          <w:tcPr>
            <w:tcW w:w="1845" w:type="dxa"/>
          </w:tcPr>
          <w:p w14:paraId="59884E85" w14:textId="77777777" w:rsidR="00942E11" w:rsidRPr="001B4A39" w:rsidRDefault="00954311">
            <w:pPr>
              <w:widowControl w:val="0"/>
              <w:jc w:val="left"/>
              <w:rPr>
                <w:b/>
                <w:lang w:val="en-GB"/>
              </w:rPr>
            </w:pPr>
            <w:r w:rsidRPr="001B4A39">
              <w:rPr>
                <w:b/>
                <w:lang w:val="en-GB"/>
              </w:rPr>
              <w:t xml:space="preserve">Political </w:t>
            </w:r>
          </w:p>
        </w:tc>
        <w:tc>
          <w:tcPr>
            <w:tcW w:w="7410" w:type="dxa"/>
          </w:tcPr>
          <w:p w14:paraId="5D392798" w14:textId="77777777" w:rsidR="00942E11" w:rsidRPr="001B4A39" w:rsidRDefault="00954311">
            <w:pPr>
              <w:widowControl w:val="0"/>
              <w:numPr>
                <w:ilvl w:val="0"/>
                <w:numId w:val="8"/>
              </w:numPr>
              <w:jc w:val="left"/>
              <w:rPr>
                <w:lang w:val="en-GB"/>
              </w:rPr>
            </w:pPr>
            <w:r w:rsidRPr="001B4A39">
              <w:rPr>
                <w:lang w:val="en-GB"/>
              </w:rPr>
              <w:t xml:space="preserve">The Government of the UK has powerful guidelines supporting diversity such as </w:t>
            </w:r>
            <w:r w:rsidRPr="001B4A39">
              <w:rPr>
                <w:lang w:val="en-GB"/>
              </w:rPr>
              <w:t>The Equality Act 2010 determining anti-discrimination measures (Legislation.gov.uk, 2024)</w:t>
            </w:r>
          </w:p>
          <w:p w14:paraId="74B0E5E8" w14:textId="77777777" w:rsidR="00942E11" w:rsidRPr="001B4A39" w:rsidRDefault="00954311">
            <w:pPr>
              <w:widowControl w:val="0"/>
              <w:numPr>
                <w:ilvl w:val="0"/>
                <w:numId w:val="8"/>
              </w:numPr>
              <w:jc w:val="left"/>
              <w:rPr>
                <w:lang w:val="en-GB"/>
              </w:rPr>
            </w:pPr>
            <w:proofErr w:type="spellStart"/>
            <w:r w:rsidRPr="001B4A39">
              <w:rPr>
                <w:lang w:val="en-GB"/>
              </w:rPr>
              <w:t>Brexit</w:t>
            </w:r>
            <w:proofErr w:type="spellEnd"/>
            <w:r w:rsidRPr="001B4A39">
              <w:rPr>
                <w:lang w:val="en-GB"/>
              </w:rPr>
              <w:t xml:space="preserve"> harms the workforce and funding diversity in some industries </w:t>
            </w:r>
          </w:p>
        </w:tc>
      </w:tr>
      <w:tr w:rsidR="00942E11" w:rsidRPr="001B4A39" w14:paraId="5A6FD903" w14:textId="77777777">
        <w:tc>
          <w:tcPr>
            <w:tcW w:w="1845" w:type="dxa"/>
          </w:tcPr>
          <w:p w14:paraId="22618C02" w14:textId="77777777" w:rsidR="00942E11" w:rsidRPr="001B4A39" w:rsidRDefault="00954311">
            <w:pPr>
              <w:widowControl w:val="0"/>
              <w:jc w:val="left"/>
              <w:rPr>
                <w:b/>
                <w:lang w:val="en-GB"/>
              </w:rPr>
            </w:pPr>
            <w:r w:rsidRPr="001B4A39">
              <w:rPr>
                <w:b/>
                <w:lang w:val="en-GB"/>
              </w:rPr>
              <w:t xml:space="preserve">Economic </w:t>
            </w:r>
          </w:p>
        </w:tc>
        <w:tc>
          <w:tcPr>
            <w:tcW w:w="7410" w:type="dxa"/>
          </w:tcPr>
          <w:p w14:paraId="1344E5B9" w14:textId="77777777" w:rsidR="00942E11" w:rsidRPr="001B4A39" w:rsidRDefault="00954311">
            <w:pPr>
              <w:widowControl w:val="0"/>
              <w:numPr>
                <w:ilvl w:val="0"/>
                <w:numId w:val="10"/>
              </w:numPr>
              <w:jc w:val="left"/>
              <w:rPr>
                <w:lang w:val="en-GB"/>
              </w:rPr>
            </w:pPr>
            <w:r w:rsidRPr="001B4A39">
              <w:rPr>
                <w:lang w:val="en-GB"/>
              </w:rPr>
              <w:t xml:space="preserve">For event planning, London is an expensive city </w:t>
            </w:r>
          </w:p>
          <w:p w14:paraId="552D9823" w14:textId="409C2CF8" w:rsidR="00942E11" w:rsidRPr="001B4A39" w:rsidRDefault="00954311">
            <w:pPr>
              <w:widowControl w:val="0"/>
              <w:numPr>
                <w:ilvl w:val="0"/>
                <w:numId w:val="10"/>
              </w:numPr>
              <w:jc w:val="left"/>
              <w:rPr>
                <w:lang w:val="en-GB"/>
              </w:rPr>
            </w:pPr>
            <w:r w:rsidRPr="001B4A39">
              <w:rPr>
                <w:lang w:val="en-GB"/>
              </w:rPr>
              <w:t xml:space="preserve">High transportation and rental expenses as well as </w:t>
            </w:r>
            <w:r w:rsidR="00D22FB9">
              <w:rPr>
                <w:lang w:val="en-GB"/>
              </w:rPr>
              <w:t>catering require</w:t>
            </w:r>
            <w:r w:rsidRPr="001B4A39">
              <w:rPr>
                <w:lang w:val="en-GB"/>
              </w:rPr>
              <w:t xml:space="preserve"> careful budgeting </w:t>
            </w:r>
          </w:p>
          <w:p w14:paraId="51325DD1" w14:textId="77777777" w:rsidR="00942E11" w:rsidRPr="001B4A39" w:rsidRDefault="00954311">
            <w:pPr>
              <w:widowControl w:val="0"/>
              <w:numPr>
                <w:ilvl w:val="0"/>
                <w:numId w:val="10"/>
              </w:numPr>
              <w:jc w:val="left"/>
              <w:rPr>
                <w:lang w:val="en-GB"/>
              </w:rPr>
            </w:pPr>
            <w:r w:rsidRPr="001B4A39">
              <w:rPr>
                <w:lang w:val="en-GB"/>
              </w:rPr>
              <w:t xml:space="preserve">As an international business hub, major corporations in Canary Wharf and the City of London may provide sponsorships </w:t>
            </w:r>
          </w:p>
          <w:p w14:paraId="1445F25F" w14:textId="77777777" w:rsidR="00942E11" w:rsidRPr="001B4A39" w:rsidRDefault="00954311">
            <w:pPr>
              <w:widowControl w:val="0"/>
              <w:numPr>
                <w:ilvl w:val="0"/>
                <w:numId w:val="10"/>
              </w:numPr>
              <w:jc w:val="left"/>
              <w:rPr>
                <w:lang w:val="en-GB"/>
              </w:rPr>
            </w:pPr>
            <w:r w:rsidRPr="001B4A39">
              <w:rPr>
                <w:lang w:val="en-GB"/>
              </w:rPr>
              <w:t xml:space="preserve">London's strong financial stability enhances the possibility of ticket sales and corporate participation </w:t>
            </w:r>
          </w:p>
        </w:tc>
      </w:tr>
      <w:tr w:rsidR="00942E11" w:rsidRPr="001B4A39" w14:paraId="164F2174" w14:textId="77777777">
        <w:tc>
          <w:tcPr>
            <w:tcW w:w="1845" w:type="dxa"/>
          </w:tcPr>
          <w:p w14:paraId="0FE53244" w14:textId="77777777" w:rsidR="00942E11" w:rsidRPr="001B4A39" w:rsidRDefault="00954311">
            <w:pPr>
              <w:widowControl w:val="0"/>
              <w:jc w:val="left"/>
              <w:rPr>
                <w:b/>
                <w:lang w:val="en-GB"/>
              </w:rPr>
            </w:pPr>
            <w:r w:rsidRPr="001B4A39">
              <w:rPr>
                <w:b/>
                <w:lang w:val="en-GB"/>
              </w:rPr>
              <w:t xml:space="preserve">Social </w:t>
            </w:r>
          </w:p>
        </w:tc>
        <w:tc>
          <w:tcPr>
            <w:tcW w:w="7410" w:type="dxa"/>
          </w:tcPr>
          <w:p w14:paraId="66C61CF0" w14:textId="77777777" w:rsidR="00942E11" w:rsidRPr="001B4A39" w:rsidRDefault="00954311">
            <w:pPr>
              <w:widowControl w:val="0"/>
              <w:numPr>
                <w:ilvl w:val="0"/>
                <w:numId w:val="11"/>
              </w:numPr>
              <w:jc w:val="left"/>
              <w:rPr>
                <w:lang w:val="en-GB"/>
              </w:rPr>
            </w:pPr>
            <w:r w:rsidRPr="001B4A39">
              <w:rPr>
                <w:lang w:val="en-GB"/>
              </w:rPr>
              <w:t>In London, almost 300 languages are spoken and the population includes diverse ethnic groups (London.gov.uk, 2024)</w:t>
            </w:r>
          </w:p>
          <w:p w14:paraId="595112E8" w14:textId="77777777" w:rsidR="00942E11" w:rsidRPr="001B4A39" w:rsidRDefault="00954311">
            <w:pPr>
              <w:widowControl w:val="0"/>
              <w:numPr>
                <w:ilvl w:val="0"/>
                <w:numId w:val="11"/>
              </w:numPr>
              <w:jc w:val="left"/>
              <w:rPr>
                <w:lang w:val="en-GB"/>
              </w:rPr>
            </w:pPr>
            <w:r w:rsidRPr="001B4A39">
              <w:rPr>
                <w:lang w:val="en-GB"/>
              </w:rPr>
              <w:t xml:space="preserve">The city determines inclusivity through multilingual materials and accessibility features </w:t>
            </w:r>
          </w:p>
        </w:tc>
      </w:tr>
      <w:tr w:rsidR="00942E11" w:rsidRPr="001B4A39" w14:paraId="5D8DA93D" w14:textId="77777777">
        <w:tc>
          <w:tcPr>
            <w:tcW w:w="1845" w:type="dxa"/>
          </w:tcPr>
          <w:p w14:paraId="74C32A71" w14:textId="77777777" w:rsidR="00942E11" w:rsidRPr="001B4A39" w:rsidRDefault="00954311">
            <w:pPr>
              <w:widowControl w:val="0"/>
              <w:jc w:val="left"/>
              <w:rPr>
                <w:b/>
                <w:lang w:val="en-GB"/>
              </w:rPr>
            </w:pPr>
            <w:r w:rsidRPr="001B4A39">
              <w:rPr>
                <w:b/>
                <w:lang w:val="en-GB"/>
              </w:rPr>
              <w:t xml:space="preserve">Technological </w:t>
            </w:r>
          </w:p>
        </w:tc>
        <w:tc>
          <w:tcPr>
            <w:tcW w:w="7410" w:type="dxa"/>
          </w:tcPr>
          <w:p w14:paraId="7E401FF1" w14:textId="77777777" w:rsidR="00942E11" w:rsidRPr="001B4A39" w:rsidRDefault="00954311">
            <w:pPr>
              <w:widowControl w:val="0"/>
              <w:numPr>
                <w:ilvl w:val="0"/>
                <w:numId w:val="9"/>
              </w:numPr>
              <w:jc w:val="left"/>
              <w:rPr>
                <w:lang w:val="en-GB"/>
              </w:rPr>
            </w:pPr>
            <w:r w:rsidRPr="001B4A39">
              <w:rPr>
                <w:lang w:val="en-GB"/>
              </w:rPr>
              <w:t>Strong tech ecosystems in London permit the event to implement AI-powered matchmaking tools, virtual participation and life-streaming</w:t>
            </w:r>
          </w:p>
          <w:p w14:paraId="7D165A28" w14:textId="77777777" w:rsidR="00942E11" w:rsidRPr="001B4A39" w:rsidRDefault="00954311">
            <w:pPr>
              <w:widowControl w:val="0"/>
              <w:numPr>
                <w:ilvl w:val="0"/>
                <w:numId w:val="9"/>
              </w:numPr>
              <w:jc w:val="left"/>
              <w:rPr>
                <w:lang w:val="en-GB"/>
              </w:rPr>
            </w:pPr>
            <w:r w:rsidRPr="001B4A39">
              <w:rPr>
                <w:lang w:val="en-GB"/>
              </w:rPr>
              <w:t>The market size in the AI  market is projected to reach US$7.95bn in 2025 (Statista.com, 2024)</w:t>
            </w:r>
          </w:p>
        </w:tc>
      </w:tr>
      <w:tr w:rsidR="00942E11" w:rsidRPr="001B4A39" w14:paraId="21C957C7" w14:textId="77777777">
        <w:tc>
          <w:tcPr>
            <w:tcW w:w="1845" w:type="dxa"/>
          </w:tcPr>
          <w:p w14:paraId="1EA27AFB" w14:textId="77777777" w:rsidR="00942E11" w:rsidRPr="001B4A39" w:rsidRDefault="00954311">
            <w:pPr>
              <w:widowControl w:val="0"/>
              <w:jc w:val="left"/>
              <w:rPr>
                <w:b/>
                <w:lang w:val="en-GB"/>
              </w:rPr>
            </w:pPr>
            <w:r w:rsidRPr="001B4A39">
              <w:rPr>
                <w:b/>
                <w:lang w:val="en-GB"/>
              </w:rPr>
              <w:t xml:space="preserve">Legal </w:t>
            </w:r>
          </w:p>
        </w:tc>
        <w:tc>
          <w:tcPr>
            <w:tcW w:w="7410" w:type="dxa"/>
          </w:tcPr>
          <w:p w14:paraId="5A549F49" w14:textId="77777777" w:rsidR="00942E11" w:rsidRPr="001B4A39" w:rsidRDefault="00954311">
            <w:pPr>
              <w:widowControl w:val="0"/>
              <w:numPr>
                <w:ilvl w:val="0"/>
                <w:numId w:val="3"/>
              </w:numPr>
              <w:jc w:val="left"/>
              <w:rPr>
                <w:lang w:val="en-GB"/>
              </w:rPr>
            </w:pPr>
            <w:r w:rsidRPr="001B4A39">
              <w:rPr>
                <w:lang w:val="en-GB"/>
              </w:rPr>
              <w:t>Stringent compliance with GDPR (General Data Protection Regulation) is required for managing attendee data</w:t>
            </w:r>
          </w:p>
          <w:p w14:paraId="7B6FA4E2" w14:textId="77777777" w:rsidR="00942E11" w:rsidRPr="001B4A39" w:rsidRDefault="00954311">
            <w:pPr>
              <w:widowControl w:val="0"/>
              <w:numPr>
                <w:ilvl w:val="0"/>
                <w:numId w:val="3"/>
              </w:numPr>
              <w:jc w:val="left"/>
              <w:rPr>
                <w:lang w:val="en-GB"/>
              </w:rPr>
            </w:pPr>
            <w:r w:rsidRPr="001B4A39">
              <w:rPr>
                <w:lang w:val="en-GB"/>
              </w:rPr>
              <w:t>Additionally, health and safety regulations have to be followed, mainly for in-person gatherings post-pandemic</w:t>
            </w:r>
          </w:p>
          <w:p w14:paraId="05156B7D" w14:textId="77777777" w:rsidR="00942E11" w:rsidRPr="001B4A39" w:rsidRDefault="00954311">
            <w:pPr>
              <w:widowControl w:val="0"/>
              <w:numPr>
                <w:ilvl w:val="0"/>
                <w:numId w:val="3"/>
              </w:numPr>
              <w:jc w:val="left"/>
              <w:rPr>
                <w:lang w:val="en-GB"/>
              </w:rPr>
            </w:pPr>
            <w:r w:rsidRPr="001B4A39">
              <w:rPr>
                <w:lang w:val="en-GB"/>
              </w:rPr>
              <w:t>Employment regulations around diversity hiring may also be assessed at the event.</w:t>
            </w:r>
          </w:p>
        </w:tc>
      </w:tr>
      <w:tr w:rsidR="00942E11" w:rsidRPr="001B4A39" w14:paraId="61F043CE" w14:textId="77777777">
        <w:tc>
          <w:tcPr>
            <w:tcW w:w="1845" w:type="dxa"/>
          </w:tcPr>
          <w:p w14:paraId="44393E11" w14:textId="77777777" w:rsidR="00942E11" w:rsidRPr="001B4A39" w:rsidRDefault="00954311">
            <w:pPr>
              <w:widowControl w:val="0"/>
              <w:jc w:val="left"/>
              <w:rPr>
                <w:b/>
                <w:lang w:val="en-GB"/>
              </w:rPr>
            </w:pPr>
            <w:r w:rsidRPr="001B4A39">
              <w:rPr>
                <w:b/>
                <w:lang w:val="en-GB"/>
              </w:rPr>
              <w:t xml:space="preserve">Environmental </w:t>
            </w:r>
          </w:p>
        </w:tc>
        <w:tc>
          <w:tcPr>
            <w:tcW w:w="7410" w:type="dxa"/>
          </w:tcPr>
          <w:p w14:paraId="630EE4AC" w14:textId="77777777" w:rsidR="00942E11" w:rsidRPr="001B4A39" w:rsidRDefault="00954311">
            <w:pPr>
              <w:widowControl w:val="0"/>
              <w:numPr>
                <w:ilvl w:val="0"/>
                <w:numId w:val="6"/>
              </w:numPr>
              <w:jc w:val="left"/>
              <w:rPr>
                <w:lang w:val="en-GB"/>
              </w:rPr>
            </w:pPr>
            <w:r w:rsidRPr="001B4A39">
              <w:rPr>
                <w:lang w:val="en-GB"/>
              </w:rPr>
              <w:t xml:space="preserve">London has powerful sustainability regulations. </w:t>
            </w:r>
          </w:p>
          <w:p w14:paraId="4D6773CC" w14:textId="77777777" w:rsidR="00942E11" w:rsidRPr="001B4A39" w:rsidRDefault="00954311">
            <w:pPr>
              <w:widowControl w:val="0"/>
              <w:numPr>
                <w:ilvl w:val="0"/>
                <w:numId w:val="6"/>
              </w:numPr>
              <w:jc w:val="left"/>
              <w:rPr>
                <w:lang w:val="en-GB"/>
              </w:rPr>
            </w:pPr>
            <w:r w:rsidRPr="001B4A39">
              <w:rPr>
                <w:lang w:val="en-GB"/>
              </w:rPr>
              <w:t xml:space="preserve">Many event venues focus on the Net Zero Strategy by </w:t>
            </w:r>
            <w:r w:rsidRPr="001B4A39">
              <w:rPr>
                <w:lang w:val="en-GB"/>
              </w:rPr>
              <w:t>decreasing waste and energy consumption (Wu et al., 2021)</w:t>
            </w:r>
          </w:p>
          <w:p w14:paraId="14D246BC" w14:textId="77777777" w:rsidR="00942E11" w:rsidRPr="001B4A39" w:rsidRDefault="00954311">
            <w:pPr>
              <w:widowControl w:val="0"/>
              <w:numPr>
                <w:ilvl w:val="0"/>
                <w:numId w:val="6"/>
              </w:numPr>
              <w:jc w:val="left"/>
              <w:rPr>
                <w:lang w:val="en-GB"/>
              </w:rPr>
            </w:pPr>
            <w:r w:rsidRPr="001B4A39">
              <w:rPr>
                <w:lang w:val="en-GB"/>
              </w:rPr>
              <w:t xml:space="preserve">Utilising public transport-friendly locations, reducing plastic waste, and collaborating with eco-conscious caterers can connect the event with London’s green policies </w:t>
            </w:r>
          </w:p>
        </w:tc>
      </w:tr>
    </w:tbl>
    <w:p w14:paraId="596627CD" w14:textId="77777777" w:rsidR="00942E11" w:rsidRPr="001B4A39" w:rsidRDefault="00954311">
      <w:pPr>
        <w:pStyle w:val="Heading1"/>
        <w:rPr>
          <w:lang w:val="en-GB"/>
        </w:rPr>
      </w:pPr>
      <w:bookmarkStart w:id="16" w:name="_daqnu2sjkgah" w:colFirst="0" w:colLast="0"/>
      <w:bookmarkStart w:id="17" w:name="_Toc190991151"/>
      <w:bookmarkEnd w:id="16"/>
      <w:r w:rsidRPr="001B4A39">
        <w:rPr>
          <w:lang w:val="en-GB"/>
        </w:rPr>
        <w:t>Cultural Considerations</w:t>
      </w:r>
      <w:bookmarkEnd w:id="17"/>
    </w:p>
    <w:p w14:paraId="3F11C7E0" w14:textId="77777777" w:rsidR="00942E11" w:rsidRPr="001B4A39" w:rsidRDefault="00954311">
      <w:pPr>
        <w:rPr>
          <w:lang w:val="en-GB"/>
        </w:rPr>
      </w:pPr>
      <w:r w:rsidRPr="001B4A39">
        <w:rPr>
          <w:lang w:val="en-GB"/>
        </w:rPr>
        <w:t>The multicultural population in London needs sensitivity to cultural and religious needs. Offering prayer spaces, scheduling sessions to bypass conflicts with religious holidays as well and determining diverse speakers from various backgrounds with improved inclusivity. The event will be culturally inclusive, legally compliant and financially viable by offering event planning to London's social, economic and political landscape.</w:t>
      </w:r>
    </w:p>
    <w:p w14:paraId="282DC580" w14:textId="77777777" w:rsidR="00942E11" w:rsidRPr="001B4A39" w:rsidRDefault="00954311">
      <w:pPr>
        <w:pStyle w:val="Heading1"/>
        <w:rPr>
          <w:lang w:val="en-GB"/>
        </w:rPr>
      </w:pPr>
      <w:bookmarkStart w:id="18" w:name="_prd5gdvbqo0k" w:colFirst="0" w:colLast="0"/>
      <w:bookmarkStart w:id="19" w:name="_Toc190991152"/>
      <w:bookmarkEnd w:id="18"/>
      <w:r w:rsidRPr="001B4A39">
        <w:rPr>
          <w:lang w:val="en-GB"/>
        </w:rPr>
        <w:t>9. Conclusion</w:t>
      </w:r>
      <w:bookmarkEnd w:id="19"/>
    </w:p>
    <w:p w14:paraId="7EFE9344" w14:textId="77777777" w:rsidR="00942E11" w:rsidRPr="001B4A39" w:rsidRDefault="00954311">
      <w:pPr>
        <w:rPr>
          <w:lang w:val="en-GB"/>
        </w:rPr>
      </w:pPr>
      <w:r w:rsidRPr="001B4A39">
        <w:rPr>
          <w:lang w:val="en-GB"/>
        </w:rPr>
        <w:t>The report concludes the EDI's strategic planning and execution by highlighting its rule in fostering diversity inclusion and equality. The event cycle, budgeting, management strategies, and industry trends are effectively highlighted to determine the effective delivery of the event's success. Major planning considerations such as cultural sensitivity, accessibility and legal compliance were also concluded through PESTLE analysis. In order to determine even management success you will structure the approach</w:t>
      </w:r>
      <w:r w:rsidRPr="001B4A39">
        <w:rPr>
          <w:lang w:val="en-GB"/>
        </w:rPr>
        <w:t xml:space="preserve"> is extremely important. The purpose of this event is to make a powerful impact in promoting inclusive workplaces, by implementing project management frameworks and embracing digital tools. In addition, dusty trends such as AI-driven engagement and hybrid events also improve its success ratio. It is recommended that the conference needs to be held annually to sustain this initiative and expand collaboration with government and industry leaders. Therefore, the event will ensure long-term progress in promotin</w:t>
      </w:r>
      <w:r w:rsidRPr="001B4A39">
        <w:rPr>
          <w:lang w:val="en-GB"/>
        </w:rPr>
        <w:t>g inclusive workplace guidelines and enhancing meaningful transformation in the professional landscape.</w:t>
      </w:r>
    </w:p>
    <w:p w14:paraId="07649AC2" w14:textId="77777777" w:rsidR="00942E11" w:rsidRPr="001B4A39" w:rsidRDefault="00954311">
      <w:pPr>
        <w:rPr>
          <w:lang w:val="en-GB"/>
        </w:rPr>
      </w:pPr>
      <w:r w:rsidRPr="001B4A39">
        <w:rPr>
          <w:lang w:val="en-GB"/>
        </w:rPr>
        <w:br w:type="page"/>
      </w:r>
    </w:p>
    <w:p w14:paraId="3991AC1D" w14:textId="77777777" w:rsidR="00942E11" w:rsidRPr="001B4A39" w:rsidRDefault="00942E11">
      <w:pPr>
        <w:rPr>
          <w:lang w:val="en-GB"/>
        </w:rPr>
      </w:pPr>
    </w:p>
    <w:p w14:paraId="2484B1BF" w14:textId="77777777" w:rsidR="00942E11" w:rsidRPr="001B4A39" w:rsidRDefault="00954311">
      <w:pPr>
        <w:pStyle w:val="Heading1"/>
        <w:rPr>
          <w:lang w:val="en-GB"/>
        </w:rPr>
      </w:pPr>
      <w:bookmarkStart w:id="20" w:name="_pmbi05pgzf4c" w:colFirst="0" w:colLast="0"/>
      <w:bookmarkStart w:id="21" w:name="_Toc190991153"/>
      <w:bookmarkEnd w:id="20"/>
      <w:r w:rsidRPr="001B4A39">
        <w:rPr>
          <w:lang w:val="en-GB"/>
        </w:rPr>
        <w:t>10. References</w:t>
      </w:r>
      <w:bookmarkEnd w:id="21"/>
      <w:r w:rsidRPr="001B4A39">
        <w:rPr>
          <w:lang w:val="en-GB"/>
        </w:rPr>
        <w:t xml:space="preserve"> </w:t>
      </w:r>
    </w:p>
    <w:p w14:paraId="55C6D355" w14:textId="77777777" w:rsidR="00817982" w:rsidRPr="001B4A39" w:rsidRDefault="00817982">
      <w:pPr>
        <w:rPr>
          <w:color w:val="222222"/>
          <w:highlight w:val="white"/>
          <w:lang w:val="en-GB"/>
        </w:rPr>
      </w:pPr>
      <w:proofErr w:type="spellStart"/>
      <w:r w:rsidRPr="001B4A39">
        <w:rPr>
          <w:color w:val="222222"/>
          <w:highlight w:val="white"/>
          <w:lang w:val="en-GB"/>
        </w:rPr>
        <w:t>Anandarao</w:t>
      </w:r>
      <w:proofErr w:type="spellEnd"/>
      <w:r w:rsidRPr="001B4A39">
        <w:rPr>
          <w:color w:val="222222"/>
          <w:highlight w:val="white"/>
          <w:lang w:val="en-GB"/>
        </w:rPr>
        <w:t xml:space="preserve">, H., </w:t>
      </w:r>
      <w:proofErr w:type="spellStart"/>
      <w:r w:rsidRPr="001B4A39">
        <w:rPr>
          <w:color w:val="222222"/>
          <w:highlight w:val="white"/>
          <w:lang w:val="en-GB"/>
        </w:rPr>
        <w:t>Hisham</w:t>
      </w:r>
      <w:proofErr w:type="spellEnd"/>
      <w:r w:rsidRPr="001B4A39">
        <w:rPr>
          <w:color w:val="222222"/>
          <w:highlight w:val="white"/>
          <w:lang w:val="en-GB"/>
        </w:rPr>
        <w:t xml:space="preserve">, A.A.A., </w:t>
      </w:r>
      <w:proofErr w:type="spellStart"/>
      <w:r w:rsidRPr="001B4A39">
        <w:rPr>
          <w:color w:val="222222"/>
          <w:highlight w:val="white"/>
          <w:lang w:val="en-GB"/>
        </w:rPr>
        <w:t>Jamalulais</w:t>
      </w:r>
      <w:proofErr w:type="spellEnd"/>
      <w:r w:rsidRPr="001B4A39">
        <w:rPr>
          <w:color w:val="222222"/>
          <w:highlight w:val="white"/>
          <w:lang w:val="en-GB"/>
        </w:rPr>
        <w:t xml:space="preserve">, A.A., Ali, N.F.M., </w:t>
      </w:r>
      <w:proofErr w:type="spellStart"/>
      <w:r w:rsidRPr="001B4A39">
        <w:rPr>
          <w:color w:val="222222"/>
          <w:highlight w:val="white"/>
          <w:lang w:val="en-GB"/>
        </w:rPr>
        <w:t>Roslan</w:t>
      </w:r>
      <w:proofErr w:type="spellEnd"/>
      <w:r w:rsidRPr="001B4A39">
        <w:rPr>
          <w:color w:val="222222"/>
          <w:highlight w:val="white"/>
          <w:lang w:val="en-GB"/>
        </w:rPr>
        <w:t xml:space="preserve">, M.F. and </w:t>
      </w:r>
      <w:proofErr w:type="spellStart"/>
      <w:r w:rsidRPr="001B4A39">
        <w:rPr>
          <w:color w:val="222222"/>
          <w:highlight w:val="white"/>
          <w:lang w:val="en-GB"/>
        </w:rPr>
        <w:t>Salamat</w:t>
      </w:r>
      <w:proofErr w:type="spellEnd"/>
      <w:r w:rsidRPr="001B4A39">
        <w:rPr>
          <w:color w:val="222222"/>
          <w:highlight w:val="white"/>
          <w:lang w:val="en-GB"/>
        </w:rPr>
        <w:t xml:space="preserve">, M.A., 2023. The Breakdown of Health-care. </w:t>
      </w:r>
      <w:proofErr w:type="spellStart"/>
      <w:r w:rsidRPr="001B4A39">
        <w:rPr>
          <w:color w:val="222222"/>
          <w:highlight w:val="white"/>
          <w:lang w:val="en-GB"/>
        </w:rPr>
        <w:t>gov</w:t>
      </w:r>
      <w:proofErr w:type="spellEnd"/>
      <w:r w:rsidRPr="001B4A39">
        <w:rPr>
          <w:color w:val="222222"/>
          <w:highlight w:val="white"/>
          <w:lang w:val="en-GB"/>
        </w:rPr>
        <w:t xml:space="preserve"> project-A Study with Specific Emphasis on Project Management Body Of Knowledge (PMBOK). </w:t>
      </w:r>
      <w:r w:rsidRPr="001B4A39">
        <w:rPr>
          <w:i/>
          <w:color w:val="222222"/>
          <w:highlight w:val="white"/>
          <w:lang w:val="en-GB"/>
        </w:rPr>
        <w:t>Applied Information Technology And Computer Science</w:t>
      </w:r>
      <w:r w:rsidRPr="001B4A39">
        <w:rPr>
          <w:color w:val="222222"/>
          <w:highlight w:val="white"/>
          <w:lang w:val="en-GB"/>
        </w:rPr>
        <w:t xml:space="preserve">, </w:t>
      </w:r>
      <w:r w:rsidRPr="001B4A39">
        <w:rPr>
          <w:i/>
          <w:color w:val="222222"/>
          <w:highlight w:val="white"/>
          <w:lang w:val="en-GB"/>
        </w:rPr>
        <w:t>4</w:t>
      </w:r>
      <w:r w:rsidRPr="001B4A39">
        <w:rPr>
          <w:color w:val="222222"/>
          <w:highlight w:val="white"/>
          <w:lang w:val="en-GB"/>
        </w:rPr>
        <w:t>(2), pp.2165-2174.</w:t>
      </w:r>
    </w:p>
    <w:p w14:paraId="47A647FC" w14:textId="77777777" w:rsidR="00817982" w:rsidRPr="001B4A39" w:rsidRDefault="00817982">
      <w:pPr>
        <w:rPr>
          <w:color w:val="222222"/>
          <w:highlight w:val="white"/>
          <w:lang w:val="en-GB"/>
        </w:rPr>
      </w:pPr>
      <w:r w:rsidRPr="001B4A39">
        <w:rPr>
          <w:color w:val="222222"/>
          <w:highlight w:val="white"/>
          <w:lang w:val="en-GB"/>
        </w:rPr>
        <w:t xml:space="preserve">Badu, J., </w:t>
      </w:r>
      <w:proofErr w:type="spellStart"/>
      <w:r w:rsidRPr="001B4A39">
        <w:rPr>
          <w:color w:val="222222"/>
          <w:highlight w:val="white"/>
          <w:lang w:val="en-GB"/>
        </w:rPr>
        <w:t>Kruke</w:t>
      </w:r>
      <w:proofErr w:type="spellEnd"/>
      <w:r w:rsidRPr="001B4A39">
        <w:rPr>
          <w:color w:val="222222"/>
          <w:highlight w:val="white"/>
          <w:lang w:val="en-GB"/>
        </w:rPr>
        <w:t xml:space="preserve">, B.I. and </w:t>
      </w:r>
      <w:proofErr w:type="spellStart"/>
      <w:r w:rsidRPr="001B4A39">
        <w:rPr>
          <w:color w:val="222222"/>
          <w:highlight w:val="white"/>
          <w:lang w:val="en-GB"/>
        </w:rPr>
        <w:t>Saetren</w:t>
      </w:r>
      <w:proofErr w:type="spellEnd"/>
      <w:r w:rsidRPr="001B4A39">
        <w:rPr>
          <w:color w:val="222222"/>
          <w:highlight w:val="white"/>
          <w:lang w:val="en-GB"/>
        </w:rPr>
        <w:t xml:space="preserve">, G.B., 2023. Crisis communication and trustworthiness among crisis actors: towards a typology of crisis management difficulties. </w:t>
      </w:r>
      <w:r w:rsidRPr="001B4A39">
        <w:rPr>
          <w:i/>
          <w:color w:val="222222"/>
          <w:highlight w:val="white"/>
          <w:lang w:val="en-GB"/>
        </w:rPr>
        <w:t>Safety in extreme environments</w:t>
      </w:r>
      <w:r w:rsidRPr="001B4A39">
        <w:rPr>
          <w:color w:val="222222"/>
          <w:highlight w:val="white"/>
          <w:lang w:val="en-GB"/>
        </w:rPr>
        <w:t xml:space="preserve">, </w:t>
      </w:r>
      <w:r w:rsidRPr="001B4A39">
        <w:rPr>
          <w:i/>
          <w:color w:val="222222"/>
          <w:highlight w:val="white"/>
          <w:lang w:val="en-GB"/>
        </w:rPr>
        <w:t>5</w:t>
      </w:r>
      <w:r w:rsidRPr="001B4A39">
        <w:rPr>
          <w:color w:val="222222"/>
          <w:highlight w:val="white"/>
          <w:lang w:val="en-GB"/>
        </w:rPr>
        <w:t>(2), pp.119-130.</w:t>
      </w:r>
    </w:p>
    <w:p w14:paraId="51245BCC" w14:textId="77777777" w:rsidR="00817982" w:rsidRPr="001B4A39" w:rsidRDefault="00817982">
      <w:pPr>
        <w:rPr>
          <w:color w:val="222222"/>
          <w:highlight w:val="white"/>
          <w:lang w:val="en-GB"/>
        </w:rPr>
      </w:pPr>
      <w:r w:rsidRPr="001B4A39">
        <w:rPr>
          <w:color w:val="222222"/>
          <w:highlight w:val="white"/>
          <w:lang w:val="en-GB"/>
        </w:rPr>
        <w:t>Castro-</w:t>
      </w:r>
      <w:proofErr w:type="spellStart"/>
      <w:r w:rsidRPr="001B4A39">
        <w:rPr>
          <w:color w:val="222222"/>
          <w:highlight w:val="white"/>
          <w:lang w:val="en-GB"/>
        </w:rPr>
        <w:t>Schez</w:t>
      </w:r>
      <w:proofErr w:type="spellEnd"/>
      <w:r w:rsidRPr="001B4A39">
        <w:rPr>
          <w:color w:val="222222"/>
          <w:highlight w:val="white"/>
          <w:lang w:val="en-GB"/>
        </w:rPr>
        <w:t xml:space="preserve">, J.J., Grande, R., Herrera, V., </w:t>
      </w:r>
      <w:proofErr w:type="spellStart"/>
      <w:r w:rsidRPr="001B4A39">
        <w:rPr>
          <w:color w:val="222222"/>
          <w:highlight w:val="white"/>
          <w:lang w:val="en-GB"/>
        </w:rPr>
        <w:t>Schez-Sobrino</w:t>
      </w:r>
      <w:proofErr w:type="spellEnd"/>
      <w:r w:rsidRPr="001B4A39">
        <w:rPr>
          <w:color w:val="222222"/>
          <w:highlight w:val="white"/>
          <w:lang w:val="en-GB"/>
        </w:rPr>
        <w:t xml:space="preserve">, S., Vallejo, D. and </w:t>
      </w:r>
      <w:proofErr w:type="spellStart"/>
      <w:r w:rsidRPr="001B4A39">
        <w:rPr>
          <w:color w:val="222222"/>
          <w:highlight w:val="white"/>
          <w:lang w:val="en-GB"/>
        </w:rPr>
        <w:t>Albusac</w:t>
      </w:r>
      <w:proofErr w:type="spellEnd"/>
      <w:r w:rsidRPr="001B4A39">
        <w:rPr>
          <w:color w:val="222222"/>
          <w:highlight w:val="white"/>
          <w:lang w:val="en-GB"/>
        </w:rPr>
        <w:t xml:space="preserve">, J., 2024. E-marketplace state of the art and trends: VR-ZOCO—An architectural proposal for the future. </w:t>
      </w:r>
      <w:r w:rsidRPr="001B4A39">
        <w:rPr>
          <w:i/>
          <w:color w:val="222222"/>
          <w:highlight w:val="white"/>
          <w:lang w:val="en-GB"/>
        </w:rPr>
        <w:t>Applied System Innovation</w:t>
      </w:r>
      <w:r w:rsidRPr="001B4A39">
        <w:rPr>
          <w:color w:val="222222"/>
          <w:highlight w:val="white"/>
          <w:lang w:val="en-GB"/>
        </w:rPr>
        <w:t xml:space="preserve">, </w:t>
      </w:r>
      <w:r w:rsidRPr="001B4A39">
        <w:rPr>
          <w:i/>
          <w:color w:val="222222"/>
          <w:highlight w:val="white"/>
          <w:lang w:val="en-GB"/>
        </w:rPr>
        <w:t>7</w:t>
      </w:r>
      <w:r w:rsidRPr="001B4A39">
        <w:rPr>
          <w:color w:val="222222"/>
          <w:highlight w:val="white"/>
          <w:lang w:val="en-GB"/>
        </w:rPr>
        <w:t>(5), p.76.</w:t>
      </w:r>
    </w:p>
    <w:p w14:paraId="7AE2855C" w14:textId="77777777" w:rsidR="00817982" w:rsidRPr="001B4A39" w:rsidRDefault="00817982">
      <w:pPr>
        <w:rPr>
          <w:color w:val="222222"/>
          <w:highlight w:val="white"/>
          <w:lang w:val="en-GB"/>
        </w:rPr>
      </w:pPr>
      <w:proofErr w:type="spellStart"/>
      <w:r w:rsidRPr="001B4A39">
        <w:rPr>
          <w:color w:val="222222"/>
          <w:highlight w:val="white"/>
          <w:lang w:val="en-GB"/>
        </w:rPr>
        <w:t>Criado</w:t>
      </w:r>
      <w:proofErr w:type="spellEnd"/>
      <w:r w:rsidRPr="001B4A39">
        <w:rPr>
          <w:color w:val="222222"/>
          <w:highlight w:val="white"/>
          <w:lang w:val="en-GB"/>
        </w:rPr>
        <w:t xml:space="preserve">, J.I., Dias, T.F., Sano, H., Rojas-Martín, F., </w:t>
      </w:r>
      <w:proofErr w:type="spellStart"/>
      <w:r w:rsidRPr="001B4A39">
        <w:rPr>
          <w:color w:val="222222"/>
          <w:highlight w:val="white"/>
          <w:lang w:val="en-GB"/>
        </w:rPr>
        <w:t>Silvan</w:t>
      </w:r>
      <w:proofErr w:type="spellEnd"/>
      <w:r w:rsidRPr="001B4A39">
        <w:rPr>
          <w:color w:val="222222"/>
          <w:highlight w:val="white"/>
          <w:lang w:val="en-GB"/>
        </w:rPr>
        <w:t xml:space="preserve">, A. and </w:t>
      </w:r>
      <w:proofErr w:type="spellStart"/>
      <w:r w:rsidRPr="001B4A39">
        <w:rPr>
          <w:color w:val="222222"/>
          <w:highlight w:val="white"/>
          <w:lang w:val="en-GB"/>
        </w:rPr>
        <w:t>Filho</w:t>
      </w:r>
      <w:proofErr w:type="spellEnd"/>
      <w:r w:rsidRPr="001B4A39">
        <w:rPr>
          <w:color w:val="222222"/>
          <w:highlight w:val="white"/>
          <w:lang w:val="en-GB"/>
        </w:rPr>
        <w:t xml:space="preserve">, A.I., 2021. Public innovation and living labs in action: A comparative analysis in post-new public management contexts. </w:t>
      </w:r>
      <w:r w:rsidRPr="001B4A39">
        <w:rPr>
          <w:i/>
          <w:color w:val="222222"/>
          <w:highlight w:val="white"/>
          <w:lang w:val="en-GB"/>
        </w:rPr>
        <w:t>International Journal of Public Administration</w:t>
      </w:r>
      <w:r w:rsidRPr="001B4A39">
        <w:rPr>
          <w:color w:val="222222"/>
          <w:highlight w:val="white"/>
          <w:lang w:val="en-GB"/>
        </w:rPr>
        <w:t xml:space="preserve">, </w:t>
      </w:r>
      <w:r w:rsidRPr="001B4A39">
        <w:rPr>
          <w:i/>
          <w:color w:val="222222"/>
          <w:highlight w:val="white"/>
          <w:lang w:val="en-GB"/>
        </w:rPr>
        <w:t>44</w:t>
      </w:r>
      <w:r w:rsidRPr="001B4A39">
        <w:rPr>
          <w:color w:val="222222"/>
          <w:highlight w:val="white"/>
          <w:lang w:val="en-GB"/>
        </w:rPr>
        <w:t>(6), pp.451-464.</w:t>
      </w:r>
    </w:p>
    <w:p w14:paraId="5F231BF9" w14:textId="77777777" w:rsidR="00817982" w:rsidRPr="001B4A39" w:rsidRDefault="00817982">
      <w:pPr>
        <w:rPr>
          <w:color w:val="222222"/>
          <w:highlight w:val="white"/>
          <w:lang w:val="en-GB"/>
        </w:rPr>
      </w:pPr>
      <w:proofErr w:type="spellStart"/>
      <w:r w:rsidRPr="001B4A39">
        <w:rPr>
          <w:color w:val="222222"/>
          <w:highlight w:val="white"/>
          <w:lang w:val="en-GB"/>
        </w:rPr>
        <w:t>Fessi</w:t>
      </w:r>
      <w:proofErr w:type="spellEnd"/>
      <w:r w:rsidRPr="001B4A39">
        <w:rPr>
          <w:color w:val="222222"/>
          <w:highlight w:val="white"/>
          <w:lang w:val="en-GB"/>
        </w:rPr>
        <w:t xml:space="preserve">, M., </w:t>
      </w:r>
      <w:proofErr w:type="spellStart"/>
      <w:r w:rsidRPr="001B4A39">
        <w:rPr>
          <w:color w:val="222222"/>
          <w:highlight w:val="white"/>
          <w:lang w:val="en-GB"/>
        </w:rPr>
        <w:t>Saad</w:t>
      </w:r>
      <w:proofErr w:type="spellEnd"/>
      <w:r w:rsidRPr="001B4A39">
        <w:rPr>
          <w:color w:val="222222"/>
          <w:highlight w:val="white"/>
          <w:lang w:val="en-GB"/>
        </w:rPr>
        <w:t xml:space="preserve">, H., Oliveira, R., </w:t>
      </w:r>
      <w:proofErr w:type="spellStart"/>
      <w:r w:rsidRPr="001B4A39">
        <w:rPr>
          <w:color w:val="222222"/>
          <w:highlight w:val="white"/>
          <w:lang w:val="en-GB"/>
        </w:rPr>
        <w:t>Washif</w:t>
      </w:r>
      <w:proofErr w:type="spellEnd"/>
      <w:r w:rsidRPr="001B4A39">
        <w:rPr>
          <w:color w:val="222222"/>
          <w:highlight w:val="white"/>
          <w:lang w:val="en-GB"/>
        </w:rPr>
        <w:t xml:space="preserve">, J., </w:t>
      </w:r>
      <w:proofErr w:type="spellStart"/>
      <w:r w:rsidRPr="001B4A39">
        <w:rPr>
          <w:color w:val="222222"/>
          <w:highlight w:val="white"/>
          <w:lang w:val="en-GB"/>
        </w:rPr>
        <w:t>Chamari</w:t>
      </w:r>
      <w:proofErr w:type="spellEnd"/>
      <w:r w:rsidRPr="001B4A39">
        <w:rPr>
          <w:color w:val="222222"/>
          <w:highlight w:val="white"/>
          <w:lang w:val="en-GB"/>
        </w:rPr>
        <w:t xml:space="preserve">, K. and </w:t>
      </w:r>
      <w:proofErr w:type="spellStart"/>
      <w:r w:rsidRPr="001B4A39">
        <w:rPr>
          <w:color w:val="222222"/>
          <w:highlight w:val="white"/>
          <w:lang w:val="en-GB"/>
        </w:rPr>
        <w:t>Moalla</w:t>
      </w:r>
      <w:proofErr w:type="spellEnd"/>
      <w:r w:rsidRPr="001B4A39">
        <w:rPr>
          <w:color w:val="222222"/>
          <w:highlight w:val="white"/>
          <w:lang w:val="en-GB"/>
        </w:rPr>
        <w:t xml:space="preserve">, W., 2023. Workload management strategies in football: A global survey project. </w:t>
      </w:r>
      <w:r w:rsidRPr="001B4A39">
        <w:rPr>
          <w:i/>
          <w:color w:val="222222"/>
          <w:highlight w:val="white"/>
          <w:lang w:val="en-GB"/>
        </w:rPr>
        <w:t xml:space="preserve">La </w:t>
      </w:r>
      <w:proofErr w:type="spellStart"/>
      <w:r w:rsidRPr="001B4A39">
        <w:rPr>
          <w:i/>
          <w:color w:val="222222"/>
          <w:highlight w:val="white"/>
          <w:lang w:val="en-GB"/>
        </w:rPr>
        <w:t>Tunisie</w:t>
      </w:r>
      <w:proofErr w:type="spellEnd"/>
      <w:r w:rsidRPr="001B4A39">
        <w:rPr>
          <w:i/>
          <w:color w:val="222222"/>
          <w:highlight w:val="white"/>
          <w:lang w:val="en-GB"/>
        </w:rPr>
        <w:t xml:space="preserve"> </w:t>
      </w:r>
      <w:proofErr w:type="spellStart"/>
      <w:r w:rsidRPr="001B4A39">
        <w:rPr>
          <w:i/>
          <w:color w:val="222222"/>
          <w:highlight w:val="white"/>
          <w:lang w:val="en-GB"/>
        </w:rPr>
        <w:t>Médicale</w:t>
      </w:r>
      <w:proofErr w:type="spellEnd"/>
      <w:r w:rsidRPr="001B4A39">
        <w:rPr>
          <w:color w:val="222222"/>
          <w:highlight w:val="white"/>
          <w:lang w:val="en-GB"/>
        </w:rPr>
        <w:t xml:space="preserve">, </w:t>
      </w:r>
      <w:r w:rsidRPr="001B4A39">
        <w:rPr>
          <w:i/>
          <w:color w:val="222222"/>
          <w:highlight w:val="white"/>
          <w:lang w:val="en-GB"/>
        </w:rPr>
        <w:t>101</w:t>
      </w:r>
      <w:r w:rsidRPr="001B4A39">
        <w:rPr>
          <w:color w:val="222222"/>
          <w:highlight w:val="white"/>
          <w:lang w:val="en-GB"/>
        </w:rPr>
        <w:t>(11), pp.795-799.</w:t>
      </w:r>
    </w:p>
    <w:p w14:paraId="60F4FB8B" w14:textId="77777777" w:rsidR="00817982" w:rsidRPr="001B4A39" w:rsidRDefault="00817982">
      <w:pPr>
        <w:rPr>
          <w:color w:val="222222"/>
          <w:highlight w:val="white"/>
          <w:lang w:val="en-GB"/>
        </w:rPr>
      </w:pPr>
      <w:r w:rsidRPr="001B4A39">
        <w:rPr>
          <w:color w:val="222222"/>
          <w:highlight w:val="white"/>
          <w:lang w:val="en-GB"/>
        </w:rPr>
        <w:t xml:space="preserve">Getz, D., 2008. Event tourism: Definition, evolution, and research. </w:t>
      </w:r>
      <w:r w:rsidRPr="001B4A39">
        <w:rPr>
          <w:i/>
          <w:color w:val="222222"/>
          <w:highlight w:val="white"/>
          <w:lang w:val="en-GB"/>
        </w:rPr>
        <w:t>Tourism management</w:t>
      </w:r>
      <w:r w:rsidRPr="001B4A39">
        <w:rPr>
          <w:color w:val="222222"/>
          <w:highlight w:val="white"/>
          <w:lang w:val="en-GB"/>
        </w:rPr>
        <w:t xml:space="preserve">, </w:t>
      </w:r>
      <w:r w:rsidRPr="001B4A39">
        <w:rPr>
          <w:i/>
          <w:color w:val="222222"/>
          <w:highlight w:val="white"/>
          <w:lang w:val="en-GB"/>
        </w:rPr>
        <w:t>29</w:t>
      </w:r>
      <w:r w:rsidRPr="001B4A39">
        <w:rPr>
          <w:color w:val="222222"/>
          <w:highlight w:val="white"/>
          <w:lang w:val="en-GB"/>
        </w:rPr>
        <w:t>(3), pp.403-428.</w:t>
      </w:r>
    </w:p>
    <w:p w14:paraId="3162E667" w14:textId="77777777" w:rsidR="00817982" w:rsidRPr="001B4A39" w:rsidRDefault="00817982">
      <w:pPr>
        <w:rPr>
          <w:color w:val="222222"/>
          <w:highlight w:val="white"/>
          <w:lang w:val="en-GB"/>
        </w:rPr>
      </w:pPr>
      <w:r w:rsidRPr="001B4A39">
        <w:rPr>
          <w:color w:val="222222"/>
          <w:highlight w:val="white"/>
          <w:lang w:val="en-GB"/>
        </w:rPr>
        <w:t xml:space="preserve">Groenewald, E., 2024. Assessing the Role of Leadership in Shaping EDI Policies and Initiatives in Hospitality Industries: A Systematic Review and Meta-analysis Review. </w:t>
      </w:r>
      <w:r w:rsidRPr="001B4A39">
        <w:rPr>
          <w:i/>
          <w:color w:val="222222"/>
          <w:highlight w:val="white"/>
          <w:lang w:val="en-GB"/>
        </w:rPr>
        <w:t>International Multidisciplinary Journal of Research for Innovation, Sustainability, and Excellence (IMJRISE)</w:t>
      </w:r>
      <w:r w:rsidRPr="001B4A39">
        <w:rPr>
          <w:color w:val="222222"/>
          <w:highlight w:val="white"/>
          <w:lang w:val="en-GB"/>
        </w:rPr>
        <w:t xml:space="preserve">, </w:t>
      </w:r>
      <w:r w:rsidRPr="001B4A39">
        <w:rPr>
          <w:i/>
          <w:color w:val="222222"/>
          <w:highlight w:val="white"/>
          <w:lang w:val="en-GB"/>
        </w:rPr>
        <w:t>1</w:t>
      </w:r>
      <w:r w:rsidRPr="001B4A39">
        <w:rPr>
          <w:color w:val="222222"/>
          <w:highlight w:val="white"/>
          <w:lang w:val="en-GB"/>
        </w:rPr>
        <w:t>(1), pp.13-19.</w:t>
      </w:r>
    </w:p>
    <w:p w14:paraId="3A2DCE44" w14:textId="77777777" w:rsidR="00817982" w:rsidRPr="001B4A39" w:rsidRDefault="00817982">
      <w:pPr>
        <w:rPr>
          <w:color w:val="222222"/>
          <w:highlight w:val="white"/>
          <w:lang w:val="en-GB"/>
        </w:rPr>
      </w:pPr>
      <w:r w:rsidRPr="001B4A39">
        <w:rPr>
          <w:color w:val="222222"/>
          <w:highlight w:val="white"/>
          <w:lang w:val="en-GB"/>
        </w:rPr>
        <w:t xml:space="preserve">Hagen, D., 2021. Sustainable event management: new perspectives for the meeting industry through innovation and digitalisation?. </w:t>
      </w:r>
      <w:r w:rsidRPr="001B4A39">
        <w:rPr>
          <w:i/>
          <w:color w:val="222222"/>
          <w:highlight w:val="white"/>
          <w:lang w:val="en-GB"/>
        </w:rPr>
        <w:t>Innovations and Traditions for Sustainable Development</w:t>
      </w:r>
      <w:r w:rsidRPr="001B4A39">
        <w:rPr>
          <w:color w:val="222222"/>
          <w:highlight w:val="white"/>
          <w:lang w:val="en-GB"/>
        </w:rPr>
        <w:t>, pp.259-275.</w:t>
      </w:r>
    </w:p>
    <w:p w14:paraId="0A4EE02C" w14:textId="77777777" w:rsidR="00817982" w:rsidRPr="001B4A39" w:rsidRDefault="00817982">
      <w:pPr>
        <w:rPr>
          <w:color w:val="222222"/>
          <w:highlight w:val="white"/>
          <w:lang w:val="en-GB"/>
        </w:rPr>
      </w:pPr>
      <w:r w:rsidRPr="001B4A39">
        <w:rPr>
          <w:color w:val="222222"/>
          <w:highlight w:val="white"/>
          <w:lang w:val="en-GB"/>
        </w:rPr>
        <w:t xml:space="preserve">Huda, S.S., 2024. Increasing green footprints: Indications of transformations in the socio‐economic spaces of Bangladesh. </w:t>
      </w:r>
      <w:r w:rsidRPr="001B4A39">
        <w:rPr>
          <w:i/>
          <w:color w:val="222222"/>
          <w:highlight w:val="white"/>
          <w:lang w:val="en-GB"/>
        </w:rPr>
        <w:t>Engineering Reports</w:t>
      </w:r>
      <w:r w:rsidRPr="001B4A39">
        <w:rPr>
          <w:color w:val="222222"/>
          <w:highlight w:val="white"/>
          <w:lang w:val="en-GB"/>
        </w:rPr>
        <w:t xml:space="preserve">, </w:t>
      </w:r>
      <w:r w:rsidRPr="001B4A39">
        <w:rPr>
          <w:i/>
          <w:color w:val="222222"/>
          <w:highlight w:val="white"/>
          <w:lang w:val="en-GB"/>
        </w:rPr>
        <w:t>6</w:t>
      </w:r>
      <w:r w:rsidRPr="001B4A39">
        <w:rPr>
          <w:color w:val="222222"/>
          <w:highlight w:val="white"/>
          <w:lang w:val="en-GB"/>
        </w:rPr>
        <w:t>(1), p.e12775.</w:t>
      </w:r>
    </w:p>
    <w:p w14:paraId="0EFAA6D1" w14:textId="77777777" w:rsidR="00817982" w:rsidRPr="001B4A39" w:rsidRDefault="00817982">
      <w:pPr>
        <w:rPr>
          <w:color w:val="222222"/>
          <w:highlight w:val="white"/>
          <w:lang w:val="en-GB"/>
        </w:rPr>
      </w:pPr>
      <w:r w:rsidRPr="001B4A39">
        <w:rPr>
          <w:color w:val="222222"/>
          <w:highlight w:val="white"/>
          <w:lang w:val="en-GB"/>
        </w:rPr>
        <w:t xml:space="preserve">Irfan, M., Khan, S.Z., Hassan, N., Hassan, M., Habib, M., Khan, S. and Khan, H.H., 2021. Role of project planning and project manager competencies on public sector project success. </w:t>
      </w:r>
      <w:r w:rsidRPr="001B4A39">
        <w:rPr>
          <w:i/>
          <w:color w:val="222222"/>
          <w:highlight w:val="white"/>
          <w:lang w:val="en-GB"/>
        </w:rPr>
        <w:t>Sustainability</w:t>
      </w:r>
      <w:r w:rsidRPr="001B4A39">
        <w:rPr>
          <w:color w:val="222222"/>
          <w:highlight w:val="white"/>
          <w:lang w:val="en-GB"/>
        </w:rPr>
        <w:t xml:space="preserve">, </w:t>
      </w:r>
      <w:r w:rsidRPr="001B4A39">
        <w:rPr>
          <w:i/>
          <w:color w:val="222222"/>
          <w:highlight w:val="white"/>
          <w:lang w:val="en-GB"/>
        </w:rPr>
        <w:t>13</w:t>
      </w:r>
      <w:r w:rsidRPr="001B4A39">
        <w:rPr>
          <w:color w:val="222222"/>
          <w:highlight w:val="white"/>
          <w:lang w:val="en-GB"/>
        </w:rPr>
        <w:t>(3), p.1421.</w:t>
      </w:r>
    </w:p>
    <w:p w14:paraId="40DE678F" w14:textId="77777777" w:rsidR="00817982" w:rsidRPr="001B4A39" w:rsidRDefault="00817982">
      <w:pPr>
        <w:rPr>
          <w:color w:val="222222"/>
          <w:highlight w:val="white"/>
          <w:lang w:val="en-GB"/>
        </w:rPr>
      </w:pPr>
      <w:r w:rsidRPr="001B4A39">
        <w:rPr>
          <w:color w:val="222222"/>
          <w:highlight w:val="white"/>
          <w:lang w:val="en-GB"/>
        </w:rPr>
        <w:t>Legislation.gov.uk, (2024). “Equality Act 2010”. Available at:</w:t>
      </w:r>
      <w:r>
        <w:rPr>
          <w:color w:val="222222"/>
          <w:lang w:val="en-GB"/>
        </w:rPr>
        <w:t xml:space="preserve"> </w:t>
      </w:r>
      <w:hyperlink r:id="rId8" w:history="1">
        <w:r w:rsidRPr="007C67B5">
          <w:rPr>
            <w:rStyle w:val="Hyperlink"/>
            <w:highlight w:val="white"/>
            <w:lang w:val="en-GB"/>
          </w:rPr>
          <w:t>https://www.legislation.gov.uk/ukpga/2010/15/contents</w:t>
        </w:r>
      </w:hyperlink>
      <w:r w:rsidRPr="001B4A39">
        <w:rPr>
          <w:color w:val="222222"/>
          <w:highlight w:val="white"/>
          <w:lang w:val="en-GB"/>
        </w:rPr>
        <w:t xml:space="preserve"> [Accessed on: 15th February 2025]</w:t>
      </w:r>
    </w:p>
    <w:p w14:paraId="2F37A54D" w14:textId="77777777" w:rsidR="00817982" w:rsidRPr="001B4A39" w:rsidRDefault="00817982">
      <w:pPr>
        <w:rPr>
          <w:color w:val="222222"/>
          <w:highlight w:val="white"/>
          <w:lang w:val="en-GB"/>
        </w:rPr>
      </w:pPr>
      <w:r w:rsidRPr="001B4A39">
        <w:rPr>
          <w:color w:val="222222"/>
          <w:highlight w:val="white"/>
          <w:lang w:val="en-GB"/>
        </w:rPr>
        <w:t>London.gov.uk, (2024). “Inclusive London”. Available at:</w:t>
      </w:r>
      <w:r>
        <w:rPr>
          <w:color w:val="222222"/>
          <w:lang w:val="en-GB"/>
        </w:rPr>
        <w:t xml:space="preserve"> </w:t>
      </w:r>
      <w:hyperlink r:id="rId9" w:history="1">
        <w:r w:rsidRPr="007C67B5">
          <w:rPr>
            <w:rStyle w:val="Hyperlink"/>
            <w:highlight w:val="white"/>
            <w:lang w:val="en-GB"/>
          </w:rPr>
          <w:t>https://www.london.gov.uk/sites/default/files/mayors-equality-diversity-inclusion-strategy.pdf</w:t>
        </w:r>
      </w:hyperlink>
      <w:r w:rsidRPr="001B4A39">
        <w:rPr>
          <w:color w:val="222222"/>
          <w:highlight w:val="white"/>
          <w:lang w:val="en-GB"/>
        </w:rPr>
        <w:t xml:space="preserve"> [Accessed on: 15th February 2025]</w:t>
      </w:r>
    </w:p>
    <w:p w14:paraId="04CD5856" w14:textId="77777777" w:rsidR="00817982" w:rsidRPr="001B4A39" w:rsidRDefault="00817982">
      <w:pPr>
        <w:rPr>
          <w:color w:val="222222"/>
          <w:highlight w:val="white"/>
          <w:lang w:val="en-GB"/>
        </w:rPr>
      </w:pPr>
      <w:proofErr w:type="spellStart"/>
      <w:r w:rsidRPr="001B4A39">
        <w:rPr>
          <w:color w:val="222222"/>
          <w:highlight w:val="white"/>
          <w:lang w:val="en-GB"/>
        </w:rPr>
        <w:t>Mahadewi</w:t>
      </w:r>
      <w:proofErr w:type="spellEnd"/>
      <w:r w:rsidRPr="001B4A39">
        <w:rPr>
          <w:color w:val="222222"/>
          <w:highlight w:val="white"/>
          <w:lang w:val="en-GB"/>
        </w:rPr>
        <w:t xml:space="preserve">, 2023, January. Hybrid Event: Utilization of Digital Technology in Organizing Events during the COVID-19 Pandemic in Indonesia. In </w:t>
      </w:r>
      <w:r w:rsidRPr="001B4A39">
        <w:rPr>
          <w:i/>
          <w:color w:val="222222"/>
          <w:highlight w:val="white"/>
          <w:lang w:val="en-GB"/>
        </w:rPr>
        <w:t>Proceedings</w:t>
      </w:r>
      <w:r w:rsidRPr="001B4A39">
        <w:rPr>
          <w:color w:val="222222"/>
          <w:highlight w:val="white"/>
          <w:lang w:val="en-GB"/>
        </w:rPr>
        <w:t xml:space="preserve"> (Vol. 83, No. 1, p. 53). MDPI.</w:t>
      </w:r>
    </w:p>
    <w:p w14:paraId="54C29B28" w14:textId="77777777" w:rsidR="00817982" w:rsidRPr="001B4A39" w:rsidRDefault="00817982">
      <w:pPr>
        <w:rPr>
          <w:color w:val="222222"/>
          <w:highlight w:val="white"/>
          <w:lang w:val="en-GB"/>
        </w:rPr>
      </w:pPr>
      <w:proofErr w:type="spellStart"/>
      <w:r w:rsidRPr="001B4A39">
        <w:rPr>
          <w:color w:val="222222"/>
          <w:highlight w:val="white"/>
          <w:lang w:val="en-GB"/>
        </w:rPr>
        <w:t>Meidert</w:t>
      </w:r>
      <w:proofErr w:type="spellEnd"/>
      <w:r w:rsidRPr="001B4A39">
        <w:rPr>
          <w:color w:val="222222"/>
          <w:highlight w:val="white"/>
          <w:lang w:val="en-GB"/>
        </w:rPr>
        <w:t xml:space="preserve">, U., </w:t>
      </w:r>
      <w:proofErr w:type="spellStart"/>
      <w:r w:rsidRPr="001B4A39">
        <w:rPr>
          <w:color w:val="222222"/>
          <w:highlight w:val="white"/>
          <w:lang w:val="en-GB"/>
        </w:rPr>
        <w:t>Dönnges</w:t>
      </w:r>
      <w:proofErr w:type="spellEnd"/>
      <w:r w:rsidRPr="001B4A39">
        <w:rPr>
          <w:color w:val="222222"/>
          <w:highlight w:val="white"/>
          <w:lang w:val="en-GB"/>
        </w:rPr>
        <w:t xml:space="preserve">, G., Bucher, T., </w:t>
      </w:r>
      <w:proofErr w:type="spellStart"/>
      <w:r w:rsidRPr="001B4A39">
        <w:rPr>
          <w:color w:val="222222"/>
          <w:highlight w:val="white"/>
          <w:lang w:val="en-GB"/>
        </w:rPr>
        <w:t>Wieber</w:t>
      </w:r>
      <w:proofErr w:type="spellEnd"/>
      <w:r w:rsidRPr="001B4A39">
        <w:rPr>
          <w:color w:val="222222"/>
          <w:highlight w:val="white"/>
          <w:lang w:val="en-GB"/>
        </w:rPr>
        <w:t xml:space="preserve">, F. and Gerber-Grote, A., 2023. Unconscious Bias among health professionals: a scoping review. </w:t>
      </w:r>
      <w:r w:rsidRPr="001B4A39">
        <w:rPr>
          <w:i/>
          <w:color w:val="222222"/>
          <w:highlight w:val="white"/>
          <w:lang w:val="en-GB"/>
        </w:rPr>
        <w:t>International journal of environmental research and public health</w:t>
      </w:r>
      <w:r w:rsidRPr="001B4A39">
        <w:rPr>
          <w:color w:val="222222"/>
          <w:highlight w:val="white"/>
          <w:lang w:val="en-GB"/>
        </w:rPr>
        <w:t xml:space="preserve">, </w:t>
      </w:r>
      <w:r w:rsidRPr="001B4A39">
        <w:rPr>
          <w:i/>
          <w:color w:val="222222"/>
          <w:highlight w:val="white"/>
          <w:lang w:val="en-GB"/>
        </w:rPr>
        <w:t>20</w:t>
      </w:r>
      <w:r w:rsidRPr="001B4A39">
        <w:rPr>
          <w:color w:val="222222"/>
          <w:highlight w:val="white"/>
          <w:lang w:val="en-GB"/>
        </w:rPr>
        <w:t>(16), p.6569.</w:t>
      </w:r>
    </w:p>
    <w:p w14:paraId="48C7250C" w14:textId="77777777" w:rsidR="00817982" w:rsidRPr="001B4A39" w:rsidRDefault="00817982">
      <w:pPr>
        <w:rPr>
          <w:color w:val="222222"/>
          <w:highlight w:val="white"/>
          <w:lang w:val="en-GB"/>
        </w:rPr>
      </w:pPr>
      <w:proofErr w:type="spellStart"/>
      <w:r w:rsidRPr="001B4A39">
        <w:rPr>
          <w:color w:val="222222"/>
          <w:highlight w:val="white"/>
          <w:lang w:val="en-GB"/>
        </w:rPr>
        <w:t>Mercan</w:t>
      </w:r>
      <w:proofErr w:type="spellEnd"/>
      <w:r w:rsidRPr="001B4A39">
        <w:rPr>
          <w:color w:val="222222"/>
          <w:highlight w:val="white"/>
          <w:lang w:val="en-GB"/>
        </w:rPr>
        <w:t xml:space="preserve">, S., Cain, L., </w:t>
      </w:r>
      <w:proofErr w:type="spellStart"/>
      <w:r w:rsidRPr="001B4A39">
        <w:rPr>
          <w:color w:val="222222"/>
          <w:highlight w:val="white"/>
          <w:lang w:val="en-GB"/>
        </w:rPr>
        <w:t>Akkaya</w:t>
      </w:r>
      <w:proofErr w:type="spellEnd"/>
      <w:r w:rsidRPr="001B4A39">
        <w:rPr>
          <w:color w:val="222222"/>
          <w:highlight w:val="white"/>
          <w:lang w:val="en-GB"/>
        </w:rPr>
        <w:t xml:space="preserve">, K., </w:t>
      </w:r>
      <w:proofErr w:type="spellStart"/>
      <w:r w:rsidRPr="001B4A39">
        <w:rPr>
          <w:color w:val="222222"/>
          <w:highlight w:val="white"/>
          <w:lang w:val="en-GB"/>
        </w:rPr>
        <w:t>Cebe</w:t>
      </w:r>
      <w:proofErr w:type="spellEnd"/>
      <w:r w:rsidRPr="001B4A39">
        <w:rPr>
          <w:color w:val="222222"/>
          <w:highlight w:val="white"/>
          <w:lang w:val="en-GB"/>
        </w:rPr>
        <w:t xml:space="preserve">, M., </w:t>
      </w:r>
      <w:proofErr w:type="spellStart"/>
      <w:r w:rsidRPr="001B4A39">
        <w:rPr>
          <w:color w:val="222222"/>
          <w:highlight w:val="white"/>
          <w:lang w:val="en-GB"/>
        </w:rPr>
        <w:t>Uluagac</w:t>
      </w:r>
      <w:proofErr w:type="spellEnd"/>
      <w:r w:rsidRPr="001B4A39">
        <w:rPr>
          <w:color w:val="222222"/>
          <w:highlight w:val="white"/>
          <w:lang w:val="en-GB"/>
        </w:rPr>
        <w:t xml:space="preserve">, S., Alonso, M. and </w:t>
      </w:r>
      <w:proofErr w:type="spellStart"/>
      <w:r w:rsidRPr="001B4A39">
        <w:rPr>
          <w:color w:val="222222"/>
          <w:highlight w:val="white"/>
          <w:lang w:val="en-GB"/>
        </w:rPr>
        <w:t>Cobanoglu</w:t>
      </w:r>
      <w:proofErr w:type="spellEnd"/>
      <w:r w:rsidRPr="001B4A39">
        <w:rPr>
          <w:color w:val="222222"/>
          <w:highlight w:val="white"/>
          <w:lang w:val="en-GB"/>
        </w:rPr>
        <w:t xml:space="preserve">, C., 2021. Improving the service industry with hyper-connectivity: </w:t>
      </w:r>
      <w:proofErr w:type="spellStart"/>
      <w:r w:rsidRPr="001B4A39">
        <w:rPr>
          <w:color w:val="222222"/>
          <w:highlight w:val="white"/>
          <w:lang w:val="en-GB"/>
        </w:rPr>
        <w:t>IoT</w:t>
      </w:r>
      <w:proofErr w:type="spellEnd"/>
      <w:r w:rsidRPr="001B4A39">
        <w:rPr>
          <w:color w:val="222222"/>
          <w:highlight w:val="white"/>
          <w:lang w:val="en-GB"/>
        </w:rPr>
        <w:t xml:space="preserve"> in hospitality. </w:t>
      </w:r>
      <w:r w:rsidRPr="001B4A39">
        <w:rPr>
          <w:i/>
          <w:color w:val="222222"/>
          <w:highlight w:val="white"/>
          <w:lang w:val="en-GB"/>
        </w:rPr>
        <w:t>International Journal of Contemporary Hospitality Management</w:t>
      </w:r>
      <w:r w:rsidRPr="001B4A39">
        <w:rPr>
          <w:color w:val="222222"/>
          <w:highlight w:val="white"/>
          <w:lang w:val="en-GB"/>
        </w:rPr>
        <w:t xml:space="preserve">, </w:t>
      </w:r>
      <w:r w:rsidRPr="001B4A39">
        <w:rPr>
          <w:i/>
          <w:color w:val="222222"/>
          <w:highlight w:val="white"/>
          <w:lang w:val="en-GB"/>
        </w:rPr>
        <w:t>33</w:t>
      </w:r>
      <w:r w:rsidRPr="001B4A39">
        <w:rPr>
          <w:color w:val="222222"/>
          <w:highlight w:val="white"/>
          <w:lang w:val="en-GB"/>
        </w:rPr>
        <w:t>(1), pp.243-262.</w:t>
      </w:r>
    </w:p>
    <w:p w14:paraId="1AE51D32" w14:textId="77777777" w:rsidR="00817982" w:rsidRPr="001B4A39" w:rsidRDefault="00817982">
      <w:pPr>
        <w:rPr>
          <w:color w:val="222222"/>
          <w:highlight w:val="white"/>
          <w:lang w:val="en-GB"/>
        </w:rPr>
      </w:pPr>
      <w:proofErr w:type="spellStart"/>
      <w:r w:rsidRPr="001B4A39">
        <w:rPr>
          <w:color w:val="222222"/>
          <w:highlight w:val="white"/>
          <w:lang w:val="en-GB"/>
        </w:rPr>
        <w:t>Oham</w:t>
      </w:r>
      <w:proofErr w:type="spellEnd"/>
      <w:r w:rsidRPr="001B4A39">
        <w:rPr>
          <w:color w:val="222222"/>
          <w:highlight w:val="white"/>
          <w:lang w:val="en-GB"/>
        </w:rPr>
        <w:t xml:space="preserve">, C. and </w:t>
      </w:r>
      <w:proofErr w:type="spellStart"/>
      <w:r w:rsidRPr="001B4A39">
        <w:rPr>
          <w:color w:val="222222"/>
          <w:highlight w:val="white"/>
          <w:lang w:val="en-GB"/>
        </w:rPr>
        <w:t>Ejike</w:t>
      </w:r>
      <w:proofErr w:type="spellEnd"/>
      <w:r w:rsidRPr="001B4A39">
        <w:rPr>
          <w:color w:val="222222"/>
          <w:highlight w:val="white"/>
          <w:lang w:val="en-GB"/>
        </w:rPr>
        <w:t xml:space="preserve">, O.G., 2024. Customer interaction and engagement: A theoretical exploration of live promotional tactics in the arts. </w:t>
      </w:r>
      <w:r w:rsidRPr="001B4A39">
        <w:rPr>
          <w:i/>
          <w:color w:val="222222"/>
          <w:highlight w:val="white"/>
          <w:lang w:val="en-GB"/>
        </w:rPr>
        <w:t xml:space="preserve">Magna </w:t>
      </w:r>
      <w:proofErr w:type="spellStart"/>
      <w:r w:rsidRPr="001B4A39">
        <w:rPr>
          <w:i/>
          <w:color w:val="222222"/>
          <w:highlight w:val="white"/>
          <w:lang w:val="en-GB"/>
        </w:rPr>
        <w:t>Scientia</w:t>
      </w:r>
      <w:proofErr w:type="spellEnd"/>
      <w:r w:rsidRPr="001B4A39">
        <w:rPr>
          <w:i/>
          <w:color w:val="222222"/>
          <w:highlight w:val="white"/>
          <w:lang w:val="en-GB"/>
        </w:rPr>
        <w:t xml:space="preserve"> Advanced Research and Reviews</w:t>
      </w:r>
      <w:r w:rsidRPr="001B4A39">
        <w:rPr>
          <w:color w:val="222222"/>
          <w:highlight w:val="white"/>
          <w:lang w:val="en-GB"/>
        </w:rPr>
        <w:t xml:space="preserve">, </w:t>
      </w:r>
      <w:r w:rsidRPr="001B4A39">
        <w:rPr>
          <w:i/>
          <w:color w:val="222222"/>
          <w:highlight w:val="white"/>
          <w:lang w:val="en-GB"/>
        </w:rPr>
        <w:t>12</w:t>
      </w:r>
      <w:r w:rsidRPr="001B4A39">
        <w:rPr>
          <w:color w:val="222222"/>
          <w:highlight w:val="white"/>
          <w:lang w:val="en-GB"/>
        </w:rPr>
        <w:t>(1).</w:t>
      </w:r>
    </w:p>
    <w:p w14:paraId="629DC6DA" w14:textId="77777777" w:rsidR="00817982" w:rsidRPr="001B4A39" w:rsidRDefault="00817982">
      <w:pPr>
        <w:rPr>
          <w:color w:val="222222"/>
          <w:highlight w:val="white"/>
          <w:lang w:val="en-GB"/>
        </w:rPr>
      </w:pPr>
      <w:r w:rsidRPr="001B4A39">
        <w:rPr>
          <w:color w:val="222222"/>
          <w:highlight w:val="white"/>
          <w:lang w:val="en-GB"/>
        </w:rPr>
        <w:t xml:space="preserve">Parker, L.D., 2024. Public university research engagement contradictions in a commercialising higher education world. </w:t>
      </w:r>
      <w:r w:rsidRPr="001B4A39">
        <w:rPr>
          <w:i/>
          <w:color w:val="222222"/>
          <w:highlight w:val="white"/>
          <w:lang w:val="en-GB"/>
        </w:rPr>
        <w:t>Financial Accountability &amp; Management</w:t>
      </w:r>
      <w:r w:rsidRPr="001B4A39">
        <w:rPr>
          <w:color w:val="222222"/>
          <w:highlight w:val="white"/>
          <w:lang w:val="en-GB"/>
        </w:rPr>
        <w:t xml:space="preserve">, </w:t>
      </w:r>
      <w:r w:rsidRPr="001B4A39">
        <w:rPr>
          <w:i/>
          <w:color w:val="222222"/>
          <w:highlight w:val="white"/>
          <w:lang w:val="en-GB"/>
        </w:rPr>
        <w:t>40</w:t>
      </w:r>
      <w:r w:rsidRPr="001B4A39">
        <w:rPr>
          <w:color w:val="222222"/>
          <w:highlight w:val="white"/>
          <w:lang w:val="en-GB"/>
        </w:rPr>
        <w:t>(1), pp.16-33.</w:t>
      </w:r>
    </w:p>
    <w:p w14:paraId="59E2822B" w14:textId="77777777" w:rsidR="00817982" w:rsidRPr="001B4A39" w:rsidRDefault="00817982">
      <w:pPr>
        <w:rPr>
          <w:color w:val="222222"/>
          <w:highlight w:val="white"/>
          <w:lang w:val="en-GB"/>
        </w:rPr>
      </w:pPr>
      <w:r w:rsidRPr="001B4A39">
        <w:rPr>
          <w:color w:val="222222"/>
          <w:highlight w:val="white"/>
          <w:lang w:val="en-GB"/>
        </w:rPr>
        <w:t xml:space="preserve">Peers, D., Joseph, J., Chen, C., McGuire-Adams, T., </w:t>
      </w:r>
      <w:proofErr w:type="spellStart"/>
      <w:r w:rsidRPr="001B4A39">
        <w:rPr>
          <w:color w:val="222222"/>
          <w:highlight w:val="white"/>
          <w:lang w:val="en-GB"/>
        </w:rPr>
        <w:t>Fawaz</w:t>
      </w:r>
      <w:proofErr w:type="spellEnd"/>
      <w:r w:rsidRPr="001B4A39">
        <w:rPr>
          <w:color w:val="222222"/>
          <w:highlight w:val="white"/>
          <w:lang w:val="en-GB"/>
        </w:rPr>
        <w:t xml:space="preserve">, N.V., </w:t>
      </w:r>
      <w:proofErr w:type="spellStart"/>
      <w:r w:rsidRPr="001B4A39">
        <w:rPr>
          <w:color w:val="222222"/>
          <w:highlight w:val="white"/>
          <w:lang w:val="en-GB"/>
        </w:rPr>
        <w:t>Tink</w:t>
      </w:r>
      <w:proofErr w:type="spellEnd"/>
      <w:r w:rsidRPr="001B4A39">
        <w:rPr>
          <w:color w:val="222222"/>
          <w:highlight w:val="white"/>
          <w:lang w:val="en-GB"/>
        </w:rPr>
        <w:t xml:space="preserve">, L., Eales, L., </w:t>
      </w:r>
      <w:proofErr w:type="spellStart"/>
      <w:r w:rsidRPr="001B4A39">
        <w:rPr>
          <w:color w:val="222222"/>
          <w:highlight w:val="white"/>
          <w:lang w:val="en-GB"/>
        </w:rPr>
        <w:t>Bridel</w:t>
      </w:r>
      <w:proofErr w:type="spellEnd"/>
      <w:r w:rsidRPr="001B4A39">
        <w:rPr>
          <w:color w:val="222222"/>
          <w:highlight w:val="white"/>
          <w:lang w:val="en-GB"/>
        </w:rPr>
        <w:t xml:space="preserve">, W., </w:t>
      </w:r>
      <w:proofErr w:type="spellStart"/>
      <w:r w:rsidRPr="001B4A39">
        <w:rPr>
          <w:color w:val="222222"/>
          <w:highlight w:val="white"/>
          <w:lang w:val="en-GB"/>
        </w:rPr>
        <w:t>Hamdon</w:t>
      </w:r>
      <w:proofErr w:type="spellEnd"/>
      <w:r w:rsidRPr="001B4A39">
        <w:rPr>
          <w:color w:val="222222"/>
          <w:highlight w:val="white"/>
          <w:lang w:val="en-GB"/>
        </w:rPr>
        <w:t xml:space="preserve">, E., Carey, A. and Hall, L., 2023. An intersectional </w:t>
      </w:r>
      <w:proofErr w:type="spellStart"/>
      <w:r w:rsidRPr="001B4A39">
        <w:rPr>
          <w:color w:val="222222"/>
          <w:highlight w:val="white"/>
          <w:lang w:val="en-GB"/>
        </w:rPr>
        <w:t>Foucauldian</w:t>
      </w:r>
      <w:proofErr w:type="spellEnd"/>
      <w:r w:rsidRPr="001B4A39">
        <w:rPr>
          <w:color w:val="222222"/>
          <w:highlight w:val="white"/>
          <w:lang w:val="en-GB"/>
        </w:rPr>
        <w:t xml:space="preserve"> analysis of Canadian national sport </w:t>
      </w:r>
      <w:proofErr w:type="spellStart"/>
      <w:r w:rsidRPr="001B4A39">
        <w:rPr>
          <w:color w:val="222222"/>
          <w:highlight w:val="white"/>
          <w:lang w:val="en-GB"/>
        </w:rPr>
        <w:t>organisations’‘equity</w:t>
      </w:r>
      <w:proofErr w:type="spellEnd"/>
      <w:r w:rsidRPr="001B4A39">
        <w:rPr>
          <w:color w:val="222222"/>
          <w:highlight w:val="white"/>
          <w:lang w:val="en-GB"/>
        </w:rPr>
        <w:t xml:space="preserve">, diversity, and inclusion’(EDI) policies and the </w:t>
      </w:r>
      <w:proofErr w:type="spellStart"/>
      <w:r w:rsidRPr="001B4A39">
        <w:rPr>
          <w:color w:val="222222"/>
          <w:highlight w:val="white"/>
          <w:lang w:val="en-GB"/>
        </w:rPr>
        <w:t>reinscribing</w:t>
      </w:r>
      <w:proofErr w:type="spellEnd"/>
      <w:r w:rsidRPr="001B4A39">
        <w:rPr>
          <w:color w:val="222222"/>
          <w:highlight w:val="white"/>
          <w:lang w:val="en-GB"/>
        </w:rPr>
        <w:t xml:space="preserve"> of injustice. </w:t>
      </w:r>
      <w:r w:rsidRPr="001B4A39">
        <w:rPr>
          <w:i/>
          <w:color w:val="222222"/>
          <w:highlight w:val="white"/>
          <w:lang w:val="en-GB"/>
        </w:rPr>
        <w:t>International Journal of Sport Policy and Politics</w:t>
      </w:r>
      <w:r w:rsidRPr="001B4A39">
        <w:rPr>
          <w:color w:val="222222"/>
          <w:highlight w:val="white"/>
          <w:lang w:val="en-GB"/>
        </w:rPr>
        <w:t xml:space="preserve">, </w:t>
      </w:r>
      <w:r w:rsidRPr="001B4A39">
        <w:rPr>
          <w:i/>
          <w:color w:val="222222"/>
          <w:highlight w:val="white"/>
          <w:lang w:val="en-GB"/>
        </w:rPr>
        <w:t>15</w:t>
      </w:r>
      <w:r w:rsidRPr="001B4A39">
        <w:rPr>
          <w:color w:val="222222"/>
          <w:highlight w:val="white"/>
          <w:lang w:val="en-GB"/>
        </w:rPr>
        <w:t>(2), pp.193-209.</w:t>
      </w:r>
    </w:p>
    <w:p w14:paraId="61A897D1" w14:textId="77777777" w:rsidR="00817982" w:rsidRPr="00372491" w:rsidRDefault="00817982">
      <w:pPr>
        <w:rPr>
          <w:lang w:val="en-GB"/>
        </w:rPr>
      </w:pPr>
      <w:r w:rsidRPr="001B4A39">
        <w:rPr>
          <w:color w:val="222222"/>
          <w:highlight w:val="white"/>
          <w:lang w:val="en-GB"/>
        </w:rPr>
        <w:t xml:space="preserve">Statista.com, (2024). “Artificial Intelligence - UK | </w:t>
      </w:r>
      <w:proofErr w:type="spellStart"/>
      <w:r w:rsidRPr="001B4A39">
        <w:rPr>
          <w:color w:val="222222"/>
          <w:highlight w:val="white"/>
          <w:lang w:val="en-GB"/>
        </w:rPr>
        <w:t>Statista</w:t>
      </w:r>
      <w:proofErr w:type="spellEnd"/>
      <w:r w:rsidRPr="001B4A39">
        <w:rPr>
          <w:color w:val="222222"/>
          <w:highlight w:val="white"/>
          <w:lang w:val="en-GB"/>
        </w:rPr>
        <w:t xml:space="preserve"> Market Forecast”.</w:t>
      </w:r>
      <w:r>
        <w:rPr>
          <w:color w:val="222222"/>
          <w:highlight w:val="white"/>
          <w:lang w:val="en-GB"/>
        </w:rPr>
        <w:t xml:space="preserve"> </w:t>
      </w:r>
      <w:r w:rsidRPr="001B4A39">
        <w:rPr>
          <w:color w:val="222222"/>
          <w:highlight w:val="white"/>
          <w:lang w:val="en-GB"/>
        </w:rPr>
        <w:t>Available at:</w:t>
      </w:r>
      <w:r>
        <w:rPr>
          <w:color w:val="222222"/>
          <w:highlight w:val="white"/>
          <w:lang w:val="en-GB"/>
        </w:rPr>
        <w:t xml:space="preserve"> </w:t>
      </w:r>
      <w:hyperlink r:id="rId10" w:anchor=":~:text=The%20market%20size%20in%20the,US%2426.89bn%20by%202030" w:history="1">
        <w:r w:rsidRPr="007C67B5">
          <w:rPr>
            <w:rStyle w:val="Hyperlink"/>
            <w:highlight w:val="white"/>
            <w:lang w:val="en-GB"/>
          </w:rPr>
          <w:t>https://www.statista.com/outlook/tmo/artificial-intelligence/united-kingdom#:~:text=The%20market%20size%20in%20the,US%2426.89bn%20by%202030</w:t>
        </w:r>
      </w:hyperlink>
      <w:r w:rsidRPr="001B4A39">
        <w:rPr>
          <w:color w:val="222222"/>
          <w:highlight w:val="white"/>
          <w:lang w:val="en-GB"/>
        </w:rPr>
        <w:t>. [Accessed on: 15th February 2025]</w:t>
      </w:r>
    </w:p>
    <w:p w14:paraId="1BD511DB" w14:textId="77777777" w:rsidR="00817982" w:rsidRPr="001B4A39" w:rsidRDefault="00817982">
      <w:pPr>
        <w:rPr>
          <w:color w:val="222222"/>
          <w:highlight w:val="white"/>
          <w:lang w:val="en-GB"/>
        </w:rPr>
      </w:pPr>
      <w:proofErr w:type="spellStart"/>
      <w:r w:rsidRPr="001B4A39">
        <w:rPr>
          <w:color w:val="222222"/>
          <w:highlight w:val="white"/>
          <w:lang w:val="en-GB"/>
        </w:rPr>
        <w:t>Suderman</w:t>
      </w:r>
      <w:proofErr w:type="spellEnd"/>
      <w:r w:rsidRPr="001B4A39">
        <w:rPr>
          <w:color w:val="222222"/>
          <w:highlight w:val="white"/>
          <w:lang w:val="en-GB"/>
        </w:rPr>
        <w:t xml:space="preserve">, K., </w:t>
      </w:r>
      <w:proofErr w:type="spellStart"/>
      <w:r w:rsidRPr="001B4A39">
        <w:rPr>
          <w:color w:val="222222"/>
          <w:highlight w:val="white"/>
          <w:lang w:val="en-GB"/>
        </w:rPr>
        <w:t>Skene</w:t>
      </w:r>
      <w:proofErr w:type="spellEnd"/>
      <w:r w:rsidRPr="001B4A39">
        <w:rPr>
          <w:color w:val="222222"/>
          <w:highlight w:val="white"/>
          <w:lang w:val="en-GB"/>
        </w:rPr>
        <w:t xml:space="preserve">, T., </w:t>
      </w:r>
      <w:proofErr w:type="spellStart"/>
      <w:r w:rsidRPr="001B4A39">
        <w:rPr>
          <w:color w:val="222222"/>
          <w:highlight w:val="white"/>
          <w:lang w:val="en-GB"/>
        </w:rPr>
        <w:t>Sellar</w:t>
      </w:r>
      <w:proofErr w:type="spellEnd"/>
      <w:r w:rsidRPr="001B4A39">
        <w:rPr>
          <w:color w:val="222222"/>
          <w:highlight w:val="white"/>
          <w:lang w:val="en-GB"/>
        </w:rPr>
        <w:t xml:space="preserve">, C., </w:t>
      </w:r>
      <w:proofErr w:type="spellStart"/>
      <w:r w:rsidRPr="001B4A39">
        <w:rPr>
          <w:color w:val="222222"/>
          <w:highlight w:val="white"/>
          <w:lang w:val="en-GB"/>
        </w:rPr>
        <w:t>Dolgoy</w:t>
      </w:r>
      <w:proofErr w:type="spellEnd"/>
      <w:r w:rsidRPr="001B4A39">
        <w:rPr>
          <w:color w:val="222222"/>
          <w:highlight w:val="white"/>
          <w:lang w:val="en-GB"/>
        </w:rPr>
        <w:t xml:space="preserve">, N., </w:t>
      </w:r>
      <w:proofErr w:type="spellStart"/>
      <w:r w:rsidRPr="001B4A39">
        <w:rPr>
          <w:color w:val="222222"/>
          <w:highlight w:val="white"/>
          <w:lang w:val="en-GB"/>
        </w:rPr>
        <w:t>Pituskin</w:t>
      </w:r>
      <w:proofErr w:type="spellEnd"/>
      <w:r w:rsidRPr="001B4A39">
        <w:rPr>
          <w:color w:val="222222"/>
          <w:highlight w:val="white"/>
          <w:lang w:val="en-GB"/>
        </w:rPr>
        <w:t xml:space="preserve">, E., Joy, A.A., </w:t>
      </w:r>
      <w:proofErr w:type="spellStart"/>
      <w:r w:rsidRPr="001B4A39">
        <w:rPr>
          <w:color w:val="222222"/>
          <w:highlight w:val="white"/>
          <w:lang w:val="en-GB"/>
        </w:rPr>
        <w:t>Culos</w:t>
      </w:r>
      <w:proofErr w:type="spellEnd"/>
      <w:r w:rsidRPr="001B4A39">
        <w:rPr>
          <w:color w:val="222222"/>
          <w:highlight w:val="white"/>
          <w:lang w:val="en-GB"/>
        </w:rPr>
        <w:t xml:space="preserve">-Reed, S.N. and McNeely, M.L., 2022. Virtual or in-person: A mixed methods survey to determine exercise programming preferences during COVID-19. </w:t>
      </w:r>
      <w:r w:rsidRPr="001B4A39">
        <w:rPr>
          <w:i/>
          <w:color w:val="222222"/>
          <w:highlight w:val="white"/>
          <w:lang w:val="en-GB"/>
        </w:rPr>
        <w:t>Current Oncology</w:t>
      </w:r>
      <w:r w:rsidRPr="001B4A39">
        <w:rPr>
          <w:color w:val="222222"/>
          <w:highlight w:val="white"/>
          <w:lang w:val="en-GB"/>
        </w:rPr>
        <w:t xml:space="preserve">, </w:t>
      </w:r>
      <w:r w:rsidRPr="001B4A39">
        <w:rPr>
          <w:i/>
          <w:color w:val="222222"/>
          <w:highlight w:val="white"/>
          <w:lang w:val="en-GB"/>
        </w:rPr>
        <w:t>29</w:t>
      </w:r>
      <w:r w:rsidRPr="001B4A39">
        <w:rPr>
          <w:color w:val="222222"/>
          <w:highlight w:val="white"/>
          <w:lang w:val="en-GB"/>
        </w:rPr>
        <w:t>(10), pp.6735-6748.</w:t>
      </w:r>
    </w:p>
    <w:p w14:paraId="581ACBBC" w14:textId="77777777" w:rsidR="00817982" w:rsidRPr="001B4A39" w:rsidRDefault="00817982">
      <w:pPr>
        <w:rPr>
          <w:color w:val="222222"/>
          <w:highlight w:val="white"/>
          <w:lang w:val="en-GB"/>
        </w:rPr>
      </w:pPr>
      <w:proofErr w:type="spellStart"/>
      <w:r w:rsidRPr="001B4A39">
        <w:rPr>
          <w:color w:val="222222"/>
          <w:highlight w:val="white"/>
          <w:lang w:val="en-GB"/>
        </w:rPr>
        <w:t>Wojewnik-Filipkowska</w:t>
      </w:r>
      <w:proofErr w:type="spellEnd"/>
      <w:r w:rsidRPr="001B4A39">
        <w:rPr>
          <w:color w:val="222222"/>
          <w:highlight w:val="white"/>
          <w:lang w:val="en-GB"/>
        </w:rPr>
        <w:t xml:space="preserve">, A., </w:t>
      </w:r>
      <w:proofErr w:type="spellStart"/>
      <w:r w:rsidRPr="001B4A39">
        <w:rPr>
          <w:color w:val="222222"/>
          <w:highlight w:val="white"/>
          <w:lang w:val="en-GB"/>
        </w:rPr>
        <w:t>Dziadkiewicz</w:t>
      </w:r>
      <w:proofErr w:type="spellEnd"/>
      <w:r w:rsidRPr="001B4A39">
        <w:rPr>
          <w:color w:val="222222"/>
          <w:highlight w:val="white"/>
          <w:lang w:val="en-GB"/>
        </w:rPr>
        <w:t xml:space="preserve">, A., </w:t>
      </w:r>
      <w:proofErr w:type="spellStart"/>
      <w:r w:rsidRPr="001B4A39">
        <w:rPr>
          <w:color w:val="222222"/>
          <w:highlight w:val="white"/>
          <w:lang w:val="en-GB"/>
        </w:rPr>
        <w:t>Dryl</w:t>
      </w:r>
      <w:proofErr w:type="spellEnd"/>
      <w:r w:rsidRPr="001B4A39">
        <w:rPr>
          <w:color w:val="222222"/>
          <w:highlight w:val="white"/>
          <w:lang w:val="en-GB"/>
        </w:rPr>
        <w:t xml:space="preserve">, W., </w:t>
      </w:r>
      <w:proofErr w:type="spellStart"/>
      <w:r w:rsidRPr="001B4A39">
        <w:rPr>
          <w:color w:val="222222"/>
          <w:highlight w:val="white"/>
          <w:lang w:val="en-GB"/>
        </w:rPr>
        <w:t>Dryl</w:t>
      </w:r>
      <w:proofErr w:type="spellEnd"/>
      <w:r w:rsidRPr="001B4A39">
        <w:rPr>
          <w:color w:val="222222"/>
          <w:highlight w:val="white"/>
          <w:lang w:val="en-GB"/>
        </w:rPr>
        <w:t xml:space="preserve">, T. and </w:t>
      </w:r>
      <w:proofErr w:type="spellStart"/>
      <w:r w:rsidRPr="001B4A39">
        <w:rPr>
          <w:color w:val="222222"/>
          <w:highlight w:val="white"/>
          <w:lang w:val="en-GB"/>
        </w:rPr>
        <w:t>Bęben</w:t>
      </w:r>
      <w:proofErr w:type="spellEnd"/>
      <w:r w:rsidRPr="001B4A39">
        <w:rPr>
          <w:color w:val="222222"/>
          <w:highlight w:val="white"/>
          <w:lang w:val="en-GB"/>
        </w:rPr>
        <w:t xml:space="preserve">, R., 2021. Obstacles and challenges in applying stakeholder analysis to infrastructure projects: is there a gap between stakeholder theory and practice?. </w:t>
      </w:r>
      <w:r w:rsidRPr="001B4A39">
        <w:rPr>
          <w:i/>
          <w:color w:val="222222"/>
          <w:highlight w:val="white"/>
          <w:lang w:val="en-GB"/>
        </w:rPr>
        <w:t>Journal of property investment &amp; finance</w:t>
      </w:r>
      <w:r w:rsidRPr="001B4A39">
        <w:rPr>
          <w:color w:val="222222"/>
          <w:highlight w:val="white"/>
          <w:lang w:val="en-GB"/>
        </w:rPr>
        <w:t xml:space="preserve">, </w:t>
      </w:r>
      <w:r w:rsidRPr="001B4A39">
        <w:rPr>
          <w:i/>
          <w:color w:val="222222"/>
          <w:highlight w:val="white"/>
          <w:lang w:val="en-GB"/>
        </w:rPr>
        <w:t>39</w:t>
      </w:r>
      <w:r w:rsidRPr="001B4A39">
        <w:rPr>
          <w:color w:val="222222"/>
          <w:highlight w:val="white"/>
          <w:lang w:val="en-GB"/>
        </w:rPr>
        <w:t>(3), pp.199-222.</w:t>
      </w:r>
    </w:p>
    <w:p w14:paraId="1706C896" w14:textId="77777777" w:rsidR="00817982" w:rsidRPr="001B4A39" w:rsidRDefault="00817982">
      <w:pPr>
        <w:rPr>
          <w:color w:val="222222"/>
          <w:highlight w:val="white"/>
          <w:lang w:val="en-GB"/>
        </w:rPr>
      </w:pPr>
      <w:proofErr w:type="spellStart"/>
      <w:r w:rsidRPr="001B4A39">
        <w:rPr>
          <w:color w:val="222222"/>
          <w:highlight w:val="white"/>
          <w:lang w:val="en-GB"/>
        </w:rPr>
        <w:t>Wolbring</w:t>
      </w:r>
      <w:proofErr w:type="spellEnd"/>
      <w:r w:rsidRPr="001B4A39">
        <w:rPr>
          <w:color w:val="222222"/>
          <w:highlight w:val="white"/>
          <w:lang w:val="en-GB"/>
        </w:rPr>
        <w:t xml:space="preserve">, G. and Nguyen, A., 2023. Equity/equality, diversity and inclusion, and other EDI phrases and EDI policy frameworks: A scoping review. </w:t>
      </w:r>
      <w:r w:rsidRPr="001B4A39">
        <w:rPr>
          <w:i/>
          <w:color w:val="222222"/>
          <w:highlight w:val="white"/>
          <w:lang w:val="en-GB"/>
        </w:rPr>
        <w:t>Trends in Higher Education</w:t>
      </w:r>
      <w:r w:rsidRPr="001B4A39">
        <w:rPr>
          <w:color w:val="222222"/>
          <w:highlight w:val="white"/>
          <w:lang w:val="en-GB"/>
        </w:rPr>
        <w:t xml:space="preserve">, </w:t>
      </w:r>
      <w:r w:rsidRPr="001B4A39">
        <w:rPr>
          <w:i/>
          <w:color w:val="222222"/>
          <w:highlight w:val="white"/>
          <w:lang w:val="en-GB"/>
        </w:rPr>
        <w:t>2</w:t>
      </w:r>
      <w:r w:rsidRPr="001B4A39">
        <w:rPr>
          <w:color w:val="222222"/>
          <w:highlight w:val="white"/>
          <w:lang w:val="en-GB"/>
        </w:rPr>
        <w:t>(1), pp.168-237.</w:t>
      </w:r>
    </w:p>
    <w:p w14:paraId="7A49DB6F" w14:textId="77777777" w:rsidR="00817982" w:rsidRPr="001B4A39" w:rsidRDefault="00817982">
      <w:pPr>
        <w:rPr>
          <w:color w:val="222222"/>
          <w:highlight w:val="white"/>
          <w:lang w:val="en-GB"/>
        </w:rPr>
      </w:pPr>
      <w:r w:rsidRPr="001B4A39">
        <w:rPr>
          <w:color w:val="222222"/>
          <w:highlight w:val="white"/>
          <w:lang w:val="en-GB"/>
        </w:rPr>
        <w:t xml:space="preserve">Wu, J., </w:t>
      </w:r>
      <w:proofErr w:type="spellStart"/>
      <w:r w:rsidRPr="001B4A39">
        <w:rPr>
          <w:color w:val="222222"/>
          <w:highlight w:val="white"/>
          <w:lang w:val="en-GB"/>
        </w:rPr>
        <w:t>Qiao</w:t>
      </w:r>
      <w:proofErr w:type="spellEnd"/>
      <w:r w:rsidRPr="001B4A39">
        <w:rPr>
          <w:color w:val="222222"/>
          <w:highlight w:val="white"/>
          <w:lang w:val="en-GB"/>
        </w:rPr>
        <w:t xml:space="preserve">, J., Nicholas, S., Liu, Y. and Maitland, E., 2022. The challenge of healthcare big data to China’s commercial health insurance industry: evaluation and recommendations. </w:t>
      </w:r>
      <w:r w:rsidRPr="001B4A39">
        <w:rPr>
          <w:i/>
          <w:color w:val="222222"/>
          <w:highlight w:val="white"/>
          <w:lang w:val="en-GB"/>
        </w:rPr>
        <w:t>BMC Health Services Research</w:t>
      </w:r>
      <w:r w:rsidRPr="001B4A39">
        <w:rPr>
          <w:color w:val="222222"/>
          <w:highlight w:val="white"/>
          <w:lang w:val="en-GB"/>
        </w:rPr>
        <w:t xml:space="preserve">, </w:t>
      </w:r>
      <w:r w:rsidRPr="001B4A39">
        <w:rPr>
          <w:i/>
          <w:color w:val="222222"/>
          <w:highlight w:val="white"/>
          <w:lang w:val="en-GB"/>
        </w:rPr>
        <w:t>22</w:t>
      </w:r>
      <w:r w:rsidRPr="001B4A39">
        <w:rPr>
          <w:color w:val="222222"/>
          <w:highlight w:val="white"/>
          <w:lang w:val="en-GB"/>
        </w:rPr>
        <w:t>(1), p.1189.</w:t>
      </w:r>
    </w:p>
    <w:p w14:paraId="7E743352" w14:textId="77777777" w:rsidR="00817982" w:rsidRPr="001B4A39" w:rsidRDefault="00817982">
      <w:pPr>
        <w:rPr>
          <w:color w:val="222222"/>
          <w:highlight w:val="white"/>
          <w:lang w:val="en-GB"/>
        </w:rPr>
      </w:pPr>
      <w:r w:rsidRPr="001B4A39">
        <w:rPr>
          <w:color w:val="222222"/>
          <w:highlight w:val="white"/>
          <w:lang w:val="en-GB"/>
        </w:rPr>
        <w:t xml:space="preserve">Wu, W. and Skye, H.M., 2021. Residential net-zero energy buildings: Review and perspective. </w:t>
      </w:r>
      <w:r w:rsidRPr="001B4A39">
        <w:rPr>
          <w:i/>
          <w:color w:val="222222"/>
          <w:highlight w:val="white"/>
          <w:lang w:val="en-GB"/>
        </w:rPr>
        <w:t>Renewable and Sustainable Energy Reviews</w:t>
      </w:r>
      <w:r w:rsidRPr="001B4A39">
        <w:rPr>
          <w:color w:val="222222"/>
          <w:highlight w:val="white"/>
          <w:lang w:val="en-GB"/>
        </w:rPr>
        <w:t xml:space="preserve">, </w:t>
      </w:r>
      <w:r w:rsidRPr="001B4A39">
        <w:rPr>
          <w:i/>
          <w:color w:val="222222"/>
          <w:highlight w:val="white"/>
          <w:lang w:val="en-GB"/>
        </w:rPr>
        <w:t>142</w:t>
      </w:r>
      <w:r w:rsidRPr="001B4A39">
        <w:rPr>
          <w:color w:val="222222"/>
          <w:highlight w:val="white"/>
          <w:lang w:val="en-GB"/>
        </w:rPr>
        <w:t>, p.110859.</w:t>
      </w:r>
    </w:p>
    <w:p w14:paraId="4AE1D6B0" w14:textId="77777777" w:rsidR="00817982" w:rsidRPr="001B4A39" w:rsidRDefault="00817982">
      <w:pPr>
        <w:rPr>
          <w:color w:val="222222"/>
          <w:highlight w:val="white"/>
          <w:lang w:val="en-GB"/>
        </w:rPr>
      </w:pPr>
      <w:r w:rsidRPr="001B4A39">
        <w:rPr>
          <w:color w:val="222222"/>
          <w:highlight w:val="white"/>
          <w:lang w:val="en-GB"/>
        </w:rPr>
        <w:t xml:space="preserve">Zeb, A., Akbar, F., Hussain, K., Safi, A., </w:t>
      </w:r>
      <w:proofErr w:type="spellStart"/>
      <w:r w:rsidRPr="001B4A39">
        <w:rPr>
          <w:color w:val="222222"/>
          <w:highlight w:val="white"/>
          <w:lang w:val="en-GB"/>
        </w:rPr>
        <w:t>Rabnawaz</w:t>
      </w:r>
      <w:proofErr w:type="spellEnd"/>
      <w:r w:rsidRPr="001B4A39">
        <w:rPr>
          <w:color w:val="222222"/>
          <w:highlight w:val="white"/>
          <w:lang w:val="en-GB"/>
        </w:rPr>
        <w:t xml:space="preserve">, M. and Zeb, F., 2021. The competing value framework model of organizational culture, innovation and performance. </w:t>
      </w:r>
      <w:r w:rsidRPr="001B4A39">
        <w:rPr>
          <w:i/>
          <w:color w:val="222222"/>
          <w:highlight w:val="white"/>
          <w:lang w:val="en-GB"/>
        </w:rPr>
        <w:t>Business process management journal</w:t>
      </w:r>
      <w:r w:rsidRPr="001B4A39">
        <w:rPr>
          <w:color w:val="222222"/>
          <w:highlight w:val="white"/>
          <w:lang w:val="en-GB"/>
        </w:rPr>
        <w:t xml:space="preserve">, </w:t>
      </w:r>
      <w:r w:rsidRPr="001B4A39">
        <w:rPr>
          <w:i/>
          <w:color w:val="222222"/>
          <w:highlight w:val="white"/>
          <w:lang w:val="en-GB"/>
        </w:rPr>
        <w:t>27</w:t>
      </w:r>
      <w:r w:rsidRPr="001B4A39">
        <w:rPr>
          <w:color w:val="222222"/>
          <w:highlight w:val="white"/>
          <w:lang w:val="en-GB"/>
        </w:rPr>
        <w:t>(2), pp.658-683.</w:t>
      </w:r>
    </w:p>
    <w:p w14:paraId="314EF403" w14:textId="77777777" w:rsidR="00942E11" w:rsidRPr="001B4A39" w:rsidRDefault="00942E11">
      <w:pPr>
        <w:rPr>
          <w:lang w:val="en-GB"/>
        </w:rPr>
      </w:pPr>
    </w:p>
    <w:p w14:paraId="3CF3F679" w14:textId="77777777" w:rsidR="00942E11" w:rsidRPr="001B4A39" w:rsidRDefault="00942E11">
      <w:pPr>
        <w:rPr>
          <w:lang w:val="en-GB"/>
        </w:rPr>
      </w:pPr>
    </w:p>
    <w:p w14:paraId="7643628F" w14:textId="77777777" w:rsidR="00942E11" w:rsidRPr="001B4A39" w:rsidRDefault="00942E11">
      <w:pPr>
        <w:rPr>
          <w:lang w:val="en-GB"/>
        </w:rPr>
      </w:pPr>
    </w:p>
    <w:sectPr w:rsidR="00942E11" w:rsidRPr="001B4A39">
      <w:footerReference w:type="default" r:id="rId1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B6C10D" w14:textId="77777777" w:rsidR="00D81B9A" w:rsidRDefault="00D81B9A">
      <w:pPr>
        <w:spacing w:line="240" w:lineRule="auto"/>
      </w:pPr>
      <w:r>
        <w:separator/>
      </w:r>
    </w:p>
  </w:endnote>
  <w:endnote w:type="continuationSeparator" w:id="0">
    <w:p w14:paraId="5AA51563" w14:textId="77777777" w:rsidR="00D81B9A" w:rsidRDefault="00D81B9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040AAD" w14:textId="77777777" w:rsidR="00942E11" w:rsidRDefault="00954311">
    <w:pPr>
      <w:jc w:val="right"/>
      <w:rPr>
        <w:sz w:val="20"/>
        <w:szCs w:val="20"/>
      </w:rPr>
    </w:pPr>
    <w:r>
      <w:rPr>
        <w:sz w:val="20"/>
        <w:szCs w:val="20"/>
      </w:rPr>
      <w:fldChar w:fldCharType="begin"/>
    </w:r>
    <w:r>
      <w:rPr>
        <w:sz w:val="20"/>
        <w:szCs w:val="20"/>
      </w:rPr>
      <w:instrText>PAGE</w:instrText>
    </w:r>
    <w:r>
      <w:rPr>
        <w:sz w:val="20"/>
        <w:szCs w:val="20"/>
      </w:rPr>
      <w:fldChar w:fldCharType="separate"/>
    </w:r>
    <w:r w:rsidR="001B4A39">
      <w:rPr>
        <w:noProof/>
        <w:sz w:val="20"/>
        <w:szCs w:val="20"/>
      </w:rPr>
      <w:t>1</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C6A50C" w14:textId="77777777" w:rsidR="00D81B9A" w:rsidRDefault="00D81B9A">
      <w:pPr>
        <w:spacing w:line="240" w:lineRule="auto"/>
      </w:pPr>
      <w:r>
        <w:separator/>
      </w:r>
    </w:p>
  </w:footnote>
  <w:footnote w:type="continuationSeparator" w:id="0">
    <w:p w14:paraId="3DCE13FD" w14:textId="77777777" w:rsidR="00D81B9A" w:rsidRDefault="00D81B9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824B2"/>
    <w:multiLevelType w:val="multilevel"/>
    <w:tmpl w:val="176CD7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9B34BFA"/>
    <w:multiLevelType w:val="multilevel"/>
    <w:tmpl w:val="E3FAB4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FC86C53"/>
    <w:multiLevelType w:val="multilevel"/>
    <w:tmpl w:val="E4BA5D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45631F7"/>
    <w:multiLevelType w:val="multilevel"/>
    <w:tmpl w:val="F6189A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02F3966"/>
    <w:multiLevelType w:val="multilevel"/>
    <w:tmpl w:val="5B0071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0737012"/>
    <w:multiLevelType w:val="multilevel"/>
    <w:tmpl w:val="4E069D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E51619F"/>
    <w:multiLevelType w:val="multilevel"/>
    <w:tmpl w:val="BCFA3C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F986269"/>
    <w:multiLevelType w:val="multilevel"/>
    <w:tmpl w:val="1EC6FA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71C55BBC"/>
    <w:multiLevelType w:val="multilevel"/>
    <w:tmpl w:val="F8240E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D853D34"/>
    <w:multiLevelType w:val="multilevel"/>
    <w:tmpl w:val="4A7CC9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7EC47DA5"/>
    <w:multiLevelType w:val="multilevel"/>
    <w:tmpl w:val="E480B6C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757943722">
    <w:abstractNumId w:val="1"/>
  </w:num>
  <w:num w:numId="2" w16cid:durableId="735855125">
    <w:abstractNumId w:val="0"/>
  </w:num>
  <w:num w:numId="3" w16cid:durableId="664742879">
    <w:abstractNumId w:val="7"/>
  </w:num>
  <w:num w:numId="4" w16cid:durableId="1311783567">
    <w:abstractNumId w:val="2"/>
  </w:num>
  <w:num w:numId="5" w16cid:durableId="825517012">
    <w:abstractNumId w:val="3"/>
  </w:num>
  <w:num w:numId="6" w16cid:durableId="1719670716">
    <w:abstractNumId w:val="6"/>
  </w:num>
  <w:num w:numId="7" w16cid:durableId="892348364">
    <w:abstractNumId w:val="10"/>
  </w:num>
  <w:num w:numId="8" w16cid:durableId="148375303">
    <w:abstractNumId w:val="8"/>
  </w:num>
  <w:num w:numId="9" w16cid:durableId="2026442593">
    <w:abstractNumId w:val="9"/>
  </w:num>
  <w:num w:numId="10" w16cid:durableId="1349989529">
    <w:abstractNumId w:val="4"/>
  </w:num>
  <w:num w:numId="11" w16cid:durableId="181266856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2E11"/>
    <w:rsid w:val="00000622"/>
    <w:rsid w:val="001B4A39"/>
    <w:rsid w:val="00325D10"/>
    <w:rsid w:val="00351D20"/>
    <w:rsid w:val="00372491"/>
    <w:rsid w:val="003F6080"/>
    <w:rsid w:val="006169B4"/>
    <w:rsid w:val="006C5E8F"/>
    <w:rsid w:val="006F5F7B"/>
    <w:rsid w:val="00817982"/>
    <w:rsid w:val="00942E11"/>
    <w:rsid w:val="00954311"/>
    <w:rsid w:val="009554B7"/>
    <w:rsid w:val="00A17918"/>
    <w:rsid w:val="00C53462"/>
    <w:rsid w:val="00C839E1"/>
    <w:rsid w:val="00CF2F96"/>
    <w:rsid w:val="00D22FB9"/>
    <w:rsid w:val="00D81B9A"/>
    <w:rsid w:val="00DD17CD"/>
    <w:rsid w:val="00DE4919"/>
    <w:rsid w:val="00EB04F6"/>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7CC235"/>
  <w15:docId w15:val="{AF7FB6E7-ABC4-45D2-A092-30C7E4FEE9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1B4A39"/>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1B4A39"/>
    <w:pPr>
      <w:spacing w:after="100"/>
    </w:pPr>
  </w:style>
  <w:style w:type="character" w:styleId="Hyperlink">
    <w:name w:val="Hyperlink"/>
    <w:basedOn w:val="DefaultParagraphFont"/>
    <w:uiPriority w:val="99"/>
    <w:unhideWhenUsed/>
    <w:rsid w:val="001B4A39"/>
    <w:rPr>
      <w:color w:val="0000FF" w:themeColor="hyperlink"/>
      <w:u w:val="single"/>
    </w:rPr>
  </w:style>
  <w:style w:type="character" w:styleId="UnresolvedMention">
    <w:name w:val="Unresolved Mention"/>
    <w:basedOn w:val="DefaultParagraphFont"/>
    <w:uiPriority w:val="99"/>
    <w:semiHidden/>
    <w:unhideWhenUsed/>
    <w:rsid w:val="003724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10/15/contents" TargetMode="External"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1.xml" /><Relationship Id="rId5" Type="http://schemas.openxmlformats.org/officeDocument/2006/relationships/webSettings" Target="webSettings.xml" /><Relationship Id="rId10" Type="http://schemas.openxmlformats.org/officeDocument/2006/relationships/hyperlink" Target="https://www.statista.com/outlook/tmo/artificial-intelligence/united-kingdom" TargetMode="External" /><Relationship Id="rId4" Type="http://schemas.openxmlformats.org/officeDocument/2006/relationships/settings" Target="settings.xml" /><Relationship Id="rId9" Type="http://schemas.openxmlformats.org/officeDocument/2006/relationships/hyperlink" Target="https://www.london.gov.uk/sites/default/files/mayors-equality-diversity-inclusion-strategy.pdf"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9617D4-BD78-40D6-9207-15B42526765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Pages>
  <Words>3922</Words>
  <Characters>22357</Characters>
  <Application>Microsoft Office Word</Application>
  <DocSecurity>0</DocSecurity>
  <Lines>186</Lines>
  <Paragraphs>52</Paragraphs>
  <ScaleCrop>false</ScaleCrop>
  <Company/>
  <LinksUpToDate>false</LinksUpToDate>
  <CharactersWithSpaces>26227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Abdul quiyum</cp:lastModifiedBy>
  <cp:revision>2</cp:revision>
  <dcterms:created xsi:type="dcterms:W3CDTF">2025-02-27T00:00:00Z</dcterms:created>
  <dcterms:modified xsi:type="dcterms:W3CDTF">2025-02-27T00:00:00Z</dcterms:modified>
</cp:coreProperties>
</file>