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7FEBE" w14:textId="77777777" w:rsidR="00516EBC" w:rsidRPr="00516EBC" w:rsidRDefault="00516EBC" w:rsidP="00516EBC">
      <w:pPr>
        <w:spacing w:line="276" w:lineRule="auto"/>
        <w:jc w:val="center"/>
        <w:rPr>
          <w:b/>
          <w:bCs/>
          <w:sz w:val="28"/>
          <w:szCs w:val="28"/>
        </w:rPr>
      </w:pPr>
    </w:p>
    <w:p w14:paraId="2568DDF4" w14:textId="76A99687" w:rsidR="00516EBC" w:rsidRPr="00516EBC" w:rsidRDefault="00516EBC" w:rsidP="00516EBC">
      <w:pPr>
        <w:spacing w:after="200" w:line="276" w:lineRule="auto"/>
        <w:jc w:val="center"/>
        <w:rPr>
          <w:b/>
          <w:bCs/>
          <w:sz w:val="28"/>
          <w:szCs w:val="28"/>
        </w:rPr>
      </w:pPr>
      <w:r w:rsidRPr="00516EBC">
        <w:rPr>
          <w:sz w:val="24"/>
          <w:szCs w:val="24"/>
          <w:lang w:eastAsia="en-GB"/>
        </w:rPr>
        <w:t>Name: Saima Kausar</w:t>
      </w:r>
    </w:p>
    <w:p w14:paraId="4317B235" w14:textId="77777777" w:rsidR="00516EBC" w:rsidRPr="00516EBC" w:rsidRDefault="00516EBC" w:rsidP="00516EBC">
      <w:pPr>
        <w:jc w:val="center"/>
        <w:rPr>
          <w:sz w:val="24"/>
          <w:szCs w:val="24"/>
          <w:lang w:eastAsia="en-GB"/>
        </w:rPr>
      </w:pPr>
      <w:r w:rsidRPr="00516EBC">
        <w:rPr>
          <w:sz w:val="24"/>
          <w:szCs w:val="24"/>
          <w:lang w:eastAsia="en-GB"/>
        </w:rPr>
        <w:t>Student number:2407682</w:t>
      </w:r>
    </w:p>
    <w:p w14:paraId="7F1C750D" w14:textId="77777777" w:rsidR="00516EBC" w:rsidRPr="00516EBC" w:rsidRDefault="00516EBC" w:rsidP="00516EBC">
      <w:pPr>
        <w:jc w:val="center"/>
        <w:rPr>
          <w:sz w:val="24"/>
          <w:szCs w:val="24"/>
          <w:lang w:eastAsia="en-GB"/>
        </w:rPr>
      </w:pPr>
      <w:r w:rsidRPr="00516EBC">
        <w:rPr>
          <w:sz w:val="24"/>
          <w:szCs w:val="24"/>
          <w:lang w:eastAsia="en-GB"/>
        </w:rPr>
        <w:t>Component- 1</w:t>
      </w:r>
    </w:p>
    <w:p w14:paraId="01C37B7F" w14:textId="77777777" w:rsidR="00516EBC" w:rsidRPr="00516EBC" w:rsidRDefault="00516EBC" w:rsidP="00516EBC">
      <w:pPr>
        <w:jc w:val="center"/>
        <w:rPr>
          <w:sz w:val="24"/>
          <w:szCs w:val="24"/>
          <w:lang w:eastAsia="en-GB"/>
        </w:rPr>
      </w:pPr>
      <w:r w:rsidRPr="00516EBC">
        <w:rPr>
          <w:sz w:val="24"/>
          <w:szCs w:val="24"/>
          <w:lang w:eastAsia="en-GB"/>
        </w:rPr>
        <w:t>Module Number: BMHP 6026</w:t>
      </w:r>
    </w:p>
    <w:p w14:paraId="2AD2DA09" w14:textId="283176BF" w:rsidR="00516EBC" w:rsidRPr="00516EBC" w:rsidRDefault="00516EBC" w:rsidP="00516EBC">
      <w:pPr>
        <w:spacing w:line="276" w:lineRule="auto"/>
        <w:jc w:val="center"/>
        <w:rPr>
          <w:b/>
          <w:bCs/>
          <w:sz w:val="28"/>
          <w:szCs w:val="28"/>
        </w:rPr>
      </w:pPr>
      <w:r w:rsidRPr="00516EBC">
        <w:rPr>
          <w:sz w:val="24"/>
          <w:szCs w:val="24"/>
          <w:lang w:eastAsia="en-GB"/>
        </w:rPr>
        <w:t xml:space="preserve">Name of the lecturer: Tomy </w:t>
      </w:r>
      <w:proofErr w:type="spellStart"/>
      <w:r w:rsidRPr="00516EBC">
        <w:rPr>
          <w:sz w:val="24"/>
          <w:szCs w:val="24"/>
          <w:lang w:eastAsia="en-GB"/>
        </w:rPr>
        <w:t>Adattu</w:t>
      </w:r>
      <w:proofErr w:type="spellEnd"/>
      <w:r w:rsidRPr="00516EBC">
        <w:rPr>
          <w:sz w:val="24"/>
          <w:szCs w:val="24"/>
          <w:lang w:eastAsia="en-GB"/>
        </w:rPr>
        <w:t xml:space="preserve"> Chacko</w:t>
      </w:r>
    </w:p>
    <w:p w14:paraId="79D225C8" w14:textId="77777777" w:rsidR="00516EBC" w:rsidRDefault="00516EBC" w:rsidP="00516EBC">
      <w:pPr>
        <w:spacing w:line="276" w:lineRule="auto"/>
        <w:rPr>
          <w:b/>
          <w:bCs/>
          <w:sz w:val="24"/>
          <w:szCs w:val="24"/>
        </w:rPr>
      </w:pPr>
    </w:p>
    <w:p w14:paraId="4145EA88" w14:textId="77777777" w:rsidR="00516EBC" w:rsidRDefault="00516EBC" w:rsidP="00516EBC">
      <w:pPr>
        <w:spacing w:line="276" w:lineRule="auto"/>
        <w:rPr>
          <w:b/>
          <w:bCs/>
          <w:sz w:val="24"/>
          <w:szCs w:val="24"/>
        </w:rPr>
      </w:pPr>
    </w:p>
    <w:p w14:paraId="57079D46" w14:textId="77777777" w:rsidR="00516EBC" w:rsidRDefault="00516EBC">
      <w:pPr>
        <w:spacing w:after="200" w:line="276" w:lineRule="auto"/>
        <w:rPr>
          <w:b/>
          <w:bCs/>
          <w:sz w:val="24"/>
          <w:szCs w:val="24"/>
        </w:rPr>
      </w:pPr>
      <w:r>
        <w:rPr>
          <w:b/>
          <w:bCs/>
          <w:sz w:val="24"/>
          <w:szCs w:val="24"/>
        </w:rPr>
        <w:br w:type="page"/>
      </w:r>
    </w:p>
    <w:p w14:paraId="046CBA0E" w14:textId="77777777" w:rsidR="00516EBC" w:rsidRDefault="00516EBC" w:rsidP="00516EBC">
      <w:pPr>
        <w:spacing w:line="276" w:lineRule="auto"/>
        <w:rPr>
          <w:b/>
          <w:bCs/>
          <w:sz w:val="24"/>
          <w:szCs w:val="24"/>
        </w:rPr>
      </w:pPr>
    </w:p>
    <w:p w14:paraId="7B3FE7FB" w14:textId="3CDC29B6" w:rsidR="00CE659D" w:rsidRPr="00267FAB" w:rsidRDefault="00516EBC" w:rsidP="00267FAB">
      <w:pPr>
        <w:spacing w:after="200" w:line="276" w:lineRule="auto"/>
        <w:rPr>
          <w:b/>
          <w:bCs/>
          <w:sz w:val="24"/>
          <w:szCs w:val="24"/>
        </w:rPr>
      </w:pPr>
      <w:r w:rsidRPr="00516EBC">
        <w:rPr>
          <w:b/>
          <w:bCs/>
          <w:sz w:val="24"/>
          <w:szCs w:val="24"/>
        </w:rPr>
        <w:t>Table of Contents</w:t>
      </w:r>
      <w:r w:rsidRPr="00F3603D">
        <w:br/>
      </w:r>
    </w:p>
    <w:sdt>
      <w:sdtPr>
        <w:rPr>
          <w:rFonts w:ascii="Arial" w:eastAsiaTheme="minorEastAsia" w:hAnsi="Arial" w:cstheme="minorBidi"/>
          <w:b w:val="0"/>
          <w:sz w:val="22"/>
          <w:szCs w:val="22"/>
          <w:lang w:val="en-GB"/>
        </w:rPr>
        <w:id w:val="-957178795"/>
        <w:docPartObj>
          <w:docPartGallery w:val="Table of Contents"/>
          <w:docPartUnique/>
        </w:docPartObj>
      </w:sdtPr>
      <w:sdtEndPr>
        <w:rPr>
          <w:bCs w:val="0"/>
          <w:lang w:val="en-US"/>
        </w:rPr>
      </w:sdtEndPr>
      <w:sdtContent>
        <w:p w14:paraId="5DB39353" w14:textId="6052CC6F" w:rsidR="00CE659D" w:rsidRDefault="00CE659D">
          <w:pPr>
            <w:pStyle w:val="TOCHeading"/>
          </w:pPr>
          <w:r>
            <w:rPr>
              <w:lang w:val="en-GB"/>
            </w:rPr>
            <w:t>Contents</w:t>
          </w:r>
        </w:p>
        <w:p w14:paraId="0D5AEFD3" w14:textId="511948AF" w:rsidR="00CE659D" w:rsidRDefault="00CE659D">
          <w:pPr>
            <w:pStyle w:val="TOC1"/>
            <w:tabs>
              <w:tab w:val="right" w:leader="dot" w:pos="9926"/>
            </w:tabs>
            <w:rPr>
              <w:noProof/>
            </w:rPr>
          </w:pPr>
          <w:r>
            <w:fldChar w:fldCharType="begin"/>
          </w:r>
          <w:r>
            <w:instrText xml:space="preserve"> TOC \o "1-3" \h \z \u </w:instrText>
          </w:r>
          <w:r>
            <w:fldChar w:fldCharType="separate"/>
          </w:r>
          <w:hyperlink w:anchor="_Toc243229030" w:history="1">
            <w:r w:rsidRPr="007B449C">
              <w:rPr>
                <w:rStyle w:val="Hyperlink"/>
                <w:noProof/>
              </w:rPr>
              <w:t>Introduction</w:t>
            </w:r>
            <w:r>
              <w:rPr>
                <w:noProof/>
                <w:webHidden/>
              </w:rPr>
              <w:tab/>
            </w:r>
            <w:r>
              <w:rPr>
                <w:noProof/>
                <w:webHidden/>
              </w:rPr>
              <w:fldChar w:fldCharType="begin"/>
            </w:r>
            <w:r>
              <w:rPr>
                <w:noProof/>
                <w:webHidden/>
              </w:rPr>
              <w:instrText xml:space="preserve"> PAGEREF _Toc243229030 \h </w:instrText>
            </w:r>
            <w:r>
              <w:rPr>
                <w:noProof/>
                <w:webHidden/>
              </w:rPr>
            </w:r>
            <w:r>
              <w:rPr>
                <w:noProof/>
                <w:webHidden/>
              </w:rPr>
              <w:fldChar w:fldCharType="separate"/>
            </w:r>
            <w:r>
              <w:rPr>
                <w:noProof/>
                <w:webHidden/>
              </w:rPr>
              <w:t>3</w:t>
            </w:r>
            <w:r>
              <w:rPr>
                <w:noProof/>
                <w:webHidden/>
              </w:rPr>
              <w:fldChar w:fldCharType="end"/>
            </w:r>
          </w:hyperlink>
        </w:p>
        <w:p w14:paraId="74AF1863" w14:textId="528FB549" w:rsidR="00CE659D" w:rsidRDefault="00CE659D">
          <w:pPr>
            <w:pStyle w:val="TOC1"/>
            <w:tabs>
              <w:tab w:val="right" w:leader="dot" w:pos="9926"/>
            </w:tabs>
            <w:rPr>
              <w:noProof/>
            </w:rPr>
          </w:pPr>
          <w:hyperlink w:anchor="_Toc243229031" w:history="1">
            <w:r w:rsidRPr="007B449C">
              <w:rPr>
                <w:rStyle w:val="Hyperlink"/>
                <w:noProof/>
              </w:rPr>
              <w:t>Uses of mobile health</w:t>
            </w:r>
            <w:r>
              <w:rPr>
                <w:noProof/>
                <w:webHidden/>
              </w:rPr>
              <w:tab/>
            </w:r>
            <w:r>
              <w:rPr>
                <w:noProof/>
                <w:webHidden/>
              </w:rPr>
              <w:fldChar w:fldCharType="begin"/>
            </w:r>
            <w:r>
              <w:rPr>
                <w:noProof/>
                <w:webHidden/>
              </w:rPr>
              <w:instrText xml:space="preserve"> PAGEREF _Toc243229031 \h </w:instrText>
            </w:r>
            <w:r>
              <w:rPr>
                <w:noProof/>
                <w:webHidden/>
              </w:rPr>
            </w:r>
            <w:r>
              <w:rPr>
                <w:noProof/>
                <w:webHidden/>
              </w:rPr>
              <w:fldChar w:fldCharType="separate"/>
            </w:r>
            <w:r>
              <w:rPr>
                <w:noProof/>
                <w:webHidden/>
              </w:rPr>
              <w:t>4</w:t>
            </w:r>
            <w:r>
              <w:rPr>
                <w:noProof/>
                <w:webHidden/>
              </w:rPr>
              <w:fldChar w:fldCharType="end"/>
            </w:r>
          </w:hyperlink>
        </w:p>
        <w:p w14:paraId="7C478AA4" w14:textId="71595848" w:rsidR="00CE659D" w:rsidRDefault="00CE659D">
          <w:pPr>
            <w:pStyle w:val="TOC1"/>
            <w:tabs>
              <w:tab w:val="right" w:leader="dot" w:pos="9926"/>
            </w:tabs>
            <w:rPr>
              <w:noProof/>
            </w:rPr>
          </w:pPr>
          <w:hyperlink w:anchor="_Toc243229032" w:history="1">
            <w:r w:rsidRPr="007B449C">
              <w:rPr>
                <w:rStyle w:val="Hyperlink"/>
                <w:noProof/>
              </w:rPr>
              <w:t>Workforce skills and responsibilities</w:t>
            </w:r>
            <w:r>
              <w:rPr>
                <w:noProof/>
                <w:webHidden/>
              </w:rPr>
              <w:tab/>
            </w:r>
            <w:r>
              <w:rPr>
                <w:noProof/>
                <w:webHidden/>
              </w:rPr>
              <w:fldChar w:fldCharType="begin"/>
            </w:r>
            <w:r>
              <w:rPr>
                <w:noProof/>
                <w:webHidden/>
              </w:rPr>
              <w:instrText xml:space="preserve"> PAGEREF _Toc243229032 \h </w:instrText>
            </w:r>
            <w:r>
              <w:rPr>
                <w:noProof/>
                <w:webHidden/>
              </w:rPr>
            </w:r>
            <w:r>
              <w:rPr>
                <w:noProof/>
                <w:webHidden/>
              </w:rPr>
              <w:fldChar w:fldCharType="separate"/>
            </w:r>
            <w:r>
              <w:rPr>
                <w:noProof/>
                <w:webHidden/>
              </w:rPr>
              <w:t>5</w:t>
            </w:r>
            <w:r>
              <w:rPr>
                <w:noProof/>
                <w:webHidden/>
              </w:rPr>
              <w:fldChar w:fldCharType="end"/>
            </w:r>
          </w:hyperlink>
        </w:p>
        <w:p w14:paraId="5F9EBF5F" w14:textId="14E23750" w:rsidR="00CE659D" w:rsidRDefault="00CE659D">
          <w:pPr>
            <w:pStyle w:val="TOC1"/>
            <w:tabs>
              <w:tab w:val="right" w:leader="dot" w:pos="9926"/>
            </w:tabs>
            <w:rPr>
              <w:noProof/>
            </w:rPr>
          </w:pPr>
          <w:hyperlink w:anchor="_Toc243229033" w:history="1">
            <w:r w:rsidRPr="007B449C">
              <w:rPr>
                <w:rStyle w:val="Hyperlink"/>
                <w:noProof/>
              </w:rPr>
              <w:t>Delivery service changes</w:t>
            </w:r>
            <w:r>
              <w:rPr>
                <w:noProof/>
                <w:webHidden/>
              </w:rPr>
              <w:tab/>
            </w:r>
            <w:r>
              <w:rPr>
                <w:noProof/>
                <w:webHidden/>
              </w:rPr>
              <w:fldChar w:fldCharType="begin"/>
            </w:r>
            <w:r>
              <w:rPr>
                <w:noProof/>
                <w:webHidden/>
              </w:rPr>
              <w:instrText xml:space="preserve"> PAGEREF _Toc243229033 \h </w:instrText>
            </w:r>
            <w:r>
              <w:rPr>
                <w:noProof/>
                <w:webHidden/>
              </w:rPr>
            </w:r>
            <w:r>
              <w:rPr>
                <w:noProof/>
                <w:webHidden/>
              </w:rPr>
              <w:fldChar w:fldCharType="separate"/>
            </w:r>
            <w:r>
              <w:rPr>
                <w:noProof/>
                <w:webHidden/>
              </w:rPr>
              <w:t>5</w:t>
            </w:r>
            <w:r>
              <w:rPr>
                <w:noProof/>
                <w:webHidden/>
              </w:rPr>
              <w:fldChar w:fldCharType="end"/>
            </w:r>
          </w:hyperlink>
        </w:p>
        <w:p w14:paraId="68207AD9" w14:textId="117C9BC3" w:rsidR="00CE659D" w:rsidRDefault="00CE659D">
          <w:pPr>
            <w:pStyle w:val="TOC1"/>
            <w:tabs>
              <w:tab w:val="right" w:leader="dot" w:pos="9926"/>
            </w:tabs>
            <w:rPr>
              <w:noProof/>
            </w:rPr>
          </w:pPr>
          <w:hyperlink w:anchor="_Toc243229034" w:history="1">
            <w:r w:rsidRPr="007B449C">
              <w:rPr>
                <w:rStyle w:val="Hyperlink"/>
                <w:noProof/>
              </w:rPr>
              <w:t>Patients and experiences of care</w:t>
            </w:r>
            <w:r>
              <w:rPr>
                <w:noProof/>
                <w:webHidden/>
              </w:rPr>
              <w:tab/>
            </w:r>
            <w:r>
              <w:rPr>
                <w:noProof/>
                <w:webHidden/>
              </w:rPr>
              <w:fldChar w:fldCharType="begin"/>
            </w:r>
            <w:r>
              <w:rPr>
                <w:noProof/>
                <w:webHidden/>
              </w:rPr>
              <w:instrText xml:space="preserve"> PAGEREF _Toc243229034 \h </w:instrText>
            </w:r>
            <w:r>
              <w:rPr>
                <w:noProof/>
                <w:webHidden/>
              </w:rPr>
            </w:r>
            <w:r>
              <w:rPr>
                <w:noProof/>
                <w:webHidden/>
              </w:rPr>
              <w:fldChar w:fldCharType="separate"/>
            </w:r>
            <w:r>
              <w:rPr>
                <w:noProof/>
                <w:webHidden/>
              </w:rPr>
              <w:t>6</w:t>
            </w:r>
            <w:r>
              <w:rPr>
                <w:noProof/>
                <w:webHidden/>
              </w:rPr>
              <w:fldChar w:fldCharType="end"/>
            </w:r>
          </w:hyperlink>
        </w:p>
        <w:p w14:paraId="4115C0C8" w14:textId="0FEB4C40" w:rsidR="00CE659D" w:rsidRDefault="00CE659D">
          <w:pPr>
            <w:pStyle w:val="TOC1"/>
            <w:tabs>
              <w:tab w:val="right" w:leader="dot" w:pos="9926"/>
            </w:tabs>
            <w:rPr>
              <w:noProof/>
            </w:rPr>
          </w:pPr>
          <w:hyperlink w:anchor="_Toc243229035" w:history="1">
            <w:r w:rsidRPr="007B449C">
              <w:rPr>
                <w:rStyle w:val="Hyperlink"/>
                <w:noProof/>
              </w:rPr>
              <w:t>Digital inequality</w:t>
            </w:r>
            <w:r>
              <w:rPr>
                <w:noProof/>
                <w:webHidden/>
              </w:rPr>
              <w:tab/>
            </w:r>
            <w:r>
              <w:rPr>
                <w:noProof/>
                <w:webHidden/>
              </w:rPr>
              <w:fldChar w:fldCharType="begin"/>
            </w:r>
            <w:r>
              <w:rPr>
                <w:noProof/>
                <w:webHidden/>
              </w:rPr>
              <w:instrText xml:space="preserve"> PAGEREF _Toc243229035 \h </w:instrText>
            </w:r>
            <w:r>
              <w:rPr>
                <w:noProof/>
                <w:webHidden/>
              </w:rPr>
            </w:r>
            <w:r>
              <w:rPr>
                <w:noProof/>
                <w:webHidden/>
              </w:rPr>
              <w:fldChar w:fldCharType="separate"/>
            </w:r>
            <w:r>
              <w:rPr>
                <w:noProof/>
                <w:webHidden/>
              </w:rPr>
              <w:t>8</w:t>
            </w:r>
            <w:r>
              <w:rPr>
                <w:noProof/>
                <w:webHidden/>
              </w:rPr>
              <w:fldChar w:fldCharType="end"/>
            </w:r>
          </w:hyperlink>
        </w:p>
        <w:p w14:paraId="7A918C59" w14:textId="2AB3CF48" w:rsidR="00CE659D" w:rsidRDefault="00CE659D">
          <w:pPr>
            <w:pStyle w:val="TOC1"/>
            <w:tabs>
              <w:tab w:val="right" w:leader="dot" w:pos="9926"/>
            </w:tabs>
            <w:rPr>
              <w:noProof/>
            </w:rPr>
          </w:pPr>
          <w:hyperlink w:anchor="_Toc243229036" w:history="1">
            <w:r w:rsidRPr="007B449C">
              <w:rPr>
                <w:rStyle w:val="Hyperlink"/>
                <w:noProof/>
              </w:rPr>
              <w:t>Privacy, security, and emerging technologies</w:t>
            </w:r>
            <w:r>
              <w:rPr>
                <w:noProof/>
                <w:webHidden/>
              </w:rPr>
              <w:tab/>
            </w:r>
            <w:r>
              <w:rPr>
                <w:noProof/>
                <w:webHidden/>
              </w:rPr>
              <w:fldChar w:fldCharType="begin"/>
            </w:r>
            <w:r>
              <w:rPr>
                <w:noProof/>
                <w:webHidden/>
              </w:rPr>
              <w:instrText xml:space="preserve"> PAGEREF _Toc243229036 \h </w:instrText>
            </w:r>
            <w:r>
              <w:rPr>
                <w:noProof/>
                <w:webHidden/>
              </w:rPr>
            </w:r>
            <w:r>
              <w:rPr>
                <w:noProof/>
                <w:webHidden/>
              </w:rPr>
              <w:fldChar w:fldCharType="separate"/>
            </w:r>
            <w:r>
              <w:rPr>
                <w:noProof/>
                <w:webHidden/>
              </w:rPr>
              <w:t>9</w:t>
            </w:r>
            <w:r>
              <w:rPr>
                <w:noProof/>
                <w:webHidden/>
              </w:rPr>
              <w:fldChar w:fldCharType="end"/>
            </w:r>
          </w:hyperlink>
        </w:p>
        <w:p w14:paraId="3CC22E6A" w14:textId="29023417" w:rsidR="00CE659D" w:rsidRDefault="00CE659D">
          <w:pPr>
            <w:pStyle w:val="TOC1"/>
            <w:tabs>
              <w:tab w:val="right" w:leader="dot" w:pos="9926"/>
            </w:tabs>
            <w:rPr>
              <w:noProof/>
            </w:rPr>
          </w:pPr>
          <w:hyperlink w:anchor="_Toc243229037" w:history="1">
            <w:r w:rsidRPr="007B449C">
              <w:rPr>
                <w:rStyle w:val="Hyperlink"/>
                <w:noProof/>
              </w:rPr>
              <w:t>Recommendations</w:t>
            </w:r>
            <w:r>
              <w:rPr>
                <w:noProof/>
                <w:webHidden/>
              </w:rPr>
              <w:tab/>
            </w:r>
            <w:r>
              <w:rPr>
                <w:noProof/>
                <w:webHidden/>
              </w:rPr>
              <w:fldChar w:fldCharType="begin"/>
            </w:r>
            <w:r>
              <w:rPr>
                <w:noProof/>
                <w:webHidden/>
              </w:rPr>
              <w:instrText xml:space="preserve"> PAGEREF _Toc243229037 \h </w:instrText>
            </w:r>
            <w:r>
              <w:rPr>
                <w:noProof/>
                <w:webHidden/>
              </w:rPr>
            </w:r>
            <w:r>
              <w:rPr>
                <w:noProof/>
                <w:webHidden/>
              </w:rPr>
              <w:fldChar w:fldCharType="separate"/>
            </w:r>
            <w:r>
              <w:rPr>
                <w:noProof/>
                <w:webHidden/>
              </w:rPr>
              <w:t>11</w:t>
            </w:r>
            <w:r>
              <w:rPr>
                <w:noProof/>
                <w:webHidden/>
              </w:rPr>
              <w:fldChar w:fldCharType="end"/>
            </w:r>
          </w:hyperlink>
        </w:p>
        <w:p w14:paraId="007B6A8F" w14:textId="7A7DBECC" w:rsidR="00CE659D" w:rsidRDefault="00CE659D">
          <w:pPr>
            <w:pStyle w:val="TOC1"/>
            <w:tabs>
              <w:tab w:val="right" w:leader="dot" w:pos="9926"/>
            </w:tabs>
            <w:rPr>
              <w:noProof/>
            </w:rPr>
          </w:pPr>
          <w:hyperlink w:anchor="_Toc243229038" w:history="1">
            <w:r w:rsidRPr="007B449C">
              <w:rPr>
                <w:rStyle w:val="Hyperlink"/>
                <w:noProof/>
              </w:rPr>
              <w:t>Conclusion</w:t>
            </w:r>
            <w:r>
              <w:rPr>
                <w:noProof/>
                <w:webHidden/>
              </w:rPr>
              <w:tab/>
            </w:r>
            <w:r>
              <w:rPr>
                <w:noProof/>
                <w:webHidden/>
              </w:rPr>
              <w:fldChar w:fldCharType="begin"/>
            </w:r>
            <w:r>
              <w:rPr>
                <w:noProof/>
                <w:webHidden/>
              </w:rPr>
              <w:instrText xml:space="preserve"> PAGEREF _Toc243229038 \h </w:instrText>
            </w:r>
            <w:r>
              <w:rPr>
                <w:noProof/>
                <w:webHidden/>
              </w:rPr>
            </w:r>
            <w:r>
              <w:rPr>
                <w:noProof/>
                <w:webHidden/>
              </w:rPr>
              <w:fldChar w:fldCharType="separate"/>
            </w:r>
            <w:r>
              <w:rPr>
                <w:noProof/>
                <w:webHidden/>
              </w:rPr>
              <w:t>12</w:t>
            </w:r>
            <w:r>
              <w:rPr>
                <w:noProof/>
                <w:webHidden/>
              </w:rPr>
              <w:fldChar w:fldCharType="end"/>
            </w:r>
          </w:hyperlink>
        </w:p>
        <w:p w14:paraId="19B39F75" w14:textId="3656BE46" w:rsidR="00CE659D" w:rsidRDefault="00CE659D">
          <w:pPr>
            <w:pStyle w:val="TOC1"/>
            <w:tabs>
              <w:tab w:val="right" w:leader="dot" w:pos="9926"/>
            </w:tabs>
            <w:rPr>
              <w:noProof/>
            </w:rPr>
          </w:pPr>
          <w:hyperlink w:anchor="_Toc243229039" w:history="1">
            <w:r w:rsidRPr="007B449C">
              <w:rPr>
                <w:rStyle w:val="Hyperlink"/>
                <w:noProof/>
              </w:rPr>
              <w:t>References</w:t>
            </w:r>
            <w:r>
              <w:rPr>
                <w:noProof/>
                <w:webHidden/>
              </w:rPr>
              <w:tab/>
            </w:r>
            <w:r>
              <w:rPr>
                <w:noProof/>
                <w:webHidden/>
              </w:rPr>
              <w:fldChar w:fldCharType="begin"/>
            </w:r>
            <w:r>
              <w:rPr>
                <w:noProof/>
                <w:webHidden/>
              </w:rPr>
              <w:instrText xml:space="preserve"> PAGEREF _Toc243229039 \h </w:instrText>
            </w:r>
            <w:r>
              <w:rPr>
                <w:noProof/>
                <w:webHidden/>
              </w:rPr>
            </w:r>
            <w:r>
              <w:rPr>
                <w:noProof/>
                <w:webHidden/>
              </w:rPr>
              <w:fldChar w:fldCharType="separate"/>
            </w:r>
            <w:r>
              <w:rPr>
                <w:noProof/>
                <w:webHidden/>
              </w:rPr>
              <w:t>13</w:t>
            </w:r>
            <w:r>
              <w:rPr>
                <w:noProof/>
                <w:webHidden/>
              </w:rPr>
              <w:fldChar w:fldCharType="end"/>
            </w:r>
          </w:hyperlink>
        </w:p>
        <w:p w14:paraId="4D27BCD4" w14:textId="38CE6057" w:rsidR="00CE659D" w:rsidRDefault="00CE659D">
          <w:r>
            <w:rPr>
              <w:b/>
              <w:bCs/>
            </w:rPr>
            <w:fldChar w:fldCharType="end"/>
          </w:r>
        </w:p>
      </w:sdtContent>
    </w:sdt>
    <w:p w14:paraId="507E0D6F" w14:textId="185E7875" w:rsidR="00516EBC" w:rsidRPr="00F3603D" w:rsidRDefault="00516EBC" w:rsidP="00516EBC">
      <w:pPr>
        <w:numPr>
          <w:ilvl w:val="0"/>
          <w:numId w:val="10"/>
        </w:numPr>
        <w:spacing w:line="276" w:lineRule="auto"/>
      </w:pPr>
    </w:p>
    <w:p w14:paraId="5742E989" w14:textId="0EEB64C9" w:rsidR="00516EBC" w:rsidRDefault="00516EBC" w:rsidP="00516EBC">
      <w:pPr>
        <w:pStyle w:val="Title"/>
      </w:pPr>
    </w:p>
    <w:p w14:paraId="2B0A626A" w14:textId="77777777" w:rsidR="00516EBC" w:rsidRDefault="00516EBC">
      <w:pPr>
        <w:spacing w:after="200" w:line="276" w:lineRule="auto"/>
        <w:rPr>
          <w:rFonts w:asciiTheme="majorHAnsi" w:eastAsiaTheme="majorEastAsia" w:hAnsiTheme="majorHAnsi" w:cstheme="majorBidi"/>
          <w:b/>
          <w:spacing w:val="5"/>
          <w:kern w:val="28"/>
          <w:sz w:val="40"/>
          <w:szCs w:val="52"/>
        </w:rPr>
      </w:pPr>
      <w:r>
        <w:br w:type="page"/>
      </w:r>
    </w:p>
    <w:p w14:paraId="254EEEF2" w14:textId="09C619C2" w:rsidR="00320811" w:rsidRDefault="00000000">
      <w:pPr>
        <w:pStyle w:val="Title"/>
      </w:pPr>
      <w:r>
        <w:lastRenderedPageBreak/>
        <w:t>Digital transformation in health and social care</w:t>
      </w:r>
      <w:r w:rsidR="004267F3">
        <w:t>:</w:t>
      </w:r>
      <w:r w:rsidR="000C52D9">
        <w:t xml:space="preserve"> </w:t>
      </w:r>
      <w:r w:rsidR="00537A1A">
        <w:t>Mobile Health Application</w:t>
      </w:r>
    </w:p>
    <w:p w14:paraId="6554AF57" w14:textId="77777777" w:rsidR="00320811" w:rsidRPr="00977D76" w:rsidRDefault="00000000" w:rsidP="00362D69">
      <w:pPr>
        <w:pStyle w:val="Heading1"/>
        <w:rPr>
          <w:sz w:val="28"/>
        </w:rPr>
      </w:pPr>
      <w:bookmarkStart w:id="0" w:name="_Toc243229030"/>
      <w:r w:rsidRPr="00977D76">
        <w:rPr>
          <w:sz w:val="28"/>
        </w:rPr>
        <w:t>Introduction</w:t>
      </w:r>
      <w:bookmarkEnd w:id="0"/>
    </w:p>
    <w:p w14:paraId="5BDA6835" w14:textId="6055BD6A" w:rsidR="00F25D2A" w:rsidRDefault="00000000">
      <w:r>
        <w:t xml:space="preserve">Mobile health, often called mHealth, uses mobile phones and other wireless devices to support health and healthcare. It includes applications, text </w:t>
      </w:r>
      <w:r w:rsidR="00C11C46">
        <w:t>messages,</w:t>
      </w:r>
      <w:r>
        <w:t xml:space="preserve"> and monitoring devices (World Health Organization [WHO], 2011). It is part of digital transformation, which involves changes in how </w:t>
      </w:r>
      <w:r w:rsidR="00DA2D07">
        <w:t xml:space="preserve">technology, information, and staff skills </w:t>
      </w:r>
      <w:proofErr w:type="gramStart"/>
      <w:r w:rsidR="00441C18">
        <w:t>are used</w:t>
      </w:r>
      <w:proofErr w:type="gramEnd"/>
      <w:r>
        <w:t xml:space="preserve">. Electronic records, remote </w:t>
      </w:r>
      <w:r w:rsidR="00C11C46">
        <w:t>consultations,</w:t>
      </w:r>
      <w:r>
        <w:t xml:space="preserve"> and artificial intelligence are further examples. These developments affect health and social care professionals, patients, </w:t>
      </w:r>
      <w:r w:rsidR="00C11C46">
        <w:t>families,</w:t>
      </w:r>
      <w:r>
        <w:t xml:space="preserve"> and communities.</w:t>
      </w:r>
    </w:p>
    <w:p w14:paraId="01BB1B14" w14:textId="5A0EAB5E" w:rsidR="00F25D2A" w:rsidRDefault="00F25D2A"/>
    <w:p w14:paraId="0C6CF07D" w14:textId="77777777" w:rsidR="0089481A" w:rsidRDefault="0050658A" w:rsidP="0050658A">
      <w:r>
        <w:t xml:space="preserve">.         </w:t>
      </w:r>
    </w:p>
    <w:p w14:paraId="5E082340" w14:textId="77777777" w:rsidR="0089481A" w:rsidRDefault="0089481A" w:rsidP="0050658A"/>
    <w:p w14:paraId="399F72E2" w14:textId="77777777" w:rsidR="0089481A" w:rsidRDefault="0089481A" w:rsidP="0050658A"/>
    <w:p w14:paraId="21B60E55" w14:textId="215F6E4B" w:rsidR="0050658A" w:rsidRDefault="005D6738" w:rsidP="0050658A">
      <w:r w:rsidRPr="00395AEE">
        <w:drawing>
          <wp:inline distT="0" distB="0" distL="0" distR="0" wp14:anchorId="6516E765" wp14:editId="3AB7F7B7">
            <wp:extent cx="5731510" cy="4012565"/>
            <wp:effectExtent l="0" t="0" r="2540" b="6985"/>
            <wp:docPr id="1736380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380851" name=""/>
                    <pic:cNvPicPr/>
                  </pic:nvPicPr>
                  <pic:blipFill>
                    <a:blip r:embed="rId8"/>
                    <a:stretch>
                      <a:fillRect/>
                    </a:stretch>
                  </pic:blipFill>
                  <pic:spPr>
                    <a:xfrm>
                      <a:off x="0" y="0"/>
                      <a:ext cx="5731510" cy="4012565"/>
                    </a:xfrm>
                    <a:prstGeom prst="rect">
                      <a:avLst/>
                    </a:prstGeom>
                  </pic:spPr>
                </pic:pic>
              </a:graphicData>
            </a:graphic>
          </wp:inline>
        </w:drawing>
      </w:r>
      <w:r w:rsidR="0050658A">
        <w:t xml:space="preserve"> </w:t>
      </w:r>
    </w:p>
    <w:p w14:paraId="772711C3" w14:textId="6DC30264" w:rsidR="00FC241F" w:rsidRPr="00841868" w:rsidRDefault="00340C59" w:rsidP="00E442D4">
      <w:pPr>
        <w:pStyle w:val="Heading1"/>
        <w:rPr>
          <w:b w:val="0"/>
          <w:bCs w:val="0"/>
        </w:rPr>
      </w:pPr>
      <w:r>
        <w:rPr>
          <w:b w:val="0"/>
          <w:bCs w:val="0"/>
        </w:rPr>
        <w:t>Fig.</w:t>
      </w:r>
      <w:r w:rsidR="00841868">
        <w:rPr>
          <w:b w:val="0"/>
          <w:bCs w:val="0"/>
        </w:rPr>
        <w:t>1</w:t>
      </w:r>
      <w:r w:rsidR="000956EF">
        <w:rPr>
          <w:b w:val="0"/>
          <w:bCs w:val="0"/>
        </w:rPr>
        <w:t xml:space="preserve"> Mobile</w:t>
      </w:r>
      <w:r w:rsidR="00BB5722">
        <w:rPr>
          <w:b w:val="0"/>
          <w:bCs w:val="0"/>
        </w:rPr>
        <w:t xml:space="preserve"> App </w:t>
      </w:r>
      <w:proofErr w:type="gramStart"/>
      <w:r w:rsidR="00BB5722">
        <w:rPr>
          <w:b w:val="0"/>
          <w:bCs w:val="0"/>
        </w:rPr>
        <w:t>Development</w:t>
      </w:r>
      <w:r w:rsidR="34501F04">
        <w:rPr>
          <w:b w:val="0"/>
          <w:bCs w:val="0"/>
        </w:rPr>
        <w:t xml:space="preserve"> ,</w:t>
      </w:r>
      <w:proofErr w:type="gramEnd"/>
      <w:r w:rsidR="7E0F7D6B">
        <w:rPr>
          <w:b w:val="0"/>
          <w:bCs w:val="0"/>
        </w:rPr>
        <w:t>(</w:t>
      </w:r>
      <w:r w:rsidR="00841868">
        <w:rPr>
          <w:b w:val="0"/>
          <w:bCs w:val="0"/>
        </w:rPr>
        <w:t>2026</w:t>
      </w:r>
      <w:r w:rsidR="0990C4C5">
        <w:rPr>
          <w:b w:val="0"/>
          <w:bCs w:val="0"/>
        </w:rPr>
        <w:t>)</w:t>
      </w:r>
    </w:p>
    <w:p w14:paraId="750C755D" w14:textId="7F07B2D9" w:rsidR="00320811" w:rsidRPr="00A514AA" w:rsidRDefault="00000000">
      <w:pPr>
        <w:rPr>
          <w:rFonts w:ascii="Calibri" w:hAnsi="Calibri" w:cs="Calibri"/>
        </w:rPr>
      </w:pPr>
      <w:r w:rsidRPr="00841868">
        <w:t xml:space="preserve">Digital technology can make </w:t>
      </w:r>
      <w:proofErr w:type="gramStart"/>
      <w:r w:rsidRPr="00841868">
        <w:t>some</w:t>
      </w:r>
      <w:proofErr w:type="gramEnd"/>
      <w:r w:rsidRPr="00841868">
        <w:t xml:space="preserve"> services easier to access and help people manage their health. However, buying new equipment does not automatically improve care. Services also need trained staff, reliable systems and support for people who find technology difficult. This essay considers the uses of mHealth and examines the benefits and challenges of wider digital transformation. It argues </w:t>
      </w:r>
      <w:r w:rsidRPr="00841868">
        <w:lastRenderedPageBreak/>
        <w:t xml:space="preserve">that technology should improve care while protecting personal information, patient </w:t>
      </w:r>
      <w:r w:rsidR="00C11C46" w:rsidRPr="00841868">
        <w:t>choice,</w:t>
      </w:r>
      <w:r w:rsidRPr="00841868">
        <w:t xml:space="preserve"> and equal access.</w:t>
      </w:r>
    </w:p>
    <w:p w14:paraId="79FF581C" w14:textId="77777777" w:rsidR="00320811" w:rsidRPr="00DA2D07" w:rsidRDefault="00000000">
      <w:pPr>
        <w:pStyle w:val="Heading1"/>
        <w:rPr>
          <w:sz w:val="28"/>
        </w:rPr>
      </w:pPr>
      <w:bookmarkStart w:id="1" w:name="_Toc243229031"/>
      <w:r w:rsidRPr="00DA2D07">
        <w:rPr>
          <w:sz w:val="28"/>
        </w:rPr>
        <w:t>Uses of mobile health</w:t>
      </w:r>
      <w:bookmarkEnd w:id="1"/>
    </w:p>
    <w:p w14:paraId="53E41698" w14:textId="12452149" w:rsidR="00320811" w:rsidRDefault="00000000">
      <w:r>
        <w:t xml:space="preserve">Health applications have different purposes. </w:t>
      </w:r>
      <w:proofErr w:type="gramStart"/>
      <w:r>
        <w:t>Some</w:t>
      </w:r>
      <w:proofErr w:type="gramEnd"/>
      <w:r w:rsidR="009F1D76">
        <w:t xml:space="preserve"> </w:t>
      </w:r>
      <w:r w:rsidR="00E04539">
        <w:t>health apps</w:t>
      </w:r>
      <w:r>
        <w:t xml:space="preserve"> provide health information, medication </w:t>
      </w:r>
      <w:r w:rsidR="00C11C46">
        <w:t>reminders,</w:t>
      </w:r>
      <w:r>
        <w:t xml:space="preserve"> or activity tracking. Others support communication with professionals or monitoring outside a clinic. WHO (2011) describes uses </w:t>
      </w:r>
      <w:r w:rsidR="00F25D2A">
        <w:t xml:space="preserve">like </w:t>
      </w:r>
      <w:r>
        <w:t xml:space="preserve">health education, patient </w:t>
      </w:r>
      <w:r w:rsidR="00A720AA">
        <w:t>monitoring,</w:t>
      </w:r>
      <w:r>
        <w:t xml:space="preserve"> and data collection. However, mobile applications are only one part of the wider digital system. Hospital records, laboratory </w:t>
      </w:r>
      <w:r w:rsidR="00A720AA">
        <w:t>systems,</w:t>
      </w:r>
      <w:r>
        <w:t xml:space="preserve"> and pharmacy information are not automatically </w:t>
      </w:r>
      <w:r w:rsidR="007446E7">
        <w:t xml:space="preserve">related </w:t>
      </w:r>
      <w:r>
        <w:t>to every application.</w:t>
      </w:r>
    </w:p>
    <w:p w14:paraId="70C8C9A7" w14:textId="77777777" w:rsidR="000C4C0F" w:rsidRDefault="000C4C0F"/>
    <w:p w14:paraId="442E323D" w14:textId="77777777" w:rsidR="00192E83" w:rsidRDefault="000847EF" w:rsidP="00192E83">
      <w:pPr>
        <w:keepNext/>
      </w:pPr>
      <w:r w:rsidRPr="000847EF">
        <w:drawing>
          <wp:inline distT="0" distB="0" distL="0" distR="0" wp14:anchorId="6C3C5669" wp14:editId="18763957">
            <wp:extent cx="6309360" cy="4283710"/>
            <wp:effectExtent l="0" t="0" r="0" b="2540"/>
            <wp:docPr id="1730235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235745" name=""/>
                    <pic:cNvPicPr/>
                  </pic:nvPicPr>
                  <pic:blipFill>
                    <a:blip r:embed="rId9"/>
                    <a:stretch>
                      <a:fillRect/>
                    </a:stretch>
                  </pic:blipFill>
                  <pic:spPr>
                    <a:xfrm>
                      <a:off x="0" y="0"/>
                      <a:ext cx="6309360" cy="4283710"/>
                    </a:xfrm>
                    <a:prstGeom prst="rect">
                      <a:avLst/>
                    </a:prstGeom>
                  </pic:spPr>
                </pic:pic>
              </a:graphicData>
            </a:graphic>
          </wp:inline>
        </w:drawing>
      </w:r>
    </w:p>
    <w:p w14:paraId="66A4877C" w14:textId="3FC33E20" w:rsidR="00EF1776" w:rsidRDefault="00192E83" w:rsidP="00EF1776">
      <w:r>
        <w:t>Fig</w:t>
      </w:r>
      <w:r w:rsidR="00396B04">
        <w:t>.</w:t>
      </w:r>
      <w:r>
        <w:t xml:space="preserve"> </w:t>
      </w:r>
      <w:proofErr w:type="gramStart"/>
      <w:r w:rsidR="00655BA8">
        <w:t>2</w:t>
      </w:r>
      <w:r>
        <w:rPr>
          <w:noProof/>
        </w:rPr>
        <w:t xml:space="preserve"> :</w:t>
      </w:r>
      <w:proofErr w:type="gramEnd"/>
      <w:r w:rsidR="00FA3B49">
        <w:rPr>
          <w:noProof/>
        </w:rPr>
        <w:t xml:space="preserve"> </w:t>
      </w:r>
      <w:r w:rsidR="00EF1776">
        <w:t xml:space="preserve">MHealth App Development Benefit </w:t>
      </w:r>
      <w:proofErr w:type="gramStart"/>
      <w:r w:rsidR="00EF1776">
        <w:t>The</w:t>
      </w:r>
      <w:proofErr w:type="gramEnd"/>
      <w:r w:rsidR="00EF1776">
        <w:t xml:space="preserve"> Healthcare </w:t>
      </w:r>
      <w:proofErr w:type="gramStart"/>
      <w:r w:rsidR="00EF1776">
        <w:t>Industry</w:t>
      </w:r>
      <w:r w:rsidR="60206566">
        <w:t>,(</w:t>
      </w:r>
      <w:proofErr w:type="gramEnd"/>
      <w:r w:rsidR="00EF1776">
        <w:t>2026</w:t>
      </w:r>
      <w:r w:rsidR="2AF82BF9">
        <w:t>)</w:t>
      </w:r>
      <w:r w:rsidR="00EF1776">
        <w:t xml:space="preserve">             </w:t>
      </w:r>
    </w:p>
    <w:p w14:paraId="47327F3B" w14:textId="50EE8247" w:rsidR="000C4C0F" w:rsidRDefault="000C4C0F" w:rsidP="00192E83">
      <w:pPr>
        <w:pStyle w:val="Caption"/>
        <w:jc w:val="left"/>
      </w:pPr>
    </w:p>
    <w:p w14:paraId="1ABE268F" w14:textId="5876406B" w:rsidR="000C4C0F" w:rsidRDefault="00497C94">
      <w:r>
        <w:t xml:space="preserve">                                                   </w:t>
      </w:r>
    </w:p>
    <w:p w14:paraId="704398C3" w14:textId="1D0DAEC7" w:rsidR="00320811" w:rsidRDefault="00000000">
      <w:r>
        <w:t xml:space="preserve">A reminder service offers a practical example. Staff first confirm the patient's contact details, preferred </w:t>
      </w:r>
      <w:r w:rsidR="00A720AA">
        <w:t>language,</w:t>
      </w:r>
      <w:r>
        <w:t xml:space="preserve"> and suitable communication method. The system can then send an appointment reminder by text message or application notification. Patients should understand the service and be able to change their preferences. WHO (2019) supports targeted mobile communication in </w:t>
      </w:r>
      <w:r w:rsidR="00C65538">
        <w:t>specific health contexts and</w:t>
      </w:r>
      <w:r w:rsidR="00F71038">
        <w:t xml:space="preserve"> protects</w:t>
      </w:r>
      <w:r>
        <w:t xml:space="preserve"> sensitive content</w:t>
      </w:r>
      <w:r w:rsidR="00986755">
        <w:t>.</w:t>
      </w:r>
    </w:p>
    <w:p w14:paraId="6C485EFB" w14:textId="4CFD7D23" w:rsidR="00320811" w:rsidRDefault="00000000">
      <w:r>
        <w:t xml:space="preserve">Reminders may be useful, but their wording matters. Someone might share a phone with relatives or have notifications visible on a locked screen. A detailed message could reveal </w:t>
      </w:r>
      <w:r w:rsidR="00FE2523">
        <w:t xml:space="preserve">confidential </w:t>
      </w:r>
      <w:r w:rsidR="00FE2523">
        <w:lastRenderedPageBreak/>
        <w:t>information</w:t>
      </w:r>
      <w:r>
        <w:t xml:space="preserve">. Services should therefore </w:t>
      </w:r>
      <w:r w:rsidR="003411BB">
        <w:t>agree on</w:t>
      </w:r>
      <w:r>
        <w:t xml:space="preserve"> what can safely </w:t>
      </w:r>
      <w:proofErr w:type="gramStart"/>
      <w:r>
        <w:t>be included</w:t>
      </w:r>
      <w:proofErr w:type="gramEnd"/>
      <w:r>
        <w:t xml:space="preserve"> and check whether </w:t>
      </w:r>
      <w:r w:rsidR="008521F8">
        <w:t>the</w:t>
      </w:r>
      <w:r>
        <w:t xml:space="preserve"> person</w:t>
      </w:r>
      <w:r w:rsidR="00580B13">
        <w:t xml:space="preserve"> receives the messages</w:t>
      </w:r>
      <w:r>
        <w:t xml:space="preserve">. A reminder also cannot solve every attendance problem. Transport costs, </w:t>
      </w:r>
      <w:r w:rsidR="00A720AA">
        <w:t>illness,</w:t>
      </w:r>
      <w:r>
        <w:t xml:space="preserve"> or caring responsibilities may still prevent someone from attending.</w:t>
      </w:r>
    </w:p>
    <w:p w14:paraId="2F70C3FD" w14:textId="744F1279" w:rsidR="00320811" w:rsidRDefault="00000000">
      <w:r>
        <w:t xml:space="preserve">Monitoring can involve recording blood pressure, blood glucose or physical activity using suitable connected equipment. Patients may review patterns and discuss changes with a professional. </w:t>
      </w:r>
      <w:r w:rsidR="00C65538">
        <w:t>This supports</w:t>
      </w:r>
      <w:r>
        <w:t xml:space="preserve"> someone with a long-term condition who finds regular travel difficult. However, </w:t>
      </w:r>
      <w:r w:rsidR="00415D24">
        <w:t>reading</w:t>
      </w:r>
      <w:r>
        <w:t xml:space="preserve"> </w:t>
      </w:r>
      <w:proofErr w:type="gramStart"/>
      <w:r>
        <w:t>need</w:t>
      </w:r>
      <w:proofErr w:type="gramEnd"/>
      <w:r>
        <w:t xml:space="preserve"> to be accurate and interpreted in context. A device cannot explain every symptom, and an application should not encourage someone to delay necessary assessment. Health education and mental wellbeing tools may offer additional </w:t>
      </w:r>
      <w:r w:rsidR="00F26FD9">
        <w:t>support but</w:t>
      </w:r>
      <w:r>
        <w:t xml:space="preserve"> should </w:t>
      </w:r>
      <w:proofErr w:type="gramStart"/>
      <w:r>
        <w:t xml:space="preserve">be </w:t>
      </w:r>
      <w:r w:rsidR="00ED72EE">
        <w:t>learned</w:t>
      </w:r>
      <w:proofErr w:type="gramEnd"/>
      <w:r>
        <w:t xml:space="preserve"> before use</w:t>
      </w:r>
      <w:r w:rsidR="009E0456">
        <w:t>.</w:t>
      </w:r>
      <w:r>
        <w:t xml:space="preserve"> (WHO, 2011).</w:t>
      </w:r>
    </w:p>
    <w:p w14:paraId="141B7DAE" w14:textId="77777777" w:rsidR="00320811" w:rsidRPr="00420429" w:rsidRDefault="00000000">
      <w:pPr>
        <w:pStyle w:val="Heading1"/>
        <w:rPr>
          <w:sz w:val="28"/>
        </w:rPr>
      </w:pPr>
      <w:bookmarkStart w:id="2" w:name="_Toc243229032"/>
      <w:r w:rsidRPr="00420429">
        <w:rPr>
          <w:sz w:val="28"/>
        </w:rPr>
        <w:t>Workforce skills and responsibilities</w:t>
      </w:r>
      <w:bookmarkEnd w:id="2"/>
    </w:p>
    <w:p w14:paraId="7DB13B99" w14:textId="53A0814F" w:rsidR="00320811" w:rsidRDefault="00000000">
      <w:r>
        <w:t xml:space="preserve">Digital transformation changes everyday professional work. Nurses, doctors, social </w:t>
      </w:r>
      <w:r w:rsidR="00A720AA">
        <w:t>workers,</w:t>
      </w:r>
      <w:r>
        <w:t xml:space="preserve"> and care staff may need to record information electronically, use video consultations and respond to monitoring results. The Care Quality Commission (CQC, 2024) stresses that digital records should support safe, effective care. Staff need to understand both how systems work and how to record information accurately.</w:t>
      </w:r>
    </w:p>
    <w:p w14:paraId="1348500D" w14:textId="77777777" w:rsidR="00320811" w:rsidRDefault="00000000">
      <w:r>
        <w:t xml:space="preserve">For example, a community nurse could check an electronic care record before visiting a patient. Information about medication, recent concerns and previous care may help with planning. However, an incorrect entry could </w:t>
      </w:r>
      <w:proofErr w:type="gramStart"/>
      <w:r>
        <w:t>be copied</w:t>
      </w:r>
      <w:proofErr w:type="gramEnd"/>
      <w:r>
        <w:t xml:space="preserve"> into later decisions. Staff must check information rather than assume that a digital record is always correct.</w:t>
      </w:r>
    </w:p>
    <w:p w14:paraId="5833B2C0" w14:textId="7A27449A" w:rsidR="00320811" w:rsidRDefault="00000000">
      <w:r>
        <w:t xml:space="preserve">New systems can also create work. Staff may have to enter the same details in </w:t>
      </w:r>
      <w:r w:rsidR="001A0222">
        <w:t>various places</w:t>
      </w:r>
      <w:r>
        <w:t xml:space="preserve">, deal with technical problems or check large numbers of alerts. Organisations should consider these tasks when planning staffing. Training needs to be practical and ongoing, with time </w:t>
      </w:r>
      <w:r w:rsidR="006550DD">
        <w:t>and support</w:t>
      </w:r>
      <w:r>
        <w:t xml:space="preserve">. WHO's digital health strategy explains that technology requires </w:t>
      </w:r>
      <w:proofErr w:type="spellStart"/>
      <w:r>
        <w:t>organisational</w:t>
      </w:r>
      <w:proofErr w:type="spellEnd"/>
      <w:r>
        <w:t xml:space="preserve">, </w:t>
      </w:r>
      <w:r w:rsidR="00A720AA">
        <w:t>financial,</w:t>
      </w:r>
      <w:r>
        <w:t xml:space="preserve"> and human resources as well as equipment (WHO, 2021b). </w:t>
      </w:r>
    </w:p>
    <w:p w14:paraId="525D5A26" w14:textId="3408705D" w:rsidR="00320811" w:rsidRPr="00441C18" w:rsidRDefault="00000000">
      <w:pPr>
        <w:pStyle w:val="Heading1"/>
        <w:rPr>
          <w:sz w:val="28"/>
        </w:rPr>
      </w:pPr>
      <w:r w:rsidRPr="00441C18">
        <w:rPr>
          <w:sz w:val="28"/>
        </w:rPr>
        <w:t xml:space="preserve"> </w:t>
      </w:r>
      <w:bookmarkStart w:id="3" w:name="_Toc243229033"/>
      <w:r w:rsidR="00441C18" w:rsidRPr="00441C18">
        <w:rPr>
          <w:sz w:val="28"/>
        </w:rPr>
        <w:t>Delivery</w:t>
      </w:r>
      <w:r w:rsidR="00395D0F" w:rsidRPr="00441C18">
        <w:rPr>
          <w:sz w:val="28"/>
        </w:rPr>
        <w:t xml:space="preserve"> service</w:t>
      </w:r>
      <w:r w:rsidR="00441C18" w:rsidRPr="00441C18">
        <w:rPr>
          <w:sz w:val="28"/>
        </w:rPr>
        <w:t xml:space="preserve"> changes</w:t>
      </w:r>
      <w:bookmarkEnd w:id="3"/>
    </w:p>
    <w:p w14:paraId="62583AF2" w14:textId="28E6F0AD" w:rsidR="00320811" w:rsidRDefault="00000000">
      <w:r>
        <w:t xml:space="preserve">Digital services can change where and how care </w:t>
      </w:r>
      <w:proofErr w:type="gramStart"/>
      <w:r>
        <w:t>is provided</w:t>
      </w:r>
      <w:proofErr w:type="gramEnd"/>
      <w:r>
        <w:t xml:space="preserve">. A virtual ward allows suitable patients to receive </w:t>
      </w:r>
      <w:r w:rsidR="00516EBC">
        <w:t>hospital-level</w:t>
      </w:r>
      <w:r>
        <w:t xml:space="preserve"> care at home, supported by a clinical team. NHS England (2024) describes arrangements that can include monitoring technology, professional </w:t>
      </w:r>
      <w:r w:rsidR="00A720AA">
        <w:t>reviews,</w:t>
      </w:r>
      <w:r>
        <w:t xml:space="preserve"> and clear routes for further assessment. This is different from simply giving someone an application and expecting them to manage alone.</w:t>
      </w:r>
    </w:p>
    <w:p w14:paraId="6DDA3944" w14:textId="73C6B8BD" w:rsidR="00320811" w:rsidRDefault="00000000">
      <w:r>
        <w:t xml:space="preserve">For selected patients, home care may avoid </w:t>
      </w:r>
      <w:r w:rsidR="004D6C8D">
        <w:t>admission</w:t>
      </w:r>
      <w:r>
        <w:t xml:space="preserve"> or support earlier discharge. It may also reduce journeys and help people remain in familiar surroundings. However, suitability must </w:t>
      </w:r>
      <w:proofErr w:type="gramStart"/>
      <w:r>
        <w:t>be assessed</w:t>
      </w:r>
      <w:proofErr w:type="gramEnd"/>
      <w:r>
        <w:t xml:space="preserve"> individually. The home environment, clinical </w:t>
      </w:r>
      <w:r w:rsidR="00A720AA">
        <w:t>needs,</w:t>
      </w:r>
      <w:r>
        <w:t xml:space="preserve"> and available support all </w:t>
      </w:r>
      <w:r w:rsidR="00E91134">
        <w:t>matter.</w:t>
      </w:r>
      <w:r w:rsidR="009C73CA">
        <w:t xml:space="preserve"> The</w:t>
      </w:r>
      <w:r w:rsidR="00E91134">
        <w:t xml:space="preserve"> plan </w:t>
      </w:r>
      <w:r w:rsidR="009C73CA">
        <w:t>should</w:t>
      </w:r>
      <w:r w:rsidR="00E91134">
        <w:t xml:space="preserve"> be </w:t>
      </w:r>
      <w:r w:rsidR="004D6C8D">
        <w:t>clear.</w:t>
      </w:r>
    </w:p>
    <w:p w14:paraId="67D3E05C" w14:textId="3AF12847" w:rsidR="00320811" w:rsidRDefault="00000000">
      <w:r>
        <w:t xml:space="preserve">Telephone and video consultations offer another way to deliver care for routine </w:t>
      </w:r>
      <w:r w:rsidR="001262BC">
        <w:t>discussions but</w:t>
      </w:r>
      <w:r>
        <w:t xml:space="preserve"> cannot replace every examination or conversation. A poor connection can interrupt communication, while limited privacy at home may make sensitive discussions difficult. Services should offer an appropriate alternative when remote contact does not meet the person's needs.</w:t>
      </w:r>
    </w:p>
    <w:p w14:paraId="46531099" w14:textId="7B8C820D" w:rsidR="00320811" w:rsidRDefault="00000000">
      <w:r>
        <w:t xml:space="preserve">Digital records can improve access to information, but organisations must plan for system failure. CQC (2024) </w:t>
      </w:r>
      <w:r w:rsidR="002D5976">
        <w:t>explains</w:t>
      </w:r>
      <w:r>
        <w:t xml:space="preserve"> protection against </w:t>
      </w:r>
      <w:r w:rsidR="00B01703">
        <w:t>cyber-attacks</w:t>
      </w:r>
      <w:r>
        <w:t>. Staff still need to provide safe care when information systems are unavailable.</w:t>
      </w:r>
    </w:p>
    <w:p w14:paraId="7BB09BFD" w14:textId="74C465F5" w:rsidR="00320811" w:rsidRDefault="00000000">
      <w:r>
        <w:lastRenderedPageBreak/>
        <w:t xml:space="preserve">Information sharing also needs attention. If professionals cannot access records held by another service, patients may have to repeat their history. A useful digital system should support relevant communication between teams while limiting access to those who need it. Clear responsibilities matter because collecting more information does not necessarily improve coordination. Staff need to know which record is current and how to correct mistakes. These are practical service issues, </w:t>
      </w:r>
      <w:r w:rsidR="00735749">
        <w:t>which</w:t>
      </w:r>
      <w:r>
        <w:t xml:space="preserve"> can </w:t>
      </w:r>
      <w:proofErr w:type="gramStart"/>
      <w:r>
        <w:t>be solved</w:t>
      </w:r>
      <w:proofErr w:type="gramEnd"/>
      <w:r>
        <w:t xml:space="preserve"> by purchasing equipment alone (CQC, 2024).</w:t>
      </w:r>
    </w:p>
    <w:p w14:paraId="415D3405" w14:textId="77777777" w:rsidR="00320811" w:rsidRPr="00420429" w:rsidRDefault="00000000">
      <w:pPr>
        <w:pStyle w:val="Heading1"/>
        <w:rPr>
          <w:sz w:val="28"/>
        </w:rPr>
      </w:pPr>
      <w:bookmarkStart w:id="4" w:name="_Toc243229034"/>
      <w:r w:rsidRPr="00420429">
        <w:rPr>
          <w:sz w:val="28"/>
        </w:rPr>
        <w:t>Patients and experiences of care</w:t>
      </w:r>
      <w:bookmarkEnd w:id="4"/>
    </w:p>
    <w:p w14:paraId="2FA16814" w14:textId="380AF080" w:rsidR="00320811" w:rsidRDefault="00000000">
      <w:r>
        <w:t xml:space="preserve">Patients may welcome digital services because they offer convenience and greater involvement. The NHS App </w:t>
      </w:r>
      <w:r w:rsidR="00984948">
        <w:t>allows</w:t>
      </w:r>
      <w:r>
        <w:t xml:space="preserve"> access </w:t>
      </w:r>
      <w:r w:rsidR="00984948">
        <w:t xml:space="preserve">to </w:t>
      </w:r>
      <w:r>
        <w:t xml:space="preserve">health </w:t>
      </w:r>
      <w:r w:rsidR="003B1E7E">
        <w:t>information, repeat</w:t>
      </w:r>
      <w:r>
        <w:t xml:space="preserve"> prescriptions and </w:t>
      </w:r>
      <w:r w:rsidR="00750C8D">
        <w:t>appointment management</w:t>
      </w:r>
      <w:r>
        <w:t>, although available functions vary (NHS, n.d.). Someone with limited mobility may find these options easier than travelling or waiting on the telephone.</w:t>
      </w:r>
    </w:p>
    <w:p w14:paraId="5E228CF3" w14:textId="77777777" w:rsidR="00320811" w:rsidRDefault="00000000">
      <w:r>
        <w:t>However, convenience does not mean that every patient feels supported. A person may struggle to describe symptoms on a video call or feel uncomfortable discussing distress without meeting a professional. Others may prefer remote contact because they feel more relaxed at home. Services should ask about preferences rather than assume one method suits everyone.</w:t>
      </w:r>
    </w:p>
    <w:p w14:paraId="6E861D44" w14:textId="1F718AC9" w:rsidR="00320811" w:rsidRDefault="00000000">
      <w:r>
        <w:t xml:space="preserve">A systematic review by Leonardsen et al. (2020) found that experiences of </w:t>
      </w:r>
      <w:r w:rsidR="00516EBC">
        <w:t>technology-enabled</w:t>
      </w:r>
      <w:r>
        <w:t xml:space="preserve"> care </w:t>
      </w:r>
      <w:r w:rsidR="00C95319">
        <w:t>related to</w:t>
      </w:r>
      <w:r>
        <w:t xml:space="preserve"> usability, independence, </w:t>
      </w:r>
      <w:r w:rsidR="00A720AA">
        <w:t>empowerment,</w:t>
      </w:r>
      <w:r>
        <w:t xml:space="preserve"> and security. This suggests that patients value both useful equipment and reassurance. However, the review included different technologies and settings, so its findings should not </w:t>
      </w:r>
      <w:proofErr w:type="gramStart"/>
      <w:r>
        <w:t>be treated</w:t>
      </w:r>
      <w:proofErr w:type="gramEnd"/>
      <w:r>
        <w:t xml:space="preserve"> as a guarantee of satisfaction with every service.</w:t>
      </w:r>
    </w:p>
    <w:p w14:paraId="3874C762" w14:textId="7D00CA8D" w:rsidR="002B009C" w:rsidRPr="002B009C" w:rsidRDefault="00000000" w:rsidP="002B009C">
      <w:pPr>
        <w:rPr>
          <w:lang w:val="en-GB"/>
        </w:rPr>
      </w:pPr>
      <w:r>
        <w:t xml:space="preserve">Patients also need clear information about monitoring. They should know who checks their readings, when these </w:t>
      </w:r>
      <w:proofErr w:type="gramStart"/>
      <w:r>
        <w:t>are reviewed</w:t>
      </w:r>
      <w:proofErr w:type="gramEnd"/>
      <w:r>
        <w:t xml:space="preserve"> and what to do if symptoms worsen. Without this explanation, a patient might wrongly believe that someone is watching their information continuously.</w:t>
      </w:r>
      <w:r w:rsidR="002B009C" w:rsidRPr="002B009C">
        <w:rPr>
          <w:rFonts w:ascii="Times New Roman" w:eastAsia="Times New Roman" w:hAnsi="Times New Roman" w:cs="Times New Roman"/>
          <w:color w:val="auto"/>
          <w:sz w:val="24"/>
          <w:szCs w:val="24"/>
          <w:lang w:val="en-GB" w:eastAsia="en-GB"/>
        </w:rPr>
        <w:t xml:space="preserve"> </w:t>
      </w:r>
    </w:p>
    <w:p w14:paraId="4FE6E794" w14:textId="7311D8B6" w:rsidR="00F1107C" w:rsidRDefault="00F1107C" w:rsidP="00F1107C"/>
    <w:p w14:paraId="1CC6FDF0" w14:textId="77777777" w:rsidR="00F13564" w:rsidRDefault="00F13564" w:rsidP="00F1107C"/>
    <w:p w14:paraId="7A1E2687" w14:textId="77777777" w:rsidR="00F13564" w:rsidRDefault="00F13564" w:rsidP="00F1107C"/>
    <w:p w14:paraId="633FC0A6" w14:textId="77777777" w:rsidR="00F13564" w:rsidRDefault="00F13564" w:rsidP="00F1107C"/>
    <w:p w14:paraId="5152D68A" w14:textId="77777777" w:rsidR="00F13564" w:rsidRDefault="00F13564" w:rsidP="00F1107C"/>
    <w:p w14:paraId="44E883DC" w14:textId="7525228B" w:rsidR="009B6128" w:rsidRPr="009B6128" w:rsidRDefault="00337742" w:rsidP="009B6128">
      <w:pPr>
        <w:rPr>
          <w:lang w:val="en-GB"/>
        </w:rPr>
      </w:pPr>
      <w:r w:rsidRPr="00337742">
        <w:rPr>
          <w:lang w:val="en-GB"/>
        </w:rPr>
        <w:drawing>
          <wp:inline distT="0" distB="0" distL="0" distR="0" wp14:anchorId="2CAB2ACE" wp14:editId="764E9613">
            <wp:extent cx="6307923" cy="2579914"/>
            <wp:effectExtent l="0" t="0" r="0" b="0"/>
            <wp:docPr id="1262886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886460" name=""/>
                    <pic:cNvPicPr/>
                  </pic:nvPicPr>
                  <pic:blipFill rotWithShape="1">
                    <a:blip r:embed="rId10"/>
                    <a:srcRect l="-23" t="21490" r="23" b="-1094"/>
                    <a:stretch>
                      <a:fillRect/>
                    </a:stretch>
                  </pic:blipFill>
                  <pic:spPr bwMode="auto">
                    <a:xfrm>
                      <a:off x="0" y="0"/>
                      <a:ext cx="6309360" cy="2580502"/>
                    </a:xfrm>
                    <a:prstGeom prst="rect">
                      <a:avLst/>
                    </a:prstGeom>
                    <a:ln>
                      <a:noFill/>
                    </a:ln>
                    <a:extLst>
                      <a:ext uri="{53640926-AAD7-44D8-BBD7-CCE9431645EC}">
                        <a14:shadowObscured xmlns:a14="http://schemas.microsoft.com/office/drawing/2010/main"/>
                      </a:ext>
                    </a:extLst>
                  </pic:spPr>
                </pic:pic>
              </a:graphicData>
            </a:graphic>
          </wp:inline>
        </w:drawing>
      </w:r>
    </w:p>
    <w:p w14:paraId="17479D3A" w14:textId="6020ABA5" w:rsidR="00F13564" w:rsidRDefault="001108D5" w:rsidP="00F1107C">
      <w:r>
        <w:lastRenderedPageBreak/>
        <w:t xml:space="preserve">                                                                                                                         </w:t>
      </w:r>
    </w:p>
    <w:p w14:paraId="694C953C" w14:textId="77777777" w:rsidR="00F13564" w:rsidRDefault="00F13564" w:rsidP="00FB110D">
      <w:pPr>
        <w:pStyle w:val="Caption"/>
      </w:pPr>
    </w:p>
    <w:p w14:paraId="14BB38E3" w14:textId="2B658B3A" w:rsidR="00F13564" w:rsidRDefault="00396B04" w:rsidP="00F1107C">
      <w:r>
        <w:t xml:space="preserve">                  Fig </w:t>
      </w:r>
      <w:proofErr w:type="gramStart"/>
      <w:r>
        <w:t>3 :</w:t>
      </w:r>
      <w:r w:rsidR="0080400C">
        <w:t>How</w:t>
      </w:r>
      <w:proofErr w:type="gramEnd"/>
      <w:r w:rsidR="0080400C">
        <w:t xml:space="preserve"> Remote Patient Monitoring Wor</w:t>
      </w:r>
      <w:r w:rsidR="00590BFF">
        <w:t>ks</w:t>
      </w:r>
      <w:r w:rsidR="00237D44">
        <w:t>:</w:t>
      </w:r>
      <w:r w:rsidR="008F4534">
        <w:t xml:space="preserve"> </w:t>
      </w:r>
      <w:r w:rsidR="00237D44">
        <w:t xml:space="preserve">Saha, </w:t>
      </w:r>
      <w:proofErr w:type="gramStart"/>
      <w:r w:rsidR="00237D44">
        <w:t>N.</w:t>
      </w:r>
      <w:r w:rsidR="001623C4">
        <w:t>(</w:t>
      </w:r>
      <w:proofErr w:type="gramEnd"/>
      <w:r w:rsidR="001F7BAA">
        <w:t>2026)</w:t>
      </w:r>
    </w:p>
    <w:p w14:paraId="320C1DD4" w14:textId="77777777" w:rsidR="00F13564" w:rsidRDefault="00F13564" w:rsidP="00F1107C"/>
    <w:p w14:paraId="50C83295" w14:textId="322D4F04" w:rsidR="00320811" w:rsidRPr="00180805" w:rsidRDefault="00000000" w:rsidP="00F1107C">
      <w:pPr>
        <w:rPr>
          <w:b/>
          <w:bCs/>
          <w:sz w:val="28"/>
          <w:szCs w:val="28"/>
        </w:rPr>
      </w:pPr>
      <w:r w:rsidRPr="00180805">
        <w:rPr>
          <w:b/>
          <w:bCs/>
          <w:sz w:val="28"/>
          <w:szCs w:val="28"/>
        </w:rPr>
        <w:t xml:space="preserve"> </w:t>
      </w:r>
      <w:r w:rsidR="00F1107C" w:rsidRPr="00180805">
        <w:rPr>
          <w:b/>
          <w:bCs/>
          <w:sz w:val="28"/>
          <w:szCs w:val="28"/>
        </w:rPr>
        <w:t>Community</w:t>
      </w:r>
      <w:r w:rsidRPr="00180805">
        <w:rPr>
          <w:b/>
          <w:bCs/>
          <w:sz w:val="28"/>
          <w:szCs w:val="28"/>
        </w:rPr>
        <w:t xml:space="preserve"> and public health</w:t>
      </w:r>
    </w:p>
    <w:p w14:paraId="05481FD2" w14:textId="77777777" w:rsidR="00DD548B" w:rsidRDefault="00DD548B" w:rsidP="00F1107C">
      <w:pPr>
        <w:rPr>
          <w:b/>
          <w:bCs/>
        </w:rPr>
      </w:pPr>
    </w:p>
    <w:p w14:paraId="10686C5E" w14:textId="77777777" w:rsidR="00DD548B" w:rsidRDefault="00DD548B" w:rsidP="00F1107C">
      <w:pPr>
        <w:rPr>
          <w:b/>
          <w:bCs/>
        </w:rPr>
      </w:pPr>
    </w:p>
    <w:p w14:paraId="7B3DBEFE" w14:textId="77777777" w:rsidR="00DD548B" w:rsidRDefault="00DD548B" w:rsidP="00F1107C">
      <w:pPr>
        <w:rPr>
          <w:b/>
          <w:bCs/>
        </w:rPr>
      </w:pPr>
    </w:p>
    <w:p w14:paraId="2ABB0448" w14:textId="1FF91724" w:rsidR="00DD548B" w:rsidRDefault="00180805" w:rsidP="00180805">
      <w:pPr>
        <w:tabs>
          <w:tab w:val="left" w:pos="7303"/>
        </w:tabs>
        <w:rPr>
          <w:b/>
          <w:bCs/>
        </w:rPr>
      </w:pPr>
      <w:r>
        <w:rPr>
          <w:b/>
          <w:bCs/>
        </w:rPr>
        <w:tab/>
      </w:r>
    </w:p>
    <w:p w14:paraId="0B2238B9" w14:textId="61D6347C" w:rsidR="00DD548B" w:rsidRDefault="00B66AF4" w:rsidP="00F1107C">
      <w:pPr>
        <w:rPr>
          <w:b/>
          <w:bCs/>
        </w:rPr>
      </w:pPr>
      <w:r w:rsidRPr="00683776">
        <w:drawing>
          <wp:inline distT="0" distB="0" distL="0" distR="0" wp14:anchorId="71A86C95" wp14:editId="655A93C7">
            <wp:extent cx="3533433" cy="3211251"/>
            <wp:effectExtent l="0" t="0" r="0" b="8255"/>
            <wp:docPr id="1901691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691550" name=""/>
                    <pic:cNvPicPr/>
                  </pic:nvPicPr>
                  <pic:blipFill>
                    <a:blip r:embed="rId11"/>
                    <a:stretch>
                      <a:fillRect/>
                    </a:stretch>
                  </pic:blipFill>
                  <pic:spPr>
                    <a:xfrm>
                      <a:off x="0" y="0"/>
                      <a:ext cx="3552307" cy="3228404"/>
                    </a:xfrm>
                    <a:prstGeom prst="rect">
                      <a:avLst/>
                    </a:prstGeom>
                  </pic:spPr>
                </pic:pic>
              </a:graphicData>
            </a:graphic>
          </wp:inline>
        </w:drawing>
      </w:r>
    </w:p>
    <w:p w14:paraId="441C87D7" w14:textId="1D94B5D9" w:rsidR="00DD548B" w:rsidRPr="00D63372" w:rsidRDefault="00D63372" w:rsidP="00F1107C">
      <w:r>
        <w:t xml:space="preserve">                         </w:t>
      </w:r>
      <w:r w:rsidR="00396B04">
        <w:t>Why digital</w:t>
      </w:r>
      <w:r w:rsidR="002D3AAB">
        <w:t xml:space="preserve"> transformation in health care is </w:t>
      </w:r>
      <w:proofErr w:type="gramStart"/>
      <w:r w:rsidR="002D3AAB">
        <w:t>important</w:t>
      </w:r>
      <w:r>
        <w:t xml:space="preserve"> </w:t>
      </w:r>
      <w:r w:rsidR="12F3272D">
        <w:t>,</w:t>
      </w:r>
      <w:proofErr w:type="gramEnd"/>
      <w:r w:rsidR="62705564">
        <w:t>(</w:t>
      </w:r>
      <w:r w:rsidR="00CD182F">
        <w:t>2026</w:t>
      </w:r>
      <w:r w:rsidR="0817977C">
        <w:t>)</w:t>
      </w:r>
      <w:r>
        <w:t xml:space="preserve">                                     </w:t>
      </w:r>
    </w:p>
    <w:p w14:paraId="6B897FB7" w14:textId="77777777" w:rsidR="00DD548B" w:rsidRDefault="00DD548B" w:rsidP="00F1107C">
      <w:pPr>
        <w:rPr>
          <w:b/>
          <w:bCs/>
        </w:rPr>
      </w:pPr>
    </w:p>
    <w:p w14:paraId="5B7BEBF0" w14:textId="77777777" w:rsidR="00DD548B" w:rsidRPr="00F1107C" w:rsidRDefault="00DD548B" w:rsidP="00F1107C">
      <w:pPr>
        <w:rPr>
          <w:b/>
          <w:bCs/>
        </w:rPr>
      </w:pPr>
    </w:p>
    <w:p w14:paraId="2B49647C" w14:textId="46755CA3" w:rsidR="00320811" w:rsidRDefault="00000000">
      <w:r>
        <w:t xml:space="preserve">Moving care into the home also affects relatives and unpaid carers. Families may help someone take </w:t>
      </w:r>
      <w:r w:rsidR="001135CE">
        <w:t>readings</w:t>
      </w:r>
      <w:r>
        <w:t xml:space="preserve">, charge </w:t>
      </w:r>
      <w:r w:rsidR="00A720AA">
        <w:t>equipment,</w:t>
      </w:r>
      <w:r>
        <w:t xml:space="preserve"> or contact professionals. This can support care, but it can also add responsibilities to an already demanding role. NHS England (2024) states that carers' needs should </w:t>
      </w:r>
      <w:proofErr w:type="gramStart"/>
      <w:r>
        <w:t>be assessed</w:t>
      </w:r>
      <w:proofErr w:type="gramEnd"/>
      <w:r>
        <w:t xml:space="preserve">. Their willingness, time and confidence should not </w:t>
      </w:r>
      <w:proofErr w:type="gramStart"/>
      <w:r>
        <w:t>be taken</w:t>
      </w:r>
      <w:proofErr w:type="gramEnd"/>
      <w:r>
        <w:t xml:space="preserve"> for granted.</w:t>
      </w:r>
    </w:p>
    <w:p w14:paraId="39A0A12B" w14:textId="77777777" w:rsidR="00320811" w:rsidRDefault="00000000">
      <w:r>
        <w:t xml:space="preserve">Community involvement is also important when developing services. Co-production means professionals and service users working together to shape care. For example, a patient group could </w:t>
      </w:r>
      <w:proofErr w:type="gramStart"/>
      <w:r>
        <w:t>test</w:t>
      </w:r>
      <w:proofErr w:type="gramEnd"/>
      <w:r>
        <w:t xml:space="preserve"> an appointment system and explain which instructions are confusing. Involving people early may reveal problems that designers have missed. WHO (2021b) places people at the centre of digital health development.</w:t>
      </w:r>
    </w:p>
    <w:p w14:paraId="6253CA55" w14:textId="7D9BE37E" w:rsidR="00320811" w:rsidRDefault="00000000">
      <w:r>
        <w:lastRenderedPageBreak/>
        <w:t xml:space="preserve">Digital information can support public health planning by helping services understand patterns of need. However, information only helps when it is accurate and used responsibly. Online surveys may miss people without internet access, so their findings may not represent the whole community. Services should combine digital feedback with conversations, community </w:t>
      </w:r>
      <w:r w:rsidR="00A720AA">
        <w:t>meetings,</w:t>
      </w:r>
      <w:r>
        <w:t xml:space="preserve"> and other ways of listening. Otherwise, decisions intended to improve access could overlook the people who need additional support.</w:t>
      </w:r>
    </w:p>
    <w:p w14:paraId="4386054E" w14:textId="77777777" w:rsidR="00320811" w:rsidRDefault="00000000">
      <w:pPr>
        <w:pStyle w:val="Heading1"/>
      </w:pPr>
      <w:bookmarkStart w:id="5" w:name="_Toc243229035"/>
      <w:r>
        <w:t>Digital inequality</w:t>
      </w:r>
      <w:bookmarkEnd w:id="5"/>
    </w:p>
    <w:p w14:paraId="078666CB" w14:textId="6A61578D" w:rsidR="00320811" w:rsidRDefault="00000000">
      <w:r>
        <w:t xml:space="preserve">Digital inequality means differences in access to technology and in people's ability to use it. NHS England (2023) identifies barriers involving devices, internet access, skills, </w:t>
      </w:r>
      <w:r w:rsidR="00A720AA">
        <w:t>accessibility,</w:t>
      </w:r>
      <w:r>
        <w:t xml:space="preserve"> and trust. </w:t>
      </w:r>
      <w:proofErr w:type="gramStart"/>
      <w:r>
        <w:t>Some</w:t>
      </w:r>
      <w:proofErr w:type="gramEnd"/>
      <w:r>
        <w:t xml:space="preserve"> older people, people with disabilities and people on low incomes may face </w:t>
      </w:r>
      <w:r w:rsidR="00621D74">
        <w:t>difficulties</w:t>
      </w:r>
      <w:r>
        <w:t>, although experiences vary within every group. Limited English or poor internet coverage can create further problems.</w:t>
      </w:r>
    </w:p>
    <w:p w14:paraId="2331CBED" w14:textId="77777777" w:rsidR="00764163" w:rsidRDefault="00764163"/>
    <w:p w14:paraId="7E778F2F" w14:textId="77777777" w:rsidR="00764163" w:rsidRDefault="00764163"/>
    <w:p w14:paraId="293500FE" w14:textId="3D7F414A" w:rsidR="00764163" w:rsidRDefault="00764163"/>
    <w:p w14:paraId="0370F42C" w14:textId="727D436F" w:rsidR="00764163" w:rsidRDefault="00EB3C00">
      <w:r>
        <w:t xml:space="preserve">                                                                                                            </w:t>
      </w:r>
      <w:r w:rsidR="008E4E84">
        <w:t>\</w:t>
      </w:r>
      <w:r w:rsidR="00796E26" w:rsidRPr="00796E26">
        <w:drawing>
          <wp:inline distT="0" distB="0" distL="0" distR="0" wp14:anchorId="427553B5" wp14:editId="148CE0F4">
            <wp:extent cx="6309360" cy="4423410"/>
            <wp:effectExtent l="0" t="0" r="0" b="0"/>
            <wp:docPr id="1437344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344563" name=""/>
                    <pic:cNvPicPr/>
                  </pic:nvPicPr>
                  <pic:blipFill>
                    <a:blip r:embed="rId12"/>
                    <a:stretch>
                      <a:fillRect/>
                    </a:stretch>
                  </pic:blipFill>
                  <pic:spPr>
                    <a:xfrm>
                      <a:off x="0" y="0"/>
                      <a:ext cx="6309360" cy="4423410"/>
                    </a:xfrm>
                    <a:prstGeom prst="rect">
                      <a:avLst/>
                    </a:prstGeom>
                  </pic:spPr>
                </pic:pic>
              </a:graphicData>
            </a:graphic>
          </wp:inline>
        </w:drawing>
      </w:r>
    </w:p>
    <w:p w14:paraId="73248761" w14:textId="461AEC7C" w:rsidR="00764163" w:rsidRDefault="00FA43F4">
      <w:r w:rsidRPr="00FA43F4">
        <w:t xml:space="preserve">Guo X, Cao J, Huang M, Tan T, Quan H, Li C and Shen X (2026) Digital health equity among older adult(s): a conceptual analysis. Front. Public Health 14:1891578. </w:t>
      </w:r>
      <w:proofErr w:type="spellStart"/>
      <w:r w:rsidRPr="00FA43F4">
        <w:t>doi</w:t>
      </w:r>
      <w:proofErr w:type="spellEnd"/>
      <w:r w:rsidRPr="00FA43F4">
        <w:t>: 10.3389/fpubh.2026.1891578</w:t>
      </w:r>
    </w:p>
    <w:p w14:paraId="222C8C0B" w14:textId="77777777" w:rsidR="00764163" w:rsidRDefault="00764163"/>
    <w:p w14:paraId="3DF24858" w14:textId="77777777" w:rsidR="00764163" w:rsidRDefault="00764163"/>
    <w:p w14:paraId="1EA42623" w14:textId="164C2034" w:rsidR="00764163" w:rsidRDefault="00764163"/>
    <w:p w14:paraId="382F1307" w14:textId="77777777" w:rsidR="00764163" w:rsidRDefault="00764163"/>
    <w:p w14:paraId="4A222AF9" w14:textId="77777777" w:rsidR="00320811" w:rsidRDefault="00000000">
      <w:r>
        <w:t>For example, an online appointment system may save time for someone with a smartphone and reliable internet. The same system may be difficult for someone who cannot afford mobile data or needs help reading instructions. Offering everyone the same website does not necessarily give everyone an equal opportunity to obtain care.</w:t>
      </w:r>
    </w:p>
    <w:p w14:paraId="1BD77943" w14:textId="211E27D1" w:rsidR="00320811" w:rsidRDefault="00000000">
      <w:r>
        <w:t xml:space="preserve">Crawford and Serhal (2020) argue that digital services can reinforce existing inequalities if </w:t>
      </w:r>
      <w:r w:rsidR="00571C3A">
        <w:t>they ignore social circumstances</w:t>
      </w:r>
      <w:r>
        <w:t xml:space="preserve">. Their paper presents a framework and discussion, rather than proving the size of these effects through a clinical trial. Nevertheless, it provides a useful reminder that access involves more than </w:t>
      </w:r>
      <w:proofErr w:type="gramStart"/>
      <w:r>
        <w:t>owning</w:t>
      </w:r>
      <w:proofErr w:type="gramEnd"/>
      <w:r>
        <w:t xml:space="preserve"> </w:t>
      </w:r>
    </w:p>
    <w:p w14:paraId="3453BAE9" w14:textId="1F31BF6F" w:rsidR="00320811" w:rsidRDefault="00000000">
      <w:r>
        <w:t xml:space="preserve">Services can respond through accessible design, language support and help with digital skills. Telephone and face-to-face routes should remain available. Organisations should also examine who </w:t>
      </w:r>
      <w:r w:rsidR="00C734B7">
        <w:t>misses</w:t>
      </w:r>
      <w:r>
        <w:t xml:space="preserve"> appointments or </w:t>
      </w:r>
      <w:r w:rsidR="00C734B7">
        <w:t xml:space="preserve">does </w:t>
      </w:r>
      <w:r>
        <w:t xml:space="preserve">not </w:t>
      </w:r>
      <w:r w:rsidR="00C734B7">
        <w:t>complete</w:t>
      </w:r>
      <w:r>
        <w:t xml:space="preserve"> digital processes. This can show whether a new service is creating barriers for </w:t>
      </w:r>
      <w:r w:rsidR="003151B3">
        <w:t>groups</w:t>
      </w:r>
      <w:r>
        <w:t>.</w:t>
      </w:r>
    </w:p>
    <w:p w14:paraId="0B363FA2" w14:textId="6CBE9FE7" w:rsidR="00320811" w:rsidRDefault="00000000">
      <w:pPr>
        <w:pStyle w:val="Heading1"/>
      </w:pPr>
      <w:bookmarkStart w:id="6" w:name="_Toc243229036"/>
      <w:r>
        <w:t>Privacy</w:t>
      </w:r>
      <w:r w:rsidR="005240B1">
        <w:t>,</w:t>
      </w:r>
      <w:r>
        <w:t xml:space="preserve"> </w:t>
      </w:r>
      <w:r w:rsidR="0085662D">
        <w:t>security,</w:t>
      </w:r>
      <w:r>
        <w:t xml:space="preserve"> and emerging technologies</w:t>
      </w:r>
      <w:bookmarkEnd w:id="6"/>
    </w:p>
    <w:p w14:paraId="3B33EC2A" w14:textId="3D414852" w:rsidR="00320811" w:rsidRDefault="00000000">
      <w:r>
        <w:t xml:space="preserve">Health information is sensitive, and people need confidence that it </w:t>
      </w:r>
      <w:proofErr w:type="gramStart"/>
      <w:r>
        <w:t xml:space="preserve">is </w:t>
      </w:r>
      <w:r w:rsidR="009D7A8D">
        <w:t>managed</w:t>
      </w:r>
      <w:proofErr w:type="gramEnd"/>
      <w:r>
        <w:t xml:space="preserve"> responsibly. Tangari et al. (2021) identified privacy concerns in health applications, including data collection and sharing practices. Their findings show why an application should not </w:t>
      </w:r>
      <w:proofErr w:type="gramStart"/>
      <w:r>
        <w:t>be considered</w:t>
      </w:r>
      <w:proofErr w:type="gramEnd"/>
      <w:r>
        <w:t xml:space="preserve"> trustworthy simply because it appears in an application store.</w:t>
      </w:r>
    </w:p>
    <w:p w14:paraId="2C163E2E" w14:textId="084171F3" w:rsidR="00320811" w:rsidRDefault="00000000">
      <w:r>
        <w:t xml:space="preserve">Security requires </w:t>
      </w:r>
      <w:proofErr w:type="gramStart"/>
      <w:r>
        <w:t>several</w:t>
      </w:r>
      <w:proofErr w:type="gramEnd"/>
      <w:r>
        <w:t xml:space="preserve"> measures. Encryption can help protect information during transmission, but it does not prevent every privacy problem. Organisations also need suitable access controls, staff </w:t>
      </w:r>
      <w:r w:rsidR="00F50449">
        <w:t>training,</w:t>
      </w:r>
      <w:r>
        <w:t xml:space="preserve"> and clear explanations about how information </w:t>
      </w:r>
      <w:proofErr w:type="gramStart"/>
      <w:r>
        <w:t>is used</w:t>
      </w:r>
      <w:proofErr w:type="gramEnd"/>
      <w:r>
        <w:t>. Patients should understand what they are sharing and who may</w:t>
      </w:r>
      <w:r w:rsidR="00183CA4">
        <w:t xml:space="preserve"> access it. </w:t>
      </w:r>
      <w:r>
        <w:t xml:space="preserve">Artificial intelligence can help professionals analyse information and identify patterns. Connected devices can also provide measurements outside clinical appointments. However, these tools require evidence of accuracy and appropriate use. A fitness tracker should not automatically </w:t>
      </w:r>
      <w:proofErr w:type="gramStart"/>
      <w:r>
        <w:t>be treated</w:t>
      </w:r>
      <w:proofErr w:type="gramEnd"/>
      <w:r>
        <w:t xml:space="preserve"> as a medical diagnostic device. WHO (2021a) </w:t>
      </w:r>
      <w:proofErr w:type="spellStart"/>
      <w:r w:rsidR="00341C6B">
        <w:t>emphasises</w:t>
      </w:r>
      <w:proofErr w:type="spellEnd"/>
      <w:r>
        <w:t xml:space="preserve"> human rights, </w:t>
      </w:r>
      <w:r w:rsidR="00F50449">
        <w:t>accountability,</w:t>
      </w:r>
      <w:r>
        <w:t xml:space="preserve"> and ethical oversight in healthcare AI.</w:t>
      </w:r>
    </w:p>
    <w:p w14:paraId="6C5C3663" w14:textId="77777777" w:rsidR="00320811" w:rsidRDefault="00000000">
      <w:r>
        <w:t>Bias is another concern. If the information used to develop a system does not represent different populations, its performance may vary between groups. Professionals need to understand limitations and remain able to question results. NICE (2022) provides evidence standards for digital health technologies. These support assessment of effectiveness and value, alongside the separate safety and regulatory requirements that may apply.</w:t>
      </w:r>
    </w:p>
    <w:p w14:paraId="289F5F57" w14:textId="77777777" w:rsidR="00320811" w:rsidRDefault="00000000">
      <w:pPr>
        <w:pStyle w:val="Heading1"/>
      </w:pPr>
      <w:bookmarkStart w:id="7" w:name="_Toc243229037"/>
      <w:r>
        <w:t>Recommendations</w:t>
      </w:r>
      <w:bookmarkEnd w:id="7"/>
    </w:p>
    <w:p w14:paraId="05194B53" w14:textId="3146C161" w:rsidR="00320811" w:rsidRDefault="00000000">
      <w:r>
        <w:t xml:space="preserve">Organisations should introduce technology in response to a clear care need. Staff should receive practical training, reliable </w:t>
      </w:r>
      <w:r w:rsidR="00F50449">
        <w:t>equipment,</w:t>
      </w:r>
      <w:r>
        <w:t xml:space="preserve"> and time to learn new responsibilities. Patients and carers should help design services, with particular attention to people who are less confident using technology.</w:t>
      </w:r>
    </w:p>
    <w:p w14:paraId="090D2DEA" w14:textId="77777777" w:rsidR="00AD5FAE" w:rsidRDefault="00000000">
      <w:r>
        <w:t xml:space="preserve">Digital access should </w:t>
      </w:r>
      <w:proofErr w:type="gramStart"/>
      <w:r>
        <w:t>be offered</w:t>
      </w:r>
      <w:proofErr w:type="gramEnd"/>
      <w:r>
        <w:t xml:space="preserve"> alongside suitable telephone and face-to-face care.</w:t>
      </w:r>
    </w:p>
    <w:p w14:paraId="7DE33008" w14:textId="77777777" w:rsidR="00AD5FAE" w:rsidRDefault="00AD5FAE"/>
    <w:p w14:paraId="4403E959" w14:textId="3498B5D7" w:rsidR="00AD5FAE" w:rsidRDefault="008235A5">
      <w:r w:rsidRPr="008235A5">
        <w:lastRenderedPageBreak/>
        <w:drawing>
          <wp:inline distT="0" distB="0" distL="0" distR="0" wp14:anchorId="6184C59B" wp14:editId="2B9E71C6">
            <wp:extent cx="6309360" cy="4412615"/>
            <wp:effectExtent l="0" t="0" r="0" b="6985"/>
            <wp:docPr id="1527127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127099" name=""/>
                    <pic:cNvPicPr/>
                  </pic:nvPicPr>
                  <pic:blipFill>
                    <a:blip r:embed="rId13"/>
                    <a:stretch>
                      <a:fillRect/>
                    </a:stretch>
                  </pic:blipFill>
                  <pic:spPr>
                    <a:xfrm>
                      <a:off x="0" y="0"/>
                      <a:ext cx="6309360" cy="4412615"/>
                    </a:xfrm>
                    <a:prstGeom prst="rect">
                      <a:avLst/>
                    </a:prstGeom>
                  </pic:spPr>
                </pic:pic>
              </a:graphicData>
            </a:graphic>
          </wp:inline>
        </w:drawing>
      </w:r>
    </w:p>
    <w:p w14:paraId="765DDB35" w14:textId="6CBE7233" w:rsidR="00AD5FAE" w:rsidRDefault="000F2930">
      <w:r>
        <w:t xml:space="preserve">                                                  </w:t>
      </w:r>
      <w:proofErr w:type="spellStart"/>
      <w:r w:rsidR="007966C3">
        <w:t>Fig</w:t>
      </w:r>
      <w:r w:rsidR="00012C3B">
        <w:t>.</w:t>
      </w:r>
      <w:r w:rsidR="00331A1D">
        <w:t>Innovative</w:t>
      </w:r>
      <w:proofErr w:type="spellEnd"/>
      <w:r w:rsidR="00331A1D">
        <w:t xml:space="preserve"> Strategies </w:t>
      </w:r>
      <w:r w:rsidR="009602DB">
        <w:t xml:space="preserve">for </w:t>
      </w:r>
      <w:r w:rsidR="002405D4">
        <w:t>Enhancing</w:t>
      </w:r>
      <w:r w:rsidR="00CA6284">
        <w:t xml:space="preserve"> Hea</w:t>
      </w:r>
      <w:r w:rsidR="00806022">
        <w:t xml:space="preserve">lthcare </w:t>
      </w:r>
      <w:proofErr w:type="gramStart"/>
      <w:r w:rsidR="00806022">
        <w:t>Accessib</w:t>
      </w:r>
      <w:r w:rsidR="00570F6E">
        <w:t>ilit</w:t>
      </w:r>
      <w:r w:rsidR="00DC2195">
        <w:t>y</w:t>
      </w:r>
      <w:r w:rsidR="002E53FE">
        <w:t>,(</w:t>
      </w:r>
      <w:proofErr w:type="gramEnd"/>
      <w:r w:rsidR="002E53FE">
        <w:t>2026</w:t>
      </w:r>
      <w:r w:rsidR="00B67644">
        <w:t>)</w:t>
      </w:r>
      <w:r w:rsidR="00D97696">
        <w:t xml:space="preserve"> </w:t>
      </w:r>
      <w:r>
        <w:t xml:space="preserve">                                                                 </w:t>
      </w:r>
    </w:p>
    <w:p w14:paraId="2B5EAB95" w14:textId="77777777" w:rsidR="00AD5FAE" w:rsidRDefault="00AD5FAE"/>
    <w:p w14:paraId="33B9949B" w14:textId="77777777" w:rsidR="00AD5FAE" w:rsidRDefault="00AD5FAE"/>
    <w:p w14:paraId="5CCB9F3A" w14:textId="77777777" w:rsidR="00AD5FAE" w:rsidRDefault="00AD5FAE"/>
    <w:p w14:paraId="765CEE54" w14:textId="77777777" w:rsidR="00AD5FAE" w:rsidRDefault="00AD5FAE"/>
    <w:p w14:paraId="5D78B42C" w14:textId="77777777" w:rsidR="00AD5FAE" w:rsidRDefault="00AD5FAE"/>
    <w:p w14:paraId="2599B88D" w14:textId="77777777" w:rsidR="00AD5FAE" w:rsidRDefault="00AD5FAE"/>
    <w:p w14:paraId="366B63E7" w14:textId="71A3F749" w:rsidR="00320811" w:rsidRDefault="00000000">
      <w:r>
        <w:t xml:space="preserve"> Information should use </w:t>
      </w:r>
      <w:r w:rsidR="00030B55">
        <w:t>plain language</w:t>
      </w:r>
      <w:r>
        <w:t xml:space="preserve"> and accessible formats. Services should protect confidentiality, agree </w:t>
      </w:r>
      <w:r w:rsidR="0A40C125">
        <w:t>on</w:t>
      </w:r>
      <w:r w:rsidR="00F54D34">
        <w:t xml:space="preserve"> </w:t>
      </w:r>
      <w:r>
        <w:t xml:space="preserve">responsibility for </w:t>
      </w:r>
      <w:r w:rsidR="00F50449">
        <w:t>monitoring,</w:t>
      </w:r>
      <w:r>
        <w:t xml:space="preserve"> and prepare for technical failures. Finally, evaluation should examine patient experience, staff workload, safety, </w:t>
      </w:r>
      <w:r w:rsidR="00F50449">
        <w:t>costs,</w:t>
      </w:r>
      <w:r>
        <w:t xml:space="preserve"> and differences in access. These priorities reflect guidance on inclusion, digital </w:t>
      </w:r>
      <w:r w:rsidR="00C11C46">
        <w:t>records,</w:t>
      </w:r>
      <w:r>
        <w:t xml:space="preserve"> and evidence assessment (NHS England, 2023; CQC, 2024; NICE, 2022).</w:t>
      </w:r>
    </w:p>
    <w:p w14:paraId="50E469F6" w14:textId="77777777" w:rsidR="00320811" w:rsidRDefault="00000000">
      <w:r>
        <w:t xml:space="preserve">Evaluation should begin before implementation so that services can compare experiences and outcomes afterwards. For example, organisations could examine missed appointments, time spent completing records and complaints about access. They should also ask whether savings for the organisation create extra costs for patients or families. A small trial may help identify difficulties before </w:t>
      </w:r>
      <w:r>
        <w:lastRenderedPageBreak/>
        <w:t>wider use. However, positive feedback alone is not enough to demonstrate clinical effectiveness. Evidence should match the technology's purpose and risks (NICE, 2022).</w:t>
      </w:r>
    </w:p>
    <w:p w14:paraId="65C1E26C" w14:textId="77777777" w:rsidR="00320811" w:rsidRPr="007B2BFA" w:rsidRDefault="00000000">
      <w:pPr>
        <w:pStyle w:val="Heading1"/>
        <w:rPr>
          <w:sz w:val="28"/>
        </w:rPr>
      </w:pPr>
      <w:bookmarkStart w:id="8" w:name="_Toc243229038"/>
      <w:r w:rsidRPr="007B2BFA">
        <w:rPr>
          <w:sz w:val="28"/>
        </w:rPr>
        <w:t>Conclusion</w:t>
      </w:r>
      <w:bookmarkEnd w:id="8"/>
    </w:p>
    <w:p w14:paraId="5A184431" w14:textId="57E7010E" w:rsidR="00320811" w:rsidRDefault="00000000">
      <w:r>
        <w:t xml:space="preserve">Digital transformation offers useful opportunities for health and social care. Mobile applications, electronic </w:t>
      </w:r>
      <w:r w:rsidR="00C11C46">
        <w:t>records,</w:t>
      </w:r>
      <w:r>
        <w:t xml:space="preserve"> and remote services can improve communication and help </w:t>
      </w:r>
      <w:proofErr w:type="gramStart"/>
      <w:r>
        <w:t>some</w:t>
      </w:r>
      <w:proofErr w:type="gramEnd"/>
      <w:r>
        <w:t xml:space="preserve"> people receive care at home. However, benefits depend on how services are organised and whether people can use them. Staff training, privacy, patient </w:t>
      </w:r>
      <w:r w:rsidR="00C11C46">
        <w:t>preferences,</w:t>
      </w:r>
      <w:r>
        <w:t xml:space="preserve"> and family responsibilities all need attention</w:t>
      </w:r>
      <w:proofErr w:type="gramStart"/>
      <w:r>
        <w:t xml:space="preserve">.  </w:t>
      </w:r>
      <w:proofErr w:type="gramEnd"/>
      <w:r>
        <w:t>Successful change requires careful planning, continued evaluation and accessible alternatives for people who need them.</w:t>
      </w:r>
    </w:p>
    <w:p w14:paraId="6FFCE869" w14:textId="77777777" w:rsidR="00320811" w:rsidRDefault="00000000">
      <w:r>
        <w:br w:type="page"/>
      </w:r>
    </w:p>
    <w:p w14:paraId="546CF177" w14:textId="77777777" w:rsidR="00320811" w:rsidRDefault="00000000" w:rsidP="003F5A9E">
      <w:pPr>
        <w:pStyle w:val="Heading1"/>
      </w:pPr>
      <w:bookmarkStart w:id="9" w:name="_Toc243229039"/>
      <w:r>
        <w:lastRenderedPageBreak/>
        <w:t>References</w:t>
      </w:r>
      <w:bookmarkEnd w:id="9"/>
    </w:p>
    <w:p w14:paraId="72783CAB" w14:textId="77777777" w:rsidR="00320811" w:rsidRDefault="00000000">
      <w:pPr>
        <w:spacing w:after="200"/>
      </w:pPr>
      <w:r>
        <w:rPr>
          <w:sz w:val="20"/>
        </w:rPr>
        <w:t xml:space="preserve">Care Quality Commission (2024) </w:t>
      </w:r>
      <w:r>
        <w:rPr>
          <w:i/>
          <w:sz w:val="20"/>
        </w:rPr>
        <w:t>Digital record systems: achieving good outcomes for people using adult social care services</w:t>
      </w:r>
      <w:r>
        <w:rPr>
          <w:sz w:val="20"/>
        </w:rPr>
        <w:t>. Available at: https://www.cqc.org.uk/guidance-regulation/adult-social-care/digital-record-systems-adult-social-care (Accessed: 15 October 2026).</w:t>
      </w:r>
    </w:p>
    <w:p w14:paraId="09BC4F2E" w14:textId="71AEA5AB" w:rsidR="00320811" w:rsidRDefault="00000000">
      <w:pPr>
        <w:spacing w:after="200"/>
      </w:pPr>
      <w:r>
        <w:rPr>
          <w:sz w:val="20"/>
        </w:rPr>
        <w:t>Crawford, A. and Serhal, E. (</w:t>
      </w:r>
      <w:r w:rsidR="003B1E7E">
        <w:rPr>
          <w:sz w:val="20"/>
        </w:rPr>
        <w:t xml:space="preserve">2020) </w:t>
      </w:r>
      <w:r>
        <w:rPr>
          <w:sz w:val="20"/>
        </w:rPr>
        <w:t xml:space="preserve">Digital health equity and COVID-19: the innovation curve cannot reinforce the social gradient of health’, </w:t>
      </w:r>
      <w:r>
        <w:rPr>
          <w:i/>
          <w:sz w:val="20"/>
        </w:rPr>
        <w:t>Journal of Medical Internet Research</w:t>
      </w:r>
      <w:r>
        <w:rPr>
          <w:sz w:val="20"/>
        </w:rPr>
        <w:t>, 22(6), e19361. Available at: https://doi.org/10.2196/19361</w:t>
      </w:r>
    </w:p>
    <w:p w14:paraId="18365049" w14:textId="77777777" w:rsidR="00320811" w:rsidRDefault="00000000">
      <w:pPr>
        <w:spacing w:after="200"/>
      </w:pPr>
      <w:r>
        <w:rPr>
          <w:sz w:val="20"/>
        </w:rPr>
        <w:t xml:space="preserve">Leonardsen, A.C.L., Hardeland, C., Helgesen, A.K. and Grøndahl, V.A. (2020) ‘Patient experiences with technology enabled care across healthcare settings– a systematic review’, </w:t>
      </w:r>
      <w:r>
        <w:rPr>
          <w:i/>
          <w:sz w:val="20"/>
        </w:rPr>
        <w:t>BMC Health Services Research</w:t>
      </w:r>
      <w:r>
        <w:rPr>
          <w:sz w:val="20"/>
        </w:rPr>
        <w:t>, 20, article 779. Available at: https://doi.org/10.1186/s12913-020-05633-4</w:t>
      </w:r>
    </w:p>
    <w:p w14:paraId="76B2B950" w14:textId="77777777" w:rsidR="00320811" w:rsidRDefault="00000000">
      <w:pPr>
        <w:spacing w:after="200"/>
      </w:pPr>
      <w:r>
        <w:rPr>
          <w:sz w:val="20"/>
        </w:rPr>
        <w:t xml:space="preserve">National Institute for Health and Care Excellence (NICE) (2022) </w:t>
      </w:r>
      <w:r>
        <w:rPr>
          <w:i/>
          <w:sz w:val="20"/>
        </w:rPr>
        <w:t>Evidence standards framework for digital health technologies</w:t>
      </w:r>
      <w:r>
        <w:rPr>
          <w:sz w:val="20"/>
        </w:rPr>
        <w:t>. ECD7. Available at: https://www.nice.org.uk/corporate/ecd7 (Accessed: 15 October 2026).</w:t>
      </w:r>
    </w:p>
    <w:p w14:paraId="417C2620" w14:textId="77777777" w:rsidR="00320811" w:rsidRDefault="00000000">
      <w:pPr>
        <w:spacing w:after="200"/>
      </w:pPr>
      <w:r>
        <w:rPr>
          <w:sz w:val="20"/>
        </w:rPr>
        <w:t xml:space="preserve">NHS (n.d.) </w:t>
      </w:r>
      <w:r>
        <w:rPr>
          <w:i/>
          <w:sz w:val="20"/>
        </w:rPr>
        <w:t>Access your NHS account</w:t>
      </w:r>
      <w:r>
        <w:rPr>
          <w:sz w:val="20"/>
        </w:rPr>
        <w:t>. Available at: https://www.nhs.uk/nhs-app/account/ (Accessed: 15 October 2026).</w:t>
      </w:r>
    </w:p>
    <w:p w14:paraId="52CF8166" w14:textId="77777777" w:rsidR="00320811" w:rsidRDefault="00000000">
      <w:pPr>
        <w:spacing w:after="200"/>
      </w:pPr>
      <w:r>
        <w:rPr>
          <w:sz w:val="20"/>
        </w:rPr>
        <w:t xml:space="preserve">NHS England (2023) </w:t>
      </w:r>
      <w:r>
        <w:rPr>
          <w:i/>
          <w:sz w:val="20"/>
        </w:rPr>
        <w:t>Inclusive digital healthcare: a framework for NHS action on digital inclusion</w:t>
      </w:r>
      <w:r>
        <w:rPr>
          <w:sz w:val="20"/>
        </w:rPr>
        <w:t>. Available at: https://www.england.nhs.uk/long-read/inclusive-digital-healthcare-a-framework-for-nhs-action-on-digital-inclusion/ (Accessed: 15 October 2026).</w:t>
      </w:r>
    </w:p>
    <w:p w14:paraId="7DA415D8" w14:textId="77777777" w:rsidR="00320811" w:rsidRDefault="00000000">
      <w:pPr>
        <w:spacing w:after="200"/>
      </w:pPr>
      <w:r>
        <w:rPr>
          <w:sz w:val="20"/>
        </w:rPr>
        <w:t xml:space="preserve">NHS England (2024) </w:t>
      </w:r>
      <w:r>
        <w:rPr>
          <w:i/>
          <w:sz w:val="20"/>
        </w:rPr>
        <w:t>Virtual wards operational framework</w:t>
      </w:r>
      <w:r>
        <w:rPr>
          <w:sz w:val="20"/>
        </w:rPr>
        <w:t>. Available at: https://www.england.nhs.uk/long-read/virtual-wards-operational-framework/ (Accessed: 15 October 2026).</w:t>
      </w:r>
    </w:p>
    <w:p w14:paraId="1AE6FFF9" w14:textId="7ED805A8" w:rsidR="00320811" w:rsidRDefault="00000000">
      <w:pPr>
        <w:spacing w:after="200"/>
      </w:pPr>
      <w:r>
        <w:rPr>
          <w:sz w:val="20"/>
        </w:rPr>
        <w:t>Tangari, G., Ikram, M., Ijaz, K., Kaafar, M.A. and Berkovsky, S. (</w:t>
      </w:r>
      <w:r w:rsidR="003B1E7E">
        <w:rPr>
          <w:sz w:val="20"/>
        </w:rPr>
        <w:t xml:space="preserve">2021) </w:t>
      </w:r>
      <w:r>
        <w:rPr>
          <w:sz w:val="20"/>
        </w:rPr>
        <w:t xml:space="preserve">Mobile health and privacy: cross sectional study’, </w:t>
      </w:r>
      <w:r>
        <w:rPr>
          <w:i/>
          <w:sz w:val="20"/>
        </w:rPr>
        <w:t>BMJ</w:t>
      </w:r>
      <w:r>
        <w:rPr>
          <w:sz w:val="20"/>
        </w:rPr>
        <w:t>, 373, n1248. Available at: https://doi.org/10.1136/bmj.n1248</w:t>
      </w:r>
    </w:p>
    <w:p w14:paraId="2AF6BAB7" w14:textId="5DD948E3" w:rsidR="00320811" w:rsidRDefault="00000000">
      <w:pPr>
        <w:spacing w:after="200"/>
      </w:pPr>
      <w:r>
        <w:rPr>
          <w:sz w:val="20"/>
        </w:rPr>
        <w:t xml:space="preserve">World Health Organization (2011) </w:t>
      </w:r>
      <w:r w:rsidR="00B310A3">
        <w:rPr>
          <w:i/>
          <w:sz w:val="20"/>
        </w:rPr>
        <w:t>MHealth</w:t>
      </w:r>
      <w:r>
        <w:rPr>
          <w:i/>
          <w:sz w:val="20"/>
        </w:rPr>
        <w:t>: new horizons for health through mobile technologies</w:t>
      </w:r>
      <w:r>
        <w:rPr>
          <w:sz w:val="20"/>
        </w:rPr>
        <w:t>. Geneva: World Health Organization. Available at: https://iris.who.int/handle/10665/44607 (Accessed: 15 October 2026).</w:t>
      </w:r>
    </w:p>
    <w:p w14:paraId="5665CE5A" w14:textId="77777777" w:rsidR="00320811" w:rsidRDefault="00000000">
      <w:pPr>
        <w:spacing w:after="200"/>
      </w:pPr>
      <w:r>
        <w:rPr>
          <w:sz w:val="20"/>
        </w:rPr>
        <w:t xml:space="preserve">World Health Organization (2019) </w:t>
      </w:r>
      <w:r>
        <w:rPr>
          <w:i/>
          <w:sz w:val="20"/>
        </w:rPr>
        <w:t>WHO guideline: recommendations on digital interventions for health system strengthening</w:t>
      </w:r>
      <w:r>
        <w:rPr>
          <w:sz w:val="20"/>
        </w:rPr>
        <w:t>. Geneva: World Health Organization. Available at: https://www.who.int/publications/i/item/9789241550505 (Accessed: 15 October 2026).</w:t>
      </w:r>
    </w:p>
    <w:p w14:paraId="1AAA44AA" w14:textId="77777777" w:rsidR="00320811" w:rsidRDefault="00000000">
      <w:pPr>
        <w:spacing w:after="200"/>
      </w:pPr>
      <w:r>
        <w:rPr>
          <w:sz w:val="20"/>
        </w:rPr>
        <w:t xml:space="preserve">World Health Organization (2021a) </w:t>
      </w:r>
      <w:r>
        <w:rPr>
          <w:i/>
          <w:sz w:val="20"/>
        </w:rPr>
        <w:t>Ethics and governance of artificial intelligence for health</w:t>
      </w:r>
      <w:r>
        <w:rPr>
          <w:sz w:val="20"/>
        </w:rPr>
        <w:t>. Geneva: World Health Organization. Available at: https://www.who.int/publications/i/item/9789240029200 (Accessed: 15 October 2026).</w:t>
      </w:r>
    </w:p>
    <w:p w14:paraId="15D60609" w14:textId="77777777" w:rsidR="00D260A2" w:rsidRDefault="00000000">
      <w:pPr>
        <w:spacing w:after="200"/>
        <w:rPr>
          <w:sz w:val="20"/>
        </w:rPr>
      </w:pPr>
      <w:r>
        <w:rPr>
          <w:sz w:val="20"/>
        </w:rPr>
        <w:t xml:space="preserve">World Health Organization (2021b) </w:t>
      </w:r>
      <w:r>
        <w:rPr>
          <w:i/>
          <w:sz w:val="20"/>
        </w:rPr>
        <w:t>Global strategy on digital health 2020–2025</w:t>
      </w:r>
      <w:r>
        <w:rPr>
          <w:sz w:val="20"/>
        </w:rPr>
        <w:t>. Geneva: World Health Organization. Available at: https://www.who.int/publications/i/item/9789240020924 (Accessed: 15 October 2026).</w:t>
      </w:r>
    </w:p>
    <w:p w14:paraId="46EBC6C5" w14:textId="77777777" w:rsidR="00964A2C" w:rsidRDefault="000F0DDE">
      <w:pPr>
        <w:spacing w:after="200"/>
        <w:rPr>
          <w:sz w:val="20"/>
        </w:rPr>
      </w:pPr>
      <w:r w:rsidRPr="000F0DDE">
        <w:t xml:space="preserve"> </w:t>
      </w:r>
      <w:proofErr w:type="spellStart"/>
      <w:r w:rsidRPr="000F0DDE">
        <w:rPr>
          <w:sz w:val="20"/>
        </w:rPr>
        <w:t>Radixweb</w:t>
      </w:r>
      <w:proofErr w:type="spellEnd"/>
      <w:r w:rsidRPr="000F0DDE">
        <w:rPr>
          <w:sz w:val="20"/>
        </w:rPr>
        <w:t xml:space="preserve"> (n.d.) Everything You Need to Know About mHealth Apps. Available at: </w:t>
      </w:r>
      <w:hyperlink r:id="rId14" w:history="1">
        <w:r w:rsidRPr="000F0DDE">
          <w:rPr>
            <w:rStyle w:val="Hyperlink"/>
            <w:sz w:val="20"/>
          </w:rPr>
          <w:t>https://radixweb.com/blog/everything-need-know-about-mhealth-apps</w:t>
        </w:r>
      </w:hyperlink>
      <w:r w:rsidRPr="000F0DDE">
        <w:rPr>
          <w:sz w:val="20"/>
        </w:rPr>
        <w:t xml:space="preserve"> (Accessed: 18 October 2026).</w:t>
      </w:r>
    </w:p>
    <w:p w14:paraId="1AA24DA0" w14:textId="42BD93EB" w:rsidR="005817F1" w:rsidRDefault="00964A2C">
      <w:pPr>
        <w:spacing w:after="200"/>
      </w:pPr>
      <w:r w:rsidRPr="00964A2C">
        <w:t xml:space="preserve"> </w:t>
      </w:r>
      <w:proofErr w:type="spellStart"/>
      <w:r w:rsidRPr="00964A2C">
        <w:rPr>
          <w:sz w:val="20"/>
        </w:rPr>
        <w:t>SlideServe</w:t>
      </w:r>
      <w:proofErr w:type="spellEnd"/>
      <w:r w:rsidRPr="00964A2C">
        <w:rPr>
          <w:sz w:val="20"/>
        </w:rPr>
        <w:t xml:space="preserve"> (n.d.) </w:t>
      </w:r>
      <w:r w:rsidR="00B310A3" w:rsidRPr="00964A2C">
        <w:rPr>
          <w:sz w:val="20"/>
        </w:rPr>
        <w:t>MHealth</w:t>
      </w:r>
      <w:r w:rsidRPr="00964A2C">
        <w:rPr>
          <w:sz w:val="20"/>
        </w:rPr>
        <w:t xml:space="preserve"> App Development. Available at: </w:t>
      </w:r>
      <w:hyperlink r:id="rId15" w:history="1">
        <w:r w:rsidRPr="00964A2C">
          <w:rPr>
            <w:rStyle w:val="Hyperlink"/>
            <w:sz w:val="20"/>
          </w:rPr>
          <w:t>https://www.slideserve.com/dreamsoft4u/mhealth-app-devel</w:t>
        </w:r>
      </w:hyperlink>
      <w:r w:rsidRPr="00964A2C">
        <w:rPr>
          <w:sz w:val="20"/>
        </w:rPr>
        <w:t xml:space="preserve"> (Accessed: 18 October 2026).</w:t>
      </w:r>
      <w:r w:rsidR="00B61970" w:rsidRPr="00B61970">
        <w:t xml:space="preserve"> </w:t>
      </w:r>
    </w:p>
    <w:p w14:paraId="0ECA3877" w14:textId="724B7B9F" w:rsidR="00320811" w:rsidRDefault="00B61970" w:rsidP="01240DE3">
      <w:pPr>
        <w:spacing w:after="200"/>
      </w:pPr>
      <w:proofErr w:type="spellStart"/>
      <w:r w:rsidRPr="1A39BEA5">
        <w:rPr>
          <w:sz w:val="20"/>
          <w:szCs w:val="20"/>
        </w:rPr>
        <w:t>PatientCalls</w:t>
      </w:r>
      <w:proofErr w:type="spellEnd"/>
      <w:r w:rsidRPr="1A39BEA5">
        <w:rPr>
          <w:sz w:val="20"/>
          <w:szCs w:val="20"/>
        </w:rPr>
        <w:t xml:space="preserve"> (n.d.) Protected Health Information. Available at: </w:t>
      </w:r>
      <w:hyperlink r:id="rId16">
        <w:r w:rsidRPr="1A39BEA5">
          <w:rPr>
            <w:rStyle w:val="Hyperlink"/>
            <w:sz w:val="20"/>
            <w:szCs w:val="20"/>
          </w:rPr>
          <w:t>https://www.patientcalls.com/wp-content/uploads/protected-health</w:t>
        </w:r>
      </w:hyperlink>
      <w:r w:rsidR="005817F1" w:rsidRPr="1A39BEA5">
        <w:rPr>
          <w:sz w:val="20"/>
          <w:szCs w:val="20"/>
        </w:rPr>
        <w:t>-</w:t>
      </w:r>
      <w:r w:rsidR="00F2453B">
        <w:t xml:space="preserve"> </w:t>
      </w:r>
      <w:proofErr w:type="gramStart"/>
      <w:r w:rsidR="00F2453B" w:rsidRPr="1A39BEA5">
        <w:rPr>
          <w:sz w:val="20"/>
          <w:szCs w:val="20"/>
        </w:rPr>
        <w:t>informatio</w:t>
      </w:r>
      <w:r w:rsidR="002A52E6" w:rsidRPr="1A39BEA5">
        <w:rPr>
          <w:sz w:val="20"/>
          <w:szCs w:val="20"/>
        </w:rPr>
        <w:t>n(</w:t>
      </w:r>
      <w:proofErr w:type="gramEnd"/>
      <w:r w:rsidR="00313501" w:rsidRPr="1A39BEA5">
        <w:rPr>
          <w:sz w:val="20"/>
          <w:szCs w:val="20"/>
        </w:rPr>
        <w:t>Accessed:18October2026)</w:t>
      </w:r>
    </w:p>
    <w:p w14:paraId="1118EBCD" w14:textId="03305E2E" w:rsidR="00320811" w:rsidRDefault="001DE168">
      <w:pPr>
        <w:spacing w:after="200"/>
      </w:pPr>
      <w:r>
        <w:t xml:space="preserve"> Guo X, Cao J, Huang M, Tan T, Quan H, Li C and Shen X (2026) Digital health equity among older adult(s): a conceptual analysis. Front. Public Health 14:1891578. </w:t>
      </w:r>
      <w:proofErr w:type="spellStart"/>
      <w:r>
        <w:t>doi</w:t>
      </w:r>
      <w:proofErr w:type="spellEnd"/>
      <w:r>
        <w:t>: 10.3389/fpubh.2026.1891578</w:t>
      </w:r>
    </w:p>
    <w:p w14:paraId="1EC65692" w14:textId="156D7186" w:rsidR="320EE1B9" w:rsidRDefault="70F8EA99" w:rsidP="320EE1B9">
      <w:pPr>
        <w:spacing w:after="200"/>
      </w:pPr>
      <w:r>
        <w:lastRenderedPageBreak/>
        <w:t>(Accessed:18</w:t>
      </w:r>
      <w:r w:rsidR="4B56A174">
        <w:t xml:space="preserve"> October 2026</w:t>
      </w:r>
    </w:p>
    <w:p w14:paraId="16942ECA" w14:textId="3A5A5838" w:rsidR="00E02FF3" w:rsidRDefault="00F85277" w:rsidP="320EE1B9">
      <w:pPr>
        <w:spacing w:after="200"/>
      </w:pPr>
      <w:r>
        <w:t>Innovative Strateg</w:t>
      </w:r>
      <w:r w:rsidR="00322EB3">
        <w:t>ies for Enhancing Healthcare Accessibility</w:t>
      </w:r>
      <w:r w:rsidR="009A44B3">
        <w:t xml:space="preserve"> </w:t>
      </w:r>
      <w:r w:rsidR="00E35D3D">
        <w:t>Available at:</w:t>
      </w:r>
      <w:r w:rsidR="00280034" w:rsidRPr="00280034">
        <w:t xml:space="preserve"> </w:t>
      </w:r>
      <w:hyperlink r:id="rId17" w:history="1">
        <w:r w:rsidR="00280034" w:rsidRPr="00280034">
          <w:rPr>
            <w:rStyle w:val="Hyperlink"/>
          </w:rPr>
          <w:t>Home - Hope Town Lodge</w:t>
        </w:r>
      </w:hyperlink>
      <w:r w:rsidR="0000458D">
        <w:t>.</w:t>
      </w:r>
      <w:r w:rsidR="003B5B5F">
        <w:t>(Accessed:18</w:t>
      </w:r>
      <w:r w:rsidR="000C63EE">
        <w:t xml:space="preserve"> October2026)</w:t>
      </w:r>
    </w:p>
    <w:p w14:paraId="7D729B98" w14:textId="4406E3BF" w:rsidR="00E63F10" w:rsidRDefault="00E63F10">
      <w:pPr>
        <w:spacing w:after="200"/>
        <w:rPr>
          <w:sz w:val="20"/>
        </w:rPr>
      </w:pPr>
    </w:p>
    <w:p w14:paraId="56AC9B34" w14:textId="77777777" w:rsidR="00D260A2" w:rsidRDefault="00D260A2">
      <w:pPr>
        <w:spacing w:after="200"/>
      </w:pPr>
    </w:p>
    <w:sectPr w:rsidR="00D260A2" w:rsidSect="00034616">
      <w:footerReference w:type="default" r:id="rId18"/>
      <w:pgSz w:w="12240" w:h="15840"/>
      <w:pgMar w:top="1037" w:right="1152" w:bottom="1037"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C42C9" w14:textId="77777777" w:rsidR="00F55021" w:rsidRDefault="00F55021">
      <w:pPr>
        <w:spacing w:after="0" w:line="240" w:lineRule="auto"/>
      </w:pPr>
      <w:r>
        <w:separator/>
      </w:r>
    </w:p>
  </w:endnote>
  <w:endnote w:type="continuationSeparator" w:id="0">
    <w:p w14:paraId="43BB9AC3" w14:textId="77777777" w:rsidR="00F55021" w:rsidRDefault="00F55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BB4B3" w14:textId="77777777" w:rsidR="00320811" w:rsidRDefault="00000000">
    <w:pPr>
      <w:pStyle w:val="Footer"/>
      <w:jc w:val="right"/>
    </w:pPr>
    <w:r>
      <w:fldChar w:fldCharType="begin"/>
    </w:r>
    <w:r>
      <w:instrText>PAGE</w:instrText>
    </w:r>
    <w:r>
      <w:fldChar w:fldCharType="separate"/>
    </w:r>
    <w:r w:rsidR="00516EB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19F7E" w14:textId="77777777" w:rsidR="00F55021" w:rsidRDefault="00F55021">
      <w:pPr>
        <w:spacing w:after="0" w:line="240" w:lineRule="auto"/>
      </w:pPr>
      <w:r>
        <w:separator/>
      </w:r>
    </w:p>
  </w:footnote>
  <w:footnote w:type="continuationSeparator" w:id="0">
    <w:p w14:paraId="28428665" w14:textId="77777777" w:rsidR="00F55021" w:rsidRDefault="00F550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0CA1F1A"/>
    <w:multiLevelType w:val="multilevel"/>
    <w:tmpl w:val="C194F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3292656">
    <w:abstractNumId w:val="8"/>
  </w:num>
  <w:num w:numId="2" w16cid:durableId="1011446656">
    <w:abstractNumId w:val="6"/>
  </w:num>
  <w:num w:numId="3" w16cid:durableId="1158962438">
    <w:abstractNumId w:val="5"/>
  </w:num>
  <w:num w:numId="4" w16cid:durableId="378626734">
    <w:abstractNumId w:val="4"/>
  </w:num>
  <w:num w:numId="5" w16cid:durableId="489097230">
    <w:abstractNumId w:val="7"/>
  </w:num>
  <w:num w:numId="6" w16cid:durableId="1577015690">
    <w:abstractNumId w:val="3"/>
  </w:num>
  <w:num w:numId="7" w16cid:durableId="2143648916">
    <w:abstractNumId w:val="2"/>
  </w:num>
  <w:num w:numId="8" w16cid:durableId="1537304213">
    <w:abstractNumId w:val="1"/>
  </w:num>
  <w:num w:numId="9" w16cid:durableId="1768887895">
    <w:abstractNumId w:val="0"/>
  </w:num>
  <w:num w:numId="10" w16cid:durableId="7692777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17FC"/>
    <w:rsid w:val="0000458D"/>
    <w:rsid w:val="00012C3B"/>
    <w:rsid w:val="00016273"/>
    <w:rsid w:val="00017D1A"/>
    <w:rsid w:val="00020B67"/>
    <w:rsid w:val="00030B55"/>
    <w:rsid w:val="00034616"/>
    <w:rsid w:val="00044331"/>
    <w:rsid w:val="00056CA1"/>
    <w:rsid w:val="0006063C"/>
    <w:rsid w:val="00063BC9"/>
    <w:rsid w:val="0007537F"/>
    <w:rsid w:val="00076442"/>
    <w:rsid w:val="00076BBC"/>
    <w:rsid w:val="000837F8"/>
    <w:rsid w:val="000847EF"/>
    <w:rsid w:val="00086FB0"/>
    <w:rsid w:val="00094779"/>
    <w:rsid w:val="000956EF"/>
    <w:rsid w:val="000A1894"/>
    <w:rsid w:val="000B0EAF"/>
    <w:rsid w:val="000B4351"/>
    <w:rsid w:val="000C41CA"/>
    <w:rsid w:val="000C4C0F"/>
    <w:rsid w:val="000C52D9"/>
    <w:rsid w:val="000C63EE"/>
    <w:rsid w:val="000D3A6F"/>
    <w:rsid w:val="000D3C54"/>
    <w:rsid w:val="000F0DDE"/>
    <w:rsid w:val="000F2930"/>
    <w:rsid w:val="000F3F80"/>
    <w:rsid w:val="001108D5"/>
    <w:rsid w:val="00110E88"/>
    <w:rsid w:val="001135CE"/>
    <w:rsid w:val="001262BC"/>
    <w:rsid w:val="001373ED"/>
    <w:rsid w:val="00137757"/>
    <w:rsid w:val="0015074B"/>
    <w:rsid w:val="00155FCE"/>
    <w:rsid w:val="001623C4"/>
    <w:rsid w:val="001634BB"/>
    <w:rsid w:val="00180805"/>
    <w:rsid w:val="00182F55"/>
    <w:rsid w:val="00183CA4"/>
    <w:rsid w:val="00192E83"/>
    <w:rsid w:val="001940DF"/>
    <w:rsid w:val="001A0222"/>
    <w:rsid w:val="001A4AB1"/>
    <w:rsid w:val="001A77EC"/>
    <w:rsid w:val="001B727C"/>
    <w:rsid w:val="001D07E1"/>
    <w:rsid w:val="001DE168"/>
    <w:rsid w:val="001E6A9A"/>
    <w:rsid w:val="001F5EBA"/>
    <w:rsid w:val="001F7BAA"/>
    <w:rsid w:val="002056FA"/>
    <w:rsid w:val="00232E31"/>
    <w:rsid w:val="00237D44"/>
    <w:rsid w:val="002405D4"/>
    <w:rsid w:val="00243860"/>
    <w:rsid w:val="00267FAB"/>
    <w:rsid w:val="00280034"/>
    <w:rsid w:val="0029639D"/>
    <w:rsid w:val="002A52E6"/>
    <w:rsid w:val="002A743C"/>
    <w:rsid w:val="002B009C"/>
    <w:rsid w:val="002B52F2"/>
    <w:rsid w:val="002D018F"/>
    <w:rsid w:val="002D1B8C"/>
    <w:rsid w:val="002D3AAB"/>
    <w:rsid w:val="002D517E"/>
    <w:rsid w:val="002D5976"/>
    <w:rsid w:val="002E53FE"/>
    <w:rsid w:val="002E6046"/>
    <w:rsid w:val="002F6935"/>
    <w:rsid w:val="00313501"/>
    <w:rsid w:val="003151B3"/>
    <w:rsid w:val="00320811"/>
    <w:rsid w:val="00322BD0"/>
    <w:rsid w:val="00322EB3"/>
    <w:rsid w:val="00324952"/>
    <w:rsid w:val="00326F90"/>
    <w:rsid w:val="00327E21"/>
    <w:rsid w:val="00331A1D"/>
    <w:rsid w:val="00337742"/>
    <w:rsid w:val="00340C59"/>
    <w:rsid w:val="003411BB"/>
    <w:rsid w:val="00341C6B"/>
    <w:rsid w:val="003619DF"/>
    <w:rsid w:val="00362D69"/>
    <w:rsid w:val="003835C2"/>
    <w:rsid w:val="00387C2A"/>
    <w:rsid w:val="00395D0F"/>
    <w:rsid w:val="00396B04"/>
    <w:rsid w:val="003A306E"/>
    <w:rsid w:val="003B1E7E"/>
    <w:rsid w:val="003B35BC"/>
    <w:rsid w:val="003B5B5F"/>
    <w:rsid w:val="003F5A9E"/>
    <w:rsid w:val="003F7B84"/>
    <w:rsid w:val="00402C74"/>
    <w:rsid w:val="00415D24"/>
    <w:rsid w:val="00420429"/>
    <w:rsid w:val="004267F3"/>
    <w:rsid w:val="00434C3D"/>
    <w:rsid w:val="00440631"/>
    <w:rsid w:val="00441C18"/>
    <w:rsid w:val="00457D4B"/>
    <w:rsid w:val="00463E90"/>
    <w:rsid w:val="00467607"/>
    <w:rsid w:val="0046779E"/>
    <w:rsid w:val="00483304"/>
    <w:rsid w:val="00486FA1"/>
    <w:rsid w:val="00487CE6"/>
    <w:rsid w:val="004902A0"/>
    <w:rsid w:val="00491D1A"/>
    <w:rsid w:val="00497C94"/>
    <w:rsid w:val="004A1E10"/>
    <w:rsid w:val="004C06E3"/>
    <w:rsid w:val="004C6720"/>
    <w:rsid w:val="004D6C8D"/>
    <w:rsid w:val="004F05C9"/>
    <w:rsid w:val="004F6FBB"/>
    <w:rsid w:val="005028BC"/>
    <w:rsid w:val="0050658A"/>
    <w:rsid w:val="005103B4"/>
    <w:rsid w:val="00516EBC"/>
    <w:rsid w:val="005240B1"/>
    <w:rsid w:val="00537A1A"/>
    <w:rsid w:val="005447AD"/>
    <w:rsid w:val="00564406"/>
    <w:rsid w:val="0056453C"/>
    <w:rsid w:val="00570F6E"/>
    <w:rsid w:val="00571C3A"/>
    <w:rsid w:val="00580B13"/>
    <w:rsid w:val="005817F1"/>
    <w:rsid w:val="0058465F"/>
    <w:rsid w:val="00584C04"/>
    <w:rsid w:val="00590BFF"/>
    <w:rsid w:val="00591D00"/>
    <w:rsid w:val="005D6738"/>
    <w:rsid w:val="005D7781"/>
    <w:rsid w:val="005E6D77"/>
    <w:rsid w:val="006145F3"/>
    <w:rsid w:val="00621D74"/>
    <w:rsid w:val="00632CE7"/>
    <w:rsid w:val="00652FEB"/>
    <w:rsid w:val="006550DD"/>
    <w:rsid w:val="0065517F"/>
    <w:rsid w:val="00655BA8"/>
    <w:rsid w:val="006732A7"/>
    <w:rsid w:val="00685DF3"/>
    <w:rsid w:val="006B362E"/>
    <w:rsid w:val="006C47C0"/>
    <w:rsid w:val="006D0C57"/>
    <w:rsid w:val="006D154B"/>
    <w:rsid w:val="006E6DAF"/>
    <w:rsid w:val="00702466"/>
    <w:rsid w:val="007120BE"/>
    <w:rsid w:val="00713CCA"/>
    <w:rsid w:val="00722305"/>
    <w:rsid w:val="00734A78"/>
    <w:rsid w:val="00735749"/>
    <w:rsid w:val="007364E6"/>
    <w:rsid w:val="00736B1C"/>
    <w:rsid w:val="00741924"/>
    <w:rsid w:val="00741C78"/>
    <w:rsid w:val="007446E7"/>
    <w:rsid w:val="007454F3"/>
    <w:rsid w:val="007505CA"/>
    <w:rsid w:val="00750C8D"/>
    <w:rsid w:val="00764163"/>
    <w:rsid w:val="00772A56"/>
    <w:rsid w:val="00774CA9"/>
    <w:rsid w:val="00784682"/>
    <w:rsid w:val="00792B64"/>
    <w:rsid w:val="007966C3"/>
    <w:rsid w:val="00796E26"/>
    <w:rsid w:val="007A2029"/>
    <w:rsid w:val="007B2BFA"/>
    <w:rsid w:val="007B6A6B"/>
    <w:rsid w:val="007C5C96"/>
    <w:rsid w:val="007D053F"/>
    <w:rsid w:val="007D2991"/>
    <w:rsid w:val="007D3F21"/>
    <w:rsid w:val="007E1C7B"/>
    <w:rsid w:val="007E58E4"/>
    <w:rsid w:val="007F559A"/>
    <w:rsid w:val="0080400C"/>
    <w:rsid w:val="00806022"/>
    <w:rsid w:val="008235A5"/>
    <w:rsid w:val="008271D8"/>
    <w:rsid w:val="00841868"/>
    <w:rsid w:val="008521F8"/>
    <w:rsid w:val="0085662D"/>
    <w:rsid w:val="00857F0E"/>
    <w:rsid w:val="00860019"/>
    <w:rsid w:val="00871462"/>
    <w:rsid w:val="00877543"/>
    <w:rsid w:val="008925FD"/>
    <w:rsid w:val="0089481A"/>
    <w:rsid w:val="00894DB0"/>
    <w:rsid w:val="008A593E"/>
    <w:rsid w:val="008B6350"/>
    <w:rsid w:val="008C3055"/>
    <w:rsid w:val="008D087F"/>
    <w:rsid w:val="008D13B8"/>
    <w:rsid w:val="008D5AF4"/>
    <w:rsid w:val="008E2615"/>
    <w:rsid w:val="008E4703"/>
    <w:rsid w:val="008E4E84"/>
    <w:rsid w:val="008E7A10"/>
    <w:rsid w:val="008F4534"/>
    <w:rsid w:val="008F6E3E"/>
    <w:rsid w:val="00905FE7"/>
    <w:rsid w:val="00947DFF"/>
    <w:rsid w:val="009602DB"/>
    <w:rsid w:val="009626E6"/>
    <w:rsid w:val="00964A2C"/>
    <w:rsid w:val="00965150"/>
    <w:rsid w:val="00977D76"/>
    <w:rsid w:val="00984948"/>
    <w:rsid w:val="00986755"/>
    <w:rsid w:val="00991FFE"/>
    <w:rsid w:val="00996954"/>
    <w:rsid w:val="009A44B3"/>
    <w:rsid w:val="009B6128"/>
    <w:rsid w:val="009C73CA"/>
    <w:rsid w:val="009D7A8D"/>
    <w:rsid w:val="009E0456"/>
    <w:rsid w:val="009F0A9B"/>
    <w:rsid w:val="009F15F8"/>
    <w:rsid w:val="009F1D76"/>
    <w:rsid w:val="009F4D9D"/>
    <w:rsid w:val="00A06219"/>
    <w:rsid w:val="00A272AD"/>
    <w:rsid w:val="00A414EE"/>
    <w:rsid w:val="00A42566"/>
    <w:rsid w:val="00A514AA"/>
    <w:rsid w:val="00A5795E"/>
    <w:rsid w:val="00A652C1"/>
    <w:rsid w:val="00A720AA"/>
    <w:rsid w:val="00A835CC"/>
    <w:rsid w:val="00A85298"/>
    <w:rsid w:val="00A859C7"/>
    <w:rsid w:val="00A86532"/>
    <w:rsid w:val="00A94440"/>
    <w:rsid w:val="00AA1D8D"/>
    <w:rsid w:val="00AD5FAE"/>
    <w:rsid w:val="00AE49F1"/>
    <w:rsid w:val="00AF6DC4"/>
    <w:rsid w:val="00B01703"/>
    <w:rsid w:val="00B018C9"/>
    <w:rsid w:val="00B160E3"/>
    <w:rsid w:val="00B310A3"/>
    <w:rsid w:val="00B40337"/>
    <w:rsid w:val="00B47730"/>
    <w:rsid w:val="00B53B7E"/>
    <w:rsid w:val="00B61970"/>
    <w:rsid w:val="00B66AF4"/>
    <w:rsid w:val="00B67644"/>
    <w:rsid w:val="00B73C07"/>
    <w:rsid w:val="00B81370"/>
    <w:rsid w:val="00B822C6"/>
    <w:rsid w:val="00B84EC4"/>
    <w:rsid w:val="00B94862"/>
    <w:rsid w:val="00BB5722"/>
    <w:rsid w:val="00BB69FE"/>
    <w:rsid w:val="00BE0CA8"/>
    <w:rsid w:val="00C11C46"/>
    <w:rsid w:val="00C26684"/>
    <w:rsid w:val="00C33D59"/>
    <w:rsid w:val="00C5250F"/>
    <w:rsid w:val="00C572DC"/>
    <w:rsid w:val="00C65538"/>
    <w:rsid w:val="00C734B7"/>
    <w:rsid w:val="00C9413E"/>
    <w:rsid w:val="00C95319"/>
    <w:rsid w:val="00CA6284"/>
    <w:rsid w:val="00CA6654"/>
    <w:rsid w:val="00CB0664"/>
    <w:rsid w:val="00CB3CE4"/>
    <w:rsid w:val="00CD182F"/>
    <w:rsid w:val="00CE602F"/>
    <w:rsid w:val="00CE659D"/>
    <w:rsid w:val="00D07569"/>
    <w:rsid w:val="00D12915"/>
    <w:rsid w:val="00D15CED"/>
    <w:rsid w:val="00D17A46"/>
    <w:rsid w:val="00D259EE"/>
    <w:rsid w:val="00D260A2"/>
    <w:rsid w:val="00D4048C"/>
    <w:rsid w:val="00D63372"/>
    <w:rsid w:val="00D64B9D"/>
    <w:rsid w:val="00D71E7A"/>
    <w:rsid w:val="00D83148"/>
    <w:rsid w:val="00D97696"/>
    <w:rsid w:val="00DA2B18"/>
    <w:rsid w:val="00DA2D07"/>
    <w:rsid w:val="00DA5F0C"/>
    <w:rsid w:val="00DA6039"/>
    <w:rsid w:val="00DC2195"/>
    <w:rsid w:val="00DC7618"/>
    <w:rsid w:val="00DD548B"/>
    <w:rsid w:val="00DD5DCE"/>
    <w:rsid w:val="00DD61B1"/>
    <w:rsid w:val="00DE45D6"/>
    <w:rsid w:val="00DF1D65"/>
    <w:rsid w:val="00DF26EF"/>
    <w:rsid w:val="00DF7923"/>
    <w:rsid w:val="00E02FF3"/>
    <w:rsid w:val="00E04539"/>
    <w:rsid w:val="00E14835"/>
    <w:rsid w:val="00E26EF3"/>
    <w:rsid w:val="00E273DD"/>
    <w:rsid w:val="00E35D3D"/>
    <w:rsid w:val="00E40C2B"/>
    <w:rsid w:val="00E442D4"/>
    <w:rsid w:val="00E53EE7"/>
    <w:rsid w:val="00E56543"/>
    <w:rsid w:val="00E60828"/>
    <w:rsid w:val="00E63F10"/>
    <w:rsid w:val="00E91134"/>
    <w:rsid w:val="00E97544"/>
    <w:rsid w:val="00EB3C00"/>
    <w:rsid w:val="00EC0AE2"/>
    <w:rsid w:val="00ED3CD0"/>
    <w:rsid w:val="00ED6901"/>
    <w:rsid w:val="00ED72EE"/>
    <w:rsid w:val="00EE0AE9"/>
    <w:rsid w:val="00EF1776"/>
    <w:rsid w:val="00F1107C"/>
    <w:rsid w:val="00F13564"/>
    <w:rsid w:val="00F2453B"/>
    <w:rsid w:val="00F25D2A"/>
    <w:rsid w:val="00F26FD9"/>
    <w:rsid w:val="00F41FE9"/>
    <w:rsid w:val="00F440C7"/>
    <w:rsid w:val="00F471BC"/>
    <w:rsid w:val="00F47328"/>
    <w:rsid w:val="00F50449"/>
    <w:rsid w:val="00F54D34"/>
    <w:rsid w:val="00F55021"/>
    <w:rsid w:val="00F71038"/>
    <w:rsid w:val="00F810CC"/>
    <w:rsid w:val="00F85277"/>
    <w:rsid w:val="00F85FF7"/>
    <w:rsid w:val="00F9073A"/>
    <w:rsid w:val="00F922EC"/>
    <w:rsid w:val="00F969C1"/>
    <w:rsid w:val="00FA3B49"/>
    <w:rsid w:val="00FA43F4"/>
    <w:rsid w:val="00FB110D"/>
    <w:rsid w:val="00FC22FC"/>
    <w:rsid w:val="00FC241F"/>
    <w:rsid w:val="00FC693F"/>
    <w:rsid w:val="00FE2523"/>
    <w:rsid w:val="01240DE3"/>
    <w:rsid w:val="073E6202"/>
    <w:rsid w:val="0817977C"/>
    <w:rsid w:val="0990C4C5"/>
    <w:rsid w:val="0A40C125"/>
    <w:rsid w:val="12F3272D"/>
    <w:rsid w:val="14476C0F"/>
    <w:rsid w:val="1803CDE8"/>
    <w:rsid w:val="18B57FF7"/>
    <w:rsid w:val="1A39BEA5"/>
    <w:rsid w:val="1B31A8E4"/>
    <w:rsid w:val="1BC71523"/>
    <w:rsid w:val="1F2DB64A"/>
    <w:rsid w:val="2AF82BF9"/>
    <w:rsid w:val="2D6FBBC8"/>
    <w:rsid w:val="2E0DD72E"/>
    <w:rsid w:val="2F11AE36"/>
    <w:rsid w:val="2FDCBB6B"/>
    <w:rsid w:val="30E2F466"/>
    <w:rsid w:val="320EE1B9"/>
    <w:rsid w:val="32860C51"/>
    <w:rsid w:val="34501F04"/>
    <w:rsid w:val="3ADEB2F4"/>
    <w:rsid w:val="3CE5C6DD"/>
    <w:rsid w:val="3CEAA49E"/>
    <w:rsid w:val="3D250AED"/>
    <w:rsid w:val="441CC2EB"/>
    <w:rsid w:val="4480B08E"/>
    <w:rsid w:val="45FD1B64"/>
    <w:rsid w:val="4B56A174"/>
    <w:rsid w:val="50A49F01"/>
    <w:rsid w:val="50C9633E"/>
    <w:rsid w:val="511BDEBC"/>
    <w:rsid w:val="53D68696"/>
    <w:rsid w:val="53F96B15"/>
    <w:rsid w:val="5B967CEB"/>
    <w:rsid w:val="5BB0ACED"/>
    <w:rsid w:val="60206566"/>
    <w:rsid w:val="60A582CA"/>
    <w:rsid w:val="62705564"/>
    <w:rsid w:val="65E6F114"/>
    <w:rsid w:val="6AC2614A"/>
    <w:rsid w:val="6BFA5830"/>
    <w:rsid w:val="6C21F241"/>
    <w:rsid w:val="6E37F796"/>
    <w:rsid w:val="6F528E5B"/>
    <w:rsid w:val="6F58E478"/>
    <w:rsid w:val="70F8EA99"/>
    <w:rsid w:val="725F7D0D"/>
    <w:rsid w:val="74C0C72B"/>
    <w:rsid w:val="7A9396EE"/>
    <w:rsid w:val="7E0F7D6B"/>
    <w:rsid w:val="7E9248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807243"/>
  <w14:defaultImageDpi w14:val="300"/>
  <w15:docId w15:val="{C26884AA-05CF-4383-B92D-51256D5B7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269" w:lineRule="auto"/>
    </w:pPr>
    <w:rPr>
      <w:rFonts w:ascii="Arial" w:hAnsi="Arial"/>
      <w:color w:val="000000"/>
    </w:rPr>
  </w:style>
  <w:style w:type="paragraph" w:styleId="Heading1">
    <w:name w:val="heading 1"/>
    <w:basedOn w:val="Normal"/>
    <w:next w:val="Normal"/>
    <w:link w:val="Heading1Char"/>
    <w:uiPriority w:val="9"/>
    <w:qFormat/>
    <w:rsid w:val="00FC693F"/>
    <w:pPr>
      <w:keepNext/>
      <w:keepLines/>
      <w:spacing w:before="200" w:after="120"/>
      <w:outlineLvl w:val="0"/>
    </w:pPr>
    <w:rPr>
      <w:rFonts w:asciiTheme="majorHAnsi" w:eastAsiaTheme="majorEastAsia" w:hAnsiTheme="majorHAnsi" w:cstheme="majorBidi"/>
      <w:b/>
      <w:bCs/>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FFC000"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FFC000"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FFC000"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7F5F0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7F5F0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60606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FFC000"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60606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FFC000"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FFC000" w:themeColor="accent1"/>
    </w:rPr>
  </w:style>
  <w:style w:type="paragraph" w:styleId="Title">
    <w:name w:val="Title"/>
    <w:basedOn w:val="Normal"/>
    <w:next w:val="Normal"/>
    <w:link w:val="TitleChar"/>
    <w:uiPriority w:val="10"/>
    <w:qFormat/>
    <w:rsid w:val="00FC693F"/>
    <w:pPr>
      <w:spacing w:after="200" w:line="240" w:lineRule="auto"/>
      <w:contextualSpacing/>
    </w:pPr>
    <w:rPr>
      <w:rFonts w:asciiTheme="majorHAnsi" w:eastAsiaTheme="majorEastAsia" w:hAnsiTheme="majorHAnsi" w:cstheme="majorBidi"/>
      <w:b/>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b/>
      <w:color w:val="000000"/>
      <w:spacing w:val="5"/>
      <w:kern w:val="28"/>
      <w:sz w:val="40"/>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FFC000"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FFC000"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2C2C2C" w:themeColor="text1"/>
    </w:rPr>
  </w:style>
  <w:style w:type="character" w:customStyle="1" w:styleId="QuoteChar">
    <w:name w:val="Quote Char"/>
    <w:basedOn w:val="DefaultParagraphFont"/>
    <w:link w:val="Quote"/>
    <w:uiPriority w:val="29"/>
    <w:rsid w:val="00FC693F"/>
    <w:rPr>
      <w:i/>
      <w:iCs/>
      <w:color w:val="2C2C2C"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FFC000"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7F5F0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7F5F0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60606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FFC000"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606060" w:themeColor="text1" w:themeTint="BF"/>
      <w:sz w:val="20"/>
      <w:szCs w:val="20"/>
    </w:rPr>
  </w:style>
  <w:style w:type="paragraph" w:styleId="Caption">
    <w:name w:val="caption"/>
    <w:basedOn w:val="Normal"/>
    <w:next w:val="Normal"/>
    <w:autoRedefine/>
    <w:uiPriority w:val="35"/>
    <w:unhideWhenUsed/>
    <w:qFormat/>
    <w:rsid w:val="00C572DC"/>
    <w:pPr>
      <w:spacing w:line="240" w:lineRule="auto"/>
      <w:jc w:val="center"/>
    </w:pPr>
    <w:rPr>
      <w:b/>
      <w:bCs/>
      <w:color w:val="2C2C2C" w:themeColor="text1"/>
      <w:sz w:val="20"/>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FFC000" w:themeColor="accent1"/>
      </w:pBdr>
      <w:spacing w:before="200" w:after="280"/>
      <w:ind w:left="936" w:right="936"/>
    </w:pPr>
    <w:rPr>
      <w:b/>
      <w:bCs/>
      <w:i/>
      <w:iCs/>
      <w:color w:val="FFC000" w:themeColor="accent1"/>
    </w:rPr>
  </w:style>
  <w:style w:type="character" w:customStyle="1" w:styleId="IntenseQuoteChar">
    <w:name w:val="Intense Quote Char"/>
    <w:basedOn w:val="DefaultParagraphFont"/>
    <w:link w:val="IntenseQuote"/>
    <w:uiPriority w:val="30"/>
    <w:rsid w:val="00FC693F"/>
    <w:rPr>
      <w:b/>
      <w:bCs/>
      <w:i/>
      <w:iCs/>
      <w:color w:val="FFC000" w:themeColor="accent1"/>
    </w:rPr>
  </w:style>
  <w:style w:type="character" w:styleId="SubtleEmphasis">
    <w:name w:val="Subtle Emphasis"/>
    <w:basedOn w:val="DefaultParagraphFont"/>
    <w:uiPriority w:val="19"/>
    <w:qFormat/>
    <w:rsid w:val="00FC693F"/>
    <w:rPr>
      <w:i/>
      <w:iCs/>
      <w:color w:val="959595" w:themeColor="text1" w:themeTint="7F"/>
    </w:rPr>
  </w:style>
  <w:style w:type="character" w:styleId="IntenseEmphasis">
    <w:name w:val="Intense Emphasis"/>
    <w:basedOn w:val="DefaultParagraphFont"/>
    <w:uiPriority w:val="21"/>
    <w:qFormat/>
    <w:rsid w:val="00FC693F"/>
    <w:rPr>
      <w:b/>
      <w:bCs/>
      <w:i/>
      <w:iCs/>
      <w:color w:val="FFC000" w:themeColor="accent1"/>
    </w:rPr>
  </w:style>
  <w:style w:type="character" w:styleId="SubtleReference">
    <w:name w:val="Subtle Reference"/>
    <w:basedOn w:val="DefaultParagraphFont"/>
    <w:uiPriority w:val="31"/>
    <w:qFormat/>
    <w:rsid w:val="00FC693F"/>
    <w:rPr>
      <w:smallCaps/>
      <w:color w:val="A5D028" w:themeColor="accent2"/>
      <w:u w:val="single"/>
    </w:rPr>
  </w:style>
  <w:style w:type="character" w:styleId="IntenseReference">
    <w:name w:val="Intense Reference"/>
    <w:basedOn w:val="DefaultParagraphFont"/>
    <w:uiPriority w:val="32"/>
    <w:qFormat/>
    <w:rsid w:val="00FC693F"/>
    <w:rPr>
      <w:b/>
      <w:bCs/>
      <w:smallCaps/>
      <w:color w:val="A5D028"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202020" w:themeColor="text1" w:themeShade="BF"/>
    </w:rPr>
    <w:tblPr>
      <w:tblStyleRowBandSize w:val="1"/>
      <w:tblStyleColBandSize w:val="1"/>
      <w:tblBorders>
        <w:top w:val="single" w:sz="8" w:space="0" w:color="2C2C2C" w:themeColor="text1"/>
        <w:bottom w:val="single" w:sz="8" w:space="0" w:color="2C2C2C" w:themeColor="text1"/>
      </w:tblBorders>
    </w:tblPr>
    <w:tblStylePr w:type="firstRow">
      <w:pPr>
        <w:spacing w:before="0" w:after="0" w:line="240" w:lineRule="auto"/>
      </w:pPr>
      <w:rPr>
        <w:b/>
        <w:bCs/>
      </w:rPr>
      <w:tblPr/>
      <w:tcPr>
        <w:tcBorders>
          <w:top w:val="single" w:sz="8" w:space="0" w:color="2C2C2C" w:themeColor="text1"/>
          <w:left w:val="nil"/>
          <w:bottom w:val="single" w:sz="8" w:space="0" w:color="2C2C2C" w:themeColor="text1"/>
          <w:right w:val="nil"/>
          <w:insideH w:val="nil"/>
          <w:insideV w:val="nil"/>
        </w:tcBorders>
      </w:tcPr>
    </w:tblStylePr>
    <w:tblStylePr w:type="lastRow">
      <w:pPr>
        <w:spacing w:before="0" w:after="0" w:line="240" w:lineRule="auto"/>
      </w:pPr>
      <w:rPr>
        <w:b/>
        <w:bCs/>
      </w:rPr>
      <w:tblPr/>
      <w:tcPr>
        <w:tcBorders>
          <w:top w:val="single" w:sz="8" w:space="0" w:color="2C2C2C" w:themeColor="text1"/>
          <w:left w:val="nil"/>
          <w:bottom w:val="single" w:sz="8" w:space="0" w:color="2C2C2C"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ACACA" w:themeFill="text1" w:themeFillTint="3F"/>
      </w:tcPr>
    </w:tblStylePr>
    <w:tblStylePr w:type="band1Horz">
      <w:tblPr/>
      <w:tcPr>
        <w:tcBorders>
          <w:left w:val="nil"/>
          <w:right w:val="nil"/>
          <w:insideH w:val="nil"/>
          <w:insideV w:val="nil"/>
        </w:tcBorders>
        <w:shd w:val="clear" w:color="auto" w:fill="CACACA" w:themeFill="text1" w:themeFillTint="3F"/>
      </w:tcPr>
    </w:tblStylePr>
  </w:style>
  <w:style w:type="table" w:styleId="LightShading-Accent1">
    <w:name w:val="Light Shading Accent 1"/>
    <w:basedOn w:val="TableNormal"/>
    <w:uiPriority w:val="60"/>
    <w:rsid w:val="00FC693F"/>
    <w:pPr>
      <w:spacing w:after="0" w:line="240" w:lineRule="auto"/>
    </w:pPr>
    <w:rPr>
      <w:color w:val="BF8F00" w:themeColor="accent1" w:themeShade="BF"/>
    </w:rPr>
    <w:tblPr>
      <w:tblStyleRowBandSize w:val="1"/>
      <w:tblStyleColBandSize w:val="1"/>
      <w:tblBorders>
        <w:top w:val="single" w:sz="8" w:space="0" w:color="FFC000" w:themeColor="accent1"/>
        <w:bottom w:val="single" w:sz="8" w:space="0" w:color="FFC000" w:themeColor="accent1"/>
      </w:tblBorders>
    </w:tblPr>
    <w:tblStylePr w:type="firstRow">
      <w:pPr>
        <w:spacing w:before="0" w:after="0" w:line="240" w:lineRule="auto"/>
      </w:pPr>
      <w:rPr>
        <w:b/>
        <w:bCs/>
      </w:rPr>
      <w:tblPr/>
      <w:tcPr>
        <w:tcBorders>
          <w:top w:val="single" w:sz="8" w:space="0" w:color="FFC000" w:themeColor="accent1"/>
          <w:left w:val="nil"/>
          <w:bottom w:val="single" w:sz="8" w:space="0" w:color="FFC000" w:themeColor="accent1"/>
          <w:right w:val="nil"/>
          <w:insideH w:val="nil"/>
          <w:insideV w:val="nil"/>
        </w:tcBorders>
      </w:tcPr>
    </w:tblStylePr>
    <w:tblStylePr w:type="lastRow">
      <w:pPr>
        <w:spacing w:before="0" w:after="0" w:line="240" w:lineRule="auto"/>
      </w:pPr>
      <w:rPr>
        <w:b/>
        <w:bCs/>
      </w:rPr>
      <w:tblPr/>
      <w:tcPr>
        <w:tcBorders>
          <w:top w:val="single" w:sz="8" w:space="0" w:color="FFC000" w:themeColor="accent1"/>
          <w:left w:val="nil"/>
          <w:bottom w:val="single" w:sz="8" w:space="0" w:color="FFC00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1" w:themeFillTint="3F"/>
      </w:tcPr>
    </w:tblStylePr>
    <w:tblStylePr w:type="band1Horz">
      <w:tblPr/>
      <w:tcPr>
        <w:tcBorders>
          <w:left w:val="nil"/>
          <w:right w:val="nil"/>
          <w:insideH w:val="nil"/>
          <w:insideV w:val="nil"/>
        </w:tcBorders>
        <w:shd w:val="clear" w:color="auto" w:fill="FFEFC0" w:themeFill="accent1" w:themeFillTint="3F"/>
      </w:tcPr>
    </w:tblStylePr>
  </w:style>
  <w:style w:type="table" w:styleId="LightShading-Accent2">
    <w:name w:val="Light Shading Accent 2"/>
    <w:basedOn w:val="TableNormal"/>
    <w:uiPriority w:val="60"/>
    <w:rsid w:val="00FC693F"/>
    <w:pPr>
      <w:spacing w:after="0" w:line="240" w:lineRule="auto"/>
    </w:pPr>
    <w:rPr>
      <w:color w:val="7B9B1E" w:themeColor="accent2" w:themeShade="BF"/>
    </w:rPr>
    <w:tblPr>
      <w:tblStyleRowBandSize w:val="1"/>
      <w:tblStyleColBandSize w:val="1"/>
      <w:tblBorders>
        <w:top w:val="single" w:sz="8" w:space="0" w:color="A5D028" w:themeColor="accent2"/>
        <w:bottom w:val="single" w:sz="8" w:space="0" w:color="A5D028" w:themeColor="accent2"/>
      </w:tblBorders>
    </w:tblPr>
    <w:tblStylePr w:type="firstRow">
      <w:pPr>
        <w:spacing w:before="0" w:after="0" w:line="240" w:lineRule="auto"/>
      </w:pPr>
      <w:rPr>
        <w:b/>
        <w:bCs/>
      </w:rPr>
      <w:tblPr/>
      <w:tcPr>
        <w:tcBorders>
          <w:top w:val="single" w:sz="8" w:space="0" w:color="A5D028" w:themeColor="accent2"/>
          <w:left w:val="nil"/>
          <w:bottom w:val="single" w:sz="8" w:space="0" w:color="A5D028" w:themeColor="accent2"/>
          <w:right w:val="nil"/>
          <w:insideH w:val="nil"/>
          <w:insideV w:val="nil"/>
        </w:tcBorders>
      </w:tcPr>
    </w:tblStylePr>
    <w:tblStylePr w:type="lastRow">
      <w:pPr>
        <w:spacing w:before="0" w:after="0" w:line="240" w:lineRule="auto"/>
      </w:pPr>
      <w:rPr>
        <w:b/>
        <w:bCs/>
      </w:rPr>
      <w:tblPr/>
      <w:tcPr>
        <w:tcBorders>
          <w:top w:val="single" w:sz="8" w:space="0" w:color="A5D028" w:themeColor="accent2"/>
          <w:left w:val="nil"/>
          <w:bottom w:val="single" w:sz="8" w:space="0" w:color="A5D028"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9F4C8" w:themeFill="accent2" w:themeFillTint="3F"/>
      </w:tcPr>
    </w:tblStylePr>
    <w:tblStylePr w:type="band1Horz">
      <w:tblPr/>
      <w:tcPr>
        <w:tcBorders>
          <w:left w:val="nil"/>
          <w:right w:val="nil"/>
          <w:insideH w:val="nil"/>
          <w:insideV w:val="nil"/>
        </w:tcBorders>
        <w:shd w:val="clear" w:color="auto" w:fill="E9F4C8" w:themeFill="accent2" w:themeFillTint="3F"/>
      </w:tcPr>
    </w:tblStylePr>
  </w:style>
  <w:style w:type="table" w:styleId="LightShading-Accent3">
    <w:name w:val="Light Shading Accent 3"/>
    <w:basedOn w:val="TableNormal"/>
    <w:uiPriority w:val="60"/>
    <w:rsid w:val="00FC693F"/>
    <w:pPr>
      <w:spacing w:after="0" w:line="240" w:lineRule="auto"/>
    </w:pPr>
    <w:rPr>
      <w:color w:val="069859" w:themeColor="accent3" w:themeShade="BF"/>
    </w:rPr>
    <w:tblPr>
      <w:tblStyleRowBandSize w:val="1"/>
      <w:tblStyleColBandSize w:val="1"/>
      <w:tblBorders>
        <w:top w:val="single" w:sz="8" w:space="0" w:color="08CC78" w:themeColor="accent3"/>
        <w:bottom w:val="single" w:sz="8" w:space="0" w:color="08CC78" w:themeColor="accent3"/>
      </w:tblBorders>
    </w:tblPr>
    <w:tblStylePr w:type="firstRow">
      <w:pPr>
        <w:spacing w:before="0" w:after="0" w:line="240" w:lineRule="auto"/>
      </w:pPr>
      <w:rPr>
        <w:b/>
        <w:bCs/>
      </w:rPr>
      <w:tblPr/>
      <w:tcPr>
        <w:tcBorders>
          <w:top w:val="single" w:sz="8" w:space="0" w:color="08CC78" w:themeColor="accent3"/>
          <w:left w:val="nil"/>
          <w:bottom w:val="single" w:sz="8" w:space="0" w:color="08CC78" w:themeColor="accent3"/>
          <w:right w:val="nil"/>
          <w:insideH w:val="nil"/>
          <w:insideV w:val="nil"/>
        </w:tcBorders>
      </w:tcPr>
    </w:tblStylePr>
    <w:tblStylePr w:type="lastRow">
      <w:pPr>
        <w:spacing w:before="0" w:after="0" w:line="240" w:lineRule="auto"/>
      </w:pPr>
      <w:rPr>
        <w:b/>
        <w:bCs/>
      </w:rPr>
      <w:tblPr/>
      <w:tcPr>
        <w:tcBorders>
          <w:top w:val="single" w:sz="8" w:space="0" w:color="08CC78" w:themeColor="accent3"/>
          <w:left w:val="nil"/>
          <w:bottom w:val="single" w:sz="8" w:space="0" w:color="08CC7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FCDE" w:themeFill="accent3" w:themeFillTint="3F"/>
      </w:tcPr>
    </w:tblStylePr>
    <w:tblStylePr w:type="band1Horz">
      <w:tblPr/>
      <w:tcPr>
        <w:tcBorders>
          <w:left w:val="nil"/>
          <w:right w:val="nil"/>
          <w:insideH w:val="nil"/>
          <w:insideV w:val="nil"/>
        </w:tcBorders>
        <w:shd w:val="clear" w:color="auto" w:fill="B8FCDE" w:themeFill="accent3" w:themeFillTint="3F"/>
      </w:tcPr>
    </w:tblStylePr>
  </w:style>
  <w:style w:type="table" w:styleId="LightShading-Accent4">
    <w:name w:val="Light Shading Accent 4"/>
    <w:basedOn w:val="TableNormal"/>
    <w:uiPriority w:val="60"/>
    <w:rsid w:val="00FC693F"/>
    <w:pPr>
      <w:spacing w:after="0" w:line="240" w:lineRule="auto"/>
    </w:pPr>
    <w:rPr>
      <w:color w:val="D60E72" w:themeColor="accent4" w:themeShade="BF"/>
    </w:rPr>
    <w:tblPr>
      <w:tblStyleRowBandSize w:val="1"/>
      <w:tblStyleColBandSize w:val="1"/>
      <w:tblBorders>
        <w:top w:val="single" w:sz="8" w:space="0" w:color="F24099" w:themeColor="accent4"/>
        <w:bottom w:val="single" w:sz="8" w:space="0" w:color="F24099" w:themeColor="accent4"/>
      </w:tblBorders>
    </w:tblPr>
    <w:tblStylePr w:type="firstRow">
      <w:pPr>
        <w:spacing w:before="0" w:after="0" w:line="240" w:lineRule="auto"/>
      </w:pPr>
      <w:rPr>
        <w:b/>
        <w:bCs/>
      </w:rPr>
      <w:tblPr/>
      <w:tcPr>
        <w:tcBorders>
          <w:top w:val="single" w:sz="8" w:space="0" w:color="F24099" w:themeColor="accent4"/>
          <w:left w:val="nil"/>
          <w:bottom w:val="single" w:sz="8" w:space="0" w:color="F24099" w:themeColor="accent4"/>
          <w:right w:val="nil"/>
          <w:insideH w:val="nil"/>
          <w:insideV w:val="nil"/>
        </w:tcBorders>
      </w:tcPr>
    </w:tblStylePr>
    <w:tblStylePr w:type="lastRow">
      <w:pPr>
        <w:spacing w:before="0" w:after="0" w:line="240" w:lineRule="auto"/>
      </w:pPr>
      <w:rPr>
        <w:b/>
        <w:bCs/>
      </w:rPr>
      <w:tblPr/>
      <w:tcPr>
        <w:tcBorders>
          <w:top w:val="single" w:sz="8" w:space="0" w:color="F24099" w:themeColor="accent4"/>
          <w:left w:val="nil"/>
          <w:bottom w:val="single" w:sz="8" w:space="0" w:color="F24099"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CFE5" w:themeFill="accent4" w:themeFillTint="3F"/>
      </w:tcPr>
    </w:tblStylePr>
    <w:tblStylePr w:type="band1Horz">
      <w:tblPr/>
      <w:tcPr>
        <w:tcBorders>
          <w:left w:val="nil"/>
          <w:right w:val="nil"/>
          <w:insideH w:val="nil"/>
          <w:insideV w:val="nil"/>
        </w:tcBorders>
        <w:shd w:val="clear" w:color="auto" w:fill="FBCFE5" w:themeFill="accent4" w:themeFillTint="3F"/>
      </w:tcPr>
    </w:tblStylePr>
  </w:style>
  <w:style w:type="table" w:styleId="LightShading-Accent5">
    <w:name w:val="Light Shading Accent 5"/>
    <w:basedOn w:val="TableNormal"/>
    <w:uiPriority w:val="60"/>
    <w:rsid w:val="00FC693F"/>
    <w:pPr>
      <w:spacing w:after="0" w:line="240" w:lineRule="auto"/>
    </w:pPr>
    <w:rPr>
      <w:color w:val="616165" w:themeColor="accent5" w:themeShade="BF"/>
    </w:rPr>
    <w:tblPr>
      <w:tblStyleRowBandSize w:val="1"/>
      <w:tblStyleColBandSize w:val="1"/>
      <w:tblBorders>
        <w:top w:val="single" w:sz="8" w:space="0" w:color="828288" w:themeColor="accent5"/>
        <w:bottom w:val="single" w:sz="8" w:space="0" w:color="828288" w:themeColor="accent5"/>
      </w:tblBorders>
    </w:tblPr>
    <w:tblStylePr w:type="firstRow">
      <w:pPr>
        <w:spacing w:before="0" w:after="0" w:line="240" w:lineRule="auto"/>
      </w:pPr>
      <w:rPr>
        <w:b/>
        <w:bCs/>
      </w:rPr>
      <w:tblPr/>
      <w:tcPr>
        <w:tcBorders>
          <w:top w:val="single" w:sz="8" w:space="0" w:color="828288" w:themeColor="accent5"/>
          <w:left w:val="nil"/>
          <w:bottom w:val="single" w:sz="8" w:space="0" w:color="828288" w:themeColor="accent5"/>
          <w:right w:val="nil"/>
          <w:insideH w:val="nil"/>
          <w:insideV w:val="nil"/>
        </w:tcBorders>
      </w:tcPr>
    </w:tblStylePr>
    <w:tblStylePr w:type="lastRow">
      <w:pPr>
        <w:spacing w:before="0" w:after="0" w:line="240" w:lineRule="auto"/>
      </w:pPr>
      <w:rPr>
        <w:b/>
        <w:bCs/>
      </w:rPr>
      <w:tblPr/>
      <w:tcPr>
        <w:tcBorders>
          <w:top w:val="single" w:sz="8" w:space="0" w:color="828288" w:themeColor="accent5"/>
          <w:left w:val="nil"/>
          <w:bottom w:val="single" w:sz="8" w:space="0" w:color="828288"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E0E1" w:themeFill="accent5" w:themeFillTint="3F"/>
      </w:tcPr>
    </w:tblStylePr>
    <w:tblStylePr w:type="band1Horz">
      <w:tblPr/>
      <w:tcPr>
        <w:tcBorders>
          <w:left w:val="nil"/>
          <w:right w:val="nil"/>
          <w:insideH w:val="nil"/>
          <w:insideV w:val="nil"/>
        </w:tcBorders>
        <w:shd w:val="clear" w:color="auto" w:fill="E0E0E1" w:themeFill="accent5" w:themeFillTint="3F"/>
      </w:tcPr>
    </w:tblStylePr>
  </w:style>
  <w:style w:type="table" w:styleId="LightShading-Accent6">
    <w:name w:val="Light Shading Accent 6"/>
    <w:basedOn w:val="TableNormal"/>
    <w:uiPriority w:val="60"/>
    <w:rsid w:val="00FC693F"/>
    <w:pPr>
      <w:spacing w:after="0" w:line="240" w:lineRule="auto"/>
    </w:pPr>
    <w:rPr>
      <w:color w:val="C04908" w:themeColor="accent6" w:themeShade="BF"/>
    </w:rPr>
    <w:tblPr>
      <w:tblStyleRowBandSize w:val="1"/>
      <w:tblStyleColBandSize w:val="1"/>
      <w:tblBorders>
        <w:top w:val="single" w:sz="8" w:space="0" w:color="F56617" w:themeColor="accent6"/>
        <w:bottom w:val="single" w:sz="8" w:space="0" w:color="F56617" w:themeColor="accent6"/>
      </w:tblBorders>
    </w:tblPr>
    <w:tblStylePr w:type="firstRow">
      <w:pPr>
        <w:spacing w:before="0" w:after="0" w:line="240" w:lineRule="auto"/>
      </w:pPr>
      <w:rPr>
        <w:b/>
        <w:bCs/>
      </w:rPr>
      <w:tblPr/>
      <w:tcPr>
        <w:tcBorders>
          <w:top w:val="single" w:sz="8" w:space="0" w:color="F56617" w:themeColor="accent6"/>
          <w:left w:val="nil"/>
          <w:bottom w:val="single" w:sz="8" w:space="0" w:color="F56617" w:themeColor="accent6"/>
          <w:right w:val="nil"/>
          <w:insideH w:val="nil"/>
          <w:insideV w:val="nil"/>
        </w:tcBorders>
      </w:tcPr>
    </w:tblStylePr>
    <w:tblStylePr w:type="lastRow">
      <w:pPr>
        <w:spacing w:before="0" w:after="0" w:line="240" w:lineRule="auto"/>
      </w:pPr>
      <w:rPr>
        <w:b/>
        <w:bCs/>
      </w:rPr>
      <w:tblPr/>
      <w:tcPr>
        <w:tcBorders>
          <w:top w:val="single" w:sz="8" w:space="0" w:color="F56617" w:themeColor="accent6"/>
          <w:left w:val="nil"/>
          <w:bottom w:val="single" w:sz="8" w:space="0" w:color="F5661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D8C5" w:themeFill="accent6" w:themeFillTint="3F"/>
      </w:tcPr>
    </w:tblStylePr>
    <w:tblStylePr w:type="band1Horz">
      <w:tblPr/>
      <w:tcPr>
        <w:tcBorders>
          <w:left w:val="nil"/>
          <w:right w:val="nil"/>
          <w:insideH w:val="nil"/>
          <w:insideV w:val="nil"/>
        </w:tcBorders>
        <w:shd w:val="clear" w:color="auto" w:fill="FCD8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2C2C2C" w:themeColor="text1"/>
        <w:left w:val="single" w:sz="8" w:space="0" w:color="2C2C2C" w:themeColor="text1"/>
        <w:bottom w:val="single" w:sz="8" w:space="0" w:color="2C2C2C" w:themeColor="text1"/>
        <w:right w:val="single" w:sz="8" w:space="0" w:color="2C2C2C" w:themeColor="text1"/>
      </w:tblBorders>
    </w:tblPr>
    <w:tblStylePr w:type="firstRow">
      <w:pPr>
        <w:spacing w:before="0" w:after="0" w:line="240" w:lineRule="auto"/>
      </w:pPr>
      <w:rPr>
        <w:b/>
        <w:bCs/>
        <w:color w:val="FFFFFF" w:themeColor="background1"/>
      </w:rPr>
      <w:tblPr/>
      <w:tcPr>
        <w:shd w:val="clear" w:color="auto" w:fill="2C2C2C" w:themeFill="text1"/>
      </w:tcPr>
    </w:tblStylePr>
    <w:tblStylePr w:type="lastRow">
      <w:pPr>
        <w:spacing w:before="0" w:after="0" w:line="240" w:lineRule="auto"/>
      </w:pPr>
      <w:rPr>
        <w:b/>
        <w:bCs/>
      </w:rPr>
      <w:tblPr/>
      <w:tcPr>
        <w:tcBorders>
          <w:top w:val="double" w:sz="6" w:space="0" w:color="2C2C2C" w:themeColor="text1"/>
          <w:left w:val="single" w:sz="8" w:space="0" w:color="2C2C2C" w:themeColor="text1"/>
          <w:bottom w:val="single" w:sz="8" w:space="0" w:color="2C2C2C" w:themeColor="text1"/>
          <w:right w:val="single" w:sz="8" w:space="0" w:color="2C2C2C" w:themeColor="text1"/>
        </w:tcBorders>
      </w:tcPr>
    </w:tblStylePr>
    <w:tblStylePr w:type="firstCol">
      <w:rPr>
        <w:b/>
        <w:bCs/>
      </w:rPr>
    </w:tblStylePr>
    <w:tblStylePr w:type="lastCol">
      <w:rPr>
        <w:b/>
        <w:bCs/>
      </w:rPr>
    </w:tblStylePr>
    <w:tblStylePr w:type="band1Vert">
      <w:tblPr/>
      <w:tcPr>
        <w:tcBorders>
          <w:top w:val="single" w:sz="8" w:space="0" w:color="2C2C2C" w:themeColor="text1"/>
          <w:left w:val="single" w:sz="8" w:space="0" w:color="2C2C2C" w:themeColor="text1"/>
          <w:bottom w:val="single" w:sz="8" w:space="0" w:color="2C2C2C" w:themeColor="text1"/>
          <w:right w:val="single" w:sz="8" w:space="0" w:color="2C2C2C" w:themeColor="text1"/>
        </w:tcBorders>
      </w:tcPr>
    </w:tblStylePr>
    <w:tblStylePr w:type="band1Horz">
      <w:tblPr/>
      <w:tcPr>
        <w:tcBorders>
          <w:top w:val="single" w:sz="8" w:space="0" w:color="2C2C2C" w:themeColor="text1"/>
          <w:left w:val="single" w:sz="8" w:space="0" w:color="2C2C2C" w:themeColor="text1"/>
          <w:bottom w:val="single" w:sz="8" w:space="0" w:color="2C2C2C" w:themeColor="text1"/>
          <w:right w:val="single" w:sz="8" w:space="0" w:color="2C2C2C"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FFC000" w:themeColor="accent1"/>
        <w:left w:val="single" w:sz="8" w:space="0" w:color="FFC000" w:themeColor="accent1"/>
        <w:bottom w:val="single" w:sz="8" w:space="0" w:color="FFC000" w:themeColor="accent1"/>
        <w:right w:val="single" w:sz="8" w:space="0" w:color="FFC000" w:themeColor="accent1"/>
      </w:tblBorders>
    </w:tblPr>
    <w:tblStylePr w:type="firstRow">
      <w:pPr>
        <w:spacing w:before="0" w:after="0" w:line="240" w:lineRule="auto"/>
      </w:pPr>
      <w:rPr>
        <w:b/>
        <w:bCs/>
        <w:color w:val="FFFFFF" w:themeColor="background1"/>
      </w:rPr>
      <w:tblPr/>
      <w:tcPr>
        <w:shd w:val="clear" w:color="auto" w:fill="FFC000" w:themeFill="accent1"/>
      </w:tcPr>
    </w:tblStylePr>
    <w:tblStylePr w:type="lastRow">
      <w:pPr>
        <w:spacing w:before="0" w:after="0" w:line="240" w:lineRule="auto"/>
      </w:pPr>
      <w:rPr>
        <w:b/>
        <w:bCs/>
      </w:rPr>
      <w:tblPr/>
      <w:tcPr>
        <w:tcBorders>
          <w:top w:val="double" w:sz="6" w:space="0" w:color="FFC000" w:themeColor="accent1"/>
          <w:left w:val="single" w:sz="8" w:space="0" w:color="FFC000" w:themeColor="accent1"/>
          <w:bottom w:val="single" w:sz="8" w:space="0" w:color="FFC000" w:themeColor="accent1"/>
          <w:right w:val="single" w:sz="8" w:space="0" w:color="FFC000" w:themeColor="accent1"/>
        </w:tcBorders>
      </w:tcPr>
    </w:tblStylePr>
    <w:tblStylePr w:type="firstCol">
      <w:rPr>
        <w:b/>
        <w:bCs/>
      </w:rPr>
    </w:tblStylePr>
    <w:tblStylePr w:type="lastCol">
      <w:rPr>
        <w:b/>
        <w:bCs/>
      </w:rPr>
    </w:tblStylePr>
    <w:tblStylePr w:type="band1Vert">
      <w:tblPr/>
      <w:tcPr>
        <w:tcBorders>
          <w:top w:val="single" w:sz="8" w:space="0" w:color="FFC000" w:themeColor="accent1"/>
          <w:left w:val="single" w:sz="8" w:space="0" w:color="FFC000" w:themeColor="accent1"/>
          <w:bottom w:val="single" w:sz="8" w:space="0" w:color="FFC000" w:themeColor="accent1"/>
          <w:right w:val="single" w:sz="8" w:space="0" w:color="FFC000" w:themeColor="accent1"/>
        </w:tcBorders>
      </w:tcPr>
    </w:tblStylePr>
    <w:tblStylePr w:type="band1Horz">
      <w:tblPr/>
      <w:tcPr>
        <w:tcBorders>
          <w:top w:val="single" w:sz="8" w:space="0" w:color="FFC000" w:themeColor="accent1"/>
          <w:left w:val="single" w:sz="8" w:space="0" w:color="FFC000" w:themeColor="accent1"/>
          <w:bottom w:val="single" w:sz="8" w:space="0" w:color="FFC000" w:themeColor="accent1"/>
          <w:right w:val="single" w:sz="8" w:space="0" w:color="FFC000"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A5D028" w:themeColor="accent2"/>
        <w:left w:val="single" w:sz="8" w:space="0" w:color="A5D028" w:themeColor="accent2"/>
        <w:bottom w:val="single" w:sz="8" w:space="0" w:color="A5D028" w:themeColor="accent2"/>
        <w:right w:val="single" w:sz="8" w:space="0" w:color="A5D028" w:themeColor="accent2"/>
      </w:tblBorders>
    </w:tblPr>
    <w:tblStylePr w:type="firstRow">
      <w:pPr>
        <w:spacing w:before="0" w:after="0" w:line="240" w:lineRule="auto"/>
      </w:pPr>
      <w:rPr>
        <w:b/>
        <w:bCs/>
        <w:color w:val="FFFFFF" w:themeColor="background1"/>
      </w:rPr>
      <w:tblPr/>
      <w:tcPr>
        <w:shd w:val="clear" w:color="auto" w:fill="A5D028" w:themeFill="accent2"/>
      </w:tcPr>
    </w:tblStylePr>
    <w:tblStylePr w:type="lastRow">
      <w:pPr>
        <w:spacing w:before="0" w:after="0" w:line="240" w:lineRule="auto"/>
      </w:pPr>
      <w:rPr>
        <w:b/>
        <w:bCs/>
      </w:rPr>
      <w:tblPr/>
      <w:tcPr>
        <w:tcBorders>
          <w:top w:val="double" w:sz="6" w:space="0" w:color="A5D028" w:themeColor="accent2"/>
          <w:left w:val="single" w:sz="8" w:space="0" w:color="A5D028" w:themeColor="accent2"/>
          <w:bottom w:val="single" w:sz="8" w:space="0" w:color="A5D028" w:themeColor="accent2"/>
          <w:right w:val="single" w:sz="8" w:space="0" w:color="A5D028" w:themeColor="accent2"/>
        </w:tcBorders>
      </w:tcPr>
    </w:tblStylePr>
    <w:tblStylePr w:type="firstCol">
      <w:rPr>
        <w:b/>
        <w:bCs/>
      </w:rPr>
    </w:tblStylePr>
    <w:tblStylePr w:type="lastCol">
      <w:rPr>
        <w:b/>
        <w:bCs/>
      </w:rPr>
    </w:tblStylePr>
    <w:tblStylePr w:type="band1Vert">
      <w:tblPr/>
      <w:tcPr>
        <w:tcBorders>
          <w:top w:val="single" w:sz="8" w:space="0" w:color="A5D028" w:themeColor="accent2"/>
          <w:left w:val="single" w:sz="8" w:space="0" w:color="A5D028" w:themeColor="accent2"/>
          <w:bottom w:val="single" w:sz="8" w:space="0" w:color="A5D028" w:themeColor="accent2"/>
          <w:right w:val="single" w:sz="8" w:space="0" w:color="A5D028" w:themeColor="accent2"/>
        </w:tcBorders>
      </w:tcPr>
    </w:tblStylePr>
    <w:tblStylePr w:type="band1Horz">
      <w:tblPr/>
      <w:tcPr>
        <w:tcBorders>
          <w:top w:val="single" w:sz="8" w:space="0" w:color="A5D028" w:themeColor="accent2"/>
          <w:left w:val="single" w:sz="8" w:space="0" w:color="A5D028" w:themeColor="accent2"/>
          <w:bottom w:val="single" w:sz="8" w:space="0" w:color="A5D028" w:themeColor="accent2"/>
          <w:right w:val="single" w:sz="8" w:space="0" w:color="A5D028"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08CC78" w:themeColor="accent3"/>
        <w:left w:val="single" w:sz="8" w:space="0" w:color="08CC78" w:themeColor="accent3"/>
        <w:bottom w:val="single" w:sz="8" w:space="0" w:color="08CC78" w:themeColor="accent3"/>
        <w:right w:val="single" w:sz="8" w:space="0" w:color="08CC78" w:themeColor="accent3"/>
      </w:tblBorders>
    </w:tblPr>
    <w:tblStylePr w:type="firstRow">
      <w:pPr>
        <w:spacing w:before="0" w:after="0" w:line="240" w:lineRule="auto"/>
      </w:pPr>
      <w:rPr>
        <w:b/>
        <w:bCs/>
        <w:color w:val="FFFFFF" w:themeColor="background1"/>
      </w:rPr>
      <w:tblPr/>
      <w:tcPr>
        <w:shd w:val="clear" w:color="auto" w:fill="08CC78" w:themeFill="accent3"/>
      </w:tcPr>
    </w:tblStylePr>
    <w:tblStylePr w:type="lastRow">
      <w:pPr>
        <w:spacing w:before="0" w:after="0" w:line="240" w:lineRule="auto"/>
      </w:pPr>
      <w:rPr>
        <w:b/>
        <w:bCs/>
      </w:rPr>
      <w:tblPr/>
      <w:tcPr>
        <w:tcBorders>
          <w:top w:val="double" w:sz="6" w:space="0" w:color="08CC78" w:themeColor="accent3"/>
          <w:left w:val="single" w:sz="8" w:space="0" w:color="08CC78" w:themeColor="accent3"/>
          <w:bottom w:val="single" w:sz="8" w:space="0" w:color="08CC78" w:themeColor="accent3"/>
          <w:right w:val="single" w:sz="8" w:space="0" w:color="08CC78" w:themeColor="accent3"/>
        </w:tcBorders>
      </w:tcPr>
    </w:tblStylePr>
    <w:tblStylePr w:type="firstCol">
      <w:rPr>
        <w:b/>
        <w:bCs/>
      </w:rPr>
    </w:tblStylePr>
    <w:tblStylePr w:type="lastCol">
      <w:rPr>
        <w:b/>
        <w:bCs/>
      </w:rPr>
    </w:tblStylePr>
    <w:tblStylePr w:type="band1Vert">
      <w:tblPr/>
      <w:tcPr>
        <w:tcBorders>
          <w:top w:val="single" w:sz="8" w:space="0" w:color="08CC78" w:themeColor="accent3"/>
          <w:left w:val="single" w:sz="8" w:space="0" w:color="08CC78" w:themeColor="accent3"/>
          <w:bottom w:val="single" w:sz="8" w:space="0" w:color="08CC78" w:themeColor="accent3"/>
          <w:right w:val="single" w:sz="8" w:space="0" w:color="08CC78" w:themeColor="accent3"/>
        </w:tcBorders>
      </w:tcPr>
    </w:tblStylePr>
    <w:tblStylePr w:type="band1Horz">
      <w:tblPr/>
      <w:tcPr>
        <w:tcBorders>
          <w:top w:val="single" w:sz="8" w:space="0" w:color="08CC78" w:themeColor="accent3"/>
          <w:left w:val="single" w:sz="8" w:space="0" w:color="08CC78" w:themeColor="accent3"/>
          <w:bottom w:val="single" w:sz="8" w:space="0" w:color="08CC78" w:themeColor="accent3"/>
          <w:right w:val="single" w:sz="8" w:space="0" w:color="08CC78"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F24099" w:themeColor="accent4"/>
        <w:left w:val="single" w:sz="8" w:space="0" w:color="F24099" w:themeColor="accent4"/>
        <w:bottom w:val="single" w:sz="8" w:space="0" w:color="F24099" w:themeColor="accent4"/>
        <w:right w:val="single" w:sz="8" w:space="0" w:color="F24099" w:themeColor="accent4"/>
      </w:tblBorders>
    </w:tblPr>
    <w:tblStylePr w:type="firstRow">
      <w:pPr>
        <w:spacing w:before="0" w:after="0" w:line="240" w:lineRule="auto"/>
      </w:pPr>
      <w:rPr>
        <w:b/>
        <w:bCs/>
        <w:color w:val="FFFFFF" w:themeColor="background1"/>
      </w:rPr>
      <w:tblPr/>
      <w:tcPr>
        <w:shd w:val="clear" w:color="auto" w:fill="F24099" w:themeFill="accent4"/>
      </w:tcPr>
    </w:tblStylePr>
    <w:tblStylePr w:type="lastRow">
      <w:pPr>
        <w:spacing w:before="0" w:after="0" w:line="240" w:lineRule="auto"/>
      </w:pPr>
      <w:rPr>
        <w:b/>
        <w:bCs/>
      </w:rPr>
      <w:tblPr/>
      <w:tcPr>
        <w:tcBorders>
          <w:top w:val="double" w:sz="6" w:space="0" w:color="F24099" w:themeColor="accent4"/>
          <w:left w:val="single" w:sz="8" w:space="0" w:color="F24099" w:themeColor="accent4"/>
          <w:bottom w:val="single" w:sz="8" w:space="0" w:color="F24099" w:themeColor="accent4"/>
          <w:right w:val="single" w:sz="8" w:space="0" w:color="F24099" w:themeColor="accent4"/>
        </w:tcBorders>
      </w:tcPr>
    </w:tblStylePr>
    <w:tblStylePr w:type="firstCol">
      <w:rPr>
        <w:b/>
        <w:bCs/>
      </w:rPr>
    </w:tblStylePr>
    <w:tblStylePr w:type="lastCol">
      <w:rPr>
        <w:b/>
        <w:bCs/>
      </w:rPr>
    </w:tblStylePr>
    <w:tblStylePr w:type="band1Vert">
      <w:tblPr/>
      <w:tcPr>
        <w:tcBorders>
          <w:top w:val="single" w:sz="8" w:space="0" w:color="F24099" w:themeColor="accent4"/>
          <w:left w:val="single" w:sz="8" w:space="0" w:color="F24099" w:themeColor="accent4"/>
          <w:bottom w:val="single" w:sz="8" w:space="0" w:color="F24099" w:themeColor="accent4"/>
          <w:right w:val="single" w:sz="8" w:space="0" w:color="F24099" w:themeColor="accent4"/>
        </w:tcBorders>
      </w:tcPr>
    </w:tblStylePr>
    <w:tblStylePr w:type="band1Horz">
      <w:tblPr/>
      <w:tcPr>
        <w:tcBorders>
          <w:top w:val="single" w:sz="8" w:space="0" w:color="F24099" w:themeColor="accent4"/>
          <w:left w:val="single" w:sz="8" w:space="0" w:color="F24099" w:themeColor="accent4"/>
          <w:bottom w:val="single" w:sz="8" w:space="0" w:color="F24099" w:themeColor="accent4"/>
          <w:right w:val="single" w:sz="8" w:space="0" w:color="F24099"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828288" w:themeColor="accent5"/>
        <w:left w:val="single" w:sz="8" w:space="0" w:color="828288" w:themeColor="accent5"/>
        <w:bottom w:val="single" w:sz="8" w:space="0" w:color="828288" w:themeColor="accent5"/>
        <w:right w:val="single" w:sz="8" w:space="0" w:color="828288" w:themeColor="accent5"/>
      </w:tblBorders>
    </w:tblPr>
    <w:tblStylePr w:type="firstRow">
      <w:pPr>
        <w:spacing w:before="0" w:after="0" w:line="240" w:lineRule="auto"/>
      </w:pPr>
      <w:rPr>
        <w:b/>
        <w:bCs/>
        <w:color w:val="FFFFFF" w:themeColor="background1"/>
      </w:rPr>
      <w:tblPr/>
      <w:tcPr>
        <w:shd w:val="clear" w:color="auto" w:fill="828288" w:themeFill="accent5"/>
      </w:tcPr>
    </w:tblStylePr>
    <w:tblStylePr w:type="lastRow">
      <w:pPr>
        <w:spacing w:before="0" w:after="0" w:line="240" w:lineRule="auto"/>
      </w:pPr>
      <w:rPr>
        <w:b/>
        <w:bCs/>
      </w:rPr>
      <w:tblPr/>
      <w:tcPr>
        <w:tcBorders>
          <w:top w:val="double" w:sz="6" w:space="0" w:color="828288" w:themeColor="accent5"/>
          <w:left w:val="single" w:sz="8" w:space="0" w:color="828288" w:themeColor="accent5"/>
          <w:bottom w:val="single" w:sz="8" w:space="0" w:color="828288" w:themeColor="accent5"/>
          <w:right w:val="single" w:sz="8" w:space="0" w:color="828288" w:themeColor="accent5"/>
        </w:tcBorders>
      </w:tcPr>
    </w:tblStylePr>
    <w:tblStylePr w:type="firstCol">
      <w:rPr>
        <w:b/>
        <w:bCs/>
      </w:rPr>
    </w:tblStylePr>
    <w:tblStylePr w:type="lastCol">
      <w:rPr>
        <w:b/>
        <w:bCs/>
      </w:rPr>
    </w:tblStylePr>
    <w:tblStylePr w:type="band1Vert">
      <w:tblPr/>
      <w:tcPr>
        <w:tcBorders>
          <w:top w:val="single" w:sz="8" w:space="0" w:color="828288" w:themeColor="accent5"/>
          <w:left w:val="single" w:sz="8" w:space="0" w:color="828288" w:themeColor="accent5"/>
          <w:bottom w:val="single" w:sz="8" w:space="0" w:color="828288" w:themeColor="accent5"/>
          <w:right w:val="single" w:sz="8" w:space="0" w:color="828288" w:themeColor="accent5"/>
        </w:tcBorders>
      </w:tcPr>
    </w:tblStylePr>
    <w:tblStylePr w:type="band1Horz">
      <w:tblPr/>
      <w:tcPr>
        <w:tcBorders>
          <w:top w:val="single" w:sz="8" w:space="0" w:color="828288" w:themeColor="accent5"/>
          <w:left w:val="single" w:sz="8" w:space="0" w:color="828288" w:themeColor="accent5"/>
          <w:bottom w:val="single" w:sz="8" w:space="0" w:color="828288" w:themeColor="accent5"/>
          <w:right w:val="single" w:sz="8" w:space="0" w:color="828288"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56617" w:themeColor="accent6"/>
        <w:left w:val="single" w:sz="8" w:space="0" w:color="F56617" w:themeColor="accent6"/>
        <w:bottom w:val="single" w:sz="8" w:space="0" w:color="F56617" w:themeColor="accent6"/>
        <w:right w:val="single" w:sz="8" w:space="0" w:color="F56617" w:themeColor="accent6"/>
      </w:tblBorders>
    </w:tblPr>
    <w:tblStylePr w:type="firstRow">
      <w:pPr>
        <w:spacing w:before="0" w:after="0" w:line="240" w:lineRule="auto"/>
      </w:pPr>
      <w:rPr>
        <w:b/>
        <w:bCs/>
        <w:color w:val="FFFFFF" w:themeColor="background1"/>
      </w:rPr>
      <w:tblPr/>
      <w:tcPr>
        <w:shd w:val="clear" w:color="auto" w:fill="F56617" w:themeFill="accent6"/>
      </w:tcPr>
    </w:tblStylePr>
    <w:tblStylePr w:type="lastRow">
      <w:pPr>
        <w:spacing w:before="0" w:after="0" w:line="240" w:lineRule="auto"/>
      </w:pPr>
      <w:rPr>
        <w:b/>
        <w:bCs/>
      </w:rPr>
      <w:tblPr/>
      <w:tcPr>
        <w:tcBorders>
          <w:top w:val="double" w:sz="6" w:space="0" w:color="F56617" w:themeColor="accent6"/>
          <w:left w:val="single" w:sz="8" w:space="0" w:color="F56617" w:themeColor="accent6"/>
          <w:bottom w:val="single" w:sz="8" w:space="0" w:color="F56617" w:themeColor="accent6"/>
          <w:right w:val="single" w:sz="8" w:space="0" w:color="F56617" w:themeColor="accent6"/>
        </w:tcBorders>
      </w:tcPr>
    </w:tblStylePr>
    <w:tblStylePr w:type="firstCol">
      <w:rPr>
        <w:b/>
        <w:bCs/>
      </w:rPr>
    </w:tblStylePr>
    <w:tblStylePr w:type="lastCol">
      <w:rPr>
        <w:b/>
        <w:bCs/>
      </w:rPr>
    </w:tblStylePr>
    <w:tblStylePr w:type="band1Vert">
      <w:tblPr/>
      <w:tcPr>
        <w:tcBorders>
          <w:top w:val="single" w:sz="8" w:space="0" w:color="F56617" w:themeColor="accent6"/>
          <w:left w:val="single" w:sz="8" w:space="0" w:color="F56617" w:themeColor="accent6"/>
          <w:bottom w:val="single" w:sz="8" w:space="0" w:color="F56617" w:themeColor="accent6"/>
          <w:right w:val="single" w:sz="8" w:space="0" w:color="F56617" w:themeColor="accent6"/>
        </w:tcBorders>
      </w:tcPr>
    </w:tblStylePr>
    <w:tblStylePr w:type="band1Horz">
      <w:tblPr/>
      <w:tcPr>
        <w:tcBorders>
          <w:top w:val="single" w:sz="8" w:space="0" w:color="F56617" w:themeColor="accent6"/>
          <w:left w:val="single" w:sz="8" w:space="0" w:color="F56617" w:themeColor="accent6"/>
          <w:bottom w:val="single" w:sz="8" w:space="0" w:color="F56617" w:themeColor="accent6"/>
          <w:right w:val="single" w:sz="8" w:space="0" w:color="F56617"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2C2C2C" w:themeColor="text1"/>
        <w:left w:val="single" w:sz="8" w:space="0" w:color="2C2C2C" w:themeColor="text1"/>
        <w:bottom w:val="single" w:sz="8" w:space="0" w:color="2C2C2C" w:themeColor="text1"/>
        <w:right w:val="single" w:sz="8" w:space="0" w:color="2C2C2C" w:themeColor="text1"/>
        <w:insideH w:val="single" w:sz="8" w:space="0" w:color="2C2C2C" w:themeColor="text1"/>
        <w:insideV w:val="single" w:sz="8" w:space="0" w:color="2C2C2C"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C2C2C" w:themeColor="text1"/>
          <w:left w:val="single" w:sz="8" w:space="0" w:color="2C2C2C" w:themeColor="text1"/>
          <w:bottom w:val="single" w:sz="18" w:space="0" w:color="2C2C2C" w:themeColor="text1"/>
          <w:right w:val="single" w:sz="8" w:space="0" w:color="2C2C2C" w:themeColor="text1"/>
          <w:insideH w:val="nil"/>
          <w:insideV w:val="single" w:sz="8" w:space="0" w:color="2C2C2C"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C2C2C" w:themeColor="text1"/>
          <w:left w:val="single" w:sz="8" w:space="0" w:color="2C2C2C" w:themeColor="text1"/>
          <w:bottom w:val="single" w:sz="8" w:space="0" w:color="2C2C2C" w:themeColor="text1"/>
          <w:right w:val="single" w:sz="8" w:space="0" w:color="2C2C2C" w:themeColor="text1"/>
          <w:insideH w:val="nil"/>
          <w:insideV w:val="single" w:sz="8" w:space="0" w:color="2C2C2C"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C2C2C" w:themeColor="text1"/>
          <w:left w:val="single" w:sz="8" w:space="0" w:color="2C2C2C" w:themeColor="text1"/>
          <w:bottom w:val="single" w:sz="8" w:space="0" w:color="2C2C2C" w:themeColor="text1"/>
          <w:right w:val="single" w:sz="8" w:space="0" w:color="2C2C2C" w:themeColor="text1"/>
        </w:tcBorders>
      </w:tcPr>
    </w:tblStylePr>
    <w:tblStylePr w:type="band1Vert">
      <w:tblPr/>
      <w:tcPr>
        <w:tcBorders>
          <w:top w:val="single" w:sz="8" w:space="0" w:color="2C2C2C" w:themeColor="text1"/>
          <w:left w:val="single" w:sz="8" w:space="0" w:color="2C2C2C" w:themeColor="text1"/>
          <w:bottom w:val="single" w:sz="8" w:space="0" w:color="2C2C2C" w:themeColor="text1"/>
          <w:right w:val="single" w:sz="8" w:space="0" w:color="2C2C2C" w:themeColor="text1"/>
        </w:tcBorders>
        <w:shd w:val="clear" w:color="auto" w:fill="CACACA" w:themeFill="text1" w:themeFillTint="3F"/>
      </w:tcPr>
    </w:tblStylePr>
    <w:tblStylePr w:type="band1Horz">
      <w:tblPr/>
      <w:tcPr>
        <w:tcBorders>
          <w:top w:val="single" w:sz="8" w:space="0" w:color="2C2C2C" w:themeColor="text1"/>
          <w:left w:val="single" w:sz="8" w:space="0" w:color="2C2C2C" w:themeColor="text1"/>
          <w:bottom w:val="single" w:sz="8" w:space="0" w:color="2C2C2C" w:themeColor="text1"/>
          <w:right w:val="single" w:sz="8" w:space="0" w:color="2C2C2C" w:themeColor="text1"/>
          <w:insideV w:val="single" w:sz="8" w:space="0" w:color="2C2C2C" w:themeColor="text1"/>
        </w:tcBorders>
        <w:shd w:val="clear" w:color="auto" w:fill="CACACA" w:themeFill="text1" w:themeFillTint="3F"/>
      </w:tcPr>
    </w:tblStylePr>
    <w:tblStylePr w:type="band2Horz">
      <w:tblPr/>
      <w:tcPr>
        <w:tcBorders>
          <w:top w:val="single" w:sz="8" w:space="0" w:color="2C2C2C" w:themeColor="text1"/>
          <w:left w:val="single" w:sz="8" w:space="0" w:color="2C2C2C" w:themeColor="text1"/>
          <w:bottom w:val="single" w:sz="8" w:space="0" w:color="2C2C2C" w:themeColor="text1"/>
          <w:right w:val="single" w:sz="8" w:space="0" w:color="2C2C2C" w:themeColor="text1"/>
          <w:insideV w:val="single" w:sz="8" w:space="0" w:color="2C2C2C"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FFC000" w:themeColor="accent1"/>
        <w:left w:val="single" w:sz="8" w:space="0" w:color="FFC000" w:themeColor="accent1"/>
        <w:bottom w:val="single" w:sz="8" w:space="0" w:color="FFC000" w:themeColor="accent1"/>
        <w:right w:val="single" w:sz="8" w:space="0" w:color="FFC000" w:themeColor="accent1"/>
        <w:insideH w:val="single" w:sz="8" w:space="0" w:color="FFC000" w:themeColor="accent1"/>
        <w:insideV w:val="single" w:sz="8" w:space="0" w:color="FFC000"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1"/>
          <w:left w:val="single" w:sz="8" w:space="0" w:color="FFC000" w:themeColor="accent1"/>
          <w:bottom w:val="single" w:sz="18" w:space="0" w:color="FFC000" w:themeColor="accent1"/>
          <w:right w:val="single" w:sz="8" w:space="0" w:color="FFC000" w:themeColor="accent1"/>
          <w:insideH w:val="nil"/>
          <w:insideV w:val="single" w:sz="8" w:space="0" w:color="FFC00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1"/>
          <w:left w:val="single" w:sz="8" w:space="0" w:color="FFC000" w:themeColor="accent1"/>
          <w:bottom w:val="single" w:sz="8" w:space="0" w:color="FFC000" w:themeColor="accent1"/>
          <w:right w:val="single" w:sz="8" w:space="0" w:color="FFC000" w:themeColor="accent1"/>
          <w:insideH w:val="nil"/>
          <w:insideV w:val="single" w:sz="8" w:space="0" w:color="FFC00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1"/>
          <w:left w:val="single" w:sz="8" w:space="0" w:color="FFC000" w:themeColor="accent1"/>
          <w:bottom w:val="single" w:sz="8" w:space="0" w:color="FFC000" w:themeColor="accent1"/>
          <w:right w:val="single" w:sz="8" w:space="0" w:color="FFC000" w:themeColor="accent1"/>
        </w:tcBorders>
      </w:tcPr>
    </w:tblStylePr>
    <w:tblStylePr w:type="band1Vert">
      <w:tblPr/>
      <w:tcPr>
        <w:tcBorders>
          <w:top w:val="single" w:sz="8" w:space="0" w:color="FFC000" w:themeColor="accent1"/>
          <w:left w:val="single" w:sz="8" w:space="0" w:color="FFC000" w:themeColor="accent1"/>
          <w:bottom w:val="single" w:sz="8" w:space="0" w:color="FFC000" w:themeColor="accent1"/>
          <w:right w:val="single" w:sz="8" w:space="0" w:color="FFC000" w:themeColor="accent1"/>
        </w:tcBorders>
        <w:shd w:val="clear" w:color="auto" w:fill="FFEFC0" w:themeFill="accent1" w:themeFillTint="3F"/>
      </w:tcPr>
    </w:tblStylePr>
    <w:tblStylePr w:type="band1Horz">
      <w:tblPr/>
      <w:tcPr>
        <w:tcBorders>
          <w:top w:val="single" w:sz="8" w:space="0" w:color="FFC000" w:themeColor="accent1"/>
          <w:left w:val="single" w:sz="8" w:space="0" w:color="FFC000" w:themeColor="accent1"/>
          <w:bottom w:val="single" w:sz="8" w:space="0" w:color="FFC000" w:themeColor="accent1"/>
          <w:right w:val="single" w:sz="8" w:space="0" w:color="FFC000" w:themeColor="accent1"/>
          <w:insideV w:val="single" w:sz="8" w:space="0" w:color="FFC000" w:themeColor="accent1"/>
        </w:tcBorders>
        <w:shd w:val="clear" w:color="auto" w:fill="FFEFC0" w:themeFill="accent1" w:themeFillTint="3F"/>
      </w:tcPr>
    </w:tblStylePr>
    <w:tblStylePr w:type="band2Horz">
      <w:tblPr/>
      <w:tcPr>
        <w:tcBorders>
          <w:top w:val="single" w:sz="8" w:space="0" w:color="FFC000" w:themeColor="accent1"/>
          <w:left w:val="single" w:sz="8" w:space="0" w:color="FFC000" w:themeColor="accent1"/>
          <w:bottom w:val="single" w:sz="8" w:space="0" w:color="FFC000" w:themeColor="accent1"/>
          <w:right w:val="single" w:sz="8" w:space="0" w:color="FFC000" w:themeColor="accent1"/>
          <w:insideV w:val="single" w:sz="8" w:space="0" w:color="FFC000"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A5D028" w:themeColor="accent2"/>
        <w:left w:val="single" w:sz="8" w:space="0" w:color="A5D028" w:themeColor="accent2"/>
        <w:bottom w:val="single" w:sz="8" w:space="0" w:color="A5D028" w:themeColor="accent2"/>
        <w:right w:val="single" w:sz="8" w:space="0" w:color="A5D028" w:themeColor="accent2"/>
        <w:insideH w:val="single" w:sz="8" w:space="0" w:color="A5D028" w:themeColor="accent2"/>
        <w:insideV w:val="single" w:sz="8" w:space="0" w:color="A5D028"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D028" w:themeColor="accent2"/>
          <w:left w:val="single" w:sz="8" w:space="0" w:color="A5D028" w:themeColor="accent2"/>
          <w:bottom w:val="single" w:sz="18" w:space="0" w:color="A5D028" w:themeColor="accent2"/>
          <w:right w:val="single" w:sz="8" w:space="0" w:color="A5D028" w:themeColor="accent2"/>
          <w:insideH w:val="nil"/>
          <w:insideV w:val="single" w:sz="8" w:space="0" w:color="A5D028"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D028" w:themeColor="accent2"/>
          <w:left w:val="single" w:sz="8" w:space="0" w:color="A5D028" w:themeColor="accent2"/>
          <w:bottom w:val="single" w:sz="8" w:space="0" w:color="A5D028" w:themeColor="accent2"/>
          <w:right w:val="single" w:sz="8" w:space="0" w:color="A5D028" w:themeColor="accent2"/>
          <w:insideH w:val="nil"/>
          <w:insideV w:val="single" w:sz="8" w:space="0" w:color="A5D028"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D028" w:themeColor="accent2"/>
          <w:left w:val="single" w:sz="8" w:space="0" w:color="A5D028" w:themeColor="accent2"/>
          <w:bottom w:val="single" w:sz="8" w:space="0" w:color="A5D028" w:themeColor="accent2"/>
          <w:right w:val="single" w:sz="8" w:space="0" w:color="A5D028" w:themeColor="accent2"/>
        </w:tcBorders>
      </w:tcPr>
    </w:tblStylePr>
    <w:tblStylePr w:type="band1Vert">
      <w:tblPr/>
      <w:tcPr>
        <w:tcBorders>
          <w:top w:val="single" w:sz="8" w:space="0" w:color="A5D028" w:themeColor="accent2"/>
          <w:left w:val="single" w:sz="8" w:space="0" w:color="A5D028" w:themeColor="accent2"/>
          <w:bottom w:val="single" w:sz="8" w:space="0" w:color="A5D028" w:themeColor="accent2"/>
          <w:right w:val="single" w:sz="8" w:space="0" w:color="A5D028" w:themeColor="accent2"/>
        </w:tcBorders>
        <w:shd w:val="clear" w:color="auto" w:fill="E9F4C8" w:themeFill="accent2" w:themeFillTint="3F"/>
      </w:tcPr>
    </w:tblStylePr>
    <w:tblStylePr w:type="band1Horz">
      <w:tblPr/>
      <w:tcPr>
        <w:tcBorders>
          <w:top w:val="single" w:sz="8" w:space="0" w:color="A5D028" w:themeColor="accent2"/>
          <w:left w:val="single" w:sz="8" w:space="0" w:color="A5D028" w:themeColor="accent2"/>
          <w:bottom w:val="single" w:sz="8" w:space="0" w:color="A5D028" w:themeColor="accent2"/>
          <w:right w:val="single" w:sz="8" w:space="0" w:color="A5D028" w:themeColor="accent2"/>
          <w:insideV w:val="single" w:sz="8" w:space="0" w:color="A5D028" w:themeColor="accent2"/>
        </w:tcBorders>
        <w:shd w:val="clear" w:color="auto" w:fill="E9F4C8" w:themeFill="accent2" w:themeFillTint="3F"/>
      </w:tcPr>
    </w:tblStylePr>
    <w:tblStylePr w:type="band2Horz">
      <w:tblPr/>
      <w:tcPr>
        <w:tcBorders>
          <w:top w:val="single" w:sz="8" w:space="0" w:color="A5D028" w:themeColor="accent2"/>
          <w:left w:val="single" w:sz="8" w:space="0" w:color="A5D028" w:themeColor="accent2"/>
          <w:bottom w:val="single" w:sz="8" w:space="0" w:color="A5D028" w:themeColor="accent2"/>
          <w:right w:val="single" w:sz="8" w:space="0" w:color="A5D028" w:themeColor="accent2"/>
          <w:insideV w:val="single" w:sz="8" w:space="0" w:color="A5D028"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08CC78" w:themeColor="accent3"/>
        <w:left w:val="single" w:sz="8" w:space="0" w:color="08CC78" w:themeColor="accent3"/>
        <w:bottom w:val="single" w:sz="8" w:space="0" w:color="08CC78" w:themeColor="accent3"/>
        <w:right w:val="single" w:sz="8" w:space="0" w:color="08CC78" w:themeColor="accent3"/>
        <w:insideH w:val="single" w:sz="8" w:space="0" w:color="08CC78" w:themeColor="accent3"/>
        <w:insideV w:val="single" w:sz="8" w:space="0" w:color="08CC78"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8CC78" w:themeColor="accent3"/>
          <w:left w:val="single" w:sz="8" w:space="0" w:color="08CC78" w:themeColor="accent3"/>
          <w:bottom w:val="single" w:sz="18" w:space="0" w:color="08CC78" w:themeColor="accent3"/>
          <w:right w:val="single" w:sz="8" w:space="0" w:color="08CC78" w:themeColor="accent3"/>
          <w:insideH w:val="nil"/>
          <w:insideV w:val="single" w:sz="8" w:space="0" w:color="08CC78"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8CC78" w:themeColor="accent3"/>
          <w:left w:val="single" w:sz="8" w:space="0" w:color="08CC78" w:themeColor="accent3"/>
          <w:bottom w:val="single" w:sz="8" w:space="0" w:color="08CC78" w:themeColor="accent3"/>
          <w:right w:val="single" w:sz="8" w:space="0" w:color="08CC78" w:themeColor="accent3"/>
          <w:insideH w:val="nil"/>
          <w:insideV w:val="single" w:sz="8" w:space="0" w:color="08CC78"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8CC78" w:themeColor="accent3"/>
          <w:left w:val="single" w:sz="8" w:space="0" w:color="08CC78" w:themeColor="accent3"/>
          <w:bottom w:val="single" w:sz="8" w:space="0" w:color="08CC78" w:themeColor="accent3"/>
          <w:right w:val="single" w:sz="8" w:space="0" w:color="08CC78" w:themeColor="accent3"/>
        </w:tcBorders>
      </w:tcPr>
    </w:tblStylePr>
    <w:tblStylePr w:type="band1Vert">
      <w:tblPr/>
      <w:tcPr>
        <w:tcBorders>
          <w:top w:val="single" w:sz="8" w:space="0" w:color="08CC78" w:themeColor="accent3"/>
          <w:left w:val="single" w:sz="8" w:space="0" w:color="08CC78" w:themeColor="accent3"/>
          <w:bottom w:val="single" w:sz="8" w:space="0" w:color="08CC78" w:themeColor="accent3"/>
          <w:right w:val="single" w:sz="8" w:space="0" w:color="08CC78" w:themeColor="accent3"/>
        </w:tcBorders>
        <w:shd w:val="clear" w:color="auto" w:fill="B8FCDE" w:themeFill="accent3" w:themeFillTint="3F"/>
      </w:tcPr>
    </w:tblStylePr>
    <w:tblStylePr w:type="band1Horz">
      <w:tblPr/>
      <w:tcPr>
        <w:tcBorders>
          <w:top w:val="single" w:sz="8" w:space="0" w:color="08CC78" w:themeColor="accent3"/>
          <w:left w:val="single" w:sz="8" w:space="0" w:color="08CC78" w:themeColor="accent3"/>
          <w:bottom w:val="single" w:sz="8" w:space="0" w:color="08CC78" w:themeColor="accent3"/>
          <w:right w:val="single" w:sz="8" w:space="0" w:color="08CC78" w:themeColor="accent3"/>
          <w:insideV w:val="single" w:sz="8" w:space="0" w:color="08CC78" w:themeColor="accent3"/>
        </w:tcBorders>
        <w:shd w:val="clear" w:color="auto" w:fill="B8FCDE" w:themeFill="accent3" w:themeFillTint="3F"/>
      </w:tcPr>
    </w:tblStylePr>
    <w:tblStylePr w:type="band2Horz">
      <w:tblPr/>
      <w:tcPr>
        <w:tcBorders>
          <w:top w:val="single" w:sz="8" w:space="0" w:color="08CC78" w:themeColor="accent3"/>
          <w:left w:val="single" w:sz="8" w:space="0" w:color="08CC78" w:themeColor="accent3"/>
          <w:bottom w:val="single" w:sz="8" w:space="0" w:color="08CC78" w:themeColor="accent3"/>
          <w:right w:val="single" w:sz="8" w:space="0" w:color="08CC78" w:themeColor="accent3"/>
          <w:insideV w:val="single" w:sz="8" w:space="0" w:color="08CC78"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F24099" w:themeColor="accent4"/>
        <w:left w:val="single" w:sz="8" w:space="0" w:color="F24099" w:themeColor="accent4"/>
        <w:bottom w:val="single" w:sz="8" w:space="0" w:color="F24099" w:themeColor="accent4"/>
        <w:right w:val="single" w:sz="8" w:space="0" w:color="F24099" w:themeColor="accent4"/>
        <w:insideH w:val="single" w:sz="8" w:space="0" w:color="F24099" w:themeColor="accent4"/>
        <w:insideV w:val="single" w:sz="8" w:space="0" w:color="F24099"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24099" w:themeColor="accent4"/>
          <w:left w:val="single" w:sz="8" w:space="0" w:color="F24099" w:themeColor="accent4"/>
          <w:bottom w:val="single" w:sz="18" w:space="0" w:color="F24099" w:themeColor="accent4"/>
          <w:right w:val="single" w:sz="8" w:space="0" w:color="F24099" w:themeColor="accent4"/>
          <w:insideH w:val="nil"/>
          <w:insideV w:val="single" w:sz="8" w:space="0" w:color="F24099"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24099" w:themeColor="accent4"/>
          <w:left w:val="single" w:sz="8" w:space="0" w:color="F24099" w:themeColor="accent4"/>
          <w:bottom w:val="single" w:sz="8" w:space="0" w:color="F24099" w:themeColor="accent4"/>
          <w:right w:val="single" w:sz="8" w:space="0" w:color="F24099" w:themeColor="accent4"/>
          <w:insideH w:val="nil"/>
          <w:insideV w:val="single" w:sz="8" w:space="0" w:color="F24099"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24099" w:themeColor="accent4"/>
          <w:left w:val="single" w:sz="8" w:space="0" w:color="F24099" w:themeColor="accent4"/>
          <w:bottom w:val="single" w:sz="8" w:space="0" w:color="F24099" w:themeColor="accent4"/>
          <w:right w:val="single" w:sz="8" w:space="0" w:color="F24099" w:themeColor="accent4"/>
        </w:tcBorders>
      </w:tcPr>
    </w:tblStylePr>
    <w:tblStylePr w:type="band1Vert">
      <w:tblPr/>
      <w:tcPr>
        <w:tcBorders>
          <w:top w:val="single" w:sz="8" w:space="0" w:color="F24099" w:themeColor="accent4"/>
          <w:left w:val="single" w:sz="8" w:space="0" w:color="F24099" w:themeColor="accent4"/>
          <w:bottom w:val="single" w:sz="8" w:space="0" w:color="F24099" w:themeColor="accent4"/>
          <w:right w:val="single" w:sz="8" w:space="0" w:color="F24099" w:themeColor="accent4"/>
        </w:tcBorders>
        <w:shd w:val="clear" w:color="auto" w:fill="FBCFE5" w:themeFill="accent4" w:themeFillTint="3F"/>
      </w:tcPr>
    </w:tblStylePr>
    <w:tblStylePr w:type="band1Horz">
      <w:tblPr/>
      <w:tcPr>
        <w:tcBorders>
          <w:top w:val="single" w:sz="8" w:space="0" w:color="F24099" w:themeColor="accent4"/>
          <w:left w:val="single" w:sz="8" w:space="0" w:color="F24099" w:themeColor="accent4"/>
          <w:bottom w:val="single" w:sz="8" w:space="0" w:color="F24099" w:themeColor="accent4"/>
          <w:right w:val="single" w:sz="8" w:space="0" w:color="F24099" w:themeColor="accent4"/>
          <w:insideV w:val="single" w:sz="8" w:space="0" w:color="F24099" w:themeColor="accent4"/>
        </w:tcBorders>
        <w:shd w:val="clear" w:color="auto" w:fill="FBCFE5" w:themeFill="accent4" w:themeFillTint="3F"/>
      </w:tcPr>
    </w:tblStylePr>
    <w:tblStylePr w:type="band2Horz">
      <w:tblPr/>
      <w:tcPr>
        <w:tcBorders>
          <w:top w:val="single" w:sz="8" w:space="0" w:color="F24099" w:themeColor="accent4"/>
          <w:left w:val="single" w:sz="8" w:space="0" w:color="F24099" w:themeColor="accent4"/>
          <w:bottom w:val="single" w:sz="8" w:space="0" w:color="F24099" w:themeColor="accent4"/>
          <w:right w:val="single" w:sz="8" w:space="0" w:color="F24099" w:themeColor="accent4"/>
          <w:insideV w:val="single" w:sz="8" w:space="0" w:color="F24099"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828288" w:themeColor="accent5"/>
        <w:left w:val="single" w:sz="8" w:space="0" w:color="828288" w:themeColor="accent5"/>
        <w:bottom w:val="single" w:sz="8" w:space="0" w:color="828288" w:themeColor="accent5"/>
        <w:right w:val="single" w:sz="8" w:space="0" w:color="828288" w:themeColor="accent5"/>
        <w:insideH w:val="single" w:sz="8" w:space="0" w:color="828288" w:themeColor="accent5"/>
        <w:insideV w:val="single" w:sz="8" w:space="0" w:color="828288"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28288" w:themeColor="accent5"/>
          <w:left w:val="single" w:sz="8" w:space="0" w:color="828288" w:themeColor="accent5"/>
          <w:bottom w:val="single" w:sz="18" w:space="0" w:color="828288" w:themeColor="accent5"/>
          <w:right w:val="single" w:sz="8" w:space="0" w:color="828288" w:themeColor="accent5"/>
          <w:insideH w:val="nil"/>
          <w:insideV w:val="single" w:sz="8" w:space="0" w:color="828288"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28288" w:themeColor="accent5"/>
          <w:left w:val="single" w:sz="8" w:space="0" w:color="828288" w:themeColor="accent5"/>
          <w:bottom w:val="single" w:sz="8" w:space="0" w:color="828288" w:themeColor="accent5"/>
          <w:right w:val="single" w:sz="8" w:space="0" w:color="828288" w:themeColor="accent5"/>
          <w:insideH w:val="nil"/>
          <w:insideV w:val="single" w:sz="8" w:space="0" w:color="828288"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28288" w:themeColor="accent5"/>
          <w:left w:val="single" w:sz="8" w:space="0" w:color="828288" w:themeColor="accent5"/>
          <w:bottom w:val="single" w:sz="8" w:space="0" w:color="828288" w:themeColor="accent5"/>
          <w:right w:val="single" w:sz="8" w:space="0" w:color="828288" w:themeColor="accent5"/>
        </w:tcBorders>
      </w:tcPr>
    </w:tblStylePr>
    <w:tblStylePr w:type="band1Vert">
      <w:tblPr/>
      <w:tcPr>
        <w:tcBorders>
          <w:top w:val="single" w:sz="8" w:space="0" w:color="828288" w:themeColor="accent5"/>
          <w:left w:val="single" w:sz="8" w:space="0" w:color="828288" w:themeColor="accent5"/>
          <w:bottom w:val="single" w:sz="8" w:space="0" w:color="828288" w:themeColor="accent5"/>
          <w:right w:val="single" w:sz="8" w:space="0" w:color="828288" w:themeColor="accent5"/>
        </w:tcBorders>
        <w:shd w:val="clear" w:color="auto" w:fill="E0E0E1" w:themeFill="accent5" w:themeFillTint="3F"/>
      </w:tcPr>
    </w:tblStylePr>
    <w:tblStylePr w:type="band1Horz">
      <w:tblPr/>
      <w:tcPr>
        <w:tcBorders>
          <w:top w:val="single" w:sz="8" w:space="0" w:color="828288" w:themeColor="accent5"/>
          <w:left w:val="single" w:sz="8" w:space="0" w:color="828288" w:themeColor="accent5"/>
          <w:bottom w:val="single" w:sz="8" w:space="0" w:color="828288" w:themeColor="accent5"/>
          <w:right w:val="single" w:sz="8" w:space="0" w:color="828288" w:themeColor="accent5"/>
          <w:insideV w:val="single" w:sz="8" w:space="0" w:color="828288" w:themeColor="accent5"/>
        </w:tcBorders>
        <w:shd w:val="clear" w:color="auto" w:fill="E0E0E1" w:themeFill="accent5" w:themeFillTint="3F"/>
      </w:tcPr>
    </w:tblStylePr>
    <w:tblStylePr w:type="band2Horz">
      <w:tblPr/>
      <w:tcPr>
        <w:tcBorders>
          <w:top w:val="single" w:sz="8" w:space="0" w:color="828288" w:themeColor="accent5"/>
          <w:left w:val="single" w:sz="8" w:space="0" w:color="828288" w:themeColor="accent5"/>
          <w:bottom w:val="single" w:sz="8" w:space="0" w:color="828288" w:themeColor="accent5"/>
          <w:right w:val="single" w:sz="8" w:space="0" w:color="828288" w:themeColor="accent5"/>
          <w:insideV w:val="single" w:sz="8" w:space="0" w:color="828288"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56617" w:themeColor="accent6"/>
        <w:left w:val="single" w:sz="8" w:space="0" w:color="F56617" w:themeColor="accent6"/>
        <w:bottom w:val="single" w:sz="8" w:space="0" w:color="F56617" w:themeColor="accent6"/>
        <w:right w:val="single" w:sz="8" w:space="0" w:color="F56617" w:themeColor="accent6"/>
        <w:insideH w:val="single" w:sz="8" w:space="0" w:color="F56617" w:themeColor="accent6"/>
        <w:insideV w:val="single" w:sz="8" w:space="0" w:color="F5661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56617" w:themeColor="accent6"/>
          <w:left w:val="single" w:sz="8" w:space="0" w:color="F56617" w:themeColor="accent6"/>
          <w:bottom w:val="single" w:sz="18" w:space="0" w:color="F56617" w:themeColor="accent6"/>
          <w:right w:val="single" w:sz="8" w:space="0" w:color="F56617" w:themeColor="accent6"/>
          <w:insideH w:val="nil"/>
          <w:insideV w:val="single" w:sz="8" w:space="0" w:color="F5661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56617" w:themeColor="accent6"/>
          <w:left w:val="single" w:sz="8" w:space="0" w:color="F56617" w:themeColor="accent6"/>
          <w:bottom w:val="single" w:sz="8" w:space="0" w:color="F56617" w:themeColor="accent6"/>
          <w:right w:val="single" w:sz="8" w:space="0" w:color="F56617" w:themeColor="accent6"/>
          <w:insideH w:val="nil"/>
          <w:insideV w:val="single" w:sz="8" w:space="0" w:color="F5661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56617" w:themeColor="accent6"/>
          <w:left w:val="single" w:sz="8" w:space="0" w:color="F56617" w:themeColor="accent6"/>
          <w:bottom w:val="single" w:sz="8" w:space="0" w:color="F56617" w:themeColor="accent6"/>
          <w:right w:val="single" w:sz="8" w:space="0" w:color="F56617" w:themeColor="accent6"/>
        </w:tcBorders>
      </w:tcPr>
    </w:tblStylePr>
    <w:tblStylePr w:type="band1Vert">
      <w:tblPr/>
      <w:tcPr>
        <w:tcBorders>
          <w:top w:val="single" w:sz="8" w:space="0" w:color="F56617" w:themeColor="accent6"/>
          <w:left w:val="single" w:sz="8" w:space="0" w:color="F56617" w:themeColor="accent6"/>
          <w:bottom w:val="single" w:sz="8" w:space="0" w:color="F56617" w:themeColor="accent6"/>
          <w:right w:val="single" w:sz="8" w:space="0" w:color="F56617" w:themeColor="accent6"/>
        </w:tcBorders>
        <w:shd w:val="clear" w:color="auto" w:fill="FCD8C5" w:themeFill="accent6" w:themeFillTint="3F"/>
      </w:tcPr>
    </w:tblStylePr>
    <w:tblStylePr w:type="band1Horz">
      <w:tblPr/>
      <w:tcPr>
        <w:tcBorders>
          <w:top w:val="single" w:sz="8" w:space="0" w:color="F56617" w:themeColor="accent6"/>
          <w:left w:val="single" w:sz="8" w:space="0" w:color="F56617" w:themeColor="accent6"/>
          <w:bottom w:val="single" w:sz="8" w:space="0" w:color="F56617" w:themeColor="accent6"/>
          <w:right w:val="single" w:sz="8" w:space="0" w:color="F56617" w:themeColor="accent6"/>
          <w:insideV w:val="single" w:sz="8" w:space="0" w:color="F56617" w:themeColor="accent6"/>
        </w:tcBorders>
        <w:shd w:val="clear" w:color="auto" w:fill="FCD8C5" w:themeFill="accent6" w:themeFillTint="3F"/>
      </w:tcPr>
    </w:tblStylePr>
    <w:tblStylePr w:type="band2Horz">
      <w:tblPr/>
      <w:tcPr>
        <w:tcBorders>
          <w:top w:val="single" w:sz="8" w:space="0" w:color="F56617" w:themeColor="accent6"/>
          <w:left w:val="single" w:sz="8" w:space="0" w:color="F56617" w:themeColor="accent6"/>
          <w:bottom w:val="single" w:sz="8" w:space="0" w:color="F56617" w:themeColor="accent6"/>
          <w:right w:val="single" w:sz="8" w:space="0" w:color="F56617" w:themeColor="accent6"/>
          <w:insideV w:val="single" w:sz="8" w:space="0" w:color="F56617"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606060" w:themeColor="text1" w:themeTint="BF"/>
        <w:left w:val="single" w:sz="8" w:space="0" w:color="606060" w:themeColor="text1" w:themeTint="BF"/>
        <w:bottom w:val="single" w:sz="8" w:space="0" w:color="606060" w:themeColor="text1" w:themeTint="BF"/>
        <w:right w:val="single" w:sz="8" w:space="0" w:color="606060" w:themeColor="text1" w:themeTint="BF"/>
        <w:insideH w:val="single" w:sz="8" w:space="0" w:color="606060" w:themeColor="text1" w:themeTint="BF"/>
      </w:tblBorders>
    </w:tblPr>
    <w:tblStylePr w:type="firstRow">
      <w:pPr>
        <w:spacing w:before="0" w:after="0" w:line="240" w:lineRule="auto"/>
      </w:pPr>
      <w:rPr>
        <w:b/>
        <w:bCs/>
        <w:color w:val="FFFFFF" w:themeColor="background1"/>
      </w:rPr>
      <w:tblPr/>
      <w:tcPr>
        <w:tcBorders>
          <w:top w:val="single" w:sz="8" w:space="0" w:color="606060" w:themeColor="text1" w:themeTint="BF"/>
          <w:left w:val="single" w:sz="8" w:space="0" w:color="606060" w:themeColor="text1" w:themeTint="BF"/>
          <w:bottom w:val="single" w:sz="8" w:space="0" w:color="606060" w:themeColor="text1" w:themeTint="BF"/>
          <w:right w:val="single" w:sz="8" w:space="0" w:color="606060" w:themeColor="text1" w:themeTint="BF"/>
          <w:insideH w:val="nil"/>
          <w:insideV w:val="nil"/>
        </w:tcBorders>
        <w:shd w:val="clear" w:color="auto" w:fill="2C2C2C" w:themeFill="text1"/>
      </w:tcPr>
    </w:tblStylePr>
    <w:tblStylePr w:type="lastRow">
      <w:pPr>
        <w:spacing w:before="0" w:after="0" w:line="240" w:lineRule="auto"/>
      </w:pPr>
      <w:rPr>
        <w:b/>
        <w:bCs/>
      </w:rPr>
      <w:tblPr/>
      <w:tcPr>
        <w:tcBorders>
          <w:top w:val="double" w:sz="6" w:space="0" w:color="606060" w:themeColor="text1" w:themeTint="BF"/>
          <w:left w:val="single" w:sz="8" w:space="0" w:color="606060" w:themeColor="text1" w:themeTint="BF"/>
          <w:bottom w:val="single" w:sz="8" w:space="0" w:color="606060" w:themeColor="text1" w:themeTint="BF"/>
          <w:right w:val="single" w:sz="8" w:space="0" w:color="606060" w:themeColor="text1" w:themeTint="BF"/>
          <w:insideH w:val="nil"/>
          <w:insideV w:val="nil"/>
        </w:tcBorders>
      </w:tcPr>
    </w:tblStylePr>
    <w:tblStylePr w:type="firstCol">
      <w:rPr>
        <w:b/>
        <w:bCs/>
      </w:rPr>
    </w:tblStylePr>
    <w:tblStylePr w:type="lastCol">
      <w:rPr>
        <w:b/>
        <w:bCs/>
      </w:rPr>
    </w:tblStylePr>
    <w:tblStylePr w:type="band1Vert">
      <w:tblPr/>
      <w:tcPr>
        <w:shd w:val="clear" w:color="auto" w:fill="CACACA" w:themeFill="text1" w:themeFillTint="3F"/>
      </w:tcPr>
    </w:tblStylePr>
    <w:tblStylePr w:type="band1Horz">
      <w:tblPr/>
      <w:tcPr>
        <w:tcBorders>
          <w:insideH w:val="nil"/>
          <w:insideV w:val="nil"/>
        </w:tcBorders>
        <w:shd w:val="clear" w:color="auto" w:fill="CACACA"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FFCF40" w:themeColor="accent1" w:themeTint="BF"/>
        <w:left w:val="single" w:sz="8" w:space="0" w:color="FFCF40" w:themeColor="accent1" w:themeTint="BF"/>
        <w:bottom w:val="single" w:sz="8" w:space="0" w:color="FFCF40" w:themeColor="accent1" w:themeTint="BF"/>
        <w:right w:val="single" w:sz="8" w:space="0" w:color="FFCF40" w:themeColor="accent1" w:themeTint="BF"/>
        <w:insideH w:val="single" w:sz="8" w:space="0" w:color="FFCF40" w:themeColor="accent1" w:themeTint="BF"/>
      </w:tblBorders>
    </w:tblPr>
    <w:tblStylePr w:type="firstRow">
      <w:pPr>
        <w:spacing w:before="0" w:after="0" w:line="240" w:lineRule="auto"/>
      </w:pPr>
      <w:rPr>
        <w:b/>
        <w:bCs/>
        <w:color w:val="FFFFFF" w:themeColor="background1"/>
      </w:rPr>
      <w:tblPr/>
      <w:tcPr>
        <w:tcBorders>
          <w:top w:val="single" w:sz="8" w:space="0" w:color="FFCF40" w:themeColor="accent1" w:themeTint="BF"/>
          <w:left w:val="single" w:sz="8" w:space="0" w:color="FFCF40" w:themeColor="accent1" w:themeTint="BF"/>
          <w:bottom w:val="single" w:sz="8" w:space="0" w:color="FFCF40" w:themeColor="accent1" w:themeTint="BF"/>
          <w:right w:val="single" w:sz="8" w:space="0" w:color="FFCF40" w:themeColor="accent1" w:themeTint="BF"/>
          <w:insideH w:val="nil"/>
          <w:insideV w:val="nil"/>
        </w:tcBorders>
        <w:shd w:val="clear" w:color="auto" w:fill="FFC000" w:themeFill="accent1"/>
      </w:tcPr>
    </w:tblStylePr>
    <w:tblStylePr w:type="lastRow">
      <w:pPr>
        <w:spacing w:before="0" w:after="0" w:line="240" w:lineRule="auto"/>
      </w:pPr>
      <w:rPr>
        <w:b/>
        <w:bCs/>
      </w:rPr>
      <w:tblPr/>
      <w:tcPr>
        <w:tcBorders>
          <w:top w:val="double" w:sz="6" w:space="0" w:color="FFCF40" w:themeColor="accent1" w:themeTint="BF"/>
          <w:left w:val="single" w:sz="8" w:space="0" w:color="FFCF40" w:themeColor="accent1" w:themeTint="BF"/>
          <w:bottom w:val="single" w:sz="8" w:space="0" w:color="FFCF40" w:themeColor="accent1" w:themeTint="BF"/>
          <w:right w:val="single" w:sz="8" w:space="0" w:color="FFCF40"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1" w:themeFillTint="3F"/>
      </w:tcPr>
    </w:tblStylePr>
    <w:tblStylePr w:type="band1Horz">
      <w:tblPr/>
      <w:tcPr>
        <w:tcBorders>
          <w:insideH w:val="nil"/>
          <w:insideV w:val="nil"/>
        </w:tcBorders>
        <w:shd w:val="clear" w:color="auto" w:fill="FFEFC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BCDF5A" w:themeColor="accent2" w:themeTint="BF"/>
        <w:left w:val="single" w:sz="8" w:space="0" w:color="BCDF5A" w:themeColor="accent2" w:themeTint="BF"/>
        <w:bottom w:val="single" w:sz="8" w:space="0" w:color="BCDF5A" w:themeColor="accent2" w:themeTint="BF"/>
        <w:right w:val="single" w:sz="8" w:space="0" w:color="BCDF5A" w:themeColor="accent2" w:themeTint="BF"/>
        <w:insideH w:val="single" w:sz="8" w:space="0" w:color="BCDF5A" w:themeColor="accent2" w:themeTint="BF"/>
      </w:tblBorders>
    </w:tblPr>
    <w:tblStylePr w:type="firstRow">
      <w:pPr>
        <w:spacing w:before="0" w:after="0" w:line="240" w:lineRule="auto"/>
      </w:pPr>
      <w:rPr>
        <w:b/>
        <w:bCs/>
        <w:color w:val="FFFFFF" w:themeColor="background1"/>
      </w:rPr>
      <w:tblPr/>
      <w:tcPr>
        <w:tcBorders>
          <w:top w:val="single" w:sz="8" w:space="0" w:color="BCDF5A" w:themeColor="accent2" w:themeTint="BF"/>
          <w:left w:val="single" w:sz="8" w:space="0" w:color="BCDF5A" w:themeColor="accent2" w:themeTint="BF"/>
          <w:bottom w:val="single" w:sz="8" w:space="0" w:color="BCDF5A" w:themeColor="accent2" w:themeTint="BF"/>
          <w:right w:val="single" w:sz="8" w:space="0" w:color="BCDF5A" w:themeColor="accent2" w:themeTint="BF"/>
          <w:insideH w:val="nil"/>
          <w:insideV w:val="nil"/>
        </w:tcBorders>
        <w:shd w:val="clear" w:color="auto" w:fill="A5D028" w:themeFill="accent2"/>
      </w:tcPr>
    </w:tblStylePr>
    <w:tblStylePr w:type="lastRow">
      <w:pPr>
        <w:spacing w:before="0" w:after="0" w:line="240" w:lineRule="auto"/>
      </w:pPr>
      <w:rPr>
        <w:b/>
        <w:bCs/>
      </w:rPr>
      <w:tblPr/>
      <w:tcPr>
        <w:tcBorders>
          <w:top w:val="double" w:sz="6" w:space="0" w:color="BCDF5A" w:themeColor="accent2" w:themeTint="BF"/>
          <w:left w:val="single" w:sz="8" w:space="0" w:color="BCDF5A" w:themeColor="accent2" w:themeTint="BF"/>
          <w:bottom w:val="single" w:sz="8" w:space="0" w:color="BCDF5A" w:themeColor="accent2" w:themeTint="BF"/>
          <w:right w:val="single" w:sz="8" w:space="0" w:color="BCDF5A" w:themeColor="accent2" w:themeTint="BF"/>
          <w:insideH w:val="nil"/>
          <w:insideV w:val="nil"/>
        </w:tcBorders>
      </w:tcPr>
    </w:tblStylePr>
    <w:tblStylePr w:type="firstCol">
      <w:rPr>
        <w:b/>
        <w:bCs/>
      </w:rPr>
    </w:tblStylePr>
    <w:tblStylePr w:type="lastCol">
      <w:rPr>
        <w:b/>
        <w:bCs/>
      </w:rPr>
    </w:tblStylePr>
    <w:tblStylePr w:type="band1Vert">
      <w:tblPr/>
      <w:tcPr>
        <w:shd w:val="clear" w:color="auto" w:fill="E9F4C8" w:themeFill="accent2" w:themeFillTint="3F"/>
      </w:tcPr>
    </w:tblStylePr>
    <w:tblStylePr w:type="band1Horz">
      <w:tblPr/>
      <w:tcPr>
        <w:tcBorders>
          <w:insideH w:val="nil"/>
          <w:insideV w:val="nil"/>
        </w:tcBorders>
        <w:shd w:val="clear" w:color="auto" w:fill="E9F4C8"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8F69D" w:themeColor="accent3" w:themeTint="BF"/>
        <w:left w:val="single" w:sz="8" w:space="0" w:color="28F69D" w:themeColor="accent3" w:themeTint="BF"/>
        <w:bottom w:val="single" w:sz="8" w:space="0" w:color="28F69D" w:themeColor="accent3" w:themeTint="BF"/>
        <w:right w:val="single" w:sz="8" w:space="0" w:color="28F69D" w:themeColor="accent3" w:themeTint="BF"/>
        <w:insideH w:val="single" w:sz="8" w:space="0" w:color="28F69D" w:themeColor="accent3" w:themeTint="BF"/>
      </w:tblBorders>
    </w:tblPr>
    <w:tblStylePr w:type="firstRow">
      <w:pPr>
        <w:spacing w:before="0" w:after="0" w:line="240" w:lineRule="auto"/>
      </w:pPr>
      <w:rPr>
        <w:b/>
        <w:bCs/>
        <w:color w:val="FFFFFF" w:themeColor="background1"/>
      </w:rPr>
      <w:tblPr/>
      <w:tcPr>
        <w:tcBorders>
          <w:top w:val="single" w:sz="8" w:space="0" w:color="28F69D" w:themeColor="accent3" w:themeTint="BF"/>
          <w:left w:val="single" w:sz="8" w:space="0" w:color="28F69D" w:themeColor="accent3" w:themeTint="BF"/>
          <w:bottom w:val="single" w:sz="8" w:space="0" w:color="28F69D" w:themeColor="accent3" w:themeTint="BF"/>
          <w:right w:val="single" w:sz="8" w:space="0" w:color="28F69D" w:themeColor="accent3" w:themeTint="BF"/>
          <w:insideH w:val="nil"/>
          <w:insideV w:val="nil"/>
        </w:tcBorders>
        <w:shd w:val="clear" w:color="auto" w:fill="08CC78" w:themeFill="accent3"/>
      </w:tcPr>
    </w:tblStylePr>
    <w:tblStylePr w:type="lastRow">
      <w:pPr>
        <w:spacing w:before="0" w:after="0" w:line="240" w:lineRule="auto"/>
      </w:pPr>
      <w:rPr>
        <w:b/>
        <w:bCs/>
      </w:rPr>
      <w:tblPr/>
      <w:tcPr>
        <w:tcBorders>
          <w:top w:val="double" w:sz="6" w:space="0" w:color="28F69D" w:themeColor="accent3" w:themeTint="BF"/>
          <w:left w:val="single" w:sz="8" w:space="0" w:color="28F69D" w:themeColor="accent3" w:themeTint="BF"/>
          <w:bottom w:val="single" w:sz="8" w:space="0" w:color="28F69D" w:themeColor="accent3" w:themeTint="BF"/>
          <w:right w:val="single" w:sz="8" w:space="0" w:color="28F69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8FCDE" w:themeFill="accent3" w:themeFillTint="3F"/>
      </w:tcPr>
    </w:tblStylePr>
    <w:tblStylePr w:type="band1Horz">
      <w:tblPr/>
      <w:tcPr>
        <w:tcBorders>
          <w:insideH w:val="nil"/>
          <w:insideV w:val="nil"/>
        </w:tcBorders>
        <w:shd w:val="clear" w:color="auto" w:fill="B8FCD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F56FB2" w:themeColor="accent4" w:themeTint="BF"/>
        <w:left w:val="single" w:sz="8" w:space="0" w:color="F56FB2" w:themeColor="accent4" w:themeTint="BF"/>
        <w:bottom w:val="single" w:sz="8" w:space="0" w:color="F56FB2" w:themeColor="accent4" w:themeTint="BF"/>
        <w:right w:val="single" w:sz="8" w:space="0" w:color="F56FB2" w:themeColor="accent4" w:themeTint="BF"/>
        <w:insideH w:val="single" w:sz="8" w:space="0" w:color="F56FB2" w:themeColor="accent4" w:themeTint="BF"/>
      </w:tblBorders>
    </w:tblPr>
    <w:tblStylePr w:type="firstRow">
      <w:pPr>
        <w:spacing w:before="0" w:after="0" w:line="240" w:lineRule="auto"/>
      </w:pPr>
      <w:rPr>
        <w:b/>
        <w:bCs/>
        <w:color w:val="FFFFFF" w:themeColor="background1"/>
      </w:rPr>
      <w:tblPr/>
      <w:tcPr>
        <w:tcBorders>
          <w:top w:val="single" w:sz="8" w:space="0" w:color="F56FB2" w:themeColor="accent4" w:themeTint="BF"/>
          <w:left w:val="single" w:sz="8" w:space="0" w:color="F56FB2" w:themeColor="accent4" w:themeTint="BF"/>
          <w:bottom w:val="single" w:sz="8" w:space="0" w:color="F56FB2" w:themeColor="accent4" w:themeTint="BF"/>
          <w:right w:val="single" w:sz="8" w:space="0" w:color="F56FB2" w:themeColor="accent4" w:themeTint="BF"/>
          <w:insideH w:val="nil"/>
          <w:insideV w:val="nil"/>
        </w:tcBorders>
        <w:shd w:val="clear" w:color="auto" w:fill="F24099" w:themeFill="accent4"/>
      </w:tcPr>
    </w:tblStylePr>
    <w:tblStylePr w:type="lastRow">
      <w:pPr>
        <w:spacing w:before="0" w:after="0" w:line="240" w:lineRule="auto"/>
      </w:pPr>
      <w:rPr>
        <w:b/>
        <w:bCs/>
      </w:rPr>
      <w:tblPr/>
      <w:tcPr>
        <w:tcBorders>
          <w:top w:val="double" w:sz="6" w:space="0" w:color="F56FB2" w:themeColor="accent4" w:themeTint="BF"/>
          <w:left w:val="single" w:sz="8" w:space="0" w:color="F56FB2" w:themeColor="accent4" w:themeTint="BF"/>
          <w:bottom w:val="single" w:sz="8" w:space="0" w:color="F56FB2" w:themeColor="accent4" w:themeTint="BF"/>
          <w:right w:val="single" w:sz="8" w:space="0" w:color="F56FB2" w:themeColor="accent4" w:themeTint="BF"/>
          <w:insideH w:val="nil"/>
          <w:insideV w:val="nil"/>
        </w:tcBorders>
      </w:tcPr>
    </w:tblStylePr>
    <w:tblStylePr w:type="firstCol">
      <w:rPr>
        <w:b/>
        <w:bCs/>
      </w:rPr>
    </w:tblStylePr>
    <w:tblStylePr w:type="lastCol">
      <w:rPr>
        <w:b/>
        <w:bCs/>
      </w:rPr>
    </w:tblStylePr>
    <w:tblStylePr w:type="band1Vert">
      <w:tblPr/>
      <w:tcPr>
        <w:shd w:val="clear" w:color="auto" w:fill="FBCFE5" w:themeFill="accent4" w:themeFillTint="3F"/>
      </w:tcPr>
    </w:tblStylePr>
    <w:tblStylePr w:type="band1Horz">
      <w:tblPr/>
      <w:tcPr>
        <w:tcBorders>
          <w:insideH w:val="nil"/>
          <w:insideV w:val="nil"/>
        </w:tcBorders>
        <w:shd w:val="clear" w:color="auto" w:fill="FBCF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A1A1A5" w:themeColor="accent5" w:themeTint="BF"/>
        <w:left w:val="single" w:sz="8" w:space="0" w:color="A1A1A5" w:themeColor="accent5" w:themeTint="BF"/>
        <w:bottom w:val="single" w:sz="8" w:space="0" w:color="A1A1A5" w:themeColor="accent5" w:themeTint="BF"/>
        <w:right w:val="single" w:sz="8" w:space="0" w:color="A1A1A5" w:themeColor="accent5" w:themeTint="BF"/>
        <w:insideH w:val="single" w:sz="8" w:space="0" w:color="A1A1A5" w:themeColor="accent5" w:themeTint="BF"/>
      </w:tblBorders>
    </w:tblPr>
    <w:tblStylePr w:type="firstRow">
      <w:pPr>
        <w:spacing w:before="0" w:after="0" w:line="240" w:lineRule="auto"/>
      </w:pPr>
      <w:rPr>
        <w:b/>
        <w:bCs/>
        <w:color w:val="FFFFFF" w:themeColor="background1"/>
      </w:rPr>
      <w:tblPr/>
      <w:tcPr>
        <w:tcBorders>
          <w:top w:val="single" w:sz="8" w:space="0" w:color="A1A1A5" w:themeColor="accent5" w:themeTint="BF"/>
          <w:left w:val="single" w:sz="8" w:space="0" w:color="A1A1A5" w:themeColor="accent5" w:themeTint="BF"/>
          <w:bottom w:val="single" w:sz="8" w:space="0" w:color="A1A1A5" w:themeColor="accent5" w:themeTint="BF"/>
          <w:right w:val="single" w:sz="8" w:space="0" w:color="A1A1A5" w:themeColor="accent5" w:themeTint="BF"/>
          <w:insideH w:val="nil"/>
          <w:insideV w:val="nil"/>
        </w:tcBorders>
        <w:shd w:val="clear" w:color="auto" w:fill="828288" w:themeFill="accent5"/>
      </w:tcPr>
    </w:tblStylePr>
    <w:tblStylePr w:type="lastRow">
      <w:pPr>
        <w:spacing w:before="0" w:after="0" w:line="240" w:lineRule="auto"/>
      </w:pPr>
      <w:rPr>
        <w:b/>
        <w:bCs/>
      </w:rPr>
      <w:tblPr/>
      <w:tcPr>
        <w:tcBorders>
          <w:top w:val="double" w:sz="6" w:space="0" w:color="A1A1A5" w:themeColor="accent5" w:themeTint="BF"/>
          <w:left w:val="single" w:sz="8" w:space="0" w:color="A1A1A5" w:themeColor="accent5" w:themeTint="BF"/>
          <w:bottom w:val="single" w:sz="8" w:space="0" w:color="A1A1A5" w:themeColor="accent5" w:themeTint="BF"/>
          <w:right w:val="single" w:sz="8" w:space="0" w:color="A1A1A5" w:themeColor="accent5" w:themeTint="BF"/>
          <w:insideH w:val="nil"/>
          <w:insideV w:val="nil"/>
        </w:tcBorders>
      </w:tcPr>
    </w:tblStylePr>
    <w:tblStylePr w:type="firstCol">
      <w:rPr>
        <w:b/>
        <w:bCs/>
      </w:rPr>
    </w:tblStylePr>
    <w:tblStylePr w:type="lastCol">
      <w:rPr>
        <w:b/>
        <w:bCs/>
      </w:rPr>
    </w:tblStylePr>
    <w:tblStylePr w:type="band1Vert">
      <w:tblPr/>
      <w:tcPr>
        <w:shd w:val="clear" w:color="auto" w:fill="E0E0E1" w:themeFill="accent5" w:themeFillTint="3F"/>
      </w:tcPr>
    </w:tblStylePr>
    <w:tblStylePr w:type="band1Horz">
      <w:tblPr/>
      <w:tcPr>
        <w:tcBorders>
          <w:insideH w:val="nil"/>
          <w:insideV w:val="nil"/>
        </w:tcBorders>
        <w:shd w:val="clear" w:color="auto" w:fill="E0E0E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78B51" w:themeColor="accent6" w:themeTint="BF"/>
        <w:left w:val="single" w:sz="8" w:space="0" w:color="F78B51" w:themeColor="accent6" w:themeTint="BF"/>
        <w:bottom w:val="single" w:sz="8" w:space="0" w:color="F78B51" w:themeColor="accent6" w:themeTint="BF"/>
        <w:right w:val="single" w:sz="8" w:space="0" w:color="F78B51" w:themeColor="accent6" w:themeTint="BF"/>
        <w:insideH w:val="single" w:sz="8" w:space="0" w:color="F78B51" w:themeColor="accent6" w:themeTint="BF"/>
      </w:tblBorders>
    </w:tblPr>
    <w:tblStylePr w:type="firstRow">
      <w:pPr>
        <w:spacing w:before="0" w:after="0" w:line="240" w:lineRule="auto"/>
      </w:pPr>
      <w:rPr>
        <w:b/>
        <w:bCs/>
        <w:color w:val="FFFFFF" w:themeColor="background1"/>
      </w:rPr>
      <w:tblPr/>
      <w:tcPr>
        <w:tcBorders>
          <w:top w:val="single" w:sz="8" w:space="0" w:color="F78B51" w:themeColor="accent6" w:themeTint="BF"/>
          <w:left w:val="single" w:sz="8" w:space="0" w:color="F78B51" w:themeColor="accent6" w:themeTint="BF"/>
          <w:bottom w:val="single" w:sz="8" w:space="0" w:color="F78B51" w:themeColor="accent6" w:themeTint="BF"/>
          <w:right w:val="single" w:sz="8" w:space="0" w:color="F78B51" w:themeColor="accent6" w:themeTint="BF"/>
          <w:insideH w:val="nil"/>
          <w:insideV w:val="nil"/>
        </w:tcBorders>
        <w:shd w:val="clear" w:color="auto" w:fill="F56617" w:themeFill="accent6"/>
      </w:tcPr>
    </w:tblStylePr>
    <w:tblStylePr w:type="lastRow">
      <w:pPr>
        <w:spacing w:before="0" w:after="0" w:line="240" w:lineRule="auto"/>
      </w:pPr>
      <w:rPr>
        <w:b/>
        <w:bCs/>
      </w:rPr>
      <w:tblPr/>
      <w:tcPr>
        <w:tcBorders>
          <w:top w:val="double" w:sz="6" w:space="0" w:color="F78B51" w:themeColor="accent6" w:themeTint="BF"/>
          <w:left w:val="single" w:sz="8" w:space="0" w:color="F78B51" w:themeColor="accent6" w:themeTint="BF"/>
          <w:bottom w:val="single" w:sz="8" w:space="0" w:color="F78B51" w:themeColor="accent6" w:themeTint="BF"/>
          <w:right w:val="single" w:sz="8" w:space="0" w:color="F78B51" w:themeColor="accent6" w:themeTint="BF"/>
          <w:insideH w:val="nil"/>
          <w:insideV w:val="nil"/>
        </w:tcBorders>
      </w:tcPr>
    </w:tblStylePr>
    <w:tblStylePr w:type="firstCol">
      <w:rPr>
        <w:b/>
        <w:bCs/>
      </w:rPr>
    </w:tblStylePr>
    <w:tblStylePr w:type="lastCol">
      <w:rPr>
        <w:b/>
        <w:bCs/>
      </w:rPr>
    </w:tblStylePr>
    <w:tblStylePr w:type="band1Vert">
      <w:tblPr/>
      <w:tcPr>
        <w:shd w:val="clear" w:color="auto" w:fill="FCD8C5" w:themeFill="accent6" w:themeFillTint="3F"/>
      </w:tcPr>
    </w:tblStylePr>
    <w:tblStylePr w:type="band1Horz">
      <w:tblPr/>
      <w:tcPr>
        <w:tcBorders>
          <w:insideH w:val="nil"/>
          <w:insideV w:val="nil"/>
        </w:tcBorders>
        <w:shd w:val="clear" w:color="auto" w:fill="FCD8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C2C2C"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C2C2C" w:themeFill="text1"/>
      </w:tcPr>
    </w:tblStylePr>
    <w:tblStylePr w:type="lastCol">
      <w:rPr>
        <w:b/>
        <w:bCs/>
        <w:color w:val="FFFFFF" w:themeColor="background1"/>
      </w:rPr>
      <w:tblPr/>
      <w:tcPr>
        <w:tcBorders>
          <w:left w:val="nil"/>
          <w:right w:val="nil"/>
          <w:insideH w:val="nil"/>
          <w:insideV w:val="nil"/>
        </w:tcBorders>
        <w:shd w:val="clear" w:color="auto" w:fill="2C2C2C"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1"/>
      </w:tcPr>
    </w:tblStylePr>
    <w:tblStylePr w:type="lastCol">
      <w:rPr>
        <w:b/>
        <w:bCs/>
        <w:color w:val="FFFFFF" w:themeColor="background1"/>
      </w:rPr>
      <w:tblPr/>
      <w:tcPr>
        <w:tcBorders>
          <w:left w:val="nil"/>
          <w:right w:val="nil"/>
          <w:insideH w:val="nil"/>
          <w:insideV w:val="nil"/>
        </w:tcBorders>
        <w:shd w:val="clear" w:color="auto" w:fill="FFC00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D028"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D028" w:themeFill="accent2"/>
      </w:tcPr>
    </w:tblStylePr>
    <w:tblStylePr w:type="lastCol">
      <w:rPr>
        <w:b/>
        <w:bCs/>
        <w:color w:val="FFFFFF" w:themeColor="background1"/>
      </w:rPr>
      <w:tblPr/>
      <w:tcPr>
        <w:tcBorders>
          <w:left w:val="nil"/>
          <w:right w:val="nil"/>
          <w:insideH w:val="nil"/>
          <w:insideV w:val="nil"/>
        </w:tcBorders>
        <w:shd w:val="clear" w:color="auto" w:fill="A5D02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8CC78"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8CC78" w:themeFill="accent3"/>
      </w:tcPr>
    </w:tblStylePr>
    <w:tblStylePr w:type="lastCol">
      <w:rPr>
        <w:b/>
        <w:bCs/>
        <w:color w:val="FFFFFF" w:themeColor="background1"/>
      </w:rPr>
      <w:tblPr/>
      <w:tcPr>
        <w:tcBorders>
          <w:left w:val="nil"/>
          <w:right w:val="nil"/>
          <w:insideH w:val="nil"/>
          <w:insideV w:val="nil"/>
        </w:tcBorders>
        <w:shd w:val="clear" w:color="auto" w:fill="08CC7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24099"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24099" w:themeFill="accent4"/>
      </w:tcPr>
    </w:tblStylePr>
    <w:tblStylePr w:type="lastCol">
      <w:rPr>
        <w:b/>
        <w:bCs/>
        <w:color w:val="FFFFFF" w:themeColor="background1"/>
      </w:rPr>
      <w:tblPr/>
      <w:tcPr>
        <w:tcBorders>
          <w:left w:val="nil"/>
          <w:right w:val="nil"/>
          <w:insideH w:val="nil"/>
          <w:insideV w:val="nil"/>
        </w:tcBorders>
        <w:shd w:val="clear" w:color="auto" w:fill="F24099"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28288"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28288" w:themeFill="accent5"/>
      </w:tcPr>
    </w:tblStylePr>
    <w:tblStylePr w:type="lastCol">
      <w:rPr>
        <w:b/>
        <w:bCs/>
        <w:color w:val="FFFFFF" w:themeColor="background1"/>
      </w:rPr>
      <w:tblPr/>
      <w:tcPr>
        <w:tcBorders>
          <w:left w:val="nil"/>
          <w:right w:val="nil"/>
          <w:insideH w:val="nil"/>
          <w:insideV w:val="nil"/>
        </w:tcBorders>
        <w:shd w:val="clear" w:color="auto" w:fill="828288"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5661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56617" w:themeFill="accent6"/>
      </w:tcPr>
    </w:tblStylePr>
    <w:tblStylePr w:type="lastCol">
      <w:rPr>
        <w:b/>
        <w:bCs/>
        <w:color w:val="FFFFFF" w:themeColor="background1"/>
      </w:rPr>
      <w:tblPr/>
      <w:tcPr>
        <w:tcBorders>
          <w:left w:val="nil"/>
          <w:right w:val="nil"/>
          <w:insideH w:val="nil"/>
          <w:insideV w:val="nil"/>
        </w:tcBorders>
        <w:shd w:val="clear" w:color="auto" w:fill="F5661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2C2C2C" w:themeColor="text1"/>
    </w:rPr>
    <w:tblPr>
      <w:tblStyleRowBandSize w:val="1"/>
      <w:tblStyleColBandSize w:val="1"/>
      <w:tblBorders>
        <w:top w:val="single" w:sz="8" w:space="0" w:color="2C2C2C" w:themeColor="text1"/>
        <w:bottom w:val="single" w:sz="8" w:space="0" w:color="2C2C2C" w:themeColor="text1"/>
      </w:tblBorders>
    </w:tblPr>
    <w:tblStylePr w:type="firstRow">
      <w:rPr>
        <w:rFonts w:asciiTheme="majorHAnsi" w:eastAsiaTheme="majorEastAsia" w:hAnsiTheme="majorHAnsi" w:cstheme="majorBidi"/>
      </w:rPr>
      <w:tblPr/>
      <w:tcPr>
        <w:tcBorders>
          <w:top w:val="nil"/>
          <w:bottom w:val="single" w:sz="8" w:space="0" w:color="2C2C2C" w:themeColor="text1"/>
        </w:tcBorders>
      </w:tcPr>
    </w:tblStylePr>
    <w:tblStylePr w:type="lastRow">
      <w:rPr>
        <w:b/>
        <w:bCs/>
        <w:color w:val="099BDD" w:themeColor="text2"/>
      </w:rPr>
      <w:tblPr/>
      <w:tcPr>
        <w:tcBorders>
          <w:top w:val="single" w:sz="8" w:space="0" w:color="2C2C2C" w:themeColor="text1"/>
          <w:bottom w:val="single" w:sz="8" w:space="0" w:color="2C2C2C" w:themeColor="text1"/>
        </w:tcBorders>
      </w:tcPr>
    </w:tblStylePr>
    <w:tblStylePr w:type="firstCol">
      <w:rPr>
        <w:b/>
        <w:bCs/>
      </w:rPr>
    </w:tblStylePr>
    <w:tblStylePr w:type="lastCol">
      <w:rPr>
        <w:b/>
        <w:bCs/>
      </w:rPr>
      <w:tblPr/>
      <w:tcPr>
        <w:tcBorders>
          <w:top w:val="single" w:sz="8" w:space="0" w:color="2C2C2C" w:themeColor="text1"/>
          <w:bottom w:val="single" w:sz="8" w:space="0" w:color="2C2C2C" w:themeColor="text1"/>
        </w:tcBorders>
      </w:tcPr>
    </w:tblStylePr>
    <w:tblStylePr w:type="band1Vert">
      <w:tblPr/>
      <w:tcPr>
        <w:shd w:val="clear" w:color="auto" w:fill="CACACA" w:themeFill="text1" w:themeFillTint="3F"/>
      </w:tcPr>
    </w:tblStylePr>
    <w:tblStylePr w:type="band1Horz">
      <w:tblPr/>
      <w:tcPr>
        <w:shd w:val="clear" w:color="auto" w:fill="CACACA" w:themeFill="text1" w:themeFillTint="3F"/>
      </w:tcPr>
    </w:tblStylePr>
  </w:style>
  <w:style w:type="table" w:styleId="MediumList1-Accent1">
    <w:name w:val="Medium List 1 Accent 1"/>
    <w:basedOn w:val="TableNormal"/>
    <w:uiPriority w:val="65"/>
    <w:rsid w:val="00CB0664"/>
    <w:pPr>
      <w:spacing w:after="0" w:line="240" w:lineRule="auto"/>
    </w:pPr>
    <w:rPr>
      <w:color w:val="2C2C2C" w:themeColor="text1"/>
    </w:rPr>
    <w:tblPr>
      <w:tblStyleRowBandSize w:val="1"/>
      <w:tblStyleColBandSize w:val="1"/>
      <w:tblBorders>
        <w:top w:val="single" w:sz="8" w:space="0" w:color="FFC000" w:themeColor="accent1"/>
        <w:bottom w:val="single" w:sz="8" w:space="0" w:color="FFC000" w:themeColor="accent1"/>
      </w:tblBorders>
    </w:tblPr>
    <w:tblStylePr w:type="firstRow">
      <w:rPr>
        <w:rFonts w:asciiTheme="majorHAnsi" w:eastAsiaTheme="majorEastAsia" w:hAnsiTheme="majorHAnsi" w:cstheme="majorBidi"/>
      </w:rPr>
      <w:tblPr/>
      <w:tcPr>
        <w:tcBorders>
          <w:top w:val="nil"/>
          <w:bottom w:val="single" w:sz="8" w:space="0" w:color="FFC000" w:themeColor="accent1"/>
        </w:tcBorders>
      </w:tcPr>
    </w:tblStylePr>
    <w:tblStylePr w:type="lastRow">
      <w:rPr>
        <w:b/>
        <w:bCs/>
        <w:color w:val="099BDD" w:themeColor="text2"/>
      </w:rPr>
      <w:tblPr/>
      <w:tcPr>
        <w:tcBorders>
          <w:top w:val="single" w:sz="8" w:space="0" w:color="FFC000" w:themeColor="accent1"/>
          <w:bottom w:val="single" w:sz="8" w:space="0" w:color="FFC000" w:themeColor="accent1"/>
        </w:tcBorders>
      </w:tcPr>
    </w:tblStylePr>
    <w:tblStylePr w:type="firstCol">
      <w:rPr>
        <w:b/>
        <w:bCs/>
      </w:rPr>
    </w:tblStylePr>
    <w:tblStylePr w:type="lastCol">
      <w:rPr>
        <w:b/>
        <w:bCs/>
      </w:rPr>
      <w:tblPr/>
      <w:tcPr>
        <w:tcBorders>
          <w:top w:val="single" w:sz="8" w:space="0" w:color="FFC000" w:themeColor="accent1"/>
          <w:bottom w:val="single" w:sz="8" w:space="0" w:color="FFC000" w:themeColor="accent1"/>
        </w:tcBorders>
      </w:tcPr>
    </w:tblStylePr>
    <w:tblStylePr w:type="band1Vert">
      <w:tblPr/>
      <w:tcPr>
        <w:shd w:val="clear" w:color="auto" w:fill="FFEFC0" w:themeFill="accent1" w:themeFillTint="3F"/>
      </w:tcPr>
    </w:tblStylePr>
    <w:tblStylePr w:type="band1Horz">
      <w:tblPr/>
      <w:tcPr>
        <w:shd w:val="clear" w:color="auto" w:fill="FFEFC0" w:themeFill="accent1" w:themeFillTint="3F"/>
      </w:tcPr>
    </w:tblStylePr>
  </w:style>
  <w:style w:type="table" w:styleId="MediumList1-Accent2">
    <w:name w:val="Medium List 1 Accent 2"/>
    <w:basedOn w:val="TableNormal"/>
    <w:uiPriority w:val="65"/>
    <w:rsid w:val="00CB0664"/>
    <w:pPr>
      <w:spacing w:after="0" w:line="240" w:lineRule="auto"/>
    </w:pPr>
    <w:rPr>
      <w:color w:val="2C2C2C" w:themeColor="text1"/>
    </w:rPr>
    <w:tblPr>
      <w:tblStyleRowBandSize w:val="1"/>
      <w:tblStyleColBandSize w:val="1"/>
      <w:tblBorders>
        <w:top w:val="single" w:sz="8" w:space="0" w:color="A5D028" w:themeColor="accent2"/>
        <w:bottom w:val="single" w:sz="8" w:space="0" w:color="A5D028" w:themeColor="accent2"/>
      </w:tblBorders>
    </w:tblPr>
    <w:tblStylePr w:type="firstRow">
      <w:rPr>
        <w:rFonts w:asciiTheme="majorHAnsi" w:eastAsiaTheme="majorEastAsia" w:hAnsiTheme="majorHAnsi" w:cstheme="majorBidi"/>
      </w:rPr>
      <w:tblPr/>
      <w:tcPr>
        <w:tcBorders>
          <w:top w:val="nil"/>
          <w:bottom w:val="single" w:sz="8" w:space="0" w:color="A5D028" w:themeColor="accent2"/>
        </w:tcBorders>
      </w:tcPr>
    </w:tblStylePr>
    <w:tblStylePr w:type="lastRow">
      <w:rPr>
        <w:b/>
        <w:bCs/>
        <w:color w:val="099BDD" w:themeColor="text2"/>
      </w:rPr>
      <w:tblPr/>
      <w:tcPr>
        <w:tcBorders>
          <w:top w:val="single" w:sz="8" w:space="0" w:color="A5D028" w:themeColor="accent2"/>
          <w:bottom w:val="single" w:sz="8" w:space="0" w:color="A5D028" w:themeColor="accent2"/>
        </w:tcBorders>
      </w:tcPr>
    </w:tblStylePr>
    <w:tblStylePr w:type="firstCol">
      <w:rPr>
        <w:b/>
        <w:bCs/>
      </w:rPr>
    </w:tblStylePr>
    <w:tblStylePr w:type="lastCol">
      <w:rPr>
        <w:b/>
        <w:bCs/>
      </w:rPr>
      <w:tblPr/>
      <w:tcPr>
        <w:tcBorders>
          <w:top w:val="single" w:sz="8" w:space="0" w:color="A5D028" w:themeColor="accent2"/>
          <w:bottom w:val="single" w:sz="8" w:space="0" w:color="A5D028" w:themeColor="accent2"/>
        </w:tcBorders>
      </w:tcPr>
    </w:tblStylePr>
    <w:tblStylePr w:type="band1Vert">
      <w:tblPr/>
      <w:tcPr>
        <w:shd w:val="clear" w:color="auto" w:fill="E9F4C8" w:themeFill="accent2" w:themeFillTint="3F"/>
      </w:tcPr>
    </w:tblStylePr>
    <w:tblStylePr w:type="band1Horz">
      <w:tblPr/>
      <w:tcPr>
        <w:shd w:val="clear" w:color="auto" w:fill="E9F4C8" w:themeFill="accent2" w:themeFillTint="3F"/>
      </w:tcPr>
    </w:tblStylePr>
  </w:style>
  <w:style w:type="table" w:styleId="MediumList1-Accent3">
    <w:name w:val="Medium List 1 Accent 3"/>
    <w:basedOn w:val="TableNormal"/>
    <w:uiPriority w:val="65"/>
    <w:rsid w:val="00CB0664"/>
    <w:pPr>
      <w:spacing w:after="0" w:line="240" w:lineRule="auto"/>
    </w:pPr>
    <w:rPr>
      <w:color w:val="2C2C2C" w:themeColor="text1"/>
    </w:rPr>
    <w:tblPr>
      <w:tblStyleRowBandSize w:val="1"/>
      <w:tblStyleColBandSize w:val="1"/>
      <w:tblBorders>
        <w:top w:val="single" w:sz="8" w:space="0" w:color="08CC78" w:themeColor="accent3"/>
        <w:bottom w:val="single" w:sz="8" w:space="0" w:color="08CC78" w:themeColor="accent3"/>
      </w:tblBorders>
    </w:tblPr>
    <w:tblStylePr w:type="firstRow">
      <w:rPr>
        <w:rFonts w:asciiTheme="majorHAnsi" w:eastAsiaTheme="majorEastAsia" w:hAnsiTheme="majorHAnsi" w:cstheme="majorBidi"/>
      </w:rPr>
      <w:tblPr/>
      <w:tcPr>
        <w:tcBorders>
          <w:top w:val="nil"/>
          <w:bottom w:val="single" w:sz="8" w:space="0" w:color="08CC78" w:themeColor="accent3"/>
        </w:tcBorders>
      </w:tcPr>
    </w:tblStylePr>
    <w:tblStylePr w:type="lastRow">
      <w:rPr>
        <w:b/>
        <w:bCs/>
        <w:color w:val="099BDD" w:themeColor="text2"/>
      </w:rPr>
      <w:tblPr/>
      <w:tcPr>
        <w:tcBorders>
          <w:top w:val="single" w:sz="8" w:space="0" w:color="08CC78" w:themeColor="accent3"/>
          <w:bottom w:val="single" w:sz="8" w:space="0" w:color="08CC78" w:themeColor="accent3"/>
        </w:tcBorders>
      </w:tcPr>
    </w:tblStylePr>
    <w:tblStylePr w:type="firstCol">
      <w:rPr>
        <w:b/>
        <w:bCs/>
      </w:rPr>
    </w:tblStylePr>
    <w:tblStylePr w:type="lastCol">
      <w:rPr>
        <w:b/>
        <w:bCs/>
      </w:rPr>
      <w:tblPr/>
      <w:tcPr>
        <w:tcBorders>
          <w:top w:val="single" w:sz="8" w:space="0" w:color="08CC78" w:themeColor="accent3"/>
          <w:bottom w:val="single" w:sz="8" w:space="0" w:color="08CC78" w:themeColor="accent3"/>
        </w:tcBorders>
      </w:tcPr>
    </w:tblStylePr>
    <w:tblStylePr w:type="band1Vert">
      <w:tblPr/>
      <w:tcPr>
        <w:shd w:val="clear" w:color="auto" w:fill="B8FCDE" w:themeFill="accent3" w:themeFillTint="3F"/>
      </w:tcPr>
    </w:tblStylePr>
    <w:tblStylePr w:type="band1Horz">
      <w:tblPr/>
      <w:tcPr>
        <w:shd w:val="clear" w:color="auto" w:fill="B8FCDE" w:themeFill="accent3" w:themeFillTint="3F"/>
      </w:tcPr>
    </w:tblStylePr>
  </w:style>
  <w:style w:type="table" w:styleId="MediumList1-Accent4">
    <w:name w:val="Medium List 1 Accent 4"/>
    <w:basedOn w:val="TableNormal"/>
    <w:uiPriority w:val="65"/>
    <w:rsid w:val="00CB0664"/>
    <w:pPr>
      <w:spacing w:after="0" w:line="240" w:lineRule="auto"/>
    </w:pPr>
    <w:rPr>
      <w:color w:val="2C2C2C" w:themeColor="text1"/>
    </w:rPr>
    <w:tblPr>
      <w:tblStyleRowBandSize w:val="1"/>
      <w:tblStyleColBandSize w:val="1"/>
      <w:tblBorders>
        <w:top w:val="single" w:sz="8" w:space="0" w:color="F24099" w:themeColor="accent4"/>
        <w:bottom w:val="single" w:sz="8" w:space="0" w:color="F24099" w:themeColor="accent4"/>
      </w:tblBorders>
    </w:tblPr>
    <w:tblStylePr w:type="firstRow">
      <w:rPr>
        <w:rFonts w:asciiTheme="majorHAnsi" w:eastAsiaTheme="majorEastAsia" w:hAnsiTheme="majorHAnsi" w:cstheme="majorBidi"/>
      </w:rPr>
      <w:tblPr/>
      <w:tcPr>
        <w:tcBorders>
          <w:top w:val="nil"/>
          <w:bottom w:val="single" w:sz="8" w:space="0" w:color="F24099" w:themeColor="accent4"/>
        </w:tcBorders>
      </w:tcPr>
    </w:tblStylePr>
    <w:tblStylePr w:type="lastRow">
      <w:rPr>
        <w:b/>
        <w:bCs/>
        <w:color w:val="099BDD" w:themeColor="text2"/>
      </w:rPr>
      <w:tblPr/>
      <w:tcPr>
        <w:tcBorders>
          <w:top w:val="single" w:sz="8" w:space="0" w:color="F24099" w:themeColor="accent4"/>
          <w:bottom w:val="single" w:sz="8" w:space="0" w:color="F24099" w:themeColor="accent4"/>
        </w:tcBorders>
      </w:tcPr>
    </w:tblStylePr>
    <w:tblStylePr w:type="firstCol">
      <w:rPr>
        <w:b/>
        <w:bCs/>
      </w:rPr>
    </w:tblStylePr>
    <w:tblStylePr w:type="lastCol">
      <w:rPr>
        <w:b/>
        <w:bCs/>
      </w:rPr>
      <w:tblPr/>
      <w:tcPr>
        <w:tcBorders>
          <w:top w:val="single" w:sz="8" w:space="0" w:color="F24099" w:themeColor="accent4"/>
          <w:bottom w:val="single" w:sz="8" w:space="0" w:color="F24099" w:themeColor="accent4"/>
        </w:tcBorders>
      </w:tcPr>
    </w:tblStylePr>
    <w:tblStylePr w:type="band1Vert">
      <w:tblPr/>
      <w:tcPr>
        <w:shd w:val="clear" w:color="auto" w:fill="FBCFE5" w:themeFill="accent4" w:themeFillTint="3F"/>
      </w:tcPr>
    </w:tblStylePr>
    <w:tblStylePr w:type="band1Horz">
      <w:tblPr/>
      <w:tcPr>
        <w:shd w:val="clear" w:color="auto" w:fill="FBCFE5" w:themeFill="accent4" w:themeFillTint="3F"/>
      </w:tcPr>
    </w:tblStylePr>
  </w:style>
  <w:style w:type="table" w:styleId="MediumList1-Accent5">
    <w:name w:val="Medium List 1 Accent 5"/>
    <w:basedOn w:val="TableNormal"/>
    <w:uiPriority w:val="65"/>
    <w:rsid w:val="00CB0664"/>
    <w:pPr>
      <w:spacing w:after="0" w:line="240" w:lineRule="auto"/>
    </w:pPr>
    <w:rPr>
      <w:color w:val="2C2C2C" w:themeColor="text1"/>
    </w:rPr>
    <w:tblPr>
      <w:tblStyleRowBandSize w:val="1"/>
      <w:tblStyleColBandSize w:val="1"/>
      <w:tblBorders>
        <w:top w:val="single" w:sz="8" w:space="0" w:color="828288" w:themeColor="accent5"/>
        <w:bottom w:val="single" w:sz="8" w:space="0" w:color="828288" w:themeColor="accent5"/>
      </w:tblBorders>
    </w:tblPr>
    <w:tblStylePr w:type="firstRow">
      <w:rPr>
        <w:rFonts w:asciiTheme="majorHAnsi" w:eastAsiaTheme="majorEastAsia" w:hAnsiTheme="majorHAnsi" w:cstheme="majorBidi"/>
      </w:rPr>
      <w:tblPr/>
      <w:tcPr>
        <w:tcBorders>
          <w:top w:val="nil"/>
          <w:bottom w:val="single" w:sz="8" w:space="0" w:color="828288" w:themeColor="accent5"/>
        </w:tcBorders>
      </w:tcPr>
    </w:tblStylePr>
    <w:tblStylePr w:type="lastRow">
      <w:rPr>
        <w:b/>
        <w:bCs/>
        <w:color w:val="099BDD" w:themeColor="text2"/>
      </w:rPr>
      <w:tblPr/>
      <w:tcPr>
        <w:tcBorders>
          <w:top w:val="single" w:sz="8" w:space="0" w:color="828288" w:themeColor="accent5"/>
          <w:bottom w:val="single" w:sz="8" w:space="0" w:color="828288" w:themeColor="accent5"/>
        </w:tcBorders>
      </w:tcPr>
    </w:tblStylePr>
    <w:tblStylePr w:type="firstCol">
      <w:rPr>
        <w:b/>
        <w:bCs/>
      </w:rPr>
    </w:tblStylePr>
    <w:tblStylePr w:type="lastCol">
      <w:rPr>
        <w:b/>
        <w:bCs/>
      </w:rPr>
      <w:tblPr/>
      <w:tcPr>
        <w:tcBorders>
          <w:top w:val="single" w:sz="8" w:space="0" w:color="828288" w:themeColor="accent5"/>
          <w:bottom w:val="single" w:sz="8" w:space="0" w:color="828288" w:themeColor="accent5"/>
        </w:tcBorders>
      </w:tcPr>
    </w:tblStylePr>
    <w:tblStylePr w:type="band1Vert">
      <w:tblPr/>
      <w:tcPr>
        <w:shd w:val="clear" w:color="auto" w:fill="E0E0E1" w:themeFill="accent5" w:themeFillTint="3F"/>
      </w:tcPr>
    </w:tblStylePr>
    <w:tblStylePr w:type="band1Horz">
      <w:tblPr/>
      <w:tcPr>
        <w:shd w:val="clear" w:color="auto" w:fill="E0E0E1" w:themeFill="accent5" w:themeFillTint="3F"/>
      </w:tcPr>
    </w:tblStylePr>
  </w:style>
  <w:style w:type="table" w:styleId="MediumList1-Accent6">
    <w:name w:val="Medium List 1 Accent 6"/>
    <w:basedOn w:val="TableNormal"/>
    <w:uiPriority w:val="65"/>
    <w:rsid w:val="00CB0664"/>
    <w:pPr>
      <w:spacing w:after="0" w:line="240" w:lineRule="auto"/>
    </w:pPr>
    <w:rPr>
      <w:color w:val="2C2C2C" w:themeColor="text1"/>
    </w:rPr>
    <w:tblPr>
      <w:tblStyleRowBandSize w:val="1"/>
      <w:tblStyleColBandSize w:val="1"/>
      <w:tblBorders>
        <w:top w:val="single" w:sz="8" w:space="0" w:color="F56617" w:themeColor="accent6"/>
        <w:bottom w:val="single" w:sz="8" w:space="0" w:color="F56617" w:themeColor="accent6"/>
      </w:tblBorders>
    </w:tblPr>
    <w:tblStylePr w:type="firstRow">
      <w:rPr>
        <w:rFonts w:asciiTheme="majorHAnsi" w:eastAsiaTheme="majorEastAsia" w:hAnsiTheme="majorHAnsi" w:cstheme="majorBidi"/>
      </w:rPr>
      <w:tblPr/>
      <w:tcPr>
        <w:tcBorders>
          <w:top w:val="nil"/>
          <w:bottom w:val="single" w:sz="8" w:space="0" w:color="F56617" w:themeColor="accent6"/>
        </w:tcBorders>
      </w:tcPr>
    </w:tblStylePr>
    <w:tblStylePr w:type="lastRow">
      <w:rPr>
        <w:b/>
        <w:bCs/>
        <w:color w:val="099BDD" w:themeColor="text2"/>
      </w:rPr>
      <w:tblPr/>
      <w:tcPr>
        <w:tcBorders>
          <w:top w:val="single" w:sz="8" w:space="0" w:color="F56617" w:themeColor="accent6"/>
          <w:bottom w:val="single" w:sz="8" w:space="0" w:color="F56617" w:themeColor="accent6"/>
        </w:tcBorders>
      </w:tcPr>
    </w:tblStylePr>
    <w:tblStylePr w:type="firstCol">
      <w:rPr>
        <w:b/>
        <w:bCs/>
      </w:rPr>
    </w:tblStylePr>
    <w:tblStylePr w:type="lastCol">
      <w:rPr>
        <w:b/>
        <w:bCs/>
      </w:rPr>
      <w:tblPr/>
      <w:tcPr>
        <w:tcBorders>
          <w:top w:val="single" w:sz="8" w:space="0" w:color="F56617" w:themeColor="accent6"/>
          <w:bottom w:val="single" w:sz="8" w:space="0" w:color="F56617" w:themeColor="accent6"/>
        </w:tcBorders>
      </w:tcPr>
    </w:tblStylePr>
    <w:tblStylePr w:type="band1Vert">
      <w:tblPr/>
      <w:tcPr>
        <w:shd w:val="clear" w:color="auto" w:fill="FCD8C5" w:themeFill="accent6" w:themeFillTint="3F"/>
      </w:tcPr>
    </w:tblStylePr>
    <w:tblStylePr w:type="band1Horz">
      <w:tblPr/>
      <w:tcPr>
        <w:shd w:val="clear" w:color="auto" w:fill="FCD8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2C2C2C" w:themeColor="text1"/>
        <w:left w:val="single" w:sz="8" w:space="0" w:color="2C2C2C" w:themeColor="text1"/>
        <w:bottom w:val="single" w:sz="8" w:space="0" w:color="2C2C2C" w:themeColor="text1"/>
        <w:right w:val="single" w:sz="8" w:space="0" w:color="2C2C2C" w:themeColor="text1"/>
      </w:tblBorders>
    </w:tblPr>
    <w:tblStylePr w:type="firstRow">
      <w:rPr>
        <w:sz w:val="24"/>
        <w:szCs w:val="24"/>
      </w:rPr>
      <w:tblPr/>
      <w:tcPr>
        <w:tcBorders>
          <w:top w:val="nil"/>
          <w:left w:val="nil"/>
          <w:bottom w:val="single" w:sz="24" w:space="0" w:color="2C2C2C" w:themeColor="text1"/>
          <w:right w:val="nil"/>
          <w:insideH w:val="nil"/>
          <w:insideV w:val="nil"/>
        </w:tcBorders>
        <w:shd w:val="clear" w:color="auto" w:fill="FFFFFF" w:themeFill="background1"/>
      </w:tcPr>
    </w:tblStylePr>
    <w:tblStylePr w:type="lastRow">
      <w:tblPr/>
      <w:tcPr>
        <w:tcBorders>
          <w:top w:val="single" w:sz="8" w:space="0" w:color="2C2C2C"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C2C2C" w:themeColor="text1"/>
          <w:insideH w:val="nil"/>
          <w:insideV w:val="nil"/>
        </w:tcBorders>
        <w:shd w:val="clear" w:color="auto" w:fill="FFFFFF" w:themeFill="background1"/>
      </w:tcPr>
    </w:tblStylePr>
    <w:tblStylePr w:type="lastCol">
      <w:tblPr/>
      <w:tcPr>
        <w:tcBorders>
          <w:top w:val="nil"/>
          <w:left w:val="single" w:sz="8" w:space="0" w:color="2C2C2C"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ACACA" w:themeFill="text1" w:themeFillTint="3F"/>
      </w:tcPr>
    </w:tblStylePr>
    <w:tblStylePr w:type="band1Horz">
      <w:tblPr/>
      <w:tcPr>
        <w:tcBorders>
          <w:top w:val="nil"/>
          <w:bottom w:val="nil"/>
          <w:insideH w:val="nil"/>
          <w:insideV w:val="nil"/>
        </w:tcBorders>
        <w:shd w:val="clear" w:color="auto" w:fill="CACACA"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FFC000" w:themeColor="accent1"/>
        <w:left w:val="single" w:sz="8" w:space="0" w:color="FFC000" w:themeColor="accent1"/>
        <w:bottom w:val="single" w:sz="8" w:space="0" w:color="FFC000" w:themeColor="accent1"/>
        <w:right w:val="single" w:sz="8" w:space="0" w:color="FFC000" w:themeColor="accent1"/>
      </w:tblBorders>
    </w:tblPr>
    <w:tblStylePr w:type="firstRow">
      <w:rPr>
        <w:sz w:val="24"/>
        <w:szCs w:val="24"/>
      </w:rPr>
      <w:tblPr/>
      <w:tcPr>
        <w:tcBorders>
          <w:top w:val="nil"/>
          <w:left w:val="nil"/>
          <w:bottom w:val="single" w:sz="24" w:space="0" w:color="FFC000" w:themeColor="accent1"/>
          <w:right w:val="nil"/>
          <w:insideH w:val="nil"/>
          <w:insideV w:val="nil"/>
        </w:tcBorders>
        <w:shd w:val="clear" w:color="auto" w:fill="FFFFFF" w:themeFill="background1"/>
      </w:tcPr>
    </w:tblStylePr>
    <w:tblStylePr w:type="lastRow">
      <w:tblPr/>
      <w:tcPr>
        <w:tcBorders>
          <w:top w:val="single" w:sz="8" w:space="0" w:color="FFC000"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1"/>
          <w:insideH w:val="nil"/>
          <w:insideV w:val="nil"/>
        </w:tcBorders>
        <w:shd w:val="clear" w:color="auto" w:fill="FFFFFF" w:themeFill="background1"/>
      </w:tcPr>
    </w:tblStylePr>
    <w:tblStylePr w:type="lastCol">
      <w:tblPr/>
      <w:tcPr>
        <w:tcBorders>
          <w:top w:val="nil"/>
          <w:left w:val="single" w:sz="8" w:space="0" w:color="FFC00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1" w:themeFillTint="3F"/>
      </w:tcPr>
    </w:tblStylePr>
    <w:tblStylePr w:type="band1Horz">
      <w:tblPr/>
      <w:tcPr>
        <w:tcBorders>
          <w:top w:val="nil"/>
          <w:bottom w:val="nil"/>
          <w:insideH w:val="nil"/>
          <w:insideV w:val="nil"/>
        </w:tcBorders>
        <w:shd w:val="clear" w:color="auto" w:fill="FFEFC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A5D028" w:themeColor="accent2"/>
        <w:left w:val="single" w:sz="8" w:space="0" w:color="A5D028" w:themeColor="accent2"/>
        <w:bottom w:val="single" w:sz="8" w:space="0" w:color="A5D028" w:themeColor="accent2"/>
        <w:right w:val="single" w:sz="8" w:space="0" w:color="A5D028" w:themeColor="accent2"/>
      </w:tblBorders>
    </w:tblPr>
    <w:tblStylePr w:type="firstRow">
      <w:rPr>
        <w:sz w:val="24"/>
        <w:szCs w:val="24"/>
      </w:rPr>
      <w:tblPr/>
      <w:tcPr>
        <w:tcBorders>
          <w:top w:val="nil"/>
          <w:left w:val="nil"/>
          <w:bottom w:val="single" w:sz="24" w:space="0" w:color="A5D028" w:themeColor="accent2"/>
          <w:right w:val="nil"/>
          <w:insideH w:val="nil"/>
          <w:insideV w:val="nil"/>
        </w:tcBorders>
        <w:shd w:val="clear" w:color="auto" w:fill="FFFFFF" w:themeFill="background1"/>
      </w:tcPr>
    </w:tblStylePr>
    <w:tblStylePr w:type="lastRow">
      <w:tblPr/>
      <w:tcPr>
        <w:tcBorders>
          <w:top w:val="single" w:sz="8" w:space="0" w:color="A5D028"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D028" w:themeColor="accent2"/>
          <w:insideH w:val="nil"/>
          <w:insideV w:val="nil"/>
        </w:tcBorders>
        <w:shd w:val="clear" w:color="auto" w:fill="FFFFFF" w:themeFill="background1"/>
      </w:tcPr>
    </w:tblStylePr>
    <w:tblStylePr w:type="lastCol">
      <w:tblPr/>
      <w:tcPr>
        <w:tcBorders>
          <w:top w:val="nil"/>
          <w:left w:val="single" w:sz="8" w:space="0" w:color="A5D028"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9F4C8" w:themeFill="accent2" w:themeFillTint="3F"/>
      </w:tcPr>
    </w:tblStylePr>
    <w:tblStylePr w:type="band1Horz">
      <w:tblPr/>
      <w:tcPr>
        <w:tcBorders>
          <w:top w:val="nil"/>
          <w:bottom w:val="nil"/>
          <w:insideH w:val="nil"/>
          <w:insideV w:val="nil"/>
        </w:tcBorders>
        <w:shd w:val="clear" w:color="auto" w:fill="E9F4C8"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08CC78" w:themeColor="accent3"/>
        <w:left w:val="single" w:sz="8" w:space="0" w:color="08CC78" w:themeColor="accent3"/>
        <w:bottom w:val="single" w:sz="8" w:space="0" w:color="08CC78" w:themeColor="accent3"/>
        <w:right w:val="single" w:sz="8" w:space="0" w:color="08CC78" w:themeColor="accent3"/>
      </w:tblBorders>
    </w:tblPr>
    <w:tblStylePr w:type="firstRow">
      <w:rPr>
        <w:sz w:val="24"/>
        <w:szCs w:val="24"/>
      </w:rPr>
      <w:tblPr/>
      <w:tcPr>
        <w:tcBorders>
          <w:top w:val="nil"/>
          <w:left w:val="nil"/>
          <w:bottom w:val="single" w:sz="24" w:space="0" w:color="08CC78" w:themeColor="accent3"/>
          <w:right w:val="nil"/>
          <w:insideH w:val="nil"/>
          <w:insideV w:val="nil"/>
        </w:tcBorders>
        <w:shd w:val="clear" w:color="auto" w:fill="FFFFFF" w:themeFill="background1"/>
      </w:tcPr>
    </w:tblStylePr>
    <w:tblStylePr w:type="lastRow">
      <w:tblPr/>
      <w:tcPr>
        <w:tcBorders>
          <w:top w:val="single" w:sz="8" w:space="0" w:color="08CC78"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8CC78" w:themeColor="accent3"/>
          <w:insideH w:val="nil"/>
          <w:insideV w:val="nil"/>
        </w:tcBorders>
        <w:shd w:val="clear" w:color="auto" w:fill="FFFFFF" w:themeFill="background1"/>
      </w:tcPr>
    </w:tblStylePr>
    <w:tblStylePr w:type="lastCol">
      <w:tblPr/>
      <w:tcPr>
        <w:tcBorders>
          <w:top w:val="nil"/>
          <w:left w:val="single" w:sz="8" w:space="0" w:color="08CC7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FCDE" w:themeFill="accent3" w:themeFillTint="3F"/>
      </w:tcPr>
    </w:tblStylePr>
    <w:tblStylePr w:type="band1Horz">
      <w:tblPr/>
      <w:tcPr>
        <w:tcBorders>
          <w:top w:val="nil"/>
          <w:bottom w:val="nil"/>
          <w:insideH w:val="nil"/>
          <w:insideV w:val="nil"/>
        </w:tcBorders>
        <w:shd w:val="clear" w:color="auto" w:fill="B8FCD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F24099" w:themeColor="accent4"/>
        <w:left w:val="single" w:sz="8" w:space="0" w:color="F24099" w:themeColor="accent4"/>
        <w:bottom w:val="single" w:sz="8" w:space="0" w:color="F24099" w:themeColor="accent4"/>
        <w:right w:val="single" w:sz="8" w:space="0" w:color="F24099" w:themeColor="accent4"/>
      </w:tblBorders>
    </w:tblPr>
    <w:tblStylePr w:type="firstRow">
      <w:rPr>
        <w:sz w:val="24"/>
        <w:szCs w:val="24"/>
      </w:rPr>
      <w:tblPr/>
      <w:tcPr>
        <w:tcBorders>
          <w:top w:val="nil"/>
          <w:left w:val="nil"/>
          <w:bottom w:val="single" w:sz="24" w:space="0" w:color="F24099" w:themeColor="accent4"/>
          <w:right w:val="nil"/>
          <w:insideH w:val="nil"/>
          <w:insideV w:val="nil"/>
        </w:tcBorders>
        <w:shd w:val="clear" w:color="auto" w:fill="FFFFFF" w:themeFill="background1"/>
      </w:tcPr>
    </w:tblStylePr>
    <w:tblStylePr w:type="lastRow">
      <w:tblPr/>
      <w:tcPr>
        <w:tcBorders>
          <w:top w:val="single" w:sz="8" w:space="0" w:color="F24099"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24099" w:themeColor="accent4"/>
          <w:insideH w:val="nil"/>
          <w:insideV w:val="nil"/>
        </w:tcBorders>
        <w:shd w:val="clear" w:color="auto" w:fill="FFFFFF" w:themeFill="background1"/>
      </w:tcPr>
    </w:tblStylePr>
    <w:tblStylePr w:type="lastCol">
      <w:tblPr/>
      <w:tcPr>
        <w:tcBorders>
          <w:top w:val="nil"/>
          <w:left w:val="single" w:sz="8" w:space="0" w:color="F24099"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BCFE5" w:themeFill="accent4" w:themeFillTint="3F"/>
      </w:tcPr>
    </w:tblStylePr>
    <w:tblStylePr w:type="band1Horz">
      <w:tblPr/>
      <w:tcPr>
        <w:tcBorders>
          <w:top w:val="nil"/>
          <w:bottom w:val="nil"/>
          <w:insideH w:val="nil"/>
          <w:insideV w:val="nil"/>
        </w:tcBorders>
        <w:shd w:val="clear" w:color="auto" w:fill="FBCF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828288" w:themeColor="accent5"/>
        <w:left w:val="single" w:sz="8" w:space="0" w:color="828288" w:themeColor="accent5"/>
        <w:bottom w:val="single" w:sz="8" w:space="0" w:color="828288" w:themeColor="accent5"/>
        <w:right w:val="single" w:sz="8" w:space="0" w:color="828288" w:themeColor="accent5"/>
      </w:tblBorders>
    </w:tblPr>
    <w:tblStylePr w:type="firstRow">
      <w:rPr>
        <w:sz w:val="24"/>
        <w:szCs w:val="24"/>
      </w:rPr>
      <w:tblPr/>
      <w:tcPr>
        <w:tcBorders>
          <w:top w:val="nil"/>
          <w:left w:val="nil"/>
          <w:bottom w:val="single" w:sz="24" w:space="0" w:color="828288" w:themeColor="accent5"/>
          <w:right w:val="nil"/>
          <w:insideH w:val="nil"/>
          <w:insideV w:val="nil"/>
        </w:tcBorders>
        <w:shd w:val="clear" w:color="auto" w:fill="FFFFFF" w:themeFill="background1"/>
      </w:tcPr>
    </w:tblStylePr>
    <w:tblStylePr w:type="lastRow">
      <w:tblPr/>
      <w:tcPr>
        <w:tcBorders>
          <w:top w:val="single" w:sz="8" w:space="0" w:color="828288"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28288" w:themeColor="accent5"/>
          <w:insideH w:val="nil"/>
          <w:insideV w:val="nil"/>
        </w:tcBorders>
        <w:shd w:val="clear" w:color="auto" w:fill="FFFFFF" w:themeFill="background1"/>
      </w:tcPr>
    </w:tblStylePr>
    <w:tblStylePr w:type="lastCol">
      <w:tblPr/>
      <w:tcPr>
        <w:tcBorders>
          <w:top w:val="nil"/>
          <w:left w:val="single" w:sz="8" w:space="0" w:color="828288"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E0E1" w:themeFill="accent5" w:themeFillTint="3F"/>
      </w:tcPr>
    </w:tblStylePr>
    <w:tblStylePr w:type="band1Horz">
      <w:tblPr/>
      <w:tcPr>
        <w:tcBorders>
          <w:top w:val="nil"/>
          <w:bottom w:val="nil"/>
          <w:insideH w:val="nil"/>
          <w:insideV w:val="nil"/>
        </w:tcBorders>
        <w:shd w:val="clear" w:color="auto" w:fill="E0E0E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F56617" w:themeColor="accent6"/>
        <w:left w:val="single" w:sz="8" w:space="0" w:color="F56617" w:themeColor="accent6"/>
        <w:bottom w:val="single" w:sz="8" w:space="0" w:color="F56617" w:themeColor="accent6"/>
        <w:right w:val="single" w:sz="8" w:space="0" w:color="F56617" w:themeColor="accent6"/>
      </w:tblBorders>
    </w:tblPr>
    <w:tblStylePr w:type="firstRow">
      <w:rPr>
        <w:sz w:val="24"/>
        <w:szCs w:val="24"/>
      </w:rPr>
      <w:tblPr/>
      <w:tcPr>
        <w:tcBorders>
          <w:top w:val="nil"/>
          <w:left w:val="nil"/>
          <w:bottom w:val="single" w:sz="24" w:space="0" w:color="F56617" w:themeColor="accent6"/>
          <w:right w:val="nil"/>
          <w:insideH w:val="nil"/>
          <w:insideV w:val="nil"/>
        </w:tcBorders>
        <w:shd w:val="clear" w:color="auto" w:fill="FFFFFF" w:themeFill="background1"/>
      </w:tcPr>
    </w:tblStylePr>
    <w:tblStylePr w:type="lastRow">
      <w:tblPr/>
      <w:tcPr>
        <w:tcBorders>
          <w:top w:val="single" w:sz="8" w:space="0" w:color="F5661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56617" w:themeColor="accent6"/>
          <w:insideH w:val="nil"/>
          <w:insideV w:val="nil"/>
        </w:tcBorders>
        <w:shd w:val="clear" w:color="auto" w:fill="FFFFFF" w:themeFill="background1"/>
      </w:tcPr>
    </w:tblStylePr>
    <w:tblStylePr w:type="lastCol">
      <w:tblPr/>
      <w:tcPr>
        <w:tcBorders>
          <w:top w:val="nil"/>
          <w:left w:val="single" w:sz="8" w:space="0" w:color="F5661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CD8C5" w:themeFill="accent6" w:themeFillTint="3F"/>
      </w:tcPr>
    </w:tblStylePr>
    <w:tblStylePr w:type="band1Horz">
      <w:tblPr/>
      <w:tcPr>
        <w:tcBorders>
          <w:top w:val="nil"/>
          <w:bottom w:val="nil"/>
          <w:insideH w:val="nil"/>
          <w:insideV w:val="nil"/>
        </w:tcBorders>
        <w:shd w:val="clear" w:color="auto" w:fill="FCD8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606060" w:themeColor="text1" w:themeTint="BF"/>
        <w:left w:val="single" w:sz="8" w:space="0" w:color="606060" w:themeColor="text1" w:themeTint="BF"/>
        <w:bottom w:val="single" w:sz="8" w:space="0" w:color="606060" w:themeColor="text1" w:themeTint="BF"/>
        <w:right w:val="single" w:sz="8" w:space="0" w:color="606060" w:themeColor="text1" w:themeTint="BF"/>
        <w:insideH w:val="single" w:sz="8" w:space="0" w:color="606060" w:themeColor="text1" w:themeTint="BF"/>
        <w:insideV w:val="single" w:sz="8" w:space="0" w:color="606060" w:themeColor="text1" w:themeTint="BF"/>
      </w:tblBorders>
    </w:tblPr>
    <w:tcPr>
      <w:shd w:val="clear" w:color="auto" w:fill="CACACA" w:themeFill="text1" w:themeFillTint="3F"/>
    </w:tcPr>
    <w:tblStylePr w:type="firstRow">
      <w:rPr>
        <w:b/>
        <w:bCs/>
      </w:rPr>
    </w:tblStylePr>
    <w:tblStylePr w:type="lastRow">
      <w:rPr>
        <w:b/>
        <w:bCs/>
      </w:rPr>
      <w:tblPr/>
      <w:tcPr>
        <w:tcBorders>
          <w:top w:val="single" w:sz="18" w:space="0" w:color="606060" w:themeColor="text1" w:themeTint="BF"/>
        </w:tcBorders>
      </w:tcPr>
    </w:tblStylePr>
    <w:tblStylePr w:type="firstCol">
      <w:rPr>
        <w:b/>
        <w:bCs/>
      </w:rPr>
    </w:tblStylePr>
    <w:tblStylePr w:type="lastCol">
      <w:rPr>
        <w:b/>
        <w:bCs/>
      </w:rPr>
    </w:tblStylePr>
    <w:tblStylePr w:type="band1Vert">
      <w:tblPr/>
      <w:tcPr>
        <w:shd w:val="clear" w:color="auto" w:fill="959595" w:themeFill="text1" w:themeFillTint="7F"/>
      </w:tcPr>
    </w:tblStylePr>
    <w:tblStylePr w:type="band1Horz">
      <w:tblPr/>
      <w:tcPr>
        <w:shd w:val="clear" w:color="auto" w:fill="959595"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FFCF40" w:themeColor="accent1" w:themeTint="BF"/>
        <w:left w:val="single" w:sz="8" w:space="0" w:color="FFCF40" w:themeColor="accent1" w:themeTint="BF"/>
        <w:bottom w:val="single" w:sz="8" w:space="0" w:color="FFCF40" w:themeColor="accent1" w:themeTint="BF"/>
        <w:right w:val="single" w:sz="8" w:space="0" w:color="FFCF40" w:themeColor="accent1" w:themeTint="BF"/>
        <w:insideH w:val="single" w:sz="8" w:space="0" w:color="FFCF40" w:themeColor="accent1" w:themeTint="BF"/>
        <w:insideV w:val="single" w:sz="8" w:space="0" w:color="FFCF40" w:themeColor="accent1" w:themeTint="BF"/>
      </w:tblBorders>
    </w:tblPr>
    <w:tcPr>
      <w:shd w:val="clear" w:color="auto" w:fill="FFEFC0" w:themeFill="accent1" w:themeFillTint="3F"/>
    </w:tcPr>
    <w:tblStylePr w:type="firstRow">
      <w:rPr>
        <w:b/>
        <w:bCs/>
      </w:rPr>
    </w:tblStylePr>
    <w:tblStylePr w:type="lastRow">
      <w:rPr>
        <w:b/>
        <w:bCs/>
      </w:rPr>
      <w:tblPr/>
      <w:tcPr>
        <w:tcBorders>
          <w:top w:val="single" w:sz="18" w:space="0" w:color="FFCF40" w:themeColor="accent1" w:themeTint="BF"/>
        </w:tcBorders>
      </w:tcPr>
    </w:tblStylePr>
    <w:tblStylePr w:type="firstCol">
      <w:rPr>
        <w:b/>
        <w:bCs/>
      </w:rPr>
    </w:tblStylePr>
    <w:tblStylePr w:type="lastCol">
      <w:rPr>
        <w:b/>
        <w:bCs/>
      </w:rPr>
    </w:tblStylePr>
    <w:tblStylePr w:type="band1Vert">
      <w:tblPr/>
      <w:tcPr>
        <w:shd w:val="clear" w:color="auto" w:fill="FFDF80" w:themeFill="accent1" w:themeFillTint="7F"/>
      </w:tcPr>
    </w:tblStylePr>
    <w:tblStylePr w:type="band1Horz">
      <w:tblPr/>
      <w:tcPr>
        <w:shd w:val="clear" w:color="auto" w:fill="FFDF80"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BCDF5A" w:themeColor="accent2" w:themeTint="BF"/>
        <w:left w:val="single" w:sz="8" w:space="0" w:color="BCDF5A" w:themeColor="accent2" w:themeTint="BF"/>
        <w:bottom w:val="single" w:sz="8" w:space="0" w:color="BCDF5A" w:themeColor="accent2" w:themeTint="BF"/>
        <w:right w:val="single" w:sz="8" w:space="0" w:color="BCDF5A" w:themeColor="accent2" w:themeTint="BF"/>
        <w:insideH w:val="single" w:sz="8" w:space="0" w:color="BCDF5A" w:themeColor="accent2" w:themeTint="BF"/>
        <w:insideV w:val="single" w:sz="8" w:space="0" w:color="BCDF5A" w:themeColor="accent2" w:themeTint="BF"/>
      </w:tblBorders>
    </w:tblPr>
    <w:tcPr>
      <w:shd w:val="clear" w:color="auto" w:fill="E9F4C8" w:themeFill="accent2" w:themeFillTint="3F"/>
    </w:tcPr>
    <w:tblStylePr w:type="firstRow">
      <w:rPr>
        <w:b/>
        <w:bCs/>
      </w:rPr>
    </w:tblStylePr>
    <w:tblStylePr w:type="lastRow">
      <w:rPr>
        <w:b/>
        <w:bCs/>
      </w:rPr>
      <w:tblPr/>
      <w:tcPr>
        <w:tcBorders>
          <w:top w:val="single" w:sz="18" w:space="0" w:color="BCDF5A" w:themeColor="accent2" w:themeTint="BF"/>
        </w:tcBorders>
      </w:tcPr>
    </w:tblStylePr>
    <w:tblStylePr w:type="firstCol">
      <w:rPr>
        <w:b/>
        <w:bCs/>
      </w:rPr>
    </w:tblStylePr>
    <w:tblStylePr w:type="lastCol">
      <w:rPr>
        <w:b/>
        <w:bCs/>
      </w:rPr>
    </w:tblStylePr>
    <w:tblStylePr w:type="band1Vert">
      <w:tblPr/>
      <w:tcPr>
        <w:shd w:val="clear" w:color="auto" w:fill="D3EA91" w:themeFill="accent2" w:themeFillTint="7F"/>
      </w:tcPr>
    </w:tblStylePr>
    <w:tblStylePr w:type="band1Horz">
      <w:tblPr/>
      <w:tcPr>
        <w:shd w:val="clear" w:color="auto" w:fill="D3EA91"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8F69D" w:themeColor="accent3" w:themeTint="BF"/>
        <w:left w:val="single" w:sz="8" w:space="0" w:color="28F69D" w:themeColor="accent3" w:themeTint="BF"/>
        <w:bottom w:val="single" w:sz="8" w:space="0" w:color="28F69D" w:themeColor="accent3" w:themeTint="BF"/>
        <w:right w:val="single" w:sz="8" w:space="0" w:color="28F69D" w:themeColor="accent3" w:themeTint="BF"/>
        <w:insideH w:val="single" w:sz="8" w:space="0" w:color="28F69D" w:themeColor="accent3" w:themeTint="BF"/>
        <w:insideV w:val="single" w:sz="8" w:space="0" w:color="28F69D" w:themeColor="accent3" w:themeTint="BF"/>
      </w:tblBorders>
    </w:tblPr>
    <w:tcPr>
      <w:shd w:val="clear" w:color="auto" w:fill="B8FCDE" w:themeFill="accent3" w:themeFillTint="3F"/>
    </w:tcPr>
    <w:tblStylePr w:type="firstRow">
      <w:rPr>
        <w:b/>
        <w:bCs/>
      </w:rPr>
    </w:tblStylePr>
    <w:tblStylePr w:type="lastRow">
      <w:rPr>
        <w:b/>
        <w:bCs/>
      </w:rPr>
      <w:tblPr/>
      <w:tcPr>
        <w:tcBorders>
          <w:top w:val="single" w:sz="18" w:space="0" w:color="28F69D" w:themeColor="accent3" w:themeTint="BF"/>
        </w:tcBorders>
      </w:tcPr>
    </w:tblStylePr>
    <w:tblStylePr w:type="firstCol">
      <w:rPr>
        <w:b/>
        <w:bCs/>
      </w:rPr>
    </w:tblStylePr>
    <w:tblStylePr w:type="lastCol">
      <w:rPr>
        <w:b/>
        <w:bCs/>
      </w:rPr>
    </w:tblStylePr>
    <w:tblStylePr w:type="band1Vert">
      <w:tblPr/>
      <w:tcPr>
        <w:shd w:val="clear" w:color="auto" w:fill="6FF9BE" w:themeFill="accent3" w:themeFillTint="7F"/>
      </w:tcPr>
    </w:tblStylePr>
    <w:tblStylePr w:type="band1Horz">
      <w:tblPr/>
      <w:tcPr>
        <w:shd w:val="clear" w:color="auto" w:fill="6FF9BE"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F56FB2" w:themeColor="accent4" w:themeTint="BF"/>
        <w:left w:val="single" w:sz="8" w:space="0" w:color="F56FB2" w:themeColor="accent4" w:themeTint="BF"/>
        <w:bottom w:val="single" w:sz="8" w:space="0" w:color="F56FB2" w:themeColor="accent4" w:themeTint="BF"/>
        <w:right w:val="single" w:sz="8" w:space="0" w:color="F56FB2" w:themeColor="accent4" w:themeTint="BF"/>
        <w:insideH w:val="single" w:sz="8" w:space="0" w:color="F56FB2" w:themeColor="accent4" w:themeTint="BF"/>
        <w:insideV w:val="single" w:sz="8" w:space="0" w:color="F56FB2" w:themeColor="accent4" w:themeTint="BF"/>
      </w:tblBorders>
    </w:tblPr>
    <w:tcPr>
      <w:shd w:val="clear" w:color="auto" w:fill="FBCFE5" w:themeFill="accent4" w:themeFillTint="3F"/>
    </w:tcPr>
    <w:tblStylePr w:type="firstRow">
      <w:rPr>
        <w:b/>
        <w:bCs/>
      </w:rPr>
    </w:tblStylePr>
    <w:tblStylePr w:type="lastRow">
      <w:rPr>
        <w:b/>
        <w:bCs/>
      </w:rPr>
      <w:tblPr/>
      <w:tcPr>
        <w:tcBorders>
          <w:top w:val="single" w:sz="18" w:space="0" w:color="F56FB2" w:themeColor="accent4" w:themeTint="BF"/>
        </w:tcBorders>
      </w:tcPr>
    </w:tblStylePr>
    <w:tblStylePr w:type="firstCol">
      <w:rPr>
        <w:b/>
        <w:bCs/>
      </w:rPr>
    </w:tblStylePr>
    <w:tblStylePr w:type="lastCol">
      <w:rPr>
        <w:b/>
        <w:bCs/>
      </w:rPr>
    </w:tblStylePr>
    <w:tblStylePr w:type="band1Vert">
      <w:tblPr/>
      <w:tcPr>
        <w:shd w:val="clear" w:color="auto" w:fill="F89FCB" w:themeFill="accent4" w:themeFillTint="7F"/>
      </w:tcPr>
    </w:tblStylePr>
    <w:tblStylePr w:type="band1Horz">
      <w:tblPr/>
      <w:tcPr>
        <w:shd w:val="clear" w:color="auto" w:fill="F89FCB"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A1A1A5" w:themeColor="accent5" w:themeTint="BF"/>
        <w:left w:val="single" w:sz="8" w:space="0" w:color="A1A1A5" w:themeColor="accent5" w:themeTint="BF"/>
        <w:bottom w:val="single" w:sz="8" w:space="0" w:color="A1A1A5" w:themeColor="accent5" w:themeTint="BF"/>
        <w:right w:val="single" w:sz="8" w:space="0" w:color="A1A1A5" w:themeColor="accent5" w:themeTint="BF"/>
        <w:insideH w:val="single" w:sz="8" w:space="0" w:color="A1A1A5" w:themeColor="accent5" w:themeTint="BF"/>
        <w:insideV w:val="single" w:sz="8" w:space="0" w:color="A1A1A5" w:themeColor="accent5" w:themeTint="BF"/>
      </w:tblBorders>
    </w:tblPr>
    <w:tcPr>
      <w:shd w:val="clear" w:color="auto" w:fill="E0E0E1" w:themeFill="accent5" w:themeFillTint="3F"/>
    </w:tcPr>
    <w:tblStylePr w:type="firstRow">
      <w:rPr>
        <w:b/>
        <w:bCs/>
      </w:rPr>
    </w:tblStylePr>
    <w:tblStylePr w:type="lastRow">
      <w:rPr>
        <w:b/>
        <w:bCs/>
      </w:rPr>
      <w:tblPr/>
      <w:tcPr>
        <w:tcBorders>
          <w:top w:val="single" w:sz="18" w:space="0" w:color="A1A1A5" w:themeColor="accent5" w:themeTint="BF"/>
        </w:tcBorders>
      </w:tcPr>
    </w:tblStylePr>
    <w:tblStylePr w:type="firstCol">
      <w:rPr>
        <w:b/>
        <w:bCs/>
      </w:rPr>
    </w:tblStylePr>
    <w:tblStylePr w:type="lastCol">
      <w:rPr>
        <w:b/>
        <w:bCs/>
      </w:rPr>
    </w:tblStylePr>
    <w:tblStylePr w:type="band1Vert">
      <w:tblPr/>
      <w:tcPr>
        <w:shd w:val="clear" w:color="auto" w:fill="C0C0C3" w:themeFill="accent5" w:themeFillTint="7F"/>
      </w:tcPr>
    </w:tblStylePr>
    <w:tblStylePr w:type="band1Horz">
      <w:tblPr/>
      <w:tcPr>
        <w:shd w:val="clear" w:color="auto" w:fill="C0C0C3"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78B51" w:themeColor="accent6" w:themeTint="BF"/>
        <w:left w:val="single" w:sz="8" w:space="0" w:color="F78B51" w:themeColor="accent6" w:themeTint="BF"/>
        <w:bottom w:val="single" w:sz="8" w:space="0" w:color="F78B51" w:themeColor="accent6" w:themeTint="BF"/>
        <w:right w:val="single" w:sz="8" w:space="0" w:color="F78B51" w:themeColor="accent6" w:themeTint="BF"/>
        <w:insideH w:val="single" w:sz="8" w:space="0" w:color="F78B51" w:themeColor="accent6" w:themeTint="BF"/>
        <w:insideV w:val="single" w:sz="8" w:space="0" w:color="F78B51" w:themeColor="accent6" w:themeTint="BF"/>
      </w:tblBorders>
    </w:tblPr>
    <w:tcPr>
      <w:shd w:val="clear" w:color="auto" w:fill="FCD8C5" w:themeFill="accent6" w:themeFillTint="3F"/>
    </w:tcPr>
    <w:tblStylePr w:type="firstRow">
      <w:rPr>
        <w:b/>
        <w:bCs/>
      </w:rPr>
    </w:tblStylePr>
    <w:tblStylePr w:type="lastRow">
      <w:rPr>
        <w:b/>
        <w:bCs/>
      </w:rPr>
      <w:tblPr/>
      <w:tcPr>
        <w:tcBorders>
          <w:top w:val="single" w:sz="18" w:space="0" w:color="F78B51" w:themeColor="accent6" w:themeTint="BF"/>
        </w:tcBorders>
      </w:tcPr>
    </w:tblStylePr>
    <w:tblStylePr w:type="firstCol">
      <w:rPr>
        <w:b/>
        <w:bCs/>
      </w:rPr>
    </w:tblStylePr>
    <w:tblStylePr w:type="lastCol">
      <w:rPr>
        <w:b/>
        <w:bCs/>
      </w:rPr>
    </w:tblStylePr>
    <w:tblStylePr w:type="band1Vert">
      <w:tblPr/>
      <w:tcPr>
        <w:shd w:val="clear" w:color="auto" w:fill="FAB28B" w:themeFill="accent6" w:themeFillTint="7F"/>
      </w:tcPr>
    </w:tblStylePr>
    <w:tblStylePr w:type="band1Horz">
      <w:tblPr/>
      <w:tcPr>
        <w:shd w:val="clear" w:color="auto" w:fill="FAB28B"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2C2C2C" w:themeColor="text1"/>
        <w:left w:val="single" w:sz="8" w:space="0" w:color="2C2C2C" w:themeColor="text1"/>
        <w:bottom w:val="single" w:sz="8" w:space="0" w:color="2C2C2C" w:themeColor="text1"/>
        <w:right w:val="single" w:sz="8" w:space="0" w:color="2C2C2C" w:themeColor="text1"/>
        <w:insideH w:val="single" w:sz="8" w:space="0" w:color="2C2C2C" w:themeColor="text1"/>
        <w:insideV w:val="single" w:sz="8" w:space="0" w:color="2C2C2C" w:themeColor="text1"/>
      </w:tblBorders>
    </w:tblPr>
    <w:tcPr>
      <w:shd w:val="clear" w:color="auto" w:fill="CACACA" w:themeFill="text1" w:themeFillTint="3F"/>
    </w:tcPr>
    <w:tblStylePr w:type="firstRow">
      <w:rPr>
        <w:b/>
        <w:bCs/>
        <w:color w:val="2C2C2C" w:themeColor="text1"/>
      </w:rPr>
      <w:tblPr/>
      <w:tcPr>
        <w:shd w:val="clear" w:color="auto" w:fill="EAEAEA" w:themeFill="text1" w:themeFillTint="19"/>
      </w:tcPr>
    </w:tblStylePr>
    <w:tblStylePr w:type="lastRow">
      <w:rPr>
        <w:b/>
        <w:bCs/>
        <w:color w:val="2C2C2C" w:themeColor="text1"/>
      </w:rPr>
      <w:tblPr/>
      <w:tcPr>
        <w:tcBorders>
          <w:top w:val="single" w:sz="12" w:space="0" w:color="2C2C2C" w:themeColor="text1"/>
          <w:left w:val="nil"/>
          <w:bottom w:val="nil"/>
          <w:right w:val="nil"/>
          <w:insideH w:val="nil"/>
          <w:insideV w:val="nil"/>
        </w:tcBorders>
        <w:shd w:val="clear" w:color="auto" w:fill="FFFFFF" w:themeFill="background1"/>
      </w:tcPr>
    </w:tblStylePr>
    <w:tblStylePr w:type="firstCol">
      <w:rPr>
        <w:b/>
        <w:bCs/>
        <w:color w:val="2C2C2C"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C2C2C" w:themeColor="text1"/>
      </w:rPr>
      <w:tblPr/>
      <w:tcPr>
        <w:tcBorders>
          <w:top w:val="nil"/>
          <w:left w:val="nil"/>
          <w:bottom w:val="nil"/>
          <w:right w:val="nil"/>
          <w:insideH w:val="nil"/>
          <w:insideV w:val="nil"/>
        </w:tcBorders>
        <w:shd w:val="clear" w:color="auto" w:fill="D4D4D4" w:themeFill="text1" w:themeFillTint="33"/>
      </w:tcPr>
    </w:tblStylePr>
    <w:tblStylePr w:type="band1Vert">
      <w:tblPr/>
      <w:tcPr>
        <w:shd w:val="clear" w:color="auto" w:fill="959595" w:themeFill="text1" w:themeFillTint="7F"/>
      </w:tcPr>
    </w:tblStylePr>
    <w:tblStylePr w:type="band1Horz">
      <w:tblPr/>
      <w:tcPr>
        <w:tcBorders>
          <w:insideH w:val="single" w:sz="6" w:space="0" w:color="2C2C2C" w:themeColor="text1"/>
          <w:insideV w:val="single" w:sz="6" w:space="0" w:color="2C2C2C" w:themeColor="text1"/>
        </w:tcBorders>
        <w:shd w:val="clear" w:color="auto" w:fill="959595"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FFC000" w:themeColor="accent1"/>
        <w:left w:val="single" w:sz="8" w:space="0" w:color="FFC000" w:themeColor="accent1"/>
        <w:bottom w:val="single" w:sz="8" w:space="0" w:color="FFC000" w:themeColor="accent1"/>
        <w:right w:val="single" w:sz="8" w:space="0" w:color="FFC000" w:themeColor="accent1"/>
        <w:insideH w:val="single" w:sz="8" w:space="0" w:color="FFC000" w:themeColor="accent1"/>
        <w:insideV w:val="single" w:sz="8" w:space="0" w:color="FFC000" w:themeColor="accent1"/>
      </w:tblBorders>
    </w:tblPr>
    <w:tcPr>
      <w:shd w:val="clear" w:color="auto" w:fill="FFEFC0" w:themeFill="accent1" w:themeFillTint="3F"/>
    </w:tcPr>
    <w:tblStylePr w:type="firstRow">
      <w:rPr>
        <w:b/>
        <w:bCs/>
        <w:color w:val="2C2C2C" w:themeColor="text1"/>
      </w:rPr>
      <w:tblPr/>
      <w:tcPr>
        <w:shd w:val="clear" w:color="auto" w:fill="FFF8E6" w:themeFill="accent1" w:themeFillTint="19"/>
      </w:tcPr>
    </w:tblStylePr>
    <w:tblStylePr w:type="lastRow">
      <w:rPr>
        <w:b/>
        <w:bCs/>
        <w:color w:val="2C2C2C" w:themeColor="text1"/>
      </w:rPr>
      <w:tblPr/>
      <w:tcPr>
        <w:tcBorders>
          <w:top w:val="single" w:sz="12" w:space="0" w:color="2C2C2C" w:themeColor="text1"/>
          <w:left w:val="nil"/>
          <w:bottom w:val="nil"/>
          <w:right w:val="nil"/>
          <w:insideH w:val="nil"/>
          <w:insideV w:val="nil"/>
        </w:tcBorders>
        <w:shd w:val="clear" w:color="auto" w:fill="FFFFFF" w:themeFill="background1"/>
      </w:tcPr>
    </w:tblStylePr>
    <w:tblStylePr w:type="firstCol">
      <w:rPr>
        <w:b/>
        <w:bCs/>
        <w:color w:val="2C2C2C"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C2C2C" w:themeColor="text1"/>
      </w:rPr>
      <w:tblPr/>
      <w:tcPr>
        <w:tcBorders>
          <w:top w:val="nil"/>
          <w:left w:val="nil"/>
          <w:bottom w:val="nil"/>
          <w:right w:val="nil"/>
          <w:insideH w:val="nil"/>
          <w:insideV w:val="nil"/>
        </w:tcBorders>
        <w:shd w:val="clear" w:color="auto" w:fill="FFF2CC" w:themeFill="accent1" w:themeFillTint="33"/>
      </w:tcPr>
    </w:tblStylePr>
    <w:tblStylePr w:type="band1Vert">
      <w:tblPr/>
      <w:tcPr>
        <w:shd w:val="clear" w:color="auto" w:fill="FFDF80" w:themeFill="accent1" w:themeFillTint="7F"/>
      </w:tcPr>
    </w:tblStylePr>
    <w:tblStylePr w:type="band1Horz">
      <w:tblPr/>
      <w:tcPr>
        <w:tcBorders>
          <w:insideH w:val="single" w:sz="6" w:space="0" w:color="FFC000" w:themeColor="accent1"/>
          <w:insideV w:val="single" w:sz="6" w:space="0" w:color="FFC000" w:themeColor="accent1"/>
        </w:tcBorders>
        <w:shd w:val="clear" w:color="auto" w:fill="FFDF80"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A5D028" w:themeColor="accent2"/>
        <w:left w:val="single" w:sz="8" w:space="0" w:color="A5D028" w:themeColor="accent2"/>
        <w:bottom w:val="single" w:sz="8" w:space="0" w:color="A5D028" w:themeColor="accent2"/>
        <w:right w:val="single" w:sz="8" w:space="0" w:color="A5D028" w:themeColor="accent2"/>
        <w:insideH w:val="single" w:sz="8" w:space="0" w:color="A5D028" w:themeColor="accent2"/>
        <w:insideV w:val="single" w:sz="8" w:space="0" w:color="A5D028" w:themeColor="accent2"/>
      </w:tblBorders>
    </w:tblPr>
    <w:tcPr>
      <w:shd w:val="clear" w:color="auto" w:fill="E9F4C8" w:themeFill="accent2" w:themeFillTint="3F"/>
    </w:tcPr>
    <w:tblStylePr w:type="firstRow">
      <w:rPr>
        <w:b/>
        <w:bCs/>
        <w:color w:val="2C2C2C" w:themeColor="text1"/>
      </w:rPr>
      <w:tblPr/>
      <w:tcPr>
        <w:shd w:val="clear" w:color="auto" w:fill="F6FAE9" w:themeFill="accent2" w:themeFillTint="19"/>
      </w:tcPr>
    </w:tblStylePr>
    <w:tblStylePr w:type="lastRow">
      <w:rPr>
        <w:b/>
        <w:bCs/>
        <w:color w:val="2C2C2C" w:themeColor="text1"/>
      </w:rPr>
      <w:tblPr/>
      <w:tcPr>
        <w:tcBorders>
          <w:top w:val="single" w:sz="12" w:space="0" w:color="2C2C2C" w:themeColor="text1"/>
          <w:left w:val="nil"/>
          <w:bottom w:val="nil"/>
          <w:right w:val="nil"/>
          <w:insideH w:val="nil"/>
          <w:insideV w:val="nil"/>
        </w:tcBorders>
        <w:shd w:val="clear" w:color="auto" w:fill="FFFFFF" w:themeFill="background1"/>
      </w:tcPr>
    </w:tblStylePr>
    <w:tblStylePr w:type="firstCol">
      <w:rPr>
        <w:b/>
        <w:bCs/>
        <w:color w:val="2C2C2C"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C2C2C" w:themeColor="text1"/>
      </w:rPr>
      <w:tblPr/>
      <w:tcPr>
        <w:tcBorders>
          <w:top w:val="nil"/>
          <w:left w:val="nil"/>
          <w:bottom w:val="nil"/>
          <w:right w:val="nil"/>
          <w:insideH w:val="nil"/>
          <w:insideV w:val="nil"/>
        </w:tcBorders>
        <w:shd w:val="clear" w:color="auto" w:fill="EDF6D2" w:themeFill="accent2" w:themeFillTint="33"/>
      </w:tcPr>
    </w:tblStylePr>
    <w:tblStylePr w:type="band1Vert">
      <w:tblPr/>
      <w:tcPr>
        <w:shd w:val="clear" w:color="auto" w:fill="D3EA91" w:themeFill="accent2" w:themeFillTint="7F"/>
      </w:tcPr>
    </w:tblStylePr>
    <w:tblStylePr w:type="band1Horz">
      <w:tblPr/>
      <w:tcPr>
        <w:tcBorders>
          <w:insideH w:val="single" w:sz="6" w:space="0" w:color="A5D028" w:themeColor="accent2"/>
          <w:insideV w:val="single" w:sz="6" w:space="0" w:color="A5D028" w:themeColor="accent2"/>
        </w:tcBorders>
        <w:shd w:val="clear" w:color="auto" w:fill="D3EA9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08CC78" w:themeColor="accent3"/>
        <w:left w:val="single" w:sz="8" w:space="0" w:color="08CC78" w:themeColor="accent3"/>
        <w:bottom w:val="single" w:sz="8" w:space="0" w:color="08CC78" w:themeColor="accent3"/>
        <w:right w:val="single" w:sz="8" w:space="0" w:color="08CC78" w:themeColor="accent3"/>
        <w:insideH w:val="single" w:sz="8" w:space="0" w:color="08CC78" w:themeColor="accent3"/>
        <w:insideV w:val="single" w:sz="8" w:space="0" w:color="08CC78" w:themeColor="accent3"/>
      </w:tblBorders>
    </w:tblPr>
    <w:tcPr>
      <w:shd w:val="clear" w:color="auto" w:fill="B8FCDE" w:themeFill="accent3" w:themeFillTint="3F"/>
    </w:tcPr>
    <w:tblStylePr w:type="firstRow">
      <w:rPr>
        <w:b/>
        <w:bCs/>
        <w:color w:val="2C2C2C" w:themeColor="text1"/>
      </w:rPr>
      <w:tblPr/>
      <w:tcPr>
        <w:shd w:val="clear" w:color="auto" w:fill="E2FEF2" w:themeFill="accent3" w:themeFillTint="19"/>
      </w:tcPr>
    </w:tblStylePr>
    <w:tblStylePr w:type="lastRow">
      <w:rPr>
        <w:b/>
        <w:bCs/>
        <w:color w:val="2C2C2C" w:themeColor="text1"/>
      </w:rPr>
      <w:tblPr/>
      <w:tcPr>
        <w:tcBorders>
          <w:top w:val="single" w:sz="12" w:space="0" w:color="2C2C2C" w:themeColor="text1"/>
          <w:left w:val="nil"/>
          <w:bottom w:val="nil"/>
          <w:right w:val="nil"/>
          <w:insideH w:val="nil"/>
          <w:insideV w:val="nil"/>
        </w:tcBorders>
        <w:shd w:val="clear" w:color="auto" w:fill="FFFFFF" w:themeFill="background1"/>
      </w:tcPr>
    </w:tblStylePr>
    <w:tblStylePr w:type="firstCol">
      <w:rPr>
        <w:b/>
        <w:bCs/>
        <w:color w:val="2C2C2C"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C2C2C" w:themeColor="text1"/>
      </w:rPr>
      <w:tblPr/>
      <w:tcPr>
        <w:tcBorders>
          <w:top w:val="nil"/>
          <w:left w:val="nil"/>
          <w:bottom w:val="nil"/>
          <w:right w:val="nil"/>
          <w:insideH w:val="nil"/>
          <w:insideV w:val="nil"/>
        </w:tcBorders>
        <w:shd w:val="clear" w:color="auto" w:fill="C5FCE4" w:themeFill="accent3" w:themeFillTint="33"/>
      </w:tcPr>
    </w:tblStylePr>
    <w:tblStylePr w:type="band1Vert">
      <w:tblPr/>
      <w:tcPr>
        <w:shd w:val="clear" w:color="auto" w:fill="6FF9BE" w:themeFill="accent3" w:themeFillTint="7F"/>
      </w:tcPr>
    </w:tblStylePr>
    <w:tblStylePr w:type="band1Horz">
      <w:tblPr/>
      <w:tcPr>
        <w:tcBorders>
          <w:insideH w:val="single" w:sz="6" w:space="0" w:color="08CC78" w:themeColor="accent3"/>
          <w:insideV w:val="single" w:sz="6" w:space="0" w:color="08CC78" w:themeColor="accent3"/>
        </w:tcBorders>
        <w:shd w:val="clear" w:color="auto" w:fill="6FF9BE"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F24099" w:themeColor="accent4"/>
        <w:left w:val="single" w:sz="8" w:space="0" w:color="F24099" w:themeColor="accent4"/>
        <w:bottom w:val="single" w:sz="8" w:space="0" w:color="F24099" w:themeColor="accent4"/>
        <w:right w:val="single" w:sz="8" w:space="0" w:color="F24099" w:themeColor="accent4"/>
        <w:insideH w:val="single" w:sz="8" w:space="0" w:color="F24099" w:themeColor="accent4"/>
        <w:insideV w:val="single" w:sz="8" w:space="0" w:color="F24099" w:themeColor="accent4"/>
      </w:tblBorders>
    </w:tblPr>
    <w:tcPr>
      <w:shd w:val="clear" w:color="auto" w:fill="FBCFE5" w:themeFill="accent4" w:themeFillTint="3F"/>
    </w:tcPr>
    <w:tblStylePr w:type="firstRow">
      <w:rPr>
        <w:b/>
        <w:bCs/>
        <w:color w:val="2C2C2C" w:themeColor="text1"/>
      </w:rPr>
      <w:tblPr/>
      <w:tcPr>
        <w:shd w:val="clear" w:color="auto" w:fill="FDECF4" w:themeFill="accent4" w:themeFillTint="19"/>
      </w:tcPr>
    </w:tblStylePr>
    <w:tblStylePr w:type="lastRow">
      <w:rPr>
        <w:b/>
        <w:bCs/>
        <w:color w:val="2C2C2C" w:themeColor="text1"/>
      </w:rPr>
      <w:tblPr/>
      <w:tcPr>
        <w:tcBorders>
          <w:top w:val="single" w:sz="12" w:space="0" w:color="2C2C2C" w:themeColor="text1"/>
          <w:left w:val="nil"/>
          <w:bottom w:val="nil"/>
          <w:right w:val="nil"/>
          <w:insideH w:val="nil"/>
          <w:insideV w:val="nil"/>
        </w:tcBorders>
        <w:shd w:val="clear" w:color="auto" w:fill="FFFFFF" w:themeFill="background1"/>
      </w:tcPr>
    </w:tblStylePr>
    <w:tblStylePr w:type="firstCol">
      <w:rPr>
        <w:b/>
        <w:bCs/>
        <w:color w:val="2C2C2C"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C2C2C" w:themeColor="text1"/>
      </w:rPr>
      <w:tblPr/>
      <w:tcPr>
        <w:tcBorders>
          <w:top w:val="nil"/>
          <w:left w:val="nil"/>
          <w:bottom w:val="nil"/>
          <w:right w:val="nil"/>
          <w:insideH w:val="nil"/>
          <w:insideV w:val="nil"/>
        </w:tcBorders>
        <w:shd w:val="clear" w:color="auto" w:fill="FCD8EA" w:themeFill="accent4" w:themeFillTint="33"/>
      </w:tcPr>
    </w:tblStylePr>
    <w:tblStylePr w:type="band1Vert">
      <w:tblPr/>
      <w:tcPr>
        <w:shd w:val="clear" w:color="auto" w:fill="F89FCB" w:themeFill="accent4" w:themeFillTint="7F"/>
      </w:tcPr>
    </w:tblStylePr>
    <w:tblStylePr w:type="band1Horz">
      <w:tblPr/>
      <w:tcPr>
        <w:tcBorders>
          <w:insideH w:val="single" w:sz="6" w:space="0" w:color="F24099" w:themeColor="accent4"/>
          <w:insideV w:val="single" w:sz="6" w:space="0" w:color="F24099" w:themeColor="accent4"/>
        </w:tcBorders>
        <w:shd w:val="clear" w:color="auto" w:fill="F89FCB"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828288" w:themeColor="accent5"/>
        <w:left w:val="single" w:sz="8" w:space="0" w:color="828288" w:themeColor="accent5"/>
        <w:bottom w:val="single" w:sz="8" w:space="0" w:color="828288" w:themeColor="accent5"/>
        <w:right w:val="single" w:sz="8" w:space="0" w:color="828288" w:themeColor="accent5"/>
        <w:insideH w:val="single" w:sz="8" w:space="0" w:color="828288" w:themeColor="accent5"/>
        <w:insideV w:val="single" w:sz="8" w:space="0" w:color="828288" w:themeColor="accent5"/>
      </w:tblBorders>
    </w:tblPr>
    <w:tcPr>
      <w:shd w:val="clear" w:color="auto" w:fill="E0E0E1" w:themeFill="accent5" w:themeFillTint="3F"/>
    </w:tcPr>
    <w:tblStylePr w:type="firstRow">
      <w:rPr>
        <w:b/>
        <w:bCs/>
        <w:color w:val="2C2C2C" w:themeColor="text1"/>
      </w:rPr>
      <w:tblPr/>
      <w:tcPr>
        <w:shd w:val="clear" w:color="auto" w:fill="F2F2F3" w:themeFill="accent5" w:themeFillTint="19"/>
      </w:tcPr>
    </w:tblStylePr>
    <w:tblStylePr w:type="lastRow">
      <w:rPr>
        <w:b/>
        <w:bCs/>
        <w:color w:val="2C2C2C" w:themeColor="text1"/>
      </w:rPr>
      <w:tblPr/>
      <w:tcPr>
        <w:tcBorders>
          <w:top w:val="single" w:sz="12" w:space="0" w:color="2C2C2C" w:themeColor="text1"/>
          <w:left w:val="nil"/>
          <w:bottom w:val="nil"/>
          <w:right w:val="nil"/>
          <w:insideH w:val="nil"/>
          <w:insideV w:val="nil"/>
        </w:tcBorders>
        <w:shd w:val="clear" w:color="auto" w:fill="FFFFFF" w:themeFill="background1"/>
      </w:tcPr>
    </w:tblStylePr>
    <w:tblStylePr w:type="firstCol">
      <w:rPr>
        <w:b/>
        <w:bCs/>
        <w:color w:val="2C2C2C"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C2C2C" w:themeColor="text1"/>
      </w:rPr>
      <w:tblPr/>
      <w:tcPr>
        <w:tcBorders>
          <w:top w:val="nil"/>
          <w:left w:val="nil"/>
          <w:bottom w:val="nil"/>
          <w:right w:val="nil"/>
          <w:insideH w:val="nil"/>
          <w:insideV w:val="nil"/>
        </w:tcBorders>
        <w:shd w:val="clear" w:color="auto" w:fill="E5E5E7" w:themeFill="accent5" w:themeFillTint="33"/>
      </w:tcPr>
    </w:tblStylePr>
    <w:tblStylePr w:type="band1Vert">
      <w:tblPr/>
      <w:tcPr>
        <w:shd w:val="clear" w:color="auto" w:fill="C0C0C3" w:themeFill="accent5" w:themeFillTint="7F"/>
      </w:tcPr>
    </w:tblStylePr>
    <w:tblStylePr w:type="band1Horz">
      <w:tblPr/>
      <w:tcPr>
        <w:tcBorders>
          <w:insideH w:val="single" w:sz="6" w:space="0" w:color="828288" w:themeColor="accent5"/>
          <w:insideV w:val="single" w:sz="6" w:space="0" w:color="828288" w:themeColor="accent5"/>
        </w:tcBorders>
        <w:shd w:val="clear" w:color="auto" w:fill="C0C0C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2C2C2C" w:themeColor="text1"/>
    </w:rPr>
    <w:tblPr>
      <w:tblStyleRowBandSize w:val="1"/>
      <w:tblStyleColBandSize w:val="1"/>
      <w:tblBorders>
        <w:top w:val="single" w:sz="8" w:space="0" w:color="F56617" w:themeColor="accent6"/>
        <w:left w:val="single" w:sz="8" w:space="0" w:color="F56617" w:themeColor="accent6"/>
        <w:bottom w:val="single" w:sz="8" w:space="0" w:color="F56617" w:themeColor="accent6"/>
        <w:right w:val="single" w:sz="8" w:space="0" w:color="F56617" w:themeColor="accent6"/>
        <w:insideH w:val="single" w:sz="8" w:space="0" w:color="F56617" w:themeColor="accent6"/>
        <w:insideV w:val="single" w:sz="8" w:space="0" w:color="F56617" w:themeColor="accent6"/>
      </w:tblBorders>
    </w:tblPr>
    <w:tcPr>
      <w:shd w:val="clear" w:color="auto" w:fill="FCD8C5" w:themeFill="accent6" w:themeFillTint="3F"/>
    </w:tcPr>
    <w:tblStylePr w:type="firstRow">
      <w:rPr>
        <w:b/>
        <w:bCs/>
        <w:color w:val="2C2C2C" w:themeColor="text1"/>
      </w:rPr>
      <w:tblPr/>
      <w:tcPr>
        <w:shd w:val="clear" w:color="auto" w:fill="FEEFE7" w:themeFill="accent6" w:themeFillTint="19"/>
      </w:tcPr>
    </w:tblStylePr>
    <w:tblStylePr w:type="lastRow">
      <w:rPr>
        <w:b/>
        <w:bCs/>
        <w:color w:val="2C2C2C" w:themeColor="text1"/>
      </w:rPr>
      <w:tblPr/>
      <w:tcPr>
        <w:tcBorders>
          <w:top w:val="single" w:sz="12" w:space="0" w:color="2C2C2C" w:themeColor="text1"/>
          <w:left w:val="nil"/>
          <w:bottom w:val="nil"/>
          <w:right w:val="nil"/>
          <w:insideH w:val="nil"/>
          <w:insideV w:val="nil"/>
        </w:tcBorders>
        <w:shd w:val="clear" w:color="auto" w:fill="FFFFFF" w:themeFill="background1"/>
      </w:tcPr>
    </w:tblStylePr>
    <w:tblStylePr w:type="firstCol">
      <w:rPr>
        <w:b/>
        <w:bCs/>
        <w:color w:val="2C2C2C"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C2C2C" w:themeColor="text1"/>
      </w:rPr>
      <w:tblPr/>
      <w:tcPr>
        <w:tcBorders>
          <w:top w:val="nil"/>
          <w:left w:val="nil"/>
          <w:bottom w:val="nil"/>
          <w:right w:val="nil"/>
          <w:insideH w:val="nil"/>
          <w:insideV w:val="nil"/>
        </w:tcBorders>
        <w:shd w:val="clear" w:color="auto" w:fill="FDE0D0" w:themeFill="accent6" w:themeFillTint="33"/>
      </w:tcPr>
    </w:tblStylePr>
    <w:tblStylePr w:type="band1Vert">
      <w:tblPr/>
      <w:tcPr>
        <w:shd w:val="clear" w:color="auto" w:fill="FAB28B" w:themeFill="accent6" w:themeFillTint="7F"/>
      </w:tcPr>
    </w:tblStylePr>
    <w:tblStylePr w:type="band1Horz">
      <w:tblPr/>
      <w:tcPr>
        <w:tcBorders>
          <w:insideH w:val="single" w:sz="6" w:space="0" w:color="F56617" w:themeColor="accent6"/>
          <w:insideV w:val="single" w:sz="6" w:space="0" w:color="F56617" w:themeColor="accent6"/>
        </w:tcBorders>
        <w:shd w:val="clear" w:color="auto" w:fill="FAB28B"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ACACA"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C2C2C"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C2C2C"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C2C2C"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C2C2C"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59595"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59595"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9F4C8"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D028"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D028"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D028"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D028"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3EA91"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3EA91"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8FCDE"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8CC78"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8CC78"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8CC78"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8CC78"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FF9BE"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FF9BE"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BCF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24099"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24099"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24099"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24099"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89FCB"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89FCB"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E0E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28288"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28288"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28288"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28288"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0C0C3"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0C0C3"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CD8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5661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5661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5661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5661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AB28B"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AB28B"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2C2C2C" w:themeFill="text1"/>
    </w:tcPr>
    <w:tblStylePr w:type="firstRow">
      <w:rPr>
        <w:b/>
        <w:bCs/>
      </w:rPr>
      <w:tblPr/>
      <w:tcPr>
        <w:tcBorders>
          <w:top w:val="nil"/>
          <w:left w:val="nil"/>
          <w:bottom w:val="single" w:sz="18" w:space="0" w:color="FFFFFF" w:themeColor="background1"/>
          <w:right w:val="nil"/>
          <w:insideH w:val="nil"/>
          <w:insideV w:val="nil"/>
        </w:tcBorders>
        <w:shd w:val="clear" w:color="auto" w:fill="2C2C2C" w:themeFill="text1"/>
      </w:tcPr>
    </w:tblStylePr>
    <w:tblStylePr w:type="lastRow">
      <w:tblPr/>
      <w:tcPr>
        <w:tcBorders>
          <w:top w:val="single" w:sz="18" w:space="0" w:color="FFFFFF" w:themeColor="background1"/>
          <w:left w:val="nil"/>
          <w:bottom w:val="nil"/>
          <w:right w:val="nil"/>
          <w:insideH w:val="nil"/>
          <w:insideV w:val="nil"/>
        </w:tcBorders>
        <w:shd w:val="clear" w:color="auto" w:fill="151515"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20202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202020" w:themeFill="text1" w:themeFillShade="BF"/>
      </w:tcPr>
    </w:tblStylePr>
    <w:tblStylePr w:type="band1Vert">
      <w:tblPr/>
      <w:tcPr>
        <w:tcBorders>
          <w:top w:val="nil"/>
          <w:left w:val="nil"/>
          <w:bottom w:val="nil"/>
          <w:right w:val="nil"/>
          <w:insideH w:val="nil"/>
          <w:insideV w:val="nil"/>
        </w:tcBorders>
        <w:shd w:val="clear" w:color="auto" w:fill="202020" w:themeFill="text1" w:themeFillShade="BF"/>
      </w:tcPr>
    </w:tblStylePr>
    <w:tblStylePr w:type="band1Horz">
      <w:tblPr/>
      <w:tcPr>
        <w:tcBorders>
          <w:top w:val="nil"/>
          <w:left w:val="nil"/>
          <w:bottom w:val="nil"/>
          <w:right w:val="nil"/>
          <w:insideH w:val="nil"/>
          <w:insideV w:val="nil"/>
        </w:tcBorders>
        <w:shd w:val="clear" w:color="auto" w:fill="20202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FFC000"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2C2C2C"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1" w:themeFillShade="BF"/>
      </w:tcPr>
    </w:tblStylePr>
    <w:tblStylePr w:type="band1Vert">
      <w:tblPr/>
      <w:tcPr>
        <w:tcBorders>
          <w:top w:val="nil"/>
          <w:left w:val="nil"/>
          <w:bottom w:val="nil"/>
          <w:right w:val="nil"/>
          <w:insideH w:val="nil"/>
          <w:insideV w:val="nil"/>
        </w:tcBorders>
        <w:shd w:val="clear" w:color="auto" w:fill="BF8F00" w:themeFill="accent1" w:themeFillShade="BF"/>
      </w:tcPr>
    </w:tblStylePr>
    <w:tblStylePr w:type="band1Horz">
      <w:tblPr/>
      <w:tcPr>
        <w:tcBorders>
          <w:top w:val="nil"/>
          <w:left w:val="nil"/>
          <w:bottom w:val="nil"/>
          <w:right w:val="nil"/>
          <w:insideH w:val="nil"/>
          <w:insideV w:val="nil"/>
        </w:tcBorders>
        <w:shd w:val="clear" w:color="auto" w:fill="BF8F00"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A5D028"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2C2C2C" w:themeFill="text1"/>
      </w:tcPr>
    </w:tblStylePr>
    <w:tblStylePr w:type="lastRow">
      <w:tblPr/>
      <w:tcPr>
        <w:tcBorders>
          <w:top w:val="single" w:sz="18" w:space="0" w:color="FFFFFF" w:themeColor="background1"/>
          <w:left w:val="nil"/>
          <w:bottom w:val="nil"/>
          <w:right w:val="nil"/>
          <w:insideH w:val="nil"/>
          <w:insideV w:val="nil"/>
        </w:tcBorders>
        <w:shd w:val="clear" w:color="auto" w:fill="51671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7B9B1E"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7B9B1E" w:themeFill="accent2" w:themeFillShade="BF"/>
      </w:tcPr>
    </w:tblStylePr>
    <w:tblStylePr w:type="band1Vert">
      <w:tblPr/>
      <w:tcPr>
        <w:tcBorders>
          <w:top w:val="nil"/>
          <w:left w:val="nil"/>
          <w:bottom w:val="nil"/>
          <w:right w:val="nil"/>
          <w:insideH w:val="nil"/>
          <w:insideV w:val="nil"/>
        </w:tcBorders>
        <w:shd w:val="clear" w:color="auto" w:fill="7B9B1E" w:themeFill="accent2" w:themeFillShade="BF"/>
      </w:tcPr>
    </w:tblStylePr>
    <w:tblStylePr w:type="band1Horz">
      <w:tblPr/>
      <w:tcPr>
        <w:tcBorders>
          <w:top w:val="nil"/>
          <w:left w:val="nil"/>
          <w:bottom w:val="nil"/>
          <w:right w:val="nil"/>
          <w:insideH w:val="nil"/>
          <w:insideV w:val="nil"/>
        </w:tcBorders>
        <w:shd w:val="clear" w:color="auto" w:fill="7B9B1E"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08CC78"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2C2C2C" w:themeFill="text1"/>
      </w:tcPr>
    </w:tblStylePr>
    <w:tblStylePr w:type="lastRow">
      <w:tblPr/>
      <w:tcPr>
        <w:tcBorders>
          <w:top w:val="single" w:sz="18" w:space="0" w:color="FFFFFF" w:themeColor="background1"/>
          <w:left w:val="nil"/>
          <w:bottom w:val="nil"/>
          <w:right w:val="nil"/>
          <w:insideH w:val="nil"/>
          <w:insideV w:val="nil"/>
        </w:tcBorders>
        <w:shd w:val="clear" w:color="auto" w:fill="04653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69859"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69859" w:themeFill="accent3" w:themeFillShade="BF"/>
      </w:tcPr>
    </w:tblStylePr>
    <w:tblStylePr w:type="band1Vert">
      <w:tblPr/>
      <w:tcPr>
        <w:tcBorders>
          <w:top w:val="nil"/>
          <w:left w:val="nil"/>
          <w:bottom w:val="nil"/>
          <w:right w:val="nil"/>
          <w:insideH w:val="nil"/>
          <w:insideV w:val="nil"/>
        </w:tcBorders>
        <w:shd w:val="clear" w:color="auto" w:fill="069859" w:themeFill="accent3" w:themeFillShade="BF"/>
      </w:tcPr>
    </w:tblStylePr>
    <w:tblStylePr w:type="band1Horz">
      <w:tblPr/>
      <w:tcPr>
        <w:tcBorders>
          <w:top w:val="nil"/>
          <w:left w:val="nil"/>
          <w:bottom w:val="nil"/>
          <w:right w:val="nil"/>
          <w:insideH w:val="nil"/>
          <w:insideV w:val="nil"/>
        </w:tcBorders>
        <w:shd w:val="clear" w:color="auto" w:fill="069859"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F24099"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2C2C2C" w:themeFill="text1"/>
      </w:tcPr>
    </w:tblStylePr>
    <w:tblStylePr w:type="lastRow">
      <w:tblPr/>
      <w:tcPr>
        <w:tcBorders>
          <w:top w:val="single" w:sz="18" w:space="0" w:color="FFFFFF" w:themeColor="background1"/>
          <w:left w:val="nil"/>
          <w:bottom w:val="nil"/>
          <w:right w:val="nil"/>
          <w:insideH w:val="nil"/>
          <w:insideV w:val="nil"/>
        </w:tcBorders>
        <w:shd w:val="clear" w:color="auto" w:fill="8E094B"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D60E72"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D60E72" w:themeFill="accent4" w:themeFillShade="BF"/>
      </w:tcPr>
    </w:tblStylePr>
    <w:tblStylePr w:type="band1Vert">
      <w:tblPr/>
      <w:tcPr>
        <w:tcBorders>
          <w:top w:val="nil"/>
          <w:left w:val="nil"/>
          <w:bottom w:val="nil"/>
          <w:right w:val="nil"/>
          <w:insideH w:val="nil"/>
          <w:insideV w:val="nil"/>
        </w:tcBorders>
        <w:shd w:val="clear" w:color="auto" w:fill="D60E72" w:themeFill="accent4" w:themeFillShade="BF"/>
      </w:tcPr>
    </w:tblStylePr>
    <w:tblStylePr w:type="band1Horz">
      <w:tblPr/>
      <w:tcPr>
        <w:tcBorders>
          <w:top w:val="nil"/>
          <w:left w:val="nil"/>
          <w:bottom w:val="nil"/>
          <w:right w:val="nil"/>
          <w:insideH w:val="nil"/>
          <w:insideV w:val="nil"/>
        </w:tcBorders>
        <w:shd w:val="clear" w:color="auto" w:fill="D60E72"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828288"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2C2C2C" w:themeFill="text1"/>
      </w:tcPr>
    </w:tblStylePr>
    <w:tblStylePr w:type="lastRow">
      <w:tblPr/>
      <w:tcPr>
        <w:tcBorders>
          <w:top w:val="single" w:sz="18" w:space="0" w:color="FFFFFF" w:themeColor="background1"/>
          <w:left w:val="nil"/>
          <w:bottom w:val="nil"/>
          <w:right w:val="nil"/>
          <w:insideH w:val="nil"/>
          <w:insideV w:val="nil"/>
        </w:tcBorders>
        <w:shd w:val="clear" w:color="auto" w:fill="40404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61616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616165" w:themeFill="accent5" w:themeFillShade="BF"/>
      </w:tcPr>
    </w:tblStylePr>
    <w:tblStylePr w:type="band1Vert">
      <w:tblPr/>
      <w:tcPr>
        <w:tcBorders>
          <w:top w:val="nil"/>
          <w:left w:val="nil"/>
          <w:bottom w:val="nil"/>
          <w:right w:val="nil"/>
          <w:insideH w:val="nil"/>
          <w:insideV w:val="nil"/>
        </w:tcBorders>
        <w:shd w:val="clear" w:color="auto" w:fill="616165" w:themeFill="accent5" w:themeFillShade="BF"/>
      </w:tcPr>
    </w:tblStylePr>
    <w:tblStylePr w:type="band1Horz">
      <w:tblPr/>
      <w:tcPr>
        <w:tcBorders>
          <w:top w:val="nil"/>
          <w:left w:val="nil"/>
          <w:bottom w:val="nil"/>
          <w:right w:val="nil"/>
          <w:insideH w:val="nil"/>
          <w:insideV w:val="nil"/>
        </w:tcBorders>
        <w:shd w:val="clear" w:color="auto" w:fill="616165"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5661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2C2C2C" w:themeFill="text1"/>
      </w:tcPr>
    </w:tblStylePr>
    <w:tblStylePr w:type="lastRow">
      <w:tblPr/>
      <w:tcPr>
        <w:tcBorders>
          <w:top w:val="single" w:sz="18" w:space="0" w:color="FFFFFF" w:themeColor="background1"/>
          <w:left w:val="nil"/>
          <w:bottom w:val="nil"/>
          <w:right w:val="nil"/>
          <w:insideH w:val="nil"/>
          <w:insideV w:val="nil"/>
        </w:tcBorders>
        <w:shd w:val="clear" w:color="auto" w:fill="7F3005"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C04908"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C04908" w:themeFill="accent6" w:themeFillShade="BF"/>
      </w:tcPr>
    </w:tblStylePr>
    <w:tblStylePr w:type="band1Vert">
      <w:tblPr/>
      <w:tcPr>
        <w:tcBorders>
          <w:top w:val="nil"/>
          <w:left w:val="nil"/>
          <w:bottom w:val="nil"/>
          <w:right w:val="nil"/>
          <w:insideH w:val="nil"/>
          <w:insideV w:val="nil"/>
        </w:tcBorders>
        <w:shd w:val="clear" w:color="auto" w:fill="C04908" w:themeFill="accent6" w:themeFillShade="BF"/>
      </w:tcPr>
    </w:tblStylePr>
    <w:tblStylePr w:type="band1Horz">
      <w:tblPr/>
      <w:tcPr>
        <w:tcBorders>
          <w:top w:val="nil"/>
          <w:left w:val="nil"/>
          <w:bottom w:val="nil"/>
          <w:right w:val="nil"/>
          <w:insideH w:val="nil"/>
          <w:insideV w:val="nil"/>
        </w:tcBorders>
        <w:shd w:val="clear" w:color="auto" w:fill="C04908" w:themeFill="accent6" w:themeFillShade="BF"/>
      </w:tcPr>
    </w:tblStylePr>
  </w:style>
  <w:style w:type="table" w:styleId="ColourfulShading">
    <w:name w:val="Colorful Shading"/>
    <w:basedOn w:val="TableNormal"/>
    <w:uiPriority w:val="71"/>
    <w:rsid w:val="00CB0664"/>
    <w:pPr>
      <w:spacing w:after="0" w:line="240" w:lineRule="auto"/>
    </w:pPr>
    <w:rPr>
      <w:color w:val="2C2C2C" w:themeColor="text1"/>
    </w:rPr>
    <w:tblPr>
      <w:tblStyleRowBandSize w:val="1"/>
      <w:tblStyleColBandSize w:val="1"/>
      <w:tblBorders>
        <w:top w:val="single" w:sz="24" w:space="0" w:color="A5D028" w:themeColor="accent2"/>
        <w:left w:val="single" w:sz="4" w:space="0" w:color="2C2C2C" w:themeColor="text1"/>
        <w:bottom w:val="single" w:sz="4" w:space="0" w:color="2C2C2C" w:themeColor="text1"/>
        <w:right w:val="single" w:sz="4" w:space="0" w:color="2C2C2C" w:themeColor="text1"/>
        <w:insideH w:val="single" w:sz="4" w:space="0" w:color="FFFFFF" w:themeColor="background1"/>
        <w:insideV w:val="single" w:sz="4" w:space="0" w:color="FFFFFF" w:themeColor="background1"/>
      </w:tblBorders>
    </w:tblPr>
    <w:tcPr>
      <w:shd w:val="clear" w:color="auto" w:fill="EAEAEA" w:themeFill="text1" w:themeFillTint="19"/>
    </w:tcPr>
    <w:tblStylePr w:type="firstRow">
      <w:rPr>
        <w:b/>
        <w:bCs/>
      </w:rPr>
      <w:tblPr/>
      <w:tcPr>
        <w:tcBorders>
          <w:top w:val="nil"/>
          <w:left w:val="nil"/>
          <w:bottom w:val="single" w:sz="24" w:space="0" w:color="A5D02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A1A1A" w:themeFill="text1" w:themeFillShade="99"/>
      </w:tcPr>
    </w:tblStylePr>
    <w:tblStylePr w:type="firstCol">
      <w:rPr>
        <w:color w:val="FFFFFF" w:themeColor="background1"/>
      </w:rPr>
      <w:tblPr/>
      <w:tcPr>
        <w:tcBorders>
          <w:top w:val="nil"/>
          <w:left w:val="nil"/>
          <w:bottom w:val="nil"/>
          <w:right w:val="nil"/>
          <w:insideH w:val="single" w:sz="4" w:space="0" w:color="1A1A1A" w:themeColor="text1" w:themeShade="99"/>
          <w:insideV w:val="nil"/>
        </w:tcBorders>
        <w:shd w:val="clear" w:color="auto" w:fill="1A1A1A"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202020" w:themeFill="text1" w:themeFillShade="BF"/>
      </w:tcPr>
    </w:tblStylePr>
    <w:tblStylePr w:type="band1Vert">
      <w:tblPr/>
      <w:tcPr>
        <w:shd w:val="clear" w:color="auto" w:fill="AAAAAA" w:themeFill="text1" w:themeFillTint="66"/>
      </w:tcPr>
    </w:tblStylePr>
    <w:tblStylePr w:type="band1Horz">
      <w:tblPr/>
      <w:tcPr>
        <w:shd w:val="clear" w:color="auto" w:fill="959595" w:themeFill="text1" w:themeFillTint="7F"/>
      </w:tcPr>
    </w:tblStylePr>
    <w:tblStylePr w:type="neCell">
      <w:rPr>
        <w:color w:val="2C2C2C" w:themeColor="text1"/>
      </w:rPr>
    </w:tblStylePr>
    <w:tblStylePr w:type="nwCell">
      <w:rPr>
        <w:color w:val="2C2C2C" w:themeColor="text1"/>
      </w:rPr>
    </w:tblStylePr>
  </w:style>
  <w:style w:type="table" w:styleId="ColourfulShadingAccent1">
    <w:name w:val="Colorful Shading Accent 1"/>
    <w:basedOn w:val="TableNormal"/>
    <w:uiPriority w:val="71"/>
    <w:rsid w:val="00CB0664"/>
    <w:pPr>
      <w:spacing w:after="0" w:line="240" w:lineRule="auto"/>
    </w:pPr>
    <w:rPr>
      <w:color w:val="2C2C2C" w:themeColor="text1"/>
    </w:rPr>
    <w:tblPr>
      <w:tblStyleRowBandSize w:val="1"/>
      <w:tblStyleColBandSize w:val="1"/>
      <w:tblBorders>
        <w:top w:val="single" w:sz="24" w:space="0" w:color="A5D028" w:themeColor="accent2"/>
        <w:left w:val="single" w:sz="4" w:space="0" w:color="FFC000" w:themeColor="accent1"/>
        <w:bottom w:val="single" w:sz="4" w:space="0" w:color="FFC000" w:themeColor="accent1"/>
        <w:right w:val="single" w:sz="4" w:space="0" w:color="FFC000" w:themeColor="accent1"/>
        <w:insideH w:val="single" w:sz="4" w:space="0" w:color="FFFFFF" w:themeColor="background1"/>
        <w:insideV w:val="single" w:sz="4" w:space="0" w:color="FFFFFF" w:themeColor="background1"/>
      </w:tblBorders>
    </w:tblPr>
    <w:tcPr>
      <w:shd w:val="clear" w:color="auto" w:fill="FFF8E6" w:themeFill="accent1" w:themeFillTint="19"/>
    </w:tcPr>
    <w:tblStylePr w:type="firstRow">
      <w:rPr>
        <w:b/>
        <w:bCs/>
      </w:rPr>
      <w:tblPr/>
      <w:tcPr>
        <w:tcBorders>
          <w:top w:val="nil"/>
          <w:left w:val="nil"/>
          <w:bottom w:val="single" w:sz="24" w:space="0" w:color="A5D02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1" w:themeFillShade="99"/>
      </w:tcPr>
    </w:tblStylePr>
    <w:tblStylePr w:type="firstCol">
      <w:rPr>
        <w:color w:val="FFFFFF" w:themeColor="background1"/>
      </w:rPr>
      <w:tblPr/>
      <w:tcPr>
        <w:tcBorders>
          <w:top w:val="nil"/>
          <w:left w:val="nil"/>
          <w:bottom w:val="nil"/>
          <w:right w:val="nil"/>
          <w:insideH w:val="single" w:sz="4" w:space="0" w:color="997300" w:themeColor="accent1" w:themeShade="99"/>
          <w:insideV w:val="nil"/>
        </w:tcBorders>
        <w:shd w:val="clear" w:color="auto" w:fill="99730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1" w:themeFillShade="99"/>
      </w:tcPr>
    </w:tblStylePr>
    <w:tblStylePr w:type="band1Vert">
      <w:tblPr/>
      <w:tcPr>
        <w:shd w:val="clear" w:color="auto" w:fill="FFE599" w:themeFill="accent1" w:themeFillTint="66"/>
      </w:tcPr>
    </w:tblStylePr>
    <w:tblStylePr w:type="band1Horz">
      <w:tblPr/>
      <w:tcPr>
        <w:shd w:val="clear" w:color="auto" w:fill="FFDF80" w:themeFill="accent1" w:themeFillTint="7F"/>
      </w:tcPr>
    </w:tblStylePr>
    <w:tblStylePr w:type="neCell">
      <w:rPr>
        <w:color w:val="2C2C2C" w:themeColor="text1"/>
      </w:rPr>
    </w:tblStylePr>
    <w:tblStylePr w:type="nwCell">
      <w:rPr>
        <w:color w:val="2C2C2C" w:themeColor="text1"/>
      </w:rPr>
    </w:tblStylePr>
  </w:style>
  <w:style w:type="table" w:styleId="ColourfulShadingAccent2">
    <w:name w:val="Colorful Shading Accent 2"/>
    <w:basedOn w:val="TableNormal"/>
    <w:uiPriority w:val="71"/>
    <w:rsid w:val="00CB0664"/>
    <w:pPr>
      <w:spacing w:after="0" w:line="240" w:lineRule="auto"/>
    </w:pPr>
    <w:rPr>
      <w:color w:val="2C2C2C" w:themeColor="text1"/>
    </w:rPr>
    <w:tblPr>
      <w:tblStyleRowBandSize w:val="1"/>
      <w:tblStyleColBandSize w:val="1"/>
      <w:tblBorders>
        <w:top w:val="single" w:sz="24" w:space="0" w:color="A5D028" w:themeColor="accent2"/>
        <w:left w:val="single" w:sz="4" w:space="0" w:color="A5D028" w:themeColor="accent2"/>
        <w:bottom w:val="single" w:sz="4" w:space="0" w:color="A5D028" w:themeColor="accent2"/>
        <w:right w:val="single" w:sz="4" w:space="0" w:color="A5D028" w:themeColor="accent2"/>
        <w:insideH w:val="single" w:sz="4" w:space="0" w:color="FFFFFF" w:themeColor="background1"/>
        <w:insideV w:val="single" w:sz="4" w:space="0" w:color="FFFFFF" w:themeColor="background1"/>
      </w:tblBorders>
    </w:tblPr>
    <w:tcPr>
      <w:shd w:val="clear" w:color="auto" w:fill="F6FAE9" w:themeFill="accent2" w:themeFillTint="19"/>
    </w:tcPr>
    <w:tblStylePr w:type="firstRow">
      <w:rPr>
        <w:b/>
        <w:bCs/>
      </w:rPr>
      <w:tblPr/>
      <w:tcPr>
        <w:tcBorders>
          <w:top w:val="nil"/>
          <w:left w:val="nil"/>
          <w:bottom w:val="single" w:sz="24" w:space="0" w:color="A5D02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27C18" w:themeFill="accent2" w:themeFillShade="99"/>
      </w:tcPr>
    </w:tblStylePr>
    <w:tblStylePr w:type="firstCol">
      <w:rPr>
        <w:color w:val="FFFFFF" w:themeColor="background1"/>
      </w:rPr>
      <w:tblPr/>
      <w:tcPr>
        <w:tcBorders>
          <w:top w:val="nil"/>
          <w:left w:val="nil"/>
          <w:bottom w:val="nil"/>
          <w:right w:val="nil"/>
          <w:insideH w:val="single" w:sz="4" w:space="0" w:color="627C18" w:themeColor="accent2" w:themeShade="99"/>
          <w:insideV w:val="nil"/>
        </w:tcBorders>
        <w:shd w:val="clear" w:color="auto" w:fill="627C18"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627C18" w:themeFill="accent2" w:themeFillShade="99"/>
      </w:tcPr>
    </w:tblStylePr>
    <w:tblStylePr w:type="band1Vert">
      <w:tblPr/>
      <w:tcPr>
        <w:shd w:val="clear" w:color="auto" w:fill="DBEEA6" w:themeFill="accent2" w:themeFillTint="66"/>
      </w:tcPr>
    </w:tblStylePr>
    <w:tblStylePr w:type="band1Horz">
      <w:tblPr/>
      <w:tcPr>
        <w:shd w:val="clear" w:color="auto" w:fill="D3EA91" w:themeFill="accent2" w:themeFillTint="7F"/>
      </w:tcPr>
    </w:tblStylePr>
    <w:tblStylePr w:type="neCell">
      <w:rPr>
        <w:color w:val="2C2C2C" w:themeColor="text1"/>
      </w:rPr>
    </w:tblStylePr>
    <w:tblStylePr w:type="nwCell">
      <w:rPr>
        <w:color w:val="2C2C2C" w:themeColor="text1"/>
      </w:rPr>
    </w:tblStylePr>
  </w:style>
  <w:style w:type="table" w:styleId="ColourfulShadingAccent3">
    <w:name w:val="Colorful Shading Accent 3"/>
    <w:basedOn w:val="TableNormal"/>
    <w:uiPriority w:val="71"/>
    <w:rsid w:val="00CB0664"/>
    <w:pPr>
      <w:spacing w:after="0" w:line="240" w:lineRule="auto"/>
    </w:pPr>
    <w:rPr>
      <w:color w:val="2C2C2C" w:themeColor="text1"/>
    </w:rPr>
    <w:tblPr>
      <w:tblStyleRowBandSize w:val="1"/>
      <w:tblStyleColBandSize w:val="1"/>
      <w:tblBorders>
        <w:top w:val="single" w:sz="24" w:space="0" w:color="F24099" w:themeColor="accent4"/>
        <w:left w:val="single" w:sz="4" w:space="0" w:color="08CC78" w:themeColor="accent3"/>
        <w:bottom w:val="single" w:sz="4" w:space="0" w:color="08CC78" w:themeColor="accent3"/>
        <w:right w:val="single" w:sz="4" w:space="0" w:color="08CC78" w:themeColor="accent3"/>
        <w:insideH w:val="single" w:sz="4" w:space="0" w:color="FFFFFF" w:themeColor="background1"/>
        <w:insideV w:val="single" w:sz="4" w:space="0" w:color="FFFFFF" w:themeColor="background1"/>
      </w:tblBorders>
    </w:tblPr>
    <w:tcPr>
      <w:shd w:val="clear" w:color="auto" w:fill="E2FEF2" w:themeFill="accent3" w:themeFillTint="19"/>
    </w:tcPr>
    <w:tblStylePr w:type="firstRow">
      <w:rPr>
        <w:b/>
        <w:bCs/>
      </w:rPr>
      <w:tblPr/>
      <w:tcPr>
        <w:tcBorders>
          <w:top w:val="nil"/>
          <w:left w:val="nil"/>
          <w:bottom w:val="single" w:sz="24" w:space="0" w:color="F24099"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47A47" w:themeFill="accent3" w:themeFillShade="99"/>
      </w:tcPr>
    </w:tblStylePr>
    <w:tblStylePr w:type="firstCol">
      <w:rPr>
        <w:color w:val="FFFFFF" w:themeColor="background1"/>
      </w:rPr>
      <w:tblPr/>
      <w:tcPr>
        <w:tcBorders>
          <w:top w:val="nil"/>
          <w:left w:val="nil"/>
          <w:bottom w:val="nil"/>
          <w:right w:val="nil"/>
          <w:insideH w:val="single" w:sz="4" w:space="0" w:color="047A47" w:themeColor="accent3" w:themeShade="99"/>
          <w:insideV w:val="nil"/>
        </w:tcBorders>
        <w:shd w:val="clear" w:color="auto" w:fill="047A47"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47A47" w:themeFill="accent3" w:themeFillShade="99"/>
      </w:tcPr>
    </w:tblStylePr>
    <w:tblStylePr w:type="band1Vert">
      <w:tblPr/>
      <w:tcPr>
        <w:shd w:val="clear" w:color="auto" w:fill="8CFACA" w:themeFill="accent3" w:themeFillTint="66"/>
      </w:tcPr>
    </w:tblStylePr>
    <w:tblStylePr w:type="band1Horz">
      <w:tblPr/>
      <w:tcPr>
        <w:shd w:val="clear" w:color="auto" w:fill="6FF9BE" w:themeFill="accent3" w:themeFillTint="7F"/>
      </w:tcPr>
    </w:tblStylePr>
  </w:style>
  <w:style w:type="table" w:styleId="ColourfulShadingAccent4">
    <w:name w:val="Colorful Shading Accent 4"/>
    <w:basedOn w:val="TableNormal"/>
    <w:uiPriority w:val="71"/>
    <w:rsid w:val="00CB0664"/>
    <w:pPr>
      <w:spacing w:after="0" w:line="240" w:lineRule="auto"/>
    </w:pPr>
    <w:rPr>
      <w:color w:val="2C2C2C" w:themeColor="text1"/>
    </w:rPr>
    <w:tblPr>
      <w:tblStyleRowBandSize w:val="1"/>
      <w:tblStyleColBandSize w:val="1"/>
      <w:tblBorders>
        <w:top w:val="single" w:sz="24" w:space="0" w:color="08CC78" w:themeColor="accent3"/>
        <w:left w:val="single" w:sz="4" w:space="0" w:color="F24099" w:themeColor="accent4"/>
        <w:bottom w:val="single" w:sz="4" w:space="0" w:color="F24099" w:themeColor="accent4"/>
        <w:right w:val="single" w:sz="4" w:space="0" w:color="F24099" w:themeColor="accent4"/>
        <w:insideH w:val="single" w:sz="4" w:space="0" w:color="FFFFFF" w:themeColor="background1"/>
        <w:insideV w:val="single" w:sz="4" w:space="0" w:color="FFFFFF" w:themeColor="background1"/>
      </w:tblBorders>
    </w:tblPr>
    <w:tcPr>
      <w:shd w:val="clear" w:color="auto" w:fill="FDECF4" w:themeFill="accent4" w:themeFillTint="19"/>
    </w:tcPr>
    <w:tblStylePr w:type="firstRow">
      <w:rPr>
        <w:b/>
        <w:bCs/>
      </w:rPr>
      <w:tblPr/>
      <w:tcPr>
        <w:tcBorders>
          <w:top w:val="nil"/>
          <w:left w:val="nil"/>
          <w:bottom w:val="single" w:sz="24" w:space="0" w:color="08CC7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B0B5B" w:themeFill="accent4" w:themeFillShade="99"/>
      </w:tcPr>
    </w:tblStylePr>
    <w:tblStylePr w:type="firstCol">
      <w:rPr>
        <w:color w:val="FFFFFF" w:themeColor="background1"/>
      </w:rPr>
      <w:tblPr/>
      <w:tcPr>
        <w:tcBorders>
          <w:top w:val="nil"/>
          <w:left w:val="nil"/>
          <w:bottom w:val="nil"/>
          <w:right w:val="nil"/>
          <w:insideH w:val="single" w:sz="4" w:space="0" w:color="AB0B5B" w:themeColor="accent4" w:themeShade="99"/>
          <w:insideV w:val="nil"/>
        </w:tcBorders>
        <w:shd w:val="clear" w:color="auto" w:fill="AB0B5B"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AB0B5B" w:themeFill="accent4" w:themeFillShade="99"/>
      </w:tcPr>
    </w:tblStylePr>
    <w:tblStylePr w:type="band1Vert">
      <w:tblPr/>
      <w:tcPr>
        <w:shd w:val="clear" w:color="auto" w:fill="F9B2D6" w:themeFill="accent4" w:themeFillTint="66"/>
      </w:tcPr>
    </w:tblStylePr>
    <w:tblStylePr w:type="band1Horz">
      <w:tblPr/>
      <w:tcPr>
        <w:shd w:val="clear" w:color="auto" w:fill="F89FCB" w:themeFill="accent4" w:themeFillTint="7F"/>
      </w:tcPr>
    </w:tblStylePr>
    <w:tblStylePr w:type="neCell">
      <w:rPr>
        <w:color w:val="2C2C2C" w:themeColor="text1"/>
      </w:rPr>
    </w:tblStylePr>
    <w:tblStylePr w:type="nwCell">
      <w:rPr>
        <w:color w:val="2C2C2C" w:themeColor="text1"/>
      </w:rPr>
    </w:tblStylePr>
  </w:style>
  <w:style w:type="table" w:styleId="ColourfulShadingAccent5">
    <w:name w:val="Colorful Shading Accent 5"/>
    <w:basedOn w:val="TableNormal"/>
    <w:uiPriority w:val="71"/>
    <w:rsid w:val="00CB0664"/>
    <w:pPr>
      <w:spacing w:after="0" w:line="240" w:lineRule="auto"/>
    </w:pPr>
    <w:rPr>
      <w:color w:val="2C2C2C" w:themeColor="text1"/>
    </w:rPr>
    <w:tblPr>
      <w:tblStyleRowBandSize w:val="1"/>
      <w:tblStyleColBandSize w:val="1"/>
      <w:tblBorders>
        <w:top w:val="single" w:sz="24" w:space="0" w:color="F56617" w:themeColor="accent6"/>
        <w:left w:val="single" w:sz="4" w:space="0" w:color="828288" w:themeColor="accent5"/>
        <w:bottom w:val="single" w:sz="4" w:space="0" w:color="828288" w:themeColor="accent5"/>
        <w:right w:val="single" w:sz="4" w:space="0" w:color="828288" w:themeColor="accent5"/>
        <w:insideH w:val="single" w:sz="4" w:space="0" w:color="FFFFFF" w:themeColor="background1"/>
        <w:insideV w:val="single" w:sz="4" w:space="0" w:color="FFFFFF" w:themeColor="background1"/>
      </w:tblBorders>
    </w:tblPr>
    <w:tcPr>
      <w:shd w:val="clear" w:color="auto" w:fill="F2F2F3" w:themeFill="accent5" w:themeFillTint="19"/>
    </w:tcPr>
    <w:tblStylePr w:type="firstRow">
      <w:rPr>
        <w:b/>
        <w:bCs/>
      </w:rPr>
      <w:tblPr/>
      <w:tcPr>
        <w:tcBorders>
          <w:top w:val="nil"/>
          <w:left w:val="nil"/>
          <w:bottom w:val="single" w:sz="24" w:space="0" w:color="F5661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D4D51" w:themeFill="accent5" w:themeFillShade="99"/>
      </w:tcPr>
    </w:tblStylePr>
    <w:tblStylePr w:type="firstCol">
      <w:rPr>
        <w:color w:val="FFFFFF" w:themeColor="background1"/>
      </w:rPr>
      <w:tblPr/>
      <w:tcPr>
        <w:tcBorders>
          <w:top w:val="nil"/>
          <w:left w:val="nil"/>
          <w:bottom w:val="nil"/>
          <w:right w:val="nil"/>
          <w:insideH w:val="single" w:sz="4" w:space="0" w:color="4D4D51" w:themeColor="accent5" w:themeShade="99"/>
          <w:insideV w:val="nil"/>
        </w:tcBorders>
        <w:shd w:val="clear" w:color="auto" w:fill="4D4D5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D4D51" w:themeFill="accent5" w:themeFillShade="99"/>
      </w:tcPr>
    </w:tblStylePr>
    <w:tblStylePr w:type="band1Vert">
      <w:tblPr/>
      <w:tcPr>
        <w:shd w:val="clear" w:color="auto" w:fill="CCCCCF" w:themeFill="accent5" w:themeFillTint="66"/>
      </w:tcPr>
    </w:tblStylePr>
    <w:tblStylePr w:type="band1Horz">
      <w:tblPr/>
      <w:tcPr>
        <w:shd w:val="clear" w:color="auto" w:fill="C0C0C3" w:themeFill="accent5" w:themeFillTint="7F"/>
      </w:tcPr>
    </w:tblStylePr>
    <w:tblStylePr w:type="neCell">
      <w:rPr>
        <w:color w:val="2C2C2C" w:themeColor="text1"/>
      </w:rPr>
    </w:tblStylePr>
    <w:tblStylePr w:type="nwCell">
      <w:rPr>
        <w:color w:val="2C2C2C" w:themeColor="text1"/>
      </w:rPr>
    </w:tblStylePr>
  </w:style>
  <w:style w:type="table" w:styleId="ColourfulShadingAccent6">
    <w:name w:val="Colorful Shading Accent 6"/>
    <w:basedOn w:val="TableNormal"/>
    <w:uiPriority w:val="71"/>
    <w:rsid w:val="00CB0664"/>
    <w:pPr>
      <w:spacing w:after="0" w:line="240" w:lineRule="auto"/>
    </w:pPr>
    <w:rPr>
      <w:color w:val="2C2C2C" w:themeColor="text1"/>
    </w:rPr>
    <w:tblPr>
      <w:tblStyleRowBandSize w:val="1"/>
      <w:tblStyleColBandSize w:val="1"/>
      <w:tblBorders>
        <w:top w:val="single" w:sz="24" w:space="0" w:color="828288" w:themeColor="accent5"/>
        <w:left w:val="single" w:sz="4" w:space="0" w:color="F56617" w:themeColor="accent6"/>
        <w:bottom w:val="single" w:sz="4" w:space="0" w:color="F56617" w:themeColor="accent6"/>
        <w:right w:val="single" w:sz="4" w:space="0" w:color="F56617" w:themeColor="accent6"/>
        <w:insideH w:val="single" w:sz="4" w:space="0" w:color="FFFFFF" w:themeColor="background1"/>
        <w:insideV w:val="single" w:sz="4" w:space="0" w:color="FFFFFF" w:themeColor="background1"/>
      </w:tblBorders>
    </w:tblPr>
    <w:tcPr>
      <w:shd w:val="clear" w:color="auto" w:fill="FEEFE7" w:themeFill="accent6" w:themeFillTint="19"/>
    </w:tcPr>
    <w:tblStylePr w:type="firstRow">
      <w:rPr>
        <w:b/>
        <w:bCs/>
      </w:rPr>
      <w:tblPr/>
      <w:tcPr>
        <w:tcBorders>
          <w:top w:val="nil"/>
          <w:left w:val="nil"/>
          <w:bottom w:val="single" w:sz="24" w:space="0" w:color="828288"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A06" w:themeFill="accent6" w:themeFillShade="99"/>
      </w:tcPr>
    </w:tblStylePr>
    <w:tblStylePr w:type="firstCol">
      <w:rPr>
        <w:color w:val="FFFFFF" w:themeColor="background1"/>
      </w:rPr>
      <w:tblPr/>
      <w:tcPr>
        <w:tcBorders>
          <w:top w:val="nil"/>
          <w:left w:val="nil"/>
          <w:bottom w:val="nil"/>
          <w:right w:val="nil"/>
          <w:insideH w:val="single" w:sz="4" w:space="0" w:color="993A06" w:themeColor="accent6" w:themeShade="99"/>
          <w:insideV w:val="nil"/>
        </w:tcBorders>
        <w:shd w:val="clear" w:color="auto" w:fill="993A0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3A06" w:themeFill="accent6" w:themeFillShade="99"/>
      </w:tcPr>
    </w:tblStylePr>
    <w:tblStylePr w:type="band1Vert">
      <w:tblPr/>
      <w:tcPr>
        <w:shd w:val="clear" w:color="auto" w:fill="FBC1A2" w:themeFill="accent6" w:themeFillTint="66"/>
      </w:tcPr>
    </w:tblStylePr>
    <w:tblStylePr w:type="band1Horz">
      <w:tblPr/>
      <w:tcPr>
        <w:shd w:val="clear" w:color="auto" w:fill="FAB28B" w:themeFill="accent6" w:themeFillTint="7F"/>
      </w:tcPr>
    </w:tblStylePr>
    <w:tblStylePr w:type="neCell">
      <w:rPr>
        <w:color w:val="2C2C2C" w:themeColor="text1"/>
      </w:rPr>
    </w:tblStylePr>
    <w:tblStylePr w:type="nwCell">
      <w:rPr>
        <w:color w:val="2C2C2C" w:themeColor="text1"/>
      </w:rPr>
    </w:tblStylePr>
  </w:style>
  <w:style w:type="table" w:styleId="ColourfulList">
    <w:name w:val="Colorful List"/>
    <w:basedOn w:val="TableNormal"/>
    <w:uiPriority w:val="72"/>
    <w:rsid w:val="00CB0664"/>
    <w:pPr>
      <w:spacing w:after="0" w:line="240" w:lineRule="auto"/>
    </w:pPr>
    <w:rPr>
      <w:color w:val="2C2C2C" w:themeColor="text1"/>
    </w:rPr>
    <w:tblPr>
      <w:tblStyleRowBandSize w:val="1"/>
      <w:tblStyleColBandSize w:val="1"/>
    </w:tblPr>
    <w:tcPr>
      <w:shd w:val="clear" w:color="auto" w:fill="EAEAEA" w:themeFill="text1" w:themeFillTint="19"/>
    </w:tcPr>
    <w:tblStylePr w:type="firstRow">
      <w:rPr>
        <w:b/>
        <w:bCs/>
        <w:color w:val="FFFFFF" w:themeColor="background1"/>
      </w:rPr>
      <w:tblPr/>
      <w:tcPr>
        <w:tcBorders>
          <w:bottom w:val="single" w:sz="12" w:space="0" w:color="FFFFFF" w:themeColor="background1"/>
        </w:tcBorders>
        <w:shd w:val="clear" w:color="auto" w:fill="83A620" w:themeFill="accent2" w:themeFillShade="CC"/>
      </w:tcPr>
    </w:tblStylePr>
    <w:tblStylePr w:type="lastRow">
      <w:rPr>
        <w:b/>
        <w:bCs/>
        <w:color w:val="83A620" w:themeColor="accent2" w:themeShade="CC"/>
      </w:rPr>
      <w:tblPr/>
      <w:tcPr>
        <w:tcBorders>
          <w:top w:val="single" w:sz="12" w:space="0" w:color="2C2C2C"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ACACA" w:themeFill="text1" w:themeFillTint="3F"/>
      </w:tcPr>
    </w:tblStylePr>
    <w:tblStylePr w:type="band1Horz">
      <w:tblPr/>
      <w:tcPr>
        <w:shd w:val="clear" w:color="auto" w:fill="D4D4D4" w:themeFill="text1" w:themeFillTint="33"/>
      </w:tcPr>
    </w:tblStylePr>
  </w:style>
  <w:style w:type="table" w:styleId="ColourfulListAccent1">
    <w:name w:val="Colorful List Accent 1"/>
    <w:basedOn w:val="TableNormal"/>
    <w:uiPriority w:val="72"/>
    <w:rsid w:val="00CB0664"/>
    <w:pPr>
      <w:spacing w:after="0" w:line="240" w:lineRule="auto"/>
    </w:pPr>
    <w:rPr>
      <w:color w:val="2C2C2C" w:themeColor="text1"/>
    </w:rPr>
    <w:tblPr>
      <w:tblStyleRowBandSize w:val="1"/>
      <w:tblStyleColBandSize w:val="1"/>
    </w:tblPr>
    <w:tcPr>
      <w:shd w:val="clear" w:color="auto" w:fill="FFF8E6" w:themeFill="accent1" w:themeFillTint="19"/>
    </w:tcPr>
    <w:tblStylePr w:type="firstRow">
      <w:rPr>
        <w:b/>
        <w:bCs/>
        <w:color w:val="FFFFFF" w:themeColor="background1"/>
      </w:rPr>
      <w:tblPr/>
      <w:tcPr>
        <w:tcBorders>
          <w:bottom w:val="single" w:sz="12" w:space="0" w:color="FFFFFF" w:themeColor="background1"/>
        </w:tcBorders>
        <w:shd w:val="clear" w:color="auto" w:fill="83A620" w:themeFill="accent2" w:themeFillShade="CC"/>
      </w:tcPr>
    </w:tblStylePr>
    <w:tblStylePr w:type="lastRow">
      <w:rPr>
        <w:b/>
        <w:bCs/>
        <w:color w:val="83A620" w:themeColor="accent2" w:themeShade="CC"/>
      </w:rPr>
      <w:tblPr/>
      <w:tcPr>
        <w:tcBorders>
          <w:top w:val="single" w:sz="12" w:space="0" w:color="2C2C2C"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1" w:themeFillTint="3F"/>
      </w:tcPr>
    </w:tblStylePr>
    <w:tblStylePr w:type="band1Horz">
      <w:tblPr/>
      <w:tcPr>
        <w:shd w:val="clear" w:color="auto" w:fill="FFF2CC" w:themeFill="accent1" w:themeFillTint="33"/>
      </w:tcPr>
    </w:tblStylePr>
  </w:style>
  <w:style w:type="table" w:styleId="ColourfulListAccent2">
    <w:name w:val="Colorful List Accent 2"/>
    <w:basedOn w:val="TableNormal"/>
    <w:uiPriority w:val="72"/>
    <w:rsid w:val="00CB0664"/>
    <w:pPr>
      <w:spacing w:after="0" w:line="240" w:lineRule="auto"/>
    </w:pPr>
    <w:rPr>
      <w:color w:val="2C2C2C" w:themeColor="text1"/>
    </w:rPr>
    <w:tblPr>
      <w:tblStyleRowBandSize w:val="1"/>
      <w:tblStyleColBandSize w:val="1"/>
    </w:tblPr>
    <w:tcPr>
      <w:shd w:val="clear" w:color="auto" w:fill="F6FAE9" w:themeFill="accent2" w:themeFillTint="19"/>
    </w:tcPr>
    <w:tblStylePr w:type="firstRow">
      <w:rPr>
        <w:b/>
        <w:bCs/>
        <w:color w:val="FFFFFF" w:themeColor="background1"/>
      </w:rPr>
      <w:tblPr/>
      <w:tcPr>
        <w:tcBorders>
          <w:bottom w:val="single" w:sz="12" w:space="0" w:color="FFFFFF" w:themeColor="background1"/>
        </w:tcBorders>
        <w:shd w:val="clear" w:color="auto" w:fill="83A620" w:themeFill="accent2" w:themeFillShade="CC"/>
      </w:tcPr>
    </w:tblStylePr>
    <w:tblStylePr w:type="lastRow">
      <w:rPr>
        <w:b/>
        <w:bCs/>
        <w:color w:val="83A620" w:themeColor="accent2" w:themeShade="CC"/>
      </w:rPr>
      <w:tblPr/>
      <w:tcPr>
        <w:tcBorders>
          <w:top w:val="single" w:sz="12" w:space="0" w:color="2C2C2C"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9F4C8" w:themeFill="accent2" w:themeFillTint="3F"/>
      </w:tcPr>
    </w:tblStylePr>
    <w:tblStylePr w:type="band1Horz">
      <w:tblPr/>
      <w:tcPr>
        <w:shd w:val="clear" w:color="auto" w:fill="EDF6D2" w:themeFill="accent2" w:themeFillTint="33"/>
      </w:tcPr>
    </w:tblStylePr>
  </w:style>
  <w:style w:type="table" w:styleId="ColourfulListAccent3">
    <w:name w:val="Colorful List Accent 3"/>
    <w:basedOn w:val="TableNormal"/>
    <w:uiPriority w:val="72"/>
    <w:rsid w:val="00CB0664"/>
    <w:pPr>
      <w:spacing w:after="0" w:line="240" w:lineRule="auto"/>
    </w:pPr>
    <w:rPr>
      <w:color w:val="2C2C2C" w:themeColor="text1"/>
    </w:rPr>
    <w:tblPr>
      <w:tblStyleRowBandSize w:val="1"/>
      <w:tblStyleColBandSize w:val="1"/>
    </w:tblPr>
    <w:tcPr>
      <w:shd w:val="clear" w:color="auto" w:fill="E2FEF2" w:themeFill="accent3" w:themeFillTint="19"/>
    </w:tcPr>
    <w:tblStylePr w:type="firstRow">
      <w:rPr>
        <w:b/>
        <w:bCs/>
        <w:color w:val="FFFFFF" w:themeColor="background1"/>
      </w:rPr>
      <w:tblPr/>
      <w:tcPr>
        <w:tcBorders>
          <w:bottom w:val="single" w:sz="12" w:space="0" w:color="FFFFFF" w:themeColor="background1"/>
        </w:tcBorders>
        <w:shd w:val="clear" w:color="auto" w:fill="E50F79" w:themeFill="accent4" w:themeFillShade="CC"/>
      </w:tcPr>
    </w:tblStylePr>
    <w:tblStylePr w:type="lastRow">
      <w:rPr>
        <w:b/>
        <w:bCs/>
        <w:color w:val="E50F79" w:themeColor="accent4" w:themeShade="CC"/>
      </w:rPr>
      <w:tblPr/>
      <w:tcPr>
        <w:tcBorders>
          <w:top w:val="single" w:sz="12" w:space="0" w:color="2C2C2C"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FCDE" w:themeFill="accent3" w:themeFillTint="3F"/>
      </w:tcPr>
    </w:tblStylePr>
    <w:tblStylePr w:type="band1Horz">
      <w:tblPr/>
      <w:tcPr>
        <w:shd w:val="clear" w:color="auto" w:fill="C5FCE4" w:themeFill="accent3" w:themeFillTint="33"/>
      </w:tcPr>
    </w:tblStylePr>
  </w:style>
  <w:style w:type="table" w:styleId="ColourfulListAccent4">
    <w:name w:val="Colorful List Accent 4"/>
    <w:basedOn w:val="TableNormal"/>
    <w:uiPriority w:val="72"/>
    <w:rsid w:val="00CB0664"/>
    <w:pPr>
      <w:spacing w:after="0" w:line="240" w:lineRule="auto"/>
    </w:pPr>
    <w:rPr>
      <w:color w:val="2C2C2C" w:themeColor="text1"/>
    </w:rPr>
    <w:tblPr>
      <w:tblStyleRowBandSize w:val="1"/>
      <w:tblStyleColBandSize w:val="1"/>
    </w:tblPr>
    <w:tcPr>
      <w:shd w:val="clear" w:color="auto" w:fill="FDECF4" w:themeFill="accent4" w:themeFillTint="19"/>
    </w:tcPr>
    <w:tblStylePr w:type="firstRow">
      <w:rPr>
        <w:b/>
        <w:bCs/>
        <w:color w:val="FFFFFF" w:themeColor="background1"/>
      </w:rPr>
      <w:tblPr/>
      <w:tcPr>
        <w:tcBorders>
          <w:bottom w:val="single" w:sz="12" w:space="0" w:color="FFFFFF" w:themeColor="background1"/>
        </w:tcBorders>
        <w:shd w:val="clear" w:color="auto" w:fill="06A25F" w:themeFill="accent3" w:themeFillShade="CC"/>
      </w:tcPr>
    </w:tblStylePr>
    <w:tblStylePr w:type="lastRow">
      <w:rPr>
        <w:b/>
        <w:bCs/>
        <w:color w:val="06A25F" w:themeColor="accent3" w:themeShade="CC"/>
      </w:rPr>
      <w:tblPr/>
      <w:tcPr>
        <w:tcBorders>
          <w:top w:val="single" w:sz="12" w:space="0" w:color="2C2C2C"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BCFE5" w:themeFill="accent4" w:themeFillTint="3F"/>
      </w:tcPr>
    </w:tblStylePr>
    <w:tblStylePr w:type="band1Horz">
      <w:tblPr/>
      <w:tcPr>
        <w:shd w:val="clear" w:color="auto" w:fill="FCD8EA" w:themeFill="accent4" w:themeFillTint="33"/>
      </w:tcPr>
    </w:tblStylePr>
  </w:style>
  <w:style w:type="table" w:styleId="ColourfulListAccent5">
    <w:name w:val="Colorful List Accent 5"/>
    <w:basedOn w:val="TableNormal"/>
    <w:uiPriority w:val="72"/>
    <w:rsid w:val="00CB0664"/>
    <w:pPr>
      <w:spacing w:after="0" w:line="240" w:lineRule="auto"/>
    </w:pPr>
    <w:rPr>
      <w:color w:val="2C2C2C" w:themeColor="text1"/>
    </w:rPr>
    <w:tblPr>
      <w:tblStyleRowBandSize w:val="1"/>
      <w:tblStyleColBandSize w:val="1"/>
    </w:tblPr>
    <w:tcPr>
      <w:shd w:val="clear" w:color="auto" w:fill="F2F2F3" w:themeFill="accent5" w:themeFillTint="19"/>
    </w:tcPr>
    <w:tblStylePr w:type="firstRow">
      <w:rPr>
        <w:b/>
        <w:bCs/>
        <w:color w:val="FFFFFF" w:themeColor="background1"/>
      </w:rPr>
      <w:tblPr/>
      <w:tcPr>
        <w:tcBorders>
          <w:bottom w:val="single" w:sz="12" w:space="0" w:color="FFFFFF" w:themeColor="background1"/>
        </w:tcBorders>
        <w:shd w:val="clear" w:color="auto" w:fill="CD4E09" w:themeFill="accent6" w:themeFillShade="CC"/>
      </w:tcPr>
    </w:tblStylePr>
    <w:tblStylePr w:type="lastRow">
      <w:rPr>
        <w:b/>
        <w:bCs/>
        <w:color w:val="CD4E09" w:themeColor="accent6" w:themeShade="CC"/>
      </w:rPr>
      <w:tblPr/>
      <w:tcPr>
        <w:tcBorders>
          <w:top w:val="single" w:sz="12" w:space="0" w:color="2C2C2C"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E0E1" w:themeFill="accent5" w:themeFillTint="3F"/>
      </w:tcPr>
    </w:tblStylePr>
    <w:tblStylePr w:type="band1Horz">
      <w:tblPr/>
      <w:tcPr>
        <w:shd w:val="clear" w:color="auto" w:fill="E5E5E7" w:themeFill="accent5" w:themeFillTint="33"/>
      </w:tcPr>
    </w:tblStylePr>
  </w:style>
  <w:style w:type="table" w:styleId="ColourfulListAccent6">
    <w:name w:val="Colorful List Accent 6"/>
    <w:basedOn w:val="TableNormal"/>
    <w:uiPriority w:val="72"/>
    <w:rsid w:val="00CB0664"/>
    <w:pPr>
      <w:spacing w:after="0" w:line="240" w:lineRule="auto"/>
    </w:pPr>
    <w:rPr>
      <w:color w:val="2C2C2C" w:themeColor="text1"/>
    </w:rPr>
    <w:tblPr>
      <w:tblStyleRowBandSize w:val="1"/>
      <w:tblStyleColBandSize w:val="1"/>
    </w:tblPr>
    <w:tcPr>
      <w:shd w:val="clear" w:color="auto" w:fill="FEEFE7" w:themeFill="accent6" w:themeFillTint="19"/>
    </w:tcPr>
    <w:tblStylePr w:type="firstRow">
      <w:rPr>
        <w:b/>
        <w:bCs/>
        <w:color w:val="FFFFFF" w:themeColor="background1"/>
      </w:rPr>
      <w:tblPr/>
      <w:tcPr>
        <w:tcBorders>
          <w:bottom w:val="single" w:sz="12" w:space="0" w:color="FFFFFF" w:themeColor="background1"/>
        </w:tcBorders>
        <w:shd w:val="clear" w:color="auto" w:fill="67676C" w:themeFill="accent5" w:themeFillShade="CC"/>
      </w:tcPr>
    </w:tblStylePr>
    <w:tblStylePr w:type="lastRow">
      <w:rPr>
        <w:b/>
        <w:bCs/>
        <w:color w:val="67676C" w:themeColor="accent5" w:themeShade="CC"/>
      </w:rPr>
      <w:tblPr/>
      <w:tcPr>
        <w:tcBorders>
          <w:top w:val="single" w:sz="12" w:space="0" w:color="2C2C2C"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D8C5" w:themeFill="accent6" w:themeFillTint="3F"/>
      </w:tcPr>
    </w:tblStylePr>
    <w:tblStylePr w:type="band1Horz">
      <w:tblPr/>
      <w:tcPr>
        <w:shd w:val="clear" w:color="auto" w:fill="FDE0D0" w:themeFill="accent6" w:themeFillTint="33"/>
      </w:tcPr>
    </w:tblStylePr>
  </w:style>
  <w:style w:type="table" w:styleId="ColourfulGrid">
    <w:name w:val="Colorful Grid"/>
    <w:basedOn w:val="TableNormal"/>
    <w:uiPriority w:val="73"/>
    <w:rsid w:val="00CB0664"/>
    <w:pPr>
      <w:spacing w:after="0" w:line="240" w:lineRule="auto"/>
    </w:pPr>
    <w:rPr>
      <w:color w:val="2C2C2C" w:themeColor="text1"/>
    </w:rPr>
    <w:tblPr>
      <w:tblStyleRowBandSize w:val="1"/>
      <w:tblStyleColBandSize w:val="1"/>
      <w:tblBorders>
        <w:insideH w:val="single" w:sz="4" w:space="0" w:color="FFFFFF" w:themeColor="background1"/>
      </w:tblBorders>
    </w:tblPr>
    <w:tcPr>
      <w:shd w:val="clear" w:color="auto" w:fill="D4D4D4" w:themeFill="text1" w:themeFillTint="33"/>
    </w:tcPr>
    <w:tblStylePr w:type="firstRow">
      <w:rPr>
        <w:b/>
        <w:bCs/>
      </w:rPr>
      <w:tblPr/>
      <w:tcPr>
        <w:shd w:val="clear" w:color="auto" w:fill="AAAAAA" w:themeFill="text1" w:themeFillTint="66"/>
      </w:tcPr>
    </w:tblStylePr>
    <w:tblStylePr w:type="lastRow">
      <w:rPr>
        <w:b/>
        <w:bCs/>
        <w:color w:val="2C2C2C" w:themeColor="text1"/>
      </w:rPr>
      <w:tblPr/>
      <w:tcPr>
        <w:shd w:val="clear" w:color="auto" w:fill="AAAAAA" w:themeFill="text1" w:themeFillTint="66"/>
      </w:tcPr>
    </w:tblStylePr>
    <w:tblStylePr w:type="firstCol">
      <w:rPr>
        <w:color w:val="FFFFFF" w:themeColor="background1"/>
      </w:rPr>
      <w:tblPr/>
      <w:tcPr>
        <w:shd w:val="clear" w:color="auto" w:fill="202020" w:themeFill="text1" w:themeFillShade="BF"/>
      </w:tcPr>
    </w:tblStylePr>
    <w:tblStylePr w:type="lastCol">
      <w:rPr>
        <w:color w:val="FFFFFF" w:themeColor="background1"/>
      </w:rPr>
      <w:tblPr/>
      <w:tcPr>
        <w:shd w:val="clear" w:color="auto" w:fill="202020" w:themeFill="text1" w:themeFillShade="BF"/>
      </w:tcPr>
    </w:tblStylePr>
    <w:tblStylePr w:type="band1Vert">
      <w:tblPr/>
      <w:tcPr>
        <w:shd w:val="clear" w:color="auto" w:fill="959595" w:themeFill="text1" w:themeFillTint="7F"/>
      </w:tcPr>
    </w:tblStylePr>
    <w:tblStylePr w:type="band1Horz">
      <w:tblPr/>
      <w:tcPr>
        <w:shd w:val="clear" w:color="auto" w:fill="959595" w:themeFill="text1" w:themeFillTint="7F"/>
      </w:tcPr>
    </w:tblStylePr>
  </w:style>
  <w:style w:type="table" w:styleId="ColourfulGridAccent1">
    <w:name w:val="Colorful Grid Accent 1"/>
    <w:basedOn w:val="TableNormal"/>
    <w:uiPriority w:val="73"/>
    <w:rsid w:val="00CB0664"/>
    <w:pPr>
      <w:spacing w:after="0" w:line="240" w:lineRule="auto"/>
    </w:pPr>
    <w:rPr>
      <w:color w:val="2C2C2C" w:themeColor="text1"/>
    </w:rPr>
    <w:tblPr>
      <w:tblStyleRowBandSize w:val="1"/>
      <w:tblStyleColBandSize w:val="1"/>
      <w:tblBorders>
        <w:insideH w:val="single" w:sz="4" w:space="0" w:color="FFFFFF" w:themeColor="background1"/>
      </w:tblBorders>
    </w:tblPr>
    <w:tcPr>
      <w:shd w:val="clear" w:color="auto" w:fill="FFF2CC" w:themeFill="accent1" w:themeFillTint="33"/>
    </w:tcPr>
    <w:tblStylePr w:type="firstRow">
      <w:rPr>
        <w:b/>
        <w:bCs/>
      </w:rPr>
      <w:tblPr/>
      <w:tcPr>
        <w:shd w:val="clear" w:color="auto" w:fill="FFE599" w:themeFill="accent1" w:themeFillTint="66"/>
      </w:tcPr>
    </w:tblStylePr>
    <w:tblStylePr w:type="lastRow">
      <w:rPr>
        <w:b/>
        <w:bCs/>
        <w:color w:val="2C2C2C" w:themeColor="text1"/>
      </w:rPr>
      <w:tblPr/>
      <w:tcPr>
        <w:shd w:val="clear" w:color="auto" w:fill="FFE599" w:themeFill="accent1" w:themeFillTint="66"/>
      </w:tcPr>
    </w:tblStylePr>
    <w:tblStylePr w:type="firstCol">
      <w:rPr>
        <w:color w:val="FFFFFF" w:themeColor="background1"/>
      </w:rPr>
      <w:tblPr/>
      <w:tcPr>
        <w:shd w:val="clear" w:color="auto" w:fill="BF8F00" w:themeFill="accent1" w:themeFillShade="BF"/>
      </w:tcPr>
    </w:tblStylePr>
    <w:tblStylePr w:type="lastCol">
      <w:rPr>
        <w:color w:val="FFFFFF" w:themeColor="background1"/>
      </w:rPr>
      <w:tblPr/>
      <w:tcPr>
        <w:shd w:val="clear" w:color="auto" w:fill="BF8F00" w:themeFill="accent1" w:themeFillShade="BF"/>
      </w:tcPr>
    </w:tblStylePr>
    <w:tblStylePr w:type="band1Vert">
      <w:tblPr/>
      <w:tcPr>
        <w:shd w:val="clear" w:color="auto" w:fill="FFDF80" w:themeFill="accent1" w:themeFillTint="7F"/>
      </w:tcPr>
    </w:tblStylePr>
    <w:tblStylePr w:type="band1Horz">
      <w:tblPr/>
      <w:tcPr>
        <w:shd w:val="clear" w:color="auto" w:fill="FFDF80" w:themeFill="accent1" w:themeFillTint="7F"/>
      </w:tcPr>
    </w:tblStylePr>
  </w:style>
  <w:style w:type="table" w:styleId="ColourfulGridAccent2">
    <w:name w:val="Colorful Grid Accent 2"/>
    <w:basedOn w:val="TableNormal"/>
    <w:uiPriority w:val="73"/>
    <w:rsid w:val="00CB0664"/>
    <w:pPr>
      <w:spacing w:after="0" w:line="240" w:lineRule="auto"/>
    </w:pPr>
    <w:rPr>
      <w:color w:val="2C2C2C" w:themeColor="text1"/>
    </w:rPr>
    <w:tblPr>
      <w:tblStyleRowBandSize w:val="1"/>
      <w:tblStyleColBandSize w:val="1"/>
      <w:tblBorders>
        <w:insideH w:val="single" w:sz="4" w:space="0" w:color="FFFFFF" w:themeColor="background1"/>
      </w:tblBorders>
    </w:tblPr>
    <w:tcPr>
      <w:shd w:val="clear" w:color="auto" w:fill="EDF6D2" w:themeFill="accent2" w:themeFillTint="33"/>
    </w:tcPr>
    <w:tblStylePr w:type="firstRow">
      <w:rPr>
        <w:b/>
        <w:bCs/>
      </w:rPr>
      <w:tblPr/>
      <w:tcPr>
        <w:shd w:val="clear" w:color="auto" w:fill="DBEEA6" w:themeFill="accent2" w:themeFillTint="66"/>
      </w:tcPr>
    </w:tblStylePr>
    <w:tblStylePr w:type="lastRow">
      <w:rPr>
        <w:b/>
        <w:bCs/>
        <w:color w:val="2C2C2C" w:themeColor="text1"/>
      </w:rPr>
      <w:tblPr/>
      <w:tcPr>
        <w:shd w:val="clear" w:color="auto" w:fill="DBEEA6" w:themeFill="accent2" w:themeFillTint="66"/>
      </w:tcPr>
    </w:tblStylePr>
    <w:tblStylePr w:type="firstCol">
      <w:rPr>
        <w:color w:val="FFFFFF" w:themeColor="background1"/>
      </w:rPr>
      <w:tblPr/>
      <w:tcPr>
        <w:shd w:val="clear" w:color="auto" w:fill="7B9B1E" w:themeFill="accent2" w:themeFillShade="BF"/>
      </w:tcPr>
    </w:tblStylePr>
    <w:tblStylePr w:type="lastCol">
      <w:rPr>
        <w:color w:val="FFFFFF" w:themeColor="background1"/>
      </w:rPr>
      <w:tblPr/>
      <w:tcPr>
        <w:shd w:val="clear" w:color="auto" w:fill="7B9B1E" w:themeFill="accent2" w:themeFillShade="BF"/>
      </w:tcPr>
    </w:tblStylePr>
    <w:tblStylePr w:type="band1Vert">
      <w:tblPr/>
      <w:tcPr>
        <w:shd w:val="clear" w:color="auto" w:fill="D3EA91" w:themeFill="accent2" w:themeFillTint="7F"/>
      </w:tcPr>
    </w:tblStylePr>
    <w:tblStylePr w:type="band1Horz">
      <w:tblPr/>
      <w:tcPr>
        <w:shd w:val="clear" w:color="auto" w:fill="D3EA91" w:themeFill="accent2" w:themeFillTint="7F"/>
      </w:tcPr>
    </w:tblStylePr>
  </w:style>
  <w:style w:type="table" w:styleId="ColourfulGridAccent3">
    <w:name w:val="Colorful Grid Accent 3"/>
    <w:basedOn w:val="TableNormal"/>
    <w:uiPriority w:val="73"/>
    <w:rsid w:val="00CB0664"/>
    <w:pPr>
      <w:spacing w:after="0" w:line="240" w:lineRule="auto"/>
    </w:pPr>
    <w:rPr>
      <w:color w:val="2C2C2C" w:themeColor="text1"/>
    </w:rPr>
    <w:tblPr>
      <w:tblStyleRowBandSize w:val="1"/>
      <w:tblStyleColBandSize w:val="1"/>
      <w:tblBorders>
        <w:insideH w:val="single" w:sz="4" w:space="0" w:color="FFFFFF" w:themeColor="background1"/>
      </w:tblBorders>
    </w:tblPr>
    <w:tcPr>
      <w:shd w:val="clear" w:color="auto" w:fill="C5FCE4" w:themeFill="accent3" w:themeFillTint="33"/>
    </w:tcPr>
    <w:tblStylePr w:type="firstRow">
      <w:rPr>
        <w:b/>
        <w:bCs/>
      </w:rPr>
      <w:tblPr/>
      <w:tcPr>
        <w:shd w:val="clear" w:color="auto" w:fill="8CFACA" w:themeFill="accent3" w:themeFillTint="66"/>
      </w:tcPr>
    </w:tblStylePr>
    <w:tblStylePr w:type="lastRow">
      <w:rPr>
        <w:b/>
        <w:bCs/>
        <w:color w:val="2C2C2C" w:themeColor="text1"/>
      </w:rPr>
      <w:tblPr/>
      <w:tcPr>
        <w:shd w:val="clear" w:color="auto" w:fill="8CFACA" w:themeFill="accent3" w:themeFillTint="66"/>
      </w:tcPr>
    </w:tblStylePr>
    <w:tblStylePr w:type="firstCol">
      <w:rPr>
        <w:color w:val="FFFFFF" w:themeColor="background1"/>
      </w:rPr>
      <w:tblPr/>
      <w:tcPr>
        <w:shd w:val="clear" w:color="auto" w:fill="069859" w:themeFill="accent3" w:themeFillShade="BF"/>
      </w:tcPr>
    </w:tblStylePr>
    <w:tblStylePr w:type="lastCol">
      <w:rPr>
        <w:color w:val="FFFFFF" w:themeColor="background1"/>
      </w:rPr>
      <w:tblPr/>
      <w:tcPr>
        <w:shd w:val="clear" w:color="auto" w:fill="069859" w:themeFill="accent3" w:themeFillShade="BF"/>
      </w:tcPr>
    </w:tblStylePr>
    <w:tblStylePr w:type="band1Vert">
      <w:tblPr/>
      <w:tcPr>
        <w:shd w:val="clear" w:color="auto" w:fill="6FF9BE" w:themeFill="accent3" w:themeFillTint="7F"/>
      </w:tcPr>
    </w:tblStylePr>
    <w:tblStylePr w:type="band1Horz">
      <w:tblPr/>
      <w:tcPr>
        <w:shd w:val="clear" w:color="auto" w:fill="6FF9BE" w:themeFill="accent3" w:themeFillTint="7F"/>
      </w:tcPr>
    </w:tblStylePr>
  </w:style>
  <w:style w:type="table" w:styleId="ColourfulGridAccent4">
    <w:name w:val="Colorful Grid Accent 4"/>
    <w:basedOn w:val="TableNormal"/>
    <w:uiPriority w:val="73"/>
    <w:rsid w:val="00CB0664"/>
    <w:pPr>
      <w:spacing w:after="0" w:line="240" w:lineRule="auto"/>
    </w:pPr>
    <w:rPr>
      <w:color w:val="2C2C2C" w:themeColor="text1"/>
    </w:rPr>
    <w:tblPr>
      <w:tblStyleRowBandSize w:val="1"/>
      <w:tblStyleColBandSize w:val="1"/>
      <w:tblBorders>
        <w:insideH w:val="single" w:sz="4" w:space="0" w:color="FFFFFF" w:themeColor="background1"/>
      </w:tblBorders>
    </w:tblPr>
    <w:tcPr>
      <w:shd w:val="clear" w:color="auto" w:fill="FCD8EA" w:themeFill="accent4" w:themeFillTint="33"/>
    </w:tcPr>
    <w:tblStylePr w:type="firstRow">
      <w:rPr>
        <w:b/>
        <w:bCs/>
      </w:rPr>
      <w:tblPr/>
      <w:tcPr>
        <w:shd w:val="clear" w:color="auto" w:fill="F9B2D6" w:themeFill="accent4" w:themeFillTint="66"/>
      </w:tcPr>
    </w:tblStylePr>
    <w:tblStylePr w:type="lastRow">
      <w:rPr>
        <w:b/>
        <w:bCs/>
        <w:color w:val="2C2C2C" w:themeColor="text1"/>
      </w:rPr>
      <w:tblPr/>
      <w:tcPr>
        <w:shd w:val="clear" w:color="auto" w:fill="F9B2D6" w:themeFill="accent4" w:themeFillTint="66"/>
      </w:tcPr>
    </w:tblStylePr>
    <w:tblStylePr w:type="firstCol">
      <w:rPr>
        <w:color w:val="FFFFFF" w:themeColor="background1"/>
      </w:rPr>
      <w:tblPr/>
      <w:tcPr>
        <w:shd w:val="clear" w:color="auto" w:fill="D60E72" w:themeFill="accent4" w:themeFillShade="BF"/>
      </w:tcPr>
    </w:tblStylePr>
    <w:tblStylePr w:type="lastCol">
      <w:rPr>
        <w:color w:val="FFFFFF" w:themeColor="background1"/>
      </w:rPr>
      <w:tblPr/>
      <w:tcPr>
        <w:shd w:val="clear" w:color="auto" w:fill="D60E72" w:themeFill="accent4" w:themeFillShade="BF"/>
      </w:tcPr>
    </w:tblStylePr>
    <w:tblStylePr w:type="band1Vert">
      <w:tblPr/>
      <w:tcPr>
        <w:shd w:val="clear" w:color="auto" w:fill="F89FCB" w:themeFill="accent4" w:themeFillTint="7F"/>
      </w:tcPr>
    </w:tblStylePr>
    <w:tblStylePr w:type="band1Horz">
      <w:tblPr/>
      <w:tcPr>
        <w:shd w:val="clear" w:color="auto" w:fill="F89FCB" w:themeFill="accent4" w:themeFillTint="7F"/>
      </w:tcPr>
    </w:tblStylePr>
  </w:style>
  <w:style w:type="table" w:styleId="ColourfulGridAccent5">
    <w:name w:val="Colorful Grid Accent 5"/>
    <w:basedOn w:val="TableNormal"/>
    <w:uiPriority w:val="73"/>
    <w:rsid w:val="00CB0664"/>
    <w:pPr>
      <w:spacing w:after="0" w:line="240" w:lineRule="auto"/>
    </w:pPr>
    <w:rPr>
      <w:color w:val="2C2C2C" w:themeColor="text1"/>
    </w:rPr>
    <w:tblPr>
      <w:tblStyleRowBandSize w:val="1"/>
      <w:tblStyleColBandSize w:val="1"/>
      <w:tblBorders>
        <w:insideH w:val="single" w:sz="4" w:space="0" w:color="FFFFFF" w:themeColor="background1"/>
      </w:tblBorders>
    </w:tblPr>
    <w:tcPr>
      <w:shd w:val="clear" w:color="auto" w:fill="E5E5E7" w:themeFill="accent5" w:themeFillTint="33"/>
    </w:tcPr>
    <w:tblStylePr w:type="firstRow">
      <w:rPr>
        <w:b/>
        <w:bCs/>
      </w:rPr>
      <w:tblPr/>
      <w:tcPr>
        <w:shd w:val="clear" w:color="auto" w:fill="CCCCCF" w:themeFill="accent5" w:themeFillTint="66"/>
      </w:tcPr>
    </w:tblStylePr>
    <w:tblStylePr w:type="lastRow">
      <w:rPr>
        <w:b/>
        <w:bCs/>
        <w:color w:val="2C2C2C" w:themeColor="text1"/>
      </w:rPr>
      <w:tblPr/>
      <w:tcPr>
        <w:shd w:val="clear" w:color="auto" w:fill="CCCCCF" w:themeFill="accent5" w:themeFillTint="66"/>
      </w:tcPr>
    </w:tblStylePr>
    <w:tblStylePr w:type="firstCol">
      <w:rPr>
        <w:color w:val="FFFFFF" w:themeColor="background1"/>
      </w:rPr>
      <w:tblPr/>
      <w:tcPr>
        <w:shd w:val="clear" w:color="auto" w:fill="616165" w:themeFill="accent5" w:themeFillShade="BF"/>
      </w:tcPr>
    </w:tblStylePr>
    <w:tblStylePr w:type="lastCol">
      <w:rPr>
        <w:color w:val="FFFFFF" w:themeColor="background1"/>
      </w:rPr>
      <w:tblPr/>
      <w:tcPr>
        <w:shd w:val="clear" w:color="auto" w:fill="616165" w:themeFill="accent5" w:themeFillShade="BF"/>
      </w:tcPr>
    </w:tblStylePr>
    <w:tblStylePr w:type="band1Vert">
      <w:tblPr/>
      <w:tcPr>
        <w:shd w:val="clear" w:color="auto" w:fill="C0C0C3" w:themeFill="accent5" w:themeFillTint="7F"/>
      </w:tcPr>
    </w:tblStylePr>
    <w:tblStylePr w:type="band1Horz">
      <w:tblPr/>
      <w:tcPr>
        <w:shd w:val="clear" w:color="auto" w:fill="C0C0C3" w:themeFill="accent5" w:themeFillTint="7F"/>
      </w:tcPr>
    </w:tblStylePr>
  </w:style>
  <w:style w:type="table" w:styleId="ColourfulGridAccent6">
    <w:name w:val="Colorful Grid Accent 6"/>
    <w:basedOn w:val="TableNormal"/>
    <w:uiPriority w:val="73"/>
    <w:rsid w:val="00CB0664"/>
    <w:pPr>
      <w:spacing w:after="0" w:line="240" w:lineRule="auto"/>
    </w:pPr>
    <w:rPr>
      <w:color w:val="2C2C2C" w:themeColor="text1"/>
    </w:rPr>
    <w:tblPr>
      <w:tblStyleRowBandSize w:val="1"/>
      <w:tblStyleColBandSize w:val="1"/>
      <w:tblBorders>
        <w:insideH w:val="single" w:sz="4" w:space="0" w:color="FFFFFF" w:themeColor="background1"/>
      </w:tblBorders>
    </w:tblPr>
    <w:tcPr>
      <w:shd w:val="clear" w:color="auto" w:fill="FDE0D0" w:themeFill="accent6" w:themeFillTint="33"/>
    </w:tcPr>
    <w:tblStylePr w:type="firstRow">
      <w:rPr>
        <w:b/>
        <w:bCs/>
      </w:rPr>
      <w:tblPr/>
      <w:tcPr>
        <w:shd w:val="clear" w:color="auto" w:fill="FBC1A2" w:themeFill="accent6" w:themeFillTint="66"/>
      </w:tcPr>
    </w:tblStylePr>
    <w:tblStylePr w:type="lastRow">
      <w:rPr>
        <w:b/>
        <w:bCs/>
        <w:color w:val="2C2C2C" w:themeColor="text1"/>
      </w:rPr>
      <w:tblPr/>
      <w:tcPr>
        <w:shd w:val="clear" w:color="auto" w:fill="FBC1A2" w:themeFill="accent6" w:themeFillTint="66"/>
      </w:tcPr>
    </w:tblStylePr>
    <w:tblStylePr w:type="firstCol">
      <w:rPr>
        <w:color w:val="FFFFFF" w:themeColor="background1"/>
      </w:rPr>
      <w:tblPr/>
      <w:tcPr>
        <w:shd w:val="clear" w:color="auto" w:fill="C04908" w:themeFill="accent6" w:themeFillShade="BF"/>
      </w:tcPr>
    </w:tblStylePr>
    <w:tblStylePr w:type="lastCol">
      <w:rPr>
        <w:color w:val="FFFFFF" w:themeColor="background1"/>
      </w:rPr>
      <w:tblPr/>
      <w:tcPr>
        <w:shd w:val="clear" w:color="auto" w:fill="C04908" w:themeFill="accent6" w:themeFillShade="BF"/>
      </w:tcPr>
    </w:tblStylePr>
    <w:tblStylePr w:type="band1Vert">
      <w:tblPr/>
      <w:tcPr>
        <w:shd w:val="clear" w:color="auto" w:fill="FAB28B" w:themeFill="accent6" w:themeFillTint="7F"/>
      </w:tcPr>
    </w:tblStylePr>
    <w:tblStylePr w:type="band1Horz">
      <w:tblPr/>
      <w:tcPr>
        <w:shd w:val="clear" w:color="auto" w:fill="FAB28B" w:themeFill="accent6" w:themeFillTint="7F"/>
      </w:tcPr>
    </w:tblStylePr>
  </w:style>
  <w:style w:type="character" w:styleId="Hyperlink">
    <w:name w:val="Hyperlink"/>
    <w:basedOn w:val="DefaultParagraphFont"/>
    <w:uiPriority w:val="99"/>
    <w:unhideWhenUsed/>
    <w:rsid w:val="000F0DDE"/>
    <w:rPr>
      <w:color w:val="005DBA" w:themeColor="hyperlink"/>
      <w:u w:val="single"/>
    </w:rPr>
  </w:style>
  <w:style w:type="character" w:styleId="UnresolvedMention">
    <w:name w:val="Unresolved Mention"/>
    <w:basedOn w:val="DefaultParagraphFont"/>
    <w:uiPriority w:val="99"/>
    <w:semiHidden/>
    <w:unhideWhenUsed/>
    <w:rsid w:val="000F0DDE"/>
    <w:rPr>
      <w:color w:val="605E5C"/>
      <w:shd w:val="clear" w:color="auto" w:fill="E1DFDD"/>
    </w:rPr>
  </w:style>
  <w:style w:type="paragraph" w:styleId="TOC1">
    <w:name w:val="toc 1"/>
    <w:basedOn w:val="Normal"/>
    <w:next w:val="Normal"/>
    <w:autoRedefine/>
    <w:uiPriority w:val="39"/>
    <w:unhideWhenUsed/>
    <w:rsid w:val="00CE659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hopetownlodge.com/" TargetMode="External"/><Relationship Id="rId2" Type="http://schemas.openxmlformats.org/officeDocument/2006/relationships/numbering" Target="numbering.xml"/><Relationship Id="rId16" Type="http://schemas.openxmlformats.org/officeDocument/2006/relationships/hyperlink" Target="https://www.patientcalls.com/wp-content/uploads/protected-health-information_PATIENTCALLS-1024x792.jpg?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lideserve.com/dreamsoft4u/mhealth-app-devel?utm_source=chatgpt.com"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adixweb.com/blog/everything-need-know-about-mhealth-apps?utm_source=chatgpt.com"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3865</TotalTime>
  <Pages>13</Pages>
  <Words>2960</Words>
  <Characters>16875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19796</CharactersWithSpaces>
  <SharedDoc>false</SharedDoc>
  <HyperlinkBase/>
  <HLinks>
    <vt:vector size="84" baseType="variant">
      <vt:variant>
        <vt:i4>3211317</vt:i4>
      </vt:variant>
      <vt:variant>
        <vt:i4>72</vt:i4>
      </vt:variant>
      <vt:variant>
        <vt:i4>0</vt:i4>
      </vt:variant>
      <vt:variant>
        <vt:i4>5</vt:i4>
      </vt:variant>
      <vt:variant>
        <vt:lpwstr>https://hopetownlodge.com/health/innovative-strategies-for-enhancing-healthcare-accessibility/</vt:lpwstr>
      </vt:variant>
      <vt:variant>
        <vt:lpwstr/>
      </vt:variant>
      <vt:variant>
        <vt:i4>720987</vt:i4>
      </vt:variant>
      <vt:variant>
        <vt:i4>69</vt:i4>
      </vt:variant>
      <vt:variant>
        <vt:i4>0</vt:i4>
      </vt:variant>
      <vt:variant>
        <vt:i4>5</vt:i4>
      </vt:variant>
      <vt:variant>
        <vt:lpwstr>https://www.patientcalls.com/wp-content/uploads/protected-health-information_PATIENTCALLS-1024x792.jpg?utm_source=chatgpt.com</vt:lpwstr>
      </vt:variant>
      <vt:variant>
        <vt:lpwstr/>
      </vt:variant>
      <vt:variant>
        <vt:i4>2490444</vt:i4>
      </vt:variant>
      <vt:variant>
        <vt:i4>66</vt:i4>
      </vt:variant>
      <vt:variant>
        <vt:i4>0</vt:i4>
      </vt:variant>
      <vt:variant>
        <vt:i4>5</vt:i4>
      </vt:variant>
      <vt:variant>
        <vt:lpwstr>https://www.slideserve.com/dreamsoft4u/mhealth-app-devel?utm_source=chatgpt.com</vt:lpwstr>
      </vt:variant>
      <vt:variant>
        <vt:lpwstr/>
      </vt:variant>
      <vt:variant>
        <vt:i4>7667792</vt:i4>
      </vt:variant>
      <vt:variant>
        <vt:i4>63</vt:i4>
      </vt:variant>
      <vt:variant>
        <vt:i4>0</vt:i4>
      </vt:variant>
      <vt:variant>
        <vt:i4>5</vt:i4>
      </vt:variant>
      <vt:variant>
        <vt:lpwstr>https://radixweb.com/blog/everything-need-know-about-mhealth-apps?utm_source=chatgpt.com</vt:lpwstr>
      </vt:variant>
      <vt:variant>
        <vt:lpwstr/>
      </vt:variant>
      <vt:variant>
        <vt:i4>1769523</vt:i4>
      </vt:variant>
      <vt:variant>
        <vt:i4>56</vt:i4>
      </vt:variant>
      <vt:variant>
        <vt:i4>0</vt:i4>
      </vt:variant>
      <vt:variant>
        <vt:i4>5</vt:i4>
      </vt:variant>
      <vt:variant>
        <vt:lpwstr/>
      </vt:variant>
      <vt:variant>
        <vt:lpwstr>_Toc243229039</vt:lpwstr>
      </vt:variant>
      <vt:variant>
        <vt:i4>1769523</vt:i4>
      </vt:variant>
      <vt:variant>
        <vt:i4>50</vt:i4>
      </vt:variant>
      <vt:variant>
        <vt:i4>0</vt:i4>
      </vt:variant>
      <vt:variant>
        <vt:i4>5</vt:i4>
      </vt:variant>
      <vt:variant>
        <vt:lpwstr/>
      </vt:variant>
      <vt:variant>
        <vt:lpwstr>_Toc243229038</vt:lpwstr>
      </vt:variant>
      <vt:variant>
        <vt:i4>1769523</vt:i4>
      </vt:variant>
      <vt:variant>
        <vt:i4>44</vt:i4>
      </vt:variant>
      <vt:variant>
        <vt:i4>0</vt:i4>
      </vt:variant>
      <vt:variant>
        <vt:i4>5</vt:i4>
      </vt:variant>
      <vt:variant>
        <vt:lpwstr/>
      </vt:variant>
      <vt:variant>
        <vt:lpwstr>_Toc243229037</vt:lpwstr>
      </vt:variant>
      <vt:variant>
        <vt:i4>1769523</vt:i4>
      </vt:variant>
      <vt:variant>
        <vt:i4>38</vt:i4>
      </vt:variant>
      <vt:variant>
        <vt:i4>0</vt:i4>
      </vt:variant>
      <vt:variant>
        <vt:i4>5</vt:i4>
      </vt:variant>
      <vt:variant>
        <vt:lpwstr/>
      </vt:variant>
      <vt:variant>
        <vt:lpwstr>_Toc243229036</vt:lpwstr>
      </vt:variant>
      <vt:variant>
        <vt:i4>1769523</vt:i4>
      </vt:variant>
      <vt:variant>
        <vt:i4>32</vt:i4>
      </vt:variant>
      <vt:variant>
        <vt:i4>0</vt:i4>
      </vt:variant>
      <vt:variant>
        <vt:i4>5</vt:i4>
      </vt:variant>
      <vt:variant>
        <vt:lpwstr/>
      </vt:variant>
      <vt:variant>
        <vt:lpwstr>_Toc243229035</vt:lpwstr>
      </vt:variant>
      <vt:variant>
        <vt:i4>1769523</vt:i4>
      </vt:variant>
      <vt:variant>
        <vt:i4>26</vt:i4>
      </vt:variant>
      <vt:variant>
        <vt:i4>0</vt:i4>
      </vt:variant>
      <vt:variant>
        <vt:i4>5</vt:i4>
      </vt:variant>
      <vt:variant>
        <vt:lpwstr/>
      </vt:variant>
      <vt:variant>
        <vt:lpwstr>_Toc243229034</vt:lpwstr>
      </vt:variant>
      <vt:variant>
        <vt:i4>1769523</vt:i4>
      </vt:variant>
      <vt:variant>
        <vt:i4>20</vt:i4>
      </vt:variant>
      <vt:variant>
        <vt:i4>0</vt:i4>
      </vt:variant>
      <vt:variant>
        <vt:i4>5</vt:i4>
      </vt:variant>
      <vt:variant>
        <vt:lpwstr/>
      </vt:variant>
      <vt:variant>
        <vt:lpwstr>_Toc243229033</vt:lpwstr>
      </vt:variant>
      <vt:variant>
        <vt:i4>1769523</vt:i4>
      </vt:variant>
      <vt:variant>
        <vt:i4>14</vt:i4>
      </vt:variant>
      <vt:variant>
        <vt:i4>0</vt:i4>
      </vt:variant>
      <vt:variant>
        <vt:i4>5</vt:i4>
      </vt:variant>
      <vt:variant>
        <vt:lpwstr/>
      </vt:variant>
      <vt:variant>
        <vt:lpwstr>_Toc243229032</vt:lpwstr>
      </vt:variant>
      <vt:variant>
        <vt:i4>1769523</vt:i4>
      </vt:variant>
      <vt:variant>
        <vt:i4>8</vt:i4>
      </vt:variant>
      <vt:variant>
        <vt:i4>0</vt:i4>
      </vt:variant>
      <vt:variant>
        <vt:i4>5</vt:i4>
      </vt:variant>
      <vt:variant>
        <vt:lpwstr/>
      </vt:variant>
      <vt:variant>
        <vt:lpwstr>_Toc243229031</vt:lpwstr>
      </vt:variant>
      <vt:variant>
        <vt:i4>1769523</vt:i4>
      </vt:variant>
      <vt:variant>
        <vt:i4>2</vt:i4>
      </vt:variant>
      <vt:variant>
        <vt:i4>0</vt:i4>
      </vt:variant>
      <vt:variant>
        <vt:i4>5</vt:i4>
      </vt:variant>
      <vt:variant>
        <vt:lpwstr/>
      </vt:variant>
      <vt:variant>
        <vt:lpwstr>_Toc243229030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Saima Kausar (2407682)</cp:lastModifiedBy>
  <cp:revision>283</cp:revision>
  <dcterms:created xsi:type="dcterms:W3CDTF">2026-10-15T16:42:00Z</dcterms:created>
  <dcterms:modified xsi:type="dcterms:W3CDTF">2026-10-19T11:00:00Z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4172d97e17ceceaec483ab6b1c235baa51ca166c16e4aa4230ce4f91dcee39b2</vt:lpwstr>
  </property>
</Properties>
</file>