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0F4A1" w14:textId="54250BF6" w:rsidR="00CD70AF" w:rsidRDefault="00CD70AF" w:rsidP="00D51BA6">
      <w:pPr>
        <w:rPr>
          <w:b/>
          <w:u w:val="single"/>
        </w:rPr>
      </w:pPr>
      <w:r>
        <w:rPr>
          <w:b/>
          <w:u w:val="single"/>
        </w:rPr>
        <w:t>ASSISGNMENT 1</w:t>
      </w:r>
    </w:p>
    <w:p w14:paraId="2C48AC78" w14:textId="77777777" w:rsidR="00F105F6" w:rsidRDefault="00F105F6" w:rsidP="00D51BA6">
      <w:pPr>
        <w:rPr>
          <w:b/>
          <w:u w:val="single"/>
        </w:rPr>
      </w:pPr>
    </w:p>
    <w:p w14:paraId="13610DDD" w14:textId="201B2396" w:rsidR="00322C93" w:rsidRDefault="00D51BA6" w:rsidP="00D51BA6">
      <w:pPr>
        <w:rPr>
          <w:b/>
          <w:u w:val="single"/>
        </w:rPr>
      </w:pPr>
      <w:r>
        <w:rPr>
          <w:b/>
          <w:u w:val="single"/>
        </w:rPr>
        <w:t xml:space="preserve">JOURNAL ARTICLE REVIEW </w:t>
      </w:r>
    </w:p>
    <w:p w14:paraId="7ECDCA60" w14:textId="77777777" w:rsidR="00715CD8" w:rsidRPr="00715CD8" w:rsidRDefault="00715CD8" w:rsidP="00E5401D">
      <w:pPr>
        <w:ind w:left="720" w:hanging="720"/>
        <w:rPr>
          <w:b/>
          <w:bCs/>
        </w:rPr>
      </w:pPr>
      <w:r w:rsidRPr="00715CD8">
        <w:rPr>
          <w:b/>
          <w:bCs/>
        </w:rPr>
        <w:t xml:space="preserve">Pugh, M. (1974). Asquith, Bonar </w:t>
      </w:r>
      <w:proofErr w:type="gramStart"/>
      <w:r w:rsidRPr="00715CD8">
        <w:rPr>
          <w:b/>
          <w:bCs/>
        </w:rPr>
        <w:t>Law</w:t>
      </w:r>
      <w:proofErr w:type="gramEnd"/>
      <w:r w:rsidRPr="00715CD8">
        <w:rPr>
          <w:b/>
          <w:bCs/>
        </w:rPr>
        <w:t xml:space="preserve"> and the First Coalition. </w:t>
      </w:r>
      <w:r w:rsidRPr="00715CD8">
        <w:rPr>
          <w:b/>
          <w:bCs/>
          <w:i/>
          <w:iCs/>
        </w:rPr>
        <w:t>The Historical Journal, 17(4</w:t>
      </w:r>
      <w:r w:rsidRPr="00715CD8">
        <w:rPr>
          <w:b/>
          <w:bCs/>
        </w:rPr>
        <w:t xml:space="preserve">), 813-836. </w:t>
      </w:r>
      <w:hyperlink r:id="rId6" w:history="1">
        <w:r w:rsidRPr="00715CD8">
          <w:rPr>
            <w:rStyle w:val="Hyperlink"/>
            <w:b/>
            <w:bCs/>
          </w:rPr>
          <w:t>https://doi:10.1017/S0018246X00007925</w:t>
        </w:r>
      </w:hyperlink>
    </w:p>
    <w:p w14:paraId="1ED3B112" w14:textId="7BB056D4" w:rsidR="00D51BA6" w:rsidRDefault="00D51BA6" w:rsidP="00D51BA6">
      <w:pPr>
        <w:rPr>
          <w:b/>
        </w:rPr>
      </w:pPr>
      <w:r>
        <w:t>This article appeared in the December 1974 edition of The Historical Journal. The author, Martin Pugh was a Professor of British History at Newcastle University and research Professor in History at Liverpool</w:t>
      </w:r>
      <w:r w:rsidR="00322C93">
        <w:t>’s</w:t>
      </w:r>
      <w:r>
        <w:t xml:space="preserve"> John </w:t>
      </w:r>
      <w:proofErr w:type="spellStart"/>
      <w:r>
        <w:t>Moore</w:t>
      </w:r>
      <w:r w:rsidR="00AA4AC9">
        <w:t>s</w:t>
      </w:r>
      <w:proofErr w:type="spellEnd"/>
      <w:r>
        <w:t xml:space="preserve"> University. He is a fellow of the Royal Historical Society and a prolific writer of articles and books, which include his Lloyd George</w:t>
      </w:r>
      <w:r w:rsidR="00E5401D">
        <w:t>, “</w:t>
      </w:r>
      <w:r>
        <w:t>Profiles in Power</w:t>
      </w:r>
      <w:r w:rsidR="00E5401D">
        <w:t xml:space="preserve">” </w:t>
      </w:r>
      <w:r>
        <w:t>of 1988</w:t>
      </w:r>
      <w:r w:rsidR="00E17A13">
        <w:t xml:space="preserve"> (</w:t>
      </w:r>
      <w:r w:rsidR="00E17A13" w:rsidRPr="00E17A13">
        <w:t>Martin Pugh</w:t>
      </w:r>
      <w:r w:rsidR="00E17A13">
        <w:t xml:space="preserve">, n.d.). </w:t>
      </w:r>
      <w:r w:rsidR="00715CD8">
        <w:t xml:space="preserve"> </w:t>
      </w:r>
      <w:r>
        <w:t xml:space="preserve">Written in the year when there was a possibility of another Liberal-Conservative Coalition the article sits in the middle of the historiography, which outside of the primary sources, began with Blake’s </w:t>
      </w:r>
      <w:r>
        <w:rPr>
          <w:i/>
        </w:rPr>
        <w:t>The Unknown Prime Minister</w:t>
      </w:r>
      <w:r>
        <w:t xml:space="preserve"> in </w:t>
      </w:r>
      <w:r w:rsidRPr="00A90751">
        <w:t>1955</w:t>
      </w:r>
      <w:r w:rsidR="00A90751">
        <w:t xml:space="preserve"> </w:t>
      </w:r>
      <w:r w:rsidR="00A90751" w:rsidRPr="00A90751">
        <w:t>(Wikipedia</w:t>
      </w:r>
      <w:r w:rsidR="00A90751">
        <w:t xml:space="preserve"> contributors, 2021).</w:t>
      </w:r>
    </w:p>
    <w:p w14:paraId="3A3CCF57" w14:textId="73754CFD" w:rsidR="00D51BA6" w:rsidRDefault="00D51BA6" w:rsidP="00D51BA6">
      <w:r>
        <w:t xml:space="preserve">The introduction concisely outlines the aim of the article, which is to provide a “clarification of the immediate causes” of the formation of the 1915 Coalition Government </w:t>
      </w:r>
      <w:r w:rsidRPr="005B010E">
        <w:t>(</w:t>
      </w:r>
      <w:r w:rsidR="005B010E" w:rsidRPr="005B010E">
        <w:t xml:space="preserve">Pugh, 1974, </w:t>
      </w:r>
      <w:r w:rsidR="00567C7C">
        <w:t>p</w:t>
      </w:r>
      <w:r w:rsidRPr="005B010E">
        <w:t>.</w:t>
      </w:r>
      <w:r w:rsidR="005B010E" w:rsidRPr="005B010E">
        <w:t xml:space="preserve"> </w:t>
      </w:r>
      <w:r w:rsidRPr="005B010E">
        <w:t>813).</w:t>
      </w:r>
      <w:r>
        <w:t xml:space="preserve"> Pugh is fully aware of the number of previous attempts to do so </w:t>
      </w:r>
      <w:proofErr w:type="gramStart"/>
      <w:r>
        <w:t>and also</w:t>
      </w:r>
      <w:proofErr w:type="gramEnd"/>
      <w:r>
        <w:t xml:space="preserve"> the improbability of a satisfactory conclusion given the absence of a definitive description by one of the three main players.  Pugh’s </w:t>
      </w:r>
      <w:r w:rsidR="00AB569D">
        <w:t>main</w:t>
      </w:r>
      <w:r>
        <w:t xml:space="preserve"> premise is that Asquith had skilfully </w:t>
      </w:r>
      <w:r w:rsidR="00AB569D">
        <w:t>coordinated</w:t>
      </w:r>
      <w:r>
        <w:t xml:space="preserve"> a coalition to avoid the prospect of defeat in a General Election, which, due to the Parliament Act of 1911, he would have to call between December 1915 and January 1916. Validation of this theory is to </w:t>
      </w:r>
      <w:r w:rsidRPr="006646E9">
        <w:t>be achieved “by taking a slightly wider perspective</w:t>
      </w:r>
      <w:r w:rsidR="0058327E" w:rsidRPr="006646E9">
        <w:t>”</w:t>
      </w:r>
      <w:r w:rsidRPr="006646E9">
        <w:t>, a</w:t>
      </w:r>
      <w:r>
        <w:t xml:space="preserve"> strategy concentrating less on political conflict and more on political collusion.</w:t>
      </w:r>
    </w:p>
    <w:p w14:paraId="49EB013D" w14:textId="35B6A673" w:rsidR="00D51BA6" w:rsidRDefault="00D51BA6" w:rsidP="00D51BA6">
      <w:r w:rsidRPr="005B010E">
        <w:rPr>
          <w:bCs/>
        </w:rPr>
        <w:t>Pugh sets the scene f</w:t>
      </w:r>
      <w:r>
        <w:t xml:space="preserve">or the controversy by citing two primary sources, </w:t>
      </w:r>
      <w:proofErr w:type="gramStart"/>
      <w:r>
        <w:t>Asquith</w:t>
      </w:r>
      <w:proofErr w:type="gramEnd"/>
      <w:r>
        <w:t xml:space="preserve"> and Lord Beaverbrook. Asquith’s recollection of the process in his </w:t>
      </w:r>
      <w:r>
        <w:rPr>
          <w:i/>
        </w:rPr>
        <w:t>Memories and Reflections</w:t>
      </w:r>
      <w:r>
        <w:t xml:space="preserve"> is described as a “bland account” because although it mentions “the problem of Munitions, the Dardanelles campaign, the conflict at the Admiralty and danger to negotiations with Italy</w:t>
      </w:r>
      <w:r w:rsidRPr="005B010E">
        <w:t>” (</w:t>
      </w:r>
      <w:r w:rsidR="005B010E" w:rsidRPr="005B010E">
        <w:t xml:space="preserve">Pugh, 1974, </w:t>
      </w:r>
      <w:r w:rsidR="00567C7C">
        <w:t>p</w:t>
      </w:r>
      <w:r w:rsidR="005B010E" w:rsidRPr="005B010E">
        <w:t xml:space="preserve">. </w:t>
      </w:r>
      <w:r w:rsidRPr="005B010E">
        <w:t>813) as</w:t>
      </w:r>
      <w:r>
        <w:t xml:space="preserve"> background conditions Asquith did not identify any as the catalyst for coalition or whether his decision had been voluntary or the product of coercion</w:t>
      </w:r>
      <w:r w:rsidR="005B010E">
        <w:t xml:space="preserve"> </w:t>
      </w:r>
      <w:r>
        <w:t>(</w:t>
      </w:r>
      <w:r w:rsidR="00777E84">
        <w:t>Pugh, 1974</w:t>
      </w:r>
      <w:r w:rsidR="00777E84" w:rsidRPr="00777E84">
        <w:t xml:space="preserve">, </w:t>
      </w:r>
      <w:r w:rsidR="00567C7C">
        <w:t>p</w:t>
      </w:r>
      <w:r w:rsidR="00777E84" w:rsidRPr="00777E84">
        <w:t xml:space="preserve">. </w:t>
      </w:r>
      <w:r w:rsidRPr="00777E84">
        <w:t>813)</w:t>
      </w:r>
      <w:r w:rsidR="005B010E" w:rsidRPr="00777E84">
        <w:t>.</w:t>
      </w:r>
      <w:r w:rsidR="005B010E">
        <w:t xml:space="preserve"> </w:t>
      </w:r>
      <w:r>
        <w:t>Presumably this information is to add weight to the academic problem faced, although Asquith is unlikely to admit that his hand was forced. No counterbalancing testimony is presented from Lloyd George. In contrast, Pugh states, Lord Beaverbrook did have a theory. Dismissing the Munitions crisis as the cause</w:t>
      </w:r>
      <w:r w:rsidR="00777E84">
        <w:t>,</w:t>
      </w:r>
      <w:r>
        <w:t xml:space="preserve"> Beaverbrook attributes the fall of the last Liberal government to Bonar Law’s threat of a </w:t>
      </w:r>
      <w:proofErr w:type="gramStart"/>
      <w:r>
        <w:t>full scale</w:t>
      </w:r>
      <w:proofErr w:type="gramEnd"/>
      <w:r>
        <w:t xml:space="preserve"> parliamentary debate concerning the conflict between Admiral Fisher and Winston Churchill. Although he does not say so at this point, Beaverbrook’s analysis becomes the “traditional theory”, which Pugh spends the rest of the article attempting to disprove. Later </w:t>
      </w:r>
      <w:proofErr w:type="gramStart"/>
      <w:r>
        <w:t>on</w:t>
      </w:r>
      <w:proofErr w:type="gramEnd"/>
      <w:r>
        <w:t xml:space="preserve"> Pugh hints that Beaverbrook is tainted by party perspective, a product of his firm belief at the time that the Liberals were close to </w:t>
      </w:r>
      <w:r w:rsidRPr="00777E84">
        <w:t>collapse (</w:t>
      </w:r>
      <w:r w:rsidR="00777E84" w:rsidRPr="00777E84">
        <w:t xml:space="preserve">Pugh, 1974, </w:t>
      </w:r>
      <w:r w:rsidR="00567C7C">
        <w:t>p</w:t>
      </w:r>
      <w:r w:rsidR="00777E84" w:rsidRPr="00777E84">
        <w:t xml:space="preserve">. </w:t>
      </w:r>
      <w:r w:rsidRPr="00777E84">
        <w:t>829/30). Howe</w:t>
      </w:r>
      <w:r>
        <w:t>ver, he concedes that much of the historiography follows Beaverbrook’s lead.</w:t>
      </w:r>
    </w:p>
    <w:p w14:paraId="579B69AF" w14:textId="745330E2" w:rsidR="00D51BA6" w:rsidRDefault="00D51BA6" w:rsidP="00D51BA6">
      <w:r>
        <w:t xml:space="preserve">The first </w:t>
      </w:r>
      <w:r w:rsidR="00DC4BD5">
        <w:t>thread</w:t>
      </w:r>
      <w:r>
        <w:t xml:space="preserve"> in Pugh’s forensic </w:t>
      </w:r>
      <w:r w:rsidRPr="00F105F6">
        <w:t>dismemberment</w:t>
      </w:r>
      <w:r>
        <w:t xml:space="preserve"> of the traditional theory is to question the </w:t>
      </w:r>
      <w:r w:rsidRPr="00777E84">
        <w:rPr>
          <w:bCs/>
        </w:rPr>
        <w:t>lethality of a hostile debate</w:t>
      </w:r>
      <w:r>
        <w:t xml:space="preserve"> initiated by the Parliamentary Opposition. “In modern British history it is a rare event for a </w:t>
      </w:r>
      <w:proofErr w:type="gramStart"/>
      <w:r>
        <w:t>Government</w:t>
      </w:r>
      <w:proofErr w:type="gramEnd"/>
      <w:r>
        <w:t xml:space="preserve"> to fall as the result of a debate in Parliament, in May 1915 the Asquith Ministry did not even wait for a </w:t>
      </w:r>
      <w:r w:rsidRPr="00777E84">
        <w:t>debate”</w:t>
      </w:r>
      <w:r w:rsidR="00777E84" w:rsidRPr="00777E84">
        <w:t xml:space="preserve"> </w:t>
      </w:r>
      <w:r w:rsidRPr="00777E84">
        <w:t>(</w:t>
      </w:r>
      <w:r w:rsidR="00777E84" w:rsidRPr="00777E84">
        <w:t xml:space="preserve">Pugh, 1974, </w:t>
      </w:r>
      <w:r w:rsidR="00567C7C">
        <w:t>p</w:t>
      </w:r>
      <w:r w:rsidR="00777E84" w:rsidRPr="00777E84">
        <w:t xml:space="preserve">. </w:t>
      </w:r>
      <w:r w:rsidRPr="00777E84">
        <w:t>815).</w:t>
      </w:r>
      <w:r>
        <w:t xml:space="preserve"> Pugh argues that the disproportionate number of war absentees within the Unionist ranks made them significantly less of a threat in the chamber.</w:t>
      </w:r>
    </w:p>
    <w:p w14:paraId="00324754" w14:textId="5D203930" w:rsidR="00D51BA6" w:rsidRDefault="00D51BA6" w:rsidP="00D51BA6">
      <w:r w:rsidRPr="004E2DEB">
        <w:rPr>
          <w:bCs/>
        </w:rPr>
        <w:t xml:space="preserve">The timing and speed </w:t>
      </w:r>
      <w:r>
        <w:t xml:space="preserve">of the coalition announcement on 19 May is presented as evidence of a premeditated Asquith </w:t>
      </w:r>
      <w:proofErr w:type="gramStart"/>
      <w:r>
        <w:t>master-plan</w:t>
      </w:r>
      <w:proofErr w:type="gramEnd"/>
      <w:r>
        <w:t>. Having declared in Parliament on 12</w:t>
      </w:r>
      <w:r>
        <w:rPr>
          <w:vertAlign w:val="superscript"/>
        </w:rPr>
        <w:t xml:space="preserve"> </w:t>
      </w:r>
      <w:r>
        <w:t xml:space="preserve">May that no coalition was planned, it would have been untypical of Asquith to </w:t>
      </w:r>
      <w:proofErr w:type="gramStart"/>
      <w:r>
        <w:t>so quickly change his mind</w:t>
      </w:r>
      <w:proofErr w:type="gramEnd"/>
      <w:r>
        <w:t xml:space="preserve">. Pugh argues therefore, that Asquith was prepared for this eventuality and simply needed a pretext to disarm any opposition from within his own party. “In this light </w:t>
      </w:r>
      <w:r>
        <w:lastRenderedPageBreak/>
        <w:t xml:space="preserve">the discussion over Admiral Fisher and the shells assumes a secondary importance, for these factors only provided the occasion of the fall of the </w:t>
      </w:r>
      <w:r w:rsidRPr="004E2DEB">
        <w:t>ministry” (</w:t>
      </w:r>
      <w:r w:rsidR="004E2DEB" w:rsidRPr="004E2DEB">
        <w:t xml:space="preserve">Pugh, 1974, </w:t>
      </w:r>
      <w:r w:rsidR="00567C7C">
        <w:t>p</w:t>
      </w:r>
      <w:r w:rsidRPr="004E2DEB">
        <w:t>.</w:t>
      </w:r>
      <w:r w:rsidR="004E2DEB" w:rsidRPr="004E2DEB">
        <w:t xml:space="preserve"> </w:t>
      </w:r>
      <w:r w:rsidRPr="004E2DEB">
        <w:t>820)</w:t>
      </w:r>
      <w:r w:rsidR="004E2DEB" w:rsidRPr="004E2DEB">
        <w:t>.</w:t>
      </w:r>
    </w:p>
    <w:p w14:paraId="23E71272" w14:textId="0B1C7C86" w:rsidR="00D51BA6" w:rsidRDefault="00D51BA6" w:rsidP="00D51BA6">
      <w:r w:rsidRPr="004E2DEB">
        <w:rPr>
          <w:bCs/>
        </w:rPr>
        <w:t>Thirdly,</w:t>
      </w:r>
      <w:r>
        <w:rPr>
          <w:b/>
        </w:rPr>
        <w:t xml:space="preserve"> </w:t>
      </w:r>
      <w:r>
        <w:t xml:space="preserve">Pugh contends that the Unionists were not </w:t>
      </w:r>
      <w:proofErr w:type="gramStart"/>
      <w:r>
        <w:t>in a position</w:t>
      </w:r>
      <w:proofErr w:type="gramEnd"/>
      <w:r>
        <w:t xml:space="preserve"> to force the government into coalition. “The structure of Unionist Leadership, in so far as it appears in this study, is characterized by a weak </w:t>
      </w:r>
      <w:r w:rsidRPr="00567C7C">
        <w:t>centre” (</w:t>
      </w:r>
      <w:r w:rsidR="00567C7C" w:rsidRPr="00567C7C">
        <w:t xml:space="preserve">Pugh, 1974, </w:t>
      </w:r>
      <w:r w:rsidRPr="00567C7C">
        <w:t>p.</w:t>
      </w:r>
      <w:r w:rsidR="00567C7C">
        <w:t xml:space="preserve"> </w:t>
      </w:r>
      <w:r w:rsidRPr="00567C7C">
        <w:t>821). Bonar</w:t>
      </w:r>
      <w:r>
        <w:t xml:space="preserve"> Law’s </w:t>
      </w:r>
      <w:proofErr w:type="gramStart"/>
      <w:r>
        <w:t>leadership  was</w:t>
      </w:r>
      <w:proofErr w:type="gramEnd"/>
      <w:r>
        <w:t xml:space="preserve"> far from secure  and he was surrounded by a shadow cabinet that was disunited, untalented and without resolve. Furthermore, there was little appetite within the Unionist ranks for coalition. Some saw it as a dangerous undertaking. Pugh quotes a letter from Lord Curzon; “A coalition would tie our hands and close our lips even more effectively than at </w:t>
      </w:r>
      <w:r w:rsidRPr="00567C7C">
        <w:t>present” (</w:t>
      </w:r>
      <w:r w:rsidR="00567C7C" w:rsidRPr="00567C7C">
        <w:t xml:space="preserve">Pugh, 1974 </w:t>
      </w:r>
      <w:r w:rsidRPr="00567C7C">
        <w:t>p.</w:t>
      </w:r>
      <w:r w:rsidR="00567C7C" w:rsidRPr="00567C7C">
        <w:t xml:space="preserve"> </w:t>
      </w:r>
      <w:r w:rsidRPr="00567C7C">
        <w:t>823). This</w:t>
      </w:r>
      <w:r>
        <w:t xml:space="preserve"> reluctance was shared by Bonar Law who had to steer a course between support and criticism of the government. It seems some Unionists viewed the idea of a Unionist Government with dismay, especially if that meant facing a strong and hostile Liberal Opposition. “If the Liberal Party machine were out against a </w:t>
      </w:r>
      <w:proofErr w:type="gramStart"/>
      <w:r>
        <w:t>Government</w:t>
      </w:r>
      <w:proofErr w:type="gramEnd"/>
      <w:r>
        <w:t xml:space="preserve"> carrying on the war, they would be very soon against the war and hampering us at every turn” was John St </w:t>
      </w:r>
      <w:proofErr w:type="spellStart"/>
      <w:r>
        <w:t>Loe</w:t>
      </w:r>
      <w:proofErr w:type="spellEnd"/>
      <w:r>
        <w:t xml:space="preserve"> Strachey’s somewhat gloomy prediction in a letter to Frederick </w:t>
      </w:r>
      <w:r w:rsidRPr="00531D3F">
        <w:t>Scott Oliver (</w:t>
      </w:r>
      <w:r w:rsidR="00531D3F" w:rsidRPr="00531D3F">
        <w:t xml:space="preserve">Pugh, 1974, </w:t>
      </w:r>
      <w:r w:rsidRPr="00531D3F">
        <w:t>p</w:t>
      </w:r>
      <w:r w:rsidR="00531D3F" w:rsidRPr="00531D3F">
        <w:t xml:space="preserve">. </w:t>
      </w:r>
      <w:r w:rsidRPr="00531D3F">
        <w:t>824)</w:t>
      </w:r>
      <w:r w:rsidR="00531D3F" w:rsidRPr="00531D3F">
        <w:t>.</w:t>
      </w:r>
    </w:p>
    <w:p w14:paraId="72BB6A57" w14:textId="4BC9A513" w:rsidR="00D51BA6" w:rsidRDefault="00D51BA6" w:rsidP="00D51BA6">
      <w:r>
        <w:t xml:space="preserve">The last piece of evidence offered to support his theory is the </w:t>
      </w:r>
      <w:r w:rsidRPr="00567C7C">
        <w:rPr>
          <w:bCs/>
        </w:rPr>
        <w:t>distribution of cabinet positions.</w:t>
      </w:r>
      <w:r>
        <w:rPr>
          <w:b/>
        </w:rPr>
        <w:t xml:space="preserve"> </w:t>
      </w:r>
      <w:r>
        <w:t xml:space="preserve">According to Pugh this is incompatible with the traditional interpretation of events. In fact “the meagre spoils they obtained” demonstrated Asquith’s skill and strength despite the reluctance of some Unionists to join the </w:t>
      </w:r>
      <w:proofErr w:type="gramStart"/>
      <w:r w:rsidRPr="009E0FEB">
        <w:t>Cabinet</w:t>
      </w:r>
      <w:r w:rsidR="009E0FEB" w:rsidRPr="009E0FEB">
        <w:t xml:space="preserve"> </w:t>
      </w:r>
      <w:r w:rsidRPr="009E0FEB">
        <w:t xml:space="preserve"> (</w:t>
      </w:r>
      <w:proofErr w:type="gramEnd"/>
      <w:r w:rsidR="009E0FEB" w:rsidRPr="009E0FEB">
        <w:t xml:space="preserve">Pugh, 1974, </w:t>
      </w:r>
      <w:r w:rsidRPr="009E0FEB">
        <w:t>p.</w:t>
      </w:r>
      <w:r w:rsidR="009E0FEB" w:rsidRPr="009E0FEB">
        <w:t xml:space="preserve"> </w:t>
      </w:r>
      <w:r w:rsidRPr="009E0FEB">
        <w:t>830)</w:t>
      </w:r>
      <w:r w:rsidR="009E0FEB" w:rsidRPr="009E0FEB">
        <w:t>.</w:t>
      </w:r>
      <w:r>
        <w:t xml:space="preserve"> He reneged on the agreement to make Bonar Law Chancellor although this “may be explained as simple </w:t>
      </w:r>
      <w:r w:rsidRPr="009E0FEB">
        <w:t>deceit” (</w:t>
      </w:r>
      <w:r w:rsidR="009E0FEB" w:rsidRPr="009E0FEB">
        <w:t xml:space="preserve">Pugh, 1974, p. </w:t>
      </w:r>
      <w:r w:rsidRPr="009E0FEB">
        <w:t>830).</w:t>
      </w:r>
      <w:r>
        <w:t xml:space="preserve"> The removal of Haldane and Churchill were small concessions, especially since Churchill was unpopular with both Asquith and the </w:t>
      </w:r>
      <w:proofErr w:type="gramStart"/>
      <w:r w:rsidRPr="009E0FEB">
        <w:t>Liberals</w:t>
      </w:r>
      <w:r w:rsidR="009E0FEB" w:rsidRPr="009E0FEB">
        <w:t xml:space="preserve"> </w:t>
      </w:r>
      <w:r w:rsidRPr="009E0FEB">
        <w:t xml:space="preserve"> (</w:t>
      </w:r>
      <w:proofErr w:type="gramEnd"/>
      <w:r w:rsidR="009E0FEB" w:rsidRPr="009E0FEB">
        <w:t xml:space="preserve">Pugh, 1974, p. </w:t>
      </w:r>
      <w:r w:rsidRPr="009E0FEB">
        <w:t>831)</w:t>
      </w:r>
      <w:r w:rsidR="009E0FEB">
        <w:t xml:space="preserve">. </w:t>
      </w:r>
      <w:r w:rsidRPr="009E0FEB">
        <w:t xml:space="preserve"> Pugh</w:t>
      </w:r>
      <w:r>
        <w:t xml:space="preserve"> discerns clear design from Asquith, whose policy was to give the Unionists “responsibility without power (or credit)” </w:t>
      </w:r>
      <w:r w:rsidRPr="009E0FEB">
        <w:t>(</w:t>
      </w:r>
      <w:r w:rsidR="009E0FEB" w:rsidRPr="009E0FEB">
        <w:t xml:space="preserve">Pugh, 1974, </w:t>
      </w:r>
      <w:r w:rsidRPr="009E0FEB">
        <w:t>p</w:t>
      </w:r>
      <w:r w:rsidR="009E0FEB" w:rsidRPr="009E0FEB">
        <w:t xml:space="preserve">, </w:t>
      </w:r>
      <w:r w:rsidRPr="009E0FEB">
        <w:t>832). The appointments of Grey and Mckenna simply emphasize “the impression o</w:t>
      </w:r>
      <w:r>
        <w:t>f Asquith’s mastery of the whole situation</w:t>
      </w:r>
      <w:r w:rsidRPr="009E0FEB">
        <w:t>” (</w:t>
      </w:r>
      <w:r w:rsidR="009E0FEB" w:rsidRPr="009E0FEB">
        <w:t xml:space="preserve">Pugh, </w:t>
      </w:r>
      <w:proofErr w:type="gramStart"/>
      <w:r w:rsidR="009E0FEB" w:rsidRPr="009E0FEB">
        <w:t>1974,  p.</w:t>
      </w:r>
      <w:proofErr w:type="gramEnd"/>
      <w:r w:rsidR="009E0FEB" w:rsidRPr="009E0FEB">
        <w:t xml:space="preserve"> </w:t>
      </w:r>
      <w:r w:rsidRPr="009E0FEB">
        <w:t>833)</w:t>
      </w:r>
      <w:r w:rsidR="009E0FEB" w:rsidRPr="009E0FEB">
        <w:t>.</w:t>
      </w:r>
    </w:p>
    <w:p w14:paraId="1AEB8C69" w14:textId="1DA562E5" w:rsidR="00D51BA6" w:rsidRDefault="00D51BA6" w:rsidP="00D51BA6">
      <w:pPr>
        <w:rPr>
          <w:b/>
        </w:rPr>
      </w:pPr>
      <w:r w:rsidRPr="009E0FEB">
        <w:rPr>
          <w:bCs/>
        </w:rPr>
        <w:t>Pugh’s succinct conclusion</w:t>
      </w:r>
      <w:r>
        <w:rPr>
          <w:b/>
        </w:rPr>
        <w:t xml:space="preserve"> </w:t>
      </w:r>
      <w:r>
        <w:t xml:space="preserve">is that the fall of the Liberal government was more complicated than Beaverbrook’s portrayal. Asquith had options and by choosing coalition he had saved himself from the prospect of defeat in an election. By so doing he had “muffled” the Opposition and retained </w:t>
      </w:r>
      <w:r w:rsidRPr="009E0FEB">
        <w:t>power (</w:t>
      </w:r>
      <w:r w:rsidR="009E0FEB" w:rsidRPr="009E0FEB">
        <w:t xml:space="preserve">Pugh, 1974, </w:t>
      </w:r>
      <w:r w:rsidRPr="009E0FEB">
        <w:t>p.</w:t>
      </w:r>
      <w:r w:rsidR="009E0FEB" w:rsidRPr="009E0FEB">
        <w:t xml:space="preserve"> </w:t>
      </w:r>
      <w:r w:rsidRPr="009E0FEB">
        <w:t>835).</w:t>
      </w:r>
      <w:r w:rsidRPr="009E0FEB">
        <w:rPr>
          <w:b/>
        </w:rPr>
        <w:t xml:space="preserve"> </w:t>
      </w:r>
      <w:r w:rsidRPr="009E0FEB">
        <w:t>The speed</w:t>
      </w:r>
      <w:r>
        <w:t xml:space="preserve"> of the agreement was not due to the Admiralty crisis but to the desire of both party leaders to deprive their colleagues of dangerous thinking time. “The First Coalition thus represented a defeat for both parties and a doubtful triumph for their </w:t>
      </w:r>
      <w:r w:rsidRPr="009E0FEB">
        <w:t>leaders” (</w:t>
      </w:r>
      <w:r w:rsidR="009E0FEB" w:rsidRPr="009E0FEB">
        <w:t xml:space="preserve">Pugh, 1974, </w:t>
      </w:r>
      <w:r w:rsidRPr="009E0FEB">
        <w:t>p.</w:t>
      </w:r>
      <w:r w:rsidR="009E0FEB" w:rsidRPr="009E0FEB">
        <w:t xml:space="preserve"> 8</w:t>
      </w:r>
      <w:r w:rsidRPr="009E0FEB">
        <w:t>36)</w:t>
      </w:r>
      <w:r w:rsidR="009E0FEB" w:rsidRPr="009E0FEB">
        <w:t>.</w:t>
      </w:r>
    </w:p>
    <w:p w14:paraId="597654E9" w14:textId="6DF44B42" w:rsidR="00D51BA6" w:rsidRDefault="00D51BA6" w:rsidP="00D51BA6">
      <w:r>
        <w:t>In essence Pugh is attempting to present Asquith as a shrewd</w:t>
      </w:r>
      <w:r w:rsidRPr="00DC4BD5">
        <w:t xml:space="preserve">, almost </w:t>
      </w:r>
      <w:r w:rsidR="00DC4BD5" w:rsidRPr="00DC4BD5">
        <w:t>all</w:t>
      </w:r>
      <w:r w:rsidR="00DC4BD5">
        <w:t>-knowing</w:t>
      </w:r>
      <w:r>
        <w:t xml:space="preserve">, political operator, who, foreseeing the danger </w:t>
      </w:r>
      <w:r w:rsidRPr="00DC4BD5">
        <w:t>of a Khaki election</w:t>
      </w:r>
      <w:r>
        <w:t xml:space="preserve">, was opportunistic in the initiation of coalition and ruthless in its composition.  Pugh’s article title is telling in that it does not include Lloyd George, who is perhaps the main protagonist. Despite his opening remark that the testimony of Asquith, Bonar Law and Lloyd George would be critical to a successful resolution of this debate only one reference is made to the latter’s </w:t>
      </w:r>
      <w:r>
        <w:rPr>
          <w:i/>
        </w:rPr>
        <w:t>War Memoirs</w:t>
      </w:r>
      <w:r>
        <w:t xml:space="preserve">. Its’ author, however, is unequivocal in his understanding of the events following his meeting with Bonar Law on May 17th. Asquith, he maintains, was reacting to the threat of “Parliamentary conflict”, triggered by Fisher’s resignation but set against a backdrop of failures </w:t>
      </w:r>
      <w:r w:rsidRPr="00463239">
        <w:t>(</w:t>
      </w:r>
      <w:r w:rsidR="00463239" w:rsidRPr="00463239">
        <w:t xml:space="preserve">George, 2017, </w:t>
      </w:r>
      <w:r w:rsidRPr="00463239">
        <w:t>p</w:t>
      </w:r>
      <w:r w:rsidR="00463239" w:rsidRPr="00463239">
        <w:t xml:space="preserve">. </w:t>
      </w:r>
      <w:r w:rsidRPr="00463239">
        <w:t>26)</w:t>
      </w:r>
      <w:r>
        <w:t xml:space="preserve"> “The Prime Minister at once recognised that in order to avert a serious Parliamentary conflict, which would certainly lower the prestige of the Government, if it did not actually bring about its defeat, it was necessary to reconstruct the Cabinet and admit into it some of the leaders of the Unionist </w:t>
      </w:r>
      <w:r w:rsidRPr="00463239">
        <w:t>Party” (</w:t>
      </w:r>
      <w:r w:rsidR="00463239" w:rsidRPr="00463239">
        <w:t xml:space="preserve">George, 2017, </w:t>
      </w:r>
      <w:r w:rsidRPr="00463239">
        <w:t>p</w:t>
      </w:r>
      <w:r w:rsidR="00463239" w:rsidRPr="00463239">
        <w:t xml:space="preserve">. </w:t>
      </w:r>
      <w:r w:rsidRPr="00463239">
        <w:t>26)</w:t>
      </w:r>
      <w:r w:rsidR="00463239" w:rsidRPr="00463239">
        <w:t>.</w:t>
      </w:r>
    </w:p>
    <w:p w14:paraId="2BA45466" w14:textId="33B3A309" w:rsidR="00D51BA6" w:rsidRPr="00871C48" w:rsidRDefault="00D51BA6" w:rsidP="00D51BA6">
      <w:r>
        <w:t xml:space="preserve">Not surprisingly some historians writing after Pugh diverge from his interpretation. Cassar, for example, is convinced that Asquith was all too aware of the effects the Munitions crisis and Fisher’s resignation would have on his government </w:t>
      </w:r>
      <w:r w:rsidRPr="00871C48">
        <w:t>(Cassar</w:t>
      </w:r>
      <w:r w:rsidR="00871C48" w:rsidRPr="00871C48">
        <w:t xml:space="preserve">, 1994, </w:t>
      </w:r>
      <w:r w:rsidRPr="00871C48">
        <w:t>p</w:t>
      </w:r>
      <w:r w:rsidR="00871C48" w:rsidRPr="00871C48">
        <w:t xml:space="preserve">. </w:t>
      </w:r>
      <w:r w:rsidRPr="00871C48">
        <w:t>94/5).</w:t>
      </w:r>
      <w:r w:rsidR="00871C48">
        <w:t xml:space="preserve"> </w:t>
      </w:r>
      <w:r>
        <w:t xml:space="preserve"> Although Pugh refers to the influence of the Press</w:t>
      </w:r>
      <w:r w:rsidR="00871C48">
        <w:t>,</w:t>
      </w:r>
      <w:r>
        <w:t xml:space="preserve"> little emphasis is placed upon it whereas Cassar takes the opposite view. An article in the Times of May 14, </w:t>
      </w:r>
      <w:r>
        <w:lastRenderedPageBreak/>
        <w:t xml:space="preserve">describing the disaster at Aubers </w:t>
      </w:r>
      <w:proofErr w:type="gramStart"/>
      <w:r>
        <w:t>Ridge  “</w:t>
      </w:r>
      <w:proofErr w:type="gramEnd"/>
      <w:r>
        <w:t xml:space="preserve">was of considerable political significance, quite apart from its trenchant criticism of the Asquith government’s conduct of the war. It contradicted Asquith’s assertion at Newcastle that the supply of ammunition was equal to the army’s </w:t>
      </w:r>
      <w:proofErr w:type="gramStart"/>
      <w:r>
        <w:t>needs  and</w:t>
      </w:r>
      <w:proofErr w:type="gramEnd"/>
      <w:r>
        <w:t xml:space="preserve"> gave the impression that he was guilty of criminal deception” </w:t>
      </w:r>
      <w:r w:rsidRPr="00871C48">
        <w:t>(Cassar, 1994, p.</w:t>
      </w:r>
      <w:r w:rsidR="00871C48" w:rsidRPr="00871C48">
        <w:t xml:space="preserve"> </w:t>
      </w:r>
      <w:r w:rsidRPr="00871C48">
        <w:t>93).</w:t>
      </w:r>
      <w:r w:rsidR="00871C48">
        <w:t xml:space="preserve"> </w:t>
      </w:r>
      <w:r w:rsidRPr="00871C48">
        <w:t xml:space="preserve"> He is “almost certain” that it was Bonar Law that first proposed the coalition and</w:t>
      </w:r>
      <w:r>
        <w:t xml:space="preserve"> that there was pressure from Lloyd George for him to </w:t>
      </w:r>
      <w:r w:rsidRPr="00871C48">
        <w:t>agree (Cassar, 1994, p.</w:t>
      </w:r>
      <w:r w:rsidR="00871C48" w:rsidRPr="00871C48">
        <w:t xml:space="preserve"> </w:t>
      </w:r>
      <w:r w:rsidRPr="00871C48">
        <w:t>96).</w:t>
      </w:r>
    </w:p>
    <w:p w14:paraId="5A469A28" w14:textId="418FDCEF" w:rsidR="00D51BA6" w:rsidRDefault="00D51BA6" w:rsidP="00D51BA6">
      <w:r>
        <w:t>Fraser rejects the view of Bonar Law as a passive participant. Steel-Maitland had provided Bonar Law with a blueprint writing “The more I think it over, the more I feel convinced, that the time has really come for a coalition</w:t>
      </w:r>
      <w:r w:rsidRPr="00531D3F">
        <w:t>” (Fraser</w:t>
      </w:r>
      <w:r w:rsidR="00871C48" w:rsidRPr="00531D3F">
        <w:t xml:space="preserve">, </w:t>
      </w:r>
      <w:proofErr w:type="gramStart"/>
      <w:r w:rsidR="00871C48" w:rsidRPr="00531D3F">
        <w:t xml:space="preserve">1982, </w:t>
      </w:r>
      <w:r w:rsidRPr="00531D3F">
        <w:t xml:space="preserve"> </w:t>
      </w:r>
      <w:r w:rsidR="00871C48" w:rsidRPr="00531D3F">
        <w:t>p.</w:t>
      </w:r>
      <w:proofErr w:type="gramEnd"/>
      <w:r w:rsidR="00871C48" w:rsidRPr="00531D3F">
        <w:t xml:space="preserve"> </w:t>
      </w:r>
      <w:r w:rsidRPr="00531D3F">
        <w:t>12).</w:t>
      </w:r>
      <w:r>
        <w:t xml:space="preserve"> </w:t>
      </w:r>
      <w:r w:rsidR="00871C48">
        <w:t xml:space="preserve"> </w:t>
      </w:r>
      <w:r>
        <w:t xml:space="preserve">Bonar Law simply used Fisher’s resignation as a pretext to see Lloyd George about forming a </w:t>
      </w:r>
      <w:r w:rsidRPr="00871C48">
        <w:t>coalition (Fraser,</w:t>
      </w:r>
      <w:r w:rsidR="00871C48" w:rsidRPr="00871C48">
        <w:t xml:space="preserve"> </w:t>
      </w:r>
      <w:proofErr w:type="gramStart"/>
      <w:r w:rsidR="00871C48" w:rsidRPr="00871C48">
        <w:t xml:space="preserve">1982, </w:t>
      </w:r>
      <w:r w:rsidRPr="00871C48">
        <w:t xml:space="preserve"> p</w:t>
      </w:r>
      <w:r w:rsidR="00871C48" w:rsidRPr="00871C48">
        <w:t>.</w:t>
      </w:r>
      <w:proofErr w:type="gramEnd"/>
      <w:r w:rsidR="00871C48" w:rsidRPr="00871C48">
        <w:t xml:space="preserve"> </w:t>
      </w:r>
      <w:r w:rsidRPr="00871C48">
        <w:t xml:space="preserve">12) . On the other </w:t>
      </w:r>
      <w:proofErr w:type="gramStart"/>
      <w:r w:rsidRPr="00871C48">
        <w:t>hand</w:t>
      </w:r>
      <w:proofErr w:type="gramEnd"/>
      <w:r w:rsidRPr="00871C48">
        <w:t xml:space="preserve"> Taylor in his recent book </w:t>
      </w:r>
      <w:r w:rsidRPr="00871C48">
        <w:rPr>
          <w:i/>
        </w:rPr>
        <w:t>Bonar Law</w:t>
      </w:r>
      <w:r w:rsidRPr="00871C48">
        <w:t xml:space="preserve"> neatly summarises the</w:t>
      </w:r>
      <w:r>
        <w:t xml:space="preserve"> reasons for his actions. “</w:t>
      </w:r>
      <w:proofErr w:type="gramStart"/>
      <w:r>
        <w:t>Law  moved</w:t>
      </w:r>
      <w:proofErr w:type="gramEnd"/>
      <w:r>
        <w:t xml:space="preserve">  for three reasons: he was close to losing control of his party; the country was teetering on the brink of full scale party conflict; and if this occurred there was a serious danger of a destabilising wartime election</w:t>
      </w:r>
      <w:r w:rsidRPr="00871C48">
        <w:t>” (Taylor, 2006, p.</w:t>
      </w:r>
      <w:r w:rsidR="00871C48" w:rsidRPr="00871C48">
        <w:t xml:space="preserve"> </w:t>
      </w:r>
      <w:r w:rsidRPr="00871C48">
        <w:t>10)</w:t>
      </w:r>
      <w:r w:rsidR="00871C48" w:rsidRPr="00871C48">
        <w:t>.</w:t>
      </w:r>
    </w:p>
    <w:p w14:paraId="6194C6D9" w14:textId="31D45185" w:rsidR="00D51BA6" w:rsidRDefault="00D51BA6" w:rsidP="00D51BA6">
      <w:r>
        <w:t xml:space="preserve">Pugh’s article is a well supported by a wide array of sources and his interpretation of the events surrounding the Coalition of 1915 is argued with forensic precision. However, his attempt to focus on collusion rather than conflict does not appear to be worthwhile. One creates the other and it is a tool that is totally submerged within the argument. Similarly, concentrating on one cause and attempting to prove that by disproving others </w:t>
      </w:r>
      <w:proofErr w:type="gramStart"/>
      <w:r>
        <w:t>on the basis of</w:t>
      </w:r>
      <w:proofErr w:type="gramEnd"/>
      <w:r>
        <w:t xml:space="preserve"> periphery sources alone is, in this instance, doomed to failure. Different interpretations can always be found. Despite his precision Pugh succeeded only in entering the </w:t>
      </w:r>
      <w:r w:rsidR="00DC4BD5">
        <w:t xml:space="preserve">turmoil </w:t>
      </w:r>
      <w:r>
        <w:t xml:space="preserve">of debate on a subject </w:t>
      </w:r>
      <w:proofErr w:type="gramStart"/>
      <w:r>
        <w:t>which  A.</w:t>
      </w:r>
      <w:proofErr w:type="gramEnd"/>
      <w:r>
        <w:t xml:space="preserve"> J.P Taylor described as “one of the few political episodes in the first world war on which solid evidence is lacking</w:t>
      </w:r>
      <w:r w:rsidRPr="00531D3F">
        <w:t>”</w:t>
      </w:r>
      <w:r w:rsidR="00322C93" w:rsidRPr="00531D3F">
        <w:t xml:space="preserve"> </w:t>
      </w:r>
      <w:r w:rsidRPr="00531D3F">
        <w:t>(Taylor, 1965, p.</w:t>
      </w:r>
      <w:r w:rsidR="00531D3F" w:rsidRPr="00531D3F">
        <w:t xml:space="preserve"> </w:t>
      </w:r>
      <w:r w:rsidRPr="00531D3F">
        <w:t>30)</w:t>
      </w:r>
      <w:r w:rsidR="00322C93" w:rsidRPr="00531D3F">
        <w:t>.</w:t>
      </w:r>
    </w:p>
    <w:p w14:paraId="3932A360" w14:textId="7B887319" w:rsidR="00F90446" w:rsidRPr="00F105F6" w:rsidRDefault="00F90446" w:rsidP="00D51BA6">
      <w:pPr>
        <w:rPr>
          <w:i/>
          <w:iCs/>
          <w:color w:val="002060"/>
        </w:rPr>
      </w:pPr>
      <w:r w:rsidRPr="00F105F6">
        <w:rPr>
          <w:i/>
          <w:iCs/>
          <w:color w:val="002060"/>
        </w:rPr>
        <w:t>(</w:t>
      </w:r>
      <w:proofErr w:type="gramStart"/>
      <w:r w:rsidRPr="00F105F6">
        <w:rPr>
          <w:i/>
          <w:iCs/>
          <w:color w:val="002060"/>
        </w:rPr>
        <w:t>1624 word</w:t>
      </w:r>
      <w:proofErr w:type="gramEnd"/>
      <w:r w:rsidRPr="00F105F6">
        <w:rPr>
          <w:i/>
          <w:iCs/>
          <w:color w:val="002060"/>
        </w:rPr>
        <w:t xml:space="preserve"> count, not including citations and titles)</w:t>
      </w:r>
    </w:p>
    <w:p w14:paraId="21510B0C" w14:textId="77777777" w:rsidR="00322C93" w:rsidRDefault="00322C93" w:rsidP="00D51BA6"/>
    <w:p w14:paraId="239D5644" w14:textId="77777777" w:rsidR="00D51BA6" w:rsidRDefault="00D51BA6" w:rsidP="00D51BA6">
      <w:pPr>
        <w:rPr>
          <w:b/>
          <w:u w:val="single"/>
        </w:rPr>
      </w:pPr>
      <w:r>
        <w:rPr>
          <w:b/>
          <w:u w:val="single"/>
        </w:rPr>
        <w:t>Bibliography</w:t>
      </w:r>
    </w:p>
    <w:p w14:paraId="6603239A" w14:textId="32D4BBFB" w:rsidR="00D51BA6" w:rsidRPr="00CD70AF" w:rsidRDefault="00D51BA6" w:rsidP="00D51BA6">
      <w:r>
        <w:t>Asquith</w:t>
      </w:r>
      <w:r w:rsidR="00420500">
        <w:t xml:space="preserve">, H. H. </w:t>
      </w:r>
      <w:r>
        <w:t>(1928)</w:t>
      </w:r>
      <w:r w:rsidR="00420500">
        <w:t xml:space="preserve">. </w:t>
      </w:r>
      <w:r>
        <w:t xml:space="preserve"> </w:t>
      </w:r>
      <w:r w:rsidRPr="00420500">
        <w:rPr>
          <w:i/>
          <w:iCs/>
        </w:rPr>
        <w:t xml:space="preserve">Memories And </w:t>
      </w:r>
      <w:r w:rsidR="00420500">
        <w:rPr>
          <w:i/>
          <w:iCs/>
        </w:rPr>
        <w:t>r</w:t>
      </w:r>
      <w:r w:rsidRPr="00420500">
        <w:rPr>
          <w:i/>
          <w:iCs/>
        </w:rPr>
        <w:t>eflections</w:t>
      </w:r>
      <w:r w:rsidR="00CD70AF">
        <w:t xml:space="preserve">, </w:t>
      </w:r>
      <w:r w:rsidRPr="00CD70AF">
        <w:rPr>
          <w:i/>
          <w:iCs/>
        </w:rPr>
        <w:t>1852-1927</w:t>
      </w:r>
      <w:r w:rsidR="00CD70AF">
        <w:rPr>
          <w:i/>
          <w:iCs/>
        </w:rPr>
        <w:t>,</w:t>
      </w:r>
      <w:r w:rsidRPr="00CD70AF">
        <w:rPr>
          <w:i/>
          <w:iCs/>
        </w:rPr>
        <w:t xml:space="preserve"> </w:t>
      </w:r>
      <w:r w:rsidR="00CD70AF">
        <w:rPr>
          <w:i/>
          <w:iCs/>
        </w:rPr>
        <w:t>v</w:t>
      </w:r>
      <w:r w:rsidRPr="00CD70AF">
        <w:rPr>
          <w:i/>
          <w:iCs/>
        </w:rPr>
        <w:t>ol</w:t>
      </w:r>
      <w:r w:rsidR="00CD70AF">
        <w:rPr>
          <w:i/>
          <w:iCs/>
        </w:rPr>
        <w:t xml:space="preserve">ume </w:t>
      </w:r>
      <w:r w:rsidRPr="00CD70AF">
        <w:rPr>
          <w:i/>
          <w:iCs/>
        </w:rPr>
        <w:t>2</w:t>
      </w:r>
      <w:r w:rsidR="00CD70AF">
        <w:rPr>
          <w:i/>
          <w:iCs/>
        </w:rPr>
        <w:t>.</w:t>
      </w:r>
      <w:r w:rsidR="00CD70AF">
        <w:t xml:space="preserve"> Cassel &amp; Company.</w:t>
      </w:r>
    </w:p>
    <w:p w14:paraId="64702A17" w14:textId="7C924EE8" w:rsidR="00CD70AF" w:rsidRDefault="00AD75CB" w:rsidP="00E5401D">
      <w:pPr>
        <w:ind w:left="720" w:hanging="720"/>
        <w:rPr>
          <w:rFonts w:eastAsia="Times New Roman" w:cstheme="minorHAnsi"/>
          <w:lang w:eastAsia="en-GB"/>
        </w:rPr>
      </w:pPr>
      <w:r w:rsidRPr="009B7174">
        <w:rPr>
          <w:rFonts w:cstheme="minorHAnsi"/>
        </w:rPr>
        <w:t>Burk</w:t>
      </w:r>
      <w:r w:rsidR="009B7174" w:rsidRPr="009B7174">
        <w:rPr>
          <w:rFonts w:cstheme="minorHAnsi"/>
        </w:rPr>
        <w:t>,</w:t>
      </w:r>
      <w:r w:rsidRPr="009B7174">
        <w:rPr>
          <w:rFonts w:cstheme="minorHAnsi"/>
        </w:rPr>
        <w:t xml:space="preserve"> K.</w:t>
      </w:r>
      <w:r w:rsidR="00A03184">
        <w:rPr>
          <w:rFonts w:cstheme="minorHAnsi"/>
        </w:rPr>
        <w:t xml:space="preserve"> </w:t>
      </w:r>
      <w:r w:rsidR="009B7174" w:rsidRPr="009B7174">
        <w:rPr>
          <w:rFonts w:cstheme="minorHAnsi"/>
        </w:rPr>
        <w:t xml:space="preserve">(2014). </w:t>
      </w:r>
      <w:r w:rsidRPr="009B7174">
        <w:rPr>
          <w:rFonts w:cstheme="minorHAnsi"/>
          <w:i/>
          <w:iCs/>
        </w:rPr>
        <w:t xml:space="preserve">War and the </w:t>
      </w:r>
      <w:r w:rsidR="009B7174">
        <w:rPr>
          <w:rFonts w:cstheme="minorHAnsi"/>
          <w:i/>
          <w:iCs/>
        </w:rPr>
        <w:t>s</w:t>
      </w:r>
      <w:r w:rsidRPr="009B7174">
        <w:rPr>
          <w:rFonts w:cstheme="minorHAnsi"/>
          <w:i/>
          <w:iCs/>
        </w:rPr>
        <w:t>tate</w:t>
      </w:r>
      <w:r w:rsidR="009B7174" w:rsidRPr="009B7174">
        <w:rPr>
          <w:rFonts w:cstheme="minorHAnsi"/>
          <w:i/>
          <w:iCs/>
        </w:rPr>
        <w:t xml:space="preserve"> </w:t>
      </w:r>
      <w:r w:rsidR="009B7174" w:rsidRPr="009B7174">
        <w:rPr>
          <w:rFonts w:eastAsia="Times New Roman" w:cstheme="minorHAnsi"/>
          <w:i/>
          <w:iCs/>
          <w:lang w:eastAsia="en-GB"/>
        </w:rPr>
        <w:t xml:space="preserve">(RLE </w:t>
      </w:r>
      <w:r w:rsidR="009B7174">
        <w:rPr>
          <w:rFonts w:eastAsia="Times New Roman" w:cstheme="minorHAnsi"/>
          <w:i/>
          <w:iCs/>
          <w:lang w:eastAsia="en-GB"/>
        </w:rPr>
        <w:t>t</w:t>
      </w:r>
      <w:r w:rsidR="009B7174" w:rsidRPr="009B7174">
        <w:rPr>
          <w:rFonts w:eastAsia="Times New Roman" w:cstheme="minorHAnsi"/>
          <w:i/>
          <w:iCs/>
          <w:lang w:eastAsia="en-GB"/>
        </w:rPr>
        <w:t xml:space="preserve">he First World War) </w:t>
      </w:r>
      <w:r w:rsidR="009B7174">
        <w:rPr>
          <w:rFonts w:cstheme="minorHAnsi"/>
          <w:i/>
          <w:iCs/>
        </w:rPr>
        <w:t>t</w:t>
      </w:r>
      <w:r w:rsidRPr="009B7174">
        <w:rPr>
          <w:rFonts w:cstheme="minorHAnsi"/>
          <w:i/>
          <w:iCs/>
        </w:rPr>
        <w:t xml:space="preserve">he </w:t>
      </w:r>
      <w:r w:rsidR="009B7174">
        <w:rPr>
          <w:rFonts w:cstheme="minorHAnsi"/>
          <w:i/>
          <w:iCs/>
        </w:rPr>
        <w:t>t</w:t>
      </w:r>
      <w:r w:rsidRPr="009B7174">
        <w:rPr>
          <w:rFonts w:cstheme="minorHAnsi"/>
          <w:i/>
          <w:iCs/>
        </w:rPr>
        <w:t>ransformation of British Government, 1914-19</w:t>
      </w:r>
      <w:r w:rsidR="009B7174" w:rsidRPr="009B7174">
        <w:rPr>
          <w:rFonts w:cstheme="minorHAnsi"/>
        </w:rPr>
        <w:t xml:space="preserve"> </w:t>
      </w:r>
      <w:proofErr w:type="gramStart"/>
      <w:r w:rsidR="009B7174" w:rsidRPr="009B7174">
        <w:rPr>
          <w:rFonts w:eastAsia="Times New Roman" w:cstheme="minorHAnsi"/>
          <w:lang w:eastAsia="en-GB"/>
        </w:rPr>
        <w:t>(</w:t>
      </w:r>
      <w:r w:rsidR="009B7174" w:rsidRPr="009B7174">
        <w:rPr>
          <w:rFonts w:eastAsia="Times New Roman" w:cstheme="minorHAnsi"/>
          <w:i/>
          <w:iCs/>
          <w:lang w:eastAsia="en-GB"/>
        </w:rPr>
        <w:t xml:space="preserve"> </w:t>
      </w:r>
      <w:r w:rsidR="009B7174" w:rsidRPr="009B7174">
        <w:rPr>
          <w:rFonts w:eastAsia="Times New Roman" w:cstheme="minorHAnsi"/>
          <w:lang w:eastAsia="en-GB"/>
        </w:rPr>
        <w:t>(</w:t>
      </w:r>
      <w:proofErr w:type="gramEnd"/>
      <w:r w:rsidR="009B7174" w:rsidRPr="009B7174">
        <w:rPr>
          <w:rFonts w:eastAsia="Times New Roman" w:cstheme="minorHAnsi"/>
          <w:lang w:eastAsia="en-GB"/>
        </w:rPr>
        <w:t xml:space="preserve">1st ed.). Taylor and Francis. </w:t>
      </w:r>
    </w:p>
    <w:p w14:paraId="541234EA" w14:textId="2B51976E" w:rsidR="00D51BA6" w:rsidRDefault="00D51BA6" w:rsidP="00CD70AF">
      <w:r>
        <w:t>Cassar</w:t>
      </w:r>
      <w:r w:rsidR="00420500">
        <w:t>,</w:t>
      </w:r>
      <w:r>
        <w:t xml:space="preserve"> G.</w:t>
      </w:r>
      <w:r w:rsidR="00420500">
        <w:t xml:space="preserve"> </w:t>
      </w:r>
      <w:proofErr w:type="gramStart"/>
      <w:r>
        <w:t>H .</w:t>
      </w:r>
      <w:proofErr w:type="gramEnd"/>
      <w:r>
        <w:t xml:space="preserve"> </w:t>
      </w:r>
      <w:r w:rsidR="00420500">
        <w:t xml:space="preserve">(1994). </w:t>
      </w:r>
      <w:r w:rsidR="00871C48">
        <w:t xml:space="preserve"> </w:t>
      </w:r>
      <w:r w:rsidRPr="00420500">
        <w:rPr>
          <w:i/>
          <w:iCs/>
        </w:rPr>
        <w:t xml:space="preserve">Asquith as </w:t>
      </w:r>
      <w:r w:rsidR="00420500">
        <w:rPr>
          <w:i/>
          <w:iCs/>
        </w:rPr>
        <w:t>w</w:t>
      </w:r>
      <w:r w:rsidRPr="00420500">
        <w:rPr>
          <w:i/>
          <w:iCs/>
        </w:rPr>
        <w:t xml:space="preserve">ar </w:t>
      </w:r>
      <w:r w:rsidR="00420500">
        <w:rPr>
          <w:i/>
          <w:iCs/>
        </w:rPr>
        <w:t>l</w:t>
      </w:r>
      <w:r w:rsidRPr="00420500">
        <w:rPr>
          <w:i/>
          <w:iCs/>
        </w:rPr>
        <w:t>eader</w:t>
      </w:r>
      <w:r w:rsidR="00420500">
        <w:rPr>
          <w:i/>
          <w:iCs/>
        </w:rPr>
        <w:t xml:space="preserve">. </w:t>
      </w:r>
      <w:r w:rsidR="00420500" w:rsidRPr="00420500">
        <w:t>(1</w:t>
      </w:r>
      <w:r w:rsidR="00420500" w:rsidRPr="00420500">
        <w:rPr>
          <w:vertAlign w:val="superscript"/>
        </w:rPr>
        <w:t>st</w:t>
      </w:r>
      <w:r w:rsidR="00420500" w:rsidRPr="00420500">
        <w:t xml:space="preserve"> ed.).</w:t>
      </w:r>
      <w:r w:rsidR="00420500">
        <w:t xml:space="preserve">  Bloomsbury Publishing.</w:t>
      </w:r>
    </w:p>
    <w:p w14:paraId="5653B443" w14:textId="04900921" w:rsidR="00AD75CB" w:rsidRDefault="00AB60B0" w:rsidP="00E5401D">
      <w:pPr>
        <w:spacing w:after="0" w:line="240" w:lineRule="auto"/>
        <w:ind w:left="720" w:hanging="720"/>
        <w:rPr>
          <w:rFonts w:eastAsia="Times New Roman" w:cstheme="minorHAnsi"/>
          <w:lang w:eastAsia="en-GB"/>
        </w:rPr>
      </w:pPr>
      <w:r w:rsidRPr="00AB60B0">
        <w:rPr>
          <w:rFonts w:eastAsia="Times New Roman" w:cstheme="minorHAnsi"/>
          <w:lang w:eastAsia="en-GB"/>
        </w:rPr>
        <w:t xml:space="preserve">Fraser, P. (1982). British War Policy and the Crisis of Liberalism in May 1915. </w:t>
      </w:r>
      <w:r w:rsidRPr="00AB60B0">
        <w:rPr>
          <w:rFonts w:eastAsia="Times New Roman" w:cstheme="minorHAnsi"/>
          <w:i/>
          <w:iCs/>
          <w:lang w:eastAsia="en-GB"/>
        </w:rPr>
        <w:t>The Journal of Modern History</w:t>
      </w:r>
      <w:r w:rsidRPr="00AB60B0">
        <w:rPr>
          <w:rFonts w:eastAsia="Times New Roman" w:cstheme="minorHAnsi"/>
          <w:lang w:eastAsia="en-GB"/>
        </w:rPr>
        <w:t xml:space="preserve">, </w:t>
      </w:r>
      <w:r w:rsidRPr="00AB60B0">
        <w:rPr>
          <w:rFonts w:eastAsia="Times New Roman" w:cstheme="minorHAnsi"/>
          <w:i/>
          <w:iCs/>
          <w:lang w:eastAsia="en-GB"/>
        </w:rPr>
        <w:t>54</w:t>
      </w:r>
      <w:r w:rsidRPr="00AB60B0">
        <w:rPr>
          <w:rFonts w:eastAsia="Times New Roman" w:cstheme="minorHAnsi"/>
          <w:lang w:eastAsia="en-GB"/>
        </w:rPr>
        <w:t xml:space="preserve">(1), 1–26. </w:t>
      </w:r>
      <w:hyperlink r:id="rId7" w:history="1">
        <w:r w:rsidRPr="00AB60B0">
          <w:rPr>
            <w:rStyle w:val="Hyperlink"/>
            <w:rFonts w:eastAsia="Times New Roman" w:cstheme="minorHAnsi"/>
            <w:lang w:eastAsia="en-GB"/>
          </w:rPr>
          <w:t>http://www.jstor.org/stable/1906048</w:t>
        </w:r>
      </w:hyperlink>
    </w:p>
    <w:p w14:paraId="24BAE5F8" w14:textId="77777777" w:rsidR="00AB60B0" w:rsidRPr="00AB60B0" w:rsidRDefault="00AB60B0" w:rsidP="00E5401D">
      <w:pPr>
        <w:spacing w:after="0" w:line="240" w:lineRule="auto"/>
        <w:ind w:left="720" w:hanging="720"/>
        <w:rPr>
          <w:rFonts w:eastAsia="Times New Roman" w:cstheme="minorHAnsi"/>
          <w:lang w:eastAsia="en-GB"/>
        </w:rPr>
      </w:pPr>
    </w:p>
    <w:p w14:paraId="3EE58238" w14:textId="65E1B667" w:rsidR="00AB60B0" w:rsidRDefault="00AB60B0" w:rsidP="00E5401D">
      <w:pPr>
        <w:spacing w:after="0" w:line="240" w:lineRule="auto"/>
        <w:ind w:left="720" w:hanging="720"/>
        <w:rPr>
          <w:rFonts w:eastAsia="Times New Roman" w:cstheme="minorHAnsi"/>
          <w:lang w:eastAsia="en-GB"/>
        </w:rPr>
      </w:pPr>
      <w:r w:rsidRPr="00AB60B0">
        <w:rPr>
          <w:rFonts w:eastAsia="Times New Roman" w:cstheme="minorHAnsi"/>
          <w:lang w:eastAsia="en-GB"/>
        </w:rPr>
        <w:t xml:space="preserve">Fry, M. (1988). Political Change in Britain, August 1914 to December 1916: Lloyd George Replaces Asquith: The Issues Underlying the Drama. </w:t>
      </w:r>
      <w:r w:rsidRPr="00AB60B0">
        <w:rPr>
          <w:rFonts w:eastAsia="Times New Roman" w:cstheme="minorHAnsi"/>
          <w:i/>
          <w:iCs/>
          <w:lang w:eastAsia="en-GB"/>
        </w:rPr>
        <w:t>The Historical Journal</w:t>
      </w:r>
      <w:r w:rsidRPr="00AB60B0">
        <w:rPr>
          <w:rFonts w:eastAsia="Times New Roman" w:cstheme="minorHAnsi"/>
          <w:lang w:eastAsia="en-GB"/>
        </w:rPr>
        <w:t xml:space="preserve">, </w:t>
      </w:r>
      <w:r w:rsidRPr="00AB60B0">
        <w:rPr>
          <w:rFonts w:eastAsia="Times New Roman" w:cstheme="minorHAnsi"/>
          <w:i/>
          <w:iCs/>
          <w:lang w:eastAsia="en-GB"/>
        </w:rPr>
        <w:t>31</w:t>
      </w:r>
      <w:r w:rsidRPr="00AB60B0">
        <w:rPr>
          <w:rFonts w:eastAsia="Times New Roman" w:cstheme="minorHAnsi"/>
          <w:lang w:eastAsia="en-GB"/>
        </w:rPr>
        <w:t xml:space="preserve">(3), 609–627. </w:t>
      </w:r>
      <w:hyperlink r:id="rId8" w:history="1">
        <w:r w:rsidRPr="00AB60B0">
          <w:rPr>
            <w:rStyle w:val="Hyperlink"/>
            <w:rFonts w:eastAsia="Times New Roman" w:cstheme="minorHAnsi"/>
            <w:lang w:eastAsia="en-GB"/>
          </w:rPr>
          <w:t>http://www.jstor.org/stable/2639759</w:t>
        </w:r>
      </w:hyperlink>
    </w:p>
    <w:p w14:paraId="14F8ADDF" w14:textId="77777777" w:rsidR="00AB60B0" w:rsidRPr="00AB60B0" w:rsidRDefault="00AB60B0" w:rsidP="00E5401D">
      <w:pPr>
        <w:spacing w:after="0" w:line="240" w:lineRule="auto"/>
        <w:ind w:left="720" w:hanging="720"/>
        <w:rPr>
          <w:rFonts w:eastAsia="Times New Roman" w:cstheme="minorHAnsi"/>
          <w:lang w:eastAsia="en-GB"/>
        </w:rPr>
      </w:pPr>
    </w:p>
    <w:p w14:paraId="24A8FEEC" w14:textId="7D150E4C" w:rsidR="003E0162" w:rsidRDefault="00D51BA6" w:rsidP="003E0162">
      <w:pPr>
        <w:ind w:left="720" w:hanging="720"/>
        <w:rPr>
          <w:rFonts w:eastAsia="Times New Roman" w:cstheme="minorHAnsi"/>
          <w:lang w:eastAsia="en-GB"/>
        </w:rPr>
      </w:pPr>
      <w:r>
        <w:t>George, D.</w:t>
      </w:r>
      <w:r w:rsidR="009B1A60">
        <w:t xml:space="preserve"> </w:t>
      </w:r>
      <w:r>
        <w:t>L. (2017)</w:t>
      </w:r>
      <w:r w:rsidR="009B1A60">
        <w:t>.</w:t>
      </w:r>
      <w:r>
        <w:t xml:space="preserve"> </w:t>
      </w:r>
      <w:r w:rsidRPr="009B1A60">
        <w:rPr>
          <w:i/>
          <w:iCs/>
        </w:rPr>
        <w:t xml:space="preserve">War Memoirs of David </w:t>
      </w:r>
      <w:r w:rsidR="009B1A60" w:rsidRPr="009B1A60">
        <w:rPr>
          <w:i/>
          <w:iCs/>
        </w:rPr>
        <w:t>L</w:t>
      </w:r>
      <w:r w:rsidRPr="009B1A60">
        <w:rPr>
          <w:i/>
          <w:iCs/>
        </w:rPr>
        <w:t>loy</w:t>
      </w:r>
      <w:r w:rsidR="00715CD8" w:rsidRPr="009B1A60">
        <w:rPr>
          <w:i/>
          <w:iCs/>
        </w:rPr>
        <w:t>d</w:t>
      </w:r>
      <w:r w:rsidRPr="009B1A60">
        <w:rPr>
          <w:i/>
          <w:iCs/>
        </w:rPr>
        <w:t xml:space="preserve"> George, Vol. 1</w:t>
      </w:r>
      <w:r>
        <w:t>.</w:t>
      </w:r>
      <w:r w:rsidR="009B1A60">
        <w:t xml:space="preserve">  </w:t>
      </w:r>
      <w:proofErr w:type="spellStart"/>
      <w:r>
        <w:t>Arcole</w:t>
      </w:r>
      <w:proofErr w:type="spellEnd"/>
      <w:r>
        <w:t xml:space="preserve"> Publishing</w:t>
      </w:r>
      <w:r w:rsidR="009B1A60">
        <w:t>.</w:t>
      </w:r>
      <w:r w:rsidR="003E0162" w:rsidRPr="003E0162">
        <w:rPr>
          <w:rFonts w:ascii="Times New Roman" w:eastAsia="Times New Roman" w:hAnsi="Times New Roman" w:cs="Times New Roman"/>
          <w:sz w:val="24"/>
          <w:szCs w:val="24"/>
          <w:lang w:eastAsia="en-GB"/>
        </w:rPr>
        <w:t xml:space="preserve"> </w:t>
      </w:r>
      <w:hyperlink r:id="rId9" w:history="1">
        <w:r w:rsidR="003E0162" w:rsidRPr="00707A80">
          <w:rPr>
            <w:rStyle w:val="Hyperlink"/>
            <w:rFonts w:eastAsia="Times New Roman" w:cstheme="minorHAnsi"/>
            <w:lang w:eastAsia="en-GB"/>
          </w:rPr>
          <w:t>https://www.perlego.com/book/3025030/war-memoirs-of-david-lloyd-george-vol-i-pdf</w:t>
        </w:r>
      </w:hyperlink>
    </w:p>
    <w:p w14:paraId="36E802B8" w14:textId="7F617E6E" w:rsidR="00D51BA6" w:rsidRDefault="00255275" w:rsidP="003E0162">
      <w:pPr>
        <w:spacing w:after="0" w:line="240" w:lineRule="auto"/>
        <w:ind w:left="720" w:hanging="720"/>
        <w:rPr>
          <w:rFonts w:eastAsia="Times New Roman" w:cstheme="minorHAnsi"/>
          <w:lang w:eastAsia="en-GB"/>
        </w:rPr>
      </w:pPr>
      <w:r w:rsidRPr="00255275">
        <w:rPr>
          <w:rFonts w:eastAsia="Times New Roman" w:cstheme="minorHAnsi"/>
          <w:lang w:eastAsia="en-GB"/>
        </w:rPr>
        <w:t xml:space="preserve">Koss, S. E. (1968). The Destruction of Britain’s Last Liberal Government. </w:t>
      </w:r>
      <w:r w:rsidRPr="00255275">
        <w:rPr>
          <w:rFonts w:eastAsia="Times New Roman" w:cstheme="minorHAnsi"/>
          <w:i/>
          <w:iCs/>
          <w:lang w:eastAsia="en-GB"/>
        </w:rPr>
        <w:t>The Journal of Modern History</w:t>
      </w:r>
      <w:r w:rsidRPr="00255275">
        <w:rPr>
          <w:rFonts w:eastAsia="Times New Roman" w:cstheme="minorHAnsi"/>
          <w:lang w:eastAsia="en-GB"/>
        </w:rPr>
        <w:t xml:space="preserve">, </w:t>
      </w:r>
      <w:r w:rsidRPr="00255275">
        <w:rPr>
          <w:rFonts w:eastAsia="Times New Roman" w:cstheme="minorHAnsi"/>
          <w:i/>
          <w:iCs/>
          <w:lang w:eastAsia="en-GB"/>
        </w:rPr>
        <w:t>40</w:t>
      </w:r>
      <w:r w:rsidRPr="00255275">
        <w:rPr>
          <w:rFonts w:eastAsia="Times New Roman" w:cstheme="minorHAnsi"/>
          <w:lang w:eastAsia="en-GB"/>
        </w:rPr>
        <w:t xml:space="preserve">(2), 257–277. </w:t>
      </w:r>
      <w:hyperlink r:id="rId10" w:history="1">
        <w:r w:rsidRPr="00255275">
          <w:rPr>
            <w:rStyle w:val="Hyperlink"/>
            <w:rFonts w:eastAsia="Times New Roman" w:cstheme="minorHAnsi"/>
            <w:lang w:eastAsia="en-GB"/>
          </w:rPr>
          <w:t>http://www.jstor.org/stable/1876732</w:t>
        </w:r>
      </w:hyperlink>
    </w:p>
    <w:p w14:paraId="5A3C37AC" w14:textId="77777777" w:rsidR="00255275" w:rsidRPr="00255275" w:rsidRDefault="00255275" w:rsidP="00E5401D">
      <w:pPr>
        <w:spacing w:after="0" w:line="240" w:lineRule="auto"/>
        <w:ind w:left="720" w:hanging="720"/>
        <w:rPr>
          <w:rFonts w:eastAsia="Times New Roman" w:cstheme="minorHAnsi"/>
          <w:lang w:eastAsia="en-GB"/>
        </w:rPr>
      </w:pPr>
    </w:p>
    <w:p w14:paraId="18A2B7BE" w14:textId="016FE116" w:rsidR="00715CD8" w:rsidRDefault="00715CD8" w:rsidP="00E5401D">
      <w:pPr>
        <w:ind w:left="720" w:hanging="720"/>
      </w:pPr>
      <w:r w:rsidRPr="00715CD8">
        <w:t xml:space="preserve">Pugh, M. (1974). Asquith, Bonar </w:t>
      </w:r>
      <w:proofErr w:type="gramStart"/>
      <w:r w:rsidRPr="00715CD8">
        <w:t>Law</w:t>
      </w:r>
      <w:proofErr w:type="gramEnd"/>
      <w:r w:rsidRPr="00715CD8">
        <w:t xml:space="preserve"> and the First Coalition. </w:t>
      </w:r>
      <w:r w:rsidRPr="00715CD8">
        <w:rPr>
          <w:i/>
          <w:iCs/>
        </w:rPr>
        <w:t>The Historical Journal, 17(4</w:t>
      </w:r>
      <w:r w:rsidRPr="00715CD8">
        <w:t xml:space="preserve">), 813-836. </w:t>
      </w:r>
      <w:hyperlink r:id="rId11" w:history="1">
        <w:r w:rsidRPr="00707A80">
          <w:rPr>
            <w:rStyle w:val="Hyperlink"/>
          </w:rPr>
          <w:t>https://doi:10.1017/S0018246X00007925</w:t>
        </w:r>
      </w:hyperlink>
    </w:p>
    <w:p w14:paraId="7DBD2182" w14:textId="63388B9E" w:rsidR="00D51BA6" w:rsidRDefault="00D51BA6" w:rsidP="00E5401D">
      <w:pPr>
        <w:ind w:left="720" w:hanging="720"/>
      </w:pPr>
      <w:r>
        <w:t>Taylor, A. (2006)</w:t>
      </w:r>
      <w:r w:rsidR="009F3AC2">
        <w:t xml:space="preserve">. </w:t>
      </w:r>
      <w:r>
        <w:t xml:space="preserve"> </w:t>
      </w:r>
      <w:r w:rsidRPr="009B1A60">
        <w:rPr>
          <w:i/>
          <w:iCs/>
        </w:rPr>
        <w:t xml:space="preserve">Bonar </w:t>
      </w:r>
      <w:r w:rsidR="009B7174">
        <w:rPr>
          <w:i/>
          <w:iCs/>
        </w:rPr>
        <w:t>l</w:t>
      </w:r>
      <w:r w:rsidRPr="009B1A60">
        <w:rPr>
          <w:i/>
          <w:iCs/>
        </w:rPr>
        <w:t>aw</w:t>
      </w:r>
      <w:r>
        <w:t>.</w:t>
      </w:r>
      <w:r w:rsidR="009B1A60">
        <w:t xml:space="preserve"> </w:t>
      </w:r>
      <w:r>
        <w:t xml:space="preserve"> Haus Publishing</w:t>
      </w:r>
      <w:r w:rsidR="009B1A60">
        <w:t>.</w:t>
      </w:r>
    </w:p>
    <w:p w14:paraId="5BBB822B" w14:textId="61C3A5AC" w:rsidR="00D51BA6" w:rsidRDefault="00D51BA6" w:rsidP="00E5401D">
      <w:pPr>
        <w:ind w:left="720" w:hanging="720"/>
      </w:pPr>
      <w:r>
        <w:lastRenderedPageBreak/>
        <w:t>Taylor, A.</w:t>
      </w:r>
      <w:r w:rsidR="0058327E">
        <w:t xml:space="preserve"> </w:t>
      </w:r>
      <w:r>
        <w:t>J.</w:t>
      </w:r>
      <w:r w:rsidR="0058327E">
        <w:t xml:space="preserve"> </w:t>
      </w:r>
      <w:r>
        <w:t>P. (1965)</w:t>
      </w:r>
      <w:r w:rsidR="009F3AC2">
        <w:t xml:space="preserve">. </w:t>
      </w:r>
      <w:r>
        <w:t xml:space="preserve"> </w:t>
      </w:r>
      <w:r w:rsidRPr="001F7E66">
        <w:rPr>
          <w:i/>
          <w:iCs/>
        </w:rPr>
        <w:t xml:space="preserve">English </w:t>
      </w:r>
      <w:r w:rsidR="001F7E66">
        <w:rPr>
          <w:i/>
          <w:iCs/>
        </w:rPr>
        <w:t>h</w:t>
      </w:r>
      <w:r w:rsidRPr="001F7E66">
        <w:rPr>
          <w:i/>
          <w:iCs/>
        </w:rPr>
        <w:t>istory 1914-1945</w:t>
      </w:r>
      <w:r w:rsidR="00255275">
        <w:t xml:space="preserve">.  Oxford </w:t>
      </w:r>
      <w:r w:rsidR="001F7E66">
        <w:t>Clarendon Press</w:t>
      </w:r>
      <w:r w:rsidR="00255275">
        <w:t>.</w:t>
      </w:r>
    </w:p>
    <w:p w14:paraId="697A42F4" w14:textId="20050010" w:rsidR="00E5401D" w:rsidRDefault="00E5401D" w:rsidP="00E5401D">
      <w:pPr>
        <w:spacing w:after="0" w:line="240" w:lineRule="auto"/>
        <w:ind w:left="720" w:hanging="720"/>
        <w:rPr>
          <w:rFonts w:eastAsia="Times New Roman" w:cstheme="minorHAnsi"/>
          <w:lang w:eastAsia="en-GB"/>
        </w:rPr>
      </w:pPr>
      <w:r w:rsidRPr="00E5401D">
        <w:rPr>
          <w:rFonts w:eastAsia="Times New Roman" w:cstheme="minorHAnsi"/>
          <w:lang w:eastAsia="en-GB"/>
        </w:rPr>
        <w:t>T</w:t>
      </w:r>
      <w:r>
        <w:rPr>
          <w:rFonts w:eastAsia="Times New Roman" w:cstheme="minorHAnsi"/>
          <w:lang w:eastAsia="en-GB"/>
        </w:rPr>
        <w:t>urner</w:t>
      </w:r>
      <w:r w:rsidRPr="00E5401D">
        <w:rPr>
          <w:rFonts w:eastAsia="Times New Roman" w:cstheme="minorHAnsi"/>
          <w:lang w:eastAsia="en-GB"/>
        </w:rPr>
        <w:t xml:space="preserve">, J. (1992). </w:t>
      </w:r>
      <w:r w:rsidRPr="00E5401D">
        <w:rPr>
          <w:rFonts w:eastAsia="Times New Roman" w:cstheme="minorHAnsi"/>
          <w:i/>
          <w:iCs/>
          <w:lang w:eastAsia="en-GB"/>
        </w:rPr>
        <w:t xml:space="preserve">British </w:t>
      </w:r>
      <w:r>
        <w:rPr>
          <w:rFonts w:eastAsia="Times New Roman" w:cstheme="minorHAnsi"/>
          <w:i/>
          <w:iCs/>
          <w:lang w:eastAsia="en-GB"/>
        </w:rPr>
        <w:t>p</w:t>
      </w:r>
      <w:r w:rsidRPr="00E5401D">
        <w:rPr>
          <w:rFonts w:eastAsia="Times New Roman" w:cstheme="minorHAnsi"/>
          <w:i/>
          <w:iCs/>
          <w:lang w:eastAsia="en-GB"/>
        </w:rPr>
        <w:t xml:space="preserve">olitics and the Great War: </w:t>
      </w:r>
      <w:r>
        <w:rPr>
          <w:rFonts w:eastAsia="Times New Roman" w:cstheme="minorHAnsi"/>
          <w:i/>
          <w:iCs/>
          <w:lang w:eastAsia="en-GB"/>
        </w:rPr>
        <w:t>c</w:t>
      </w:r>
      <w:r w:rsidRPr="00E5401D">
        <w:rPr>
          <w:rFonts w:eastAsia="Times New Roman" w:cstheme="minorHAnsi"/>
          <w:i/>
          <w:iCs/>
          <w:lang w:eastAsia="en-GB"/>
        </w:rPr>
        <w:t xml:space="preserve">oalition and </w:t>
      </w:r>
      <w:r>
        <w:rPr>
          <w:rFonts w:eastAsia="Times New Roman" w:cstheme="minorHAnsi"/>
          <w:i/>
          <w:iCs/>
          <w:lang w:eastAsia="en-GB"/>
        </w:rPr>
        <w:t>c</w:t>
      </w:r>
      <w:r w:rsidRPr="00E5401D">
        <w:rPr>
          <w:rFonts w:eastAsia="Times New Roman" w:cstheme="minorHAnsi"/>
          <w:i/>
          <w:iCs/>
          <w:lang w:eastAsia="en-GB"/>
        </w:rPr>
        <w:t>onflict 1915-1918</w:t>
      </w:r>
      <w:r w:rsidRPr="00E5401D">
        <w:rPr>
          <w:rFonts w:eastAsia="Times New Roman" w:cstheme="minorHAnsi"/>
          <w:lang w:eastAsia="en-GB"/>
        </w:rPr>
        <w:t xml:space="preserve">. Yale University Press. </w:t>
      </w:r>
      <w:hyperlink r:id="rId12" w:history="1">
        <w:r w:rsidR="00AA4AC9" w:rsidRPr="00E5401D">
          <w:rPr>
            <w:rStyle w:val="Hyperlink"/>
            <w:rFonts w:eastAsia="Times New Roman" w:cstheme="minorHAnsi"/>
            <w:lang w:eastAsia="en-GB"/>
          </w:rPr>
          <w:t>https://doi.org/10.2307/j.ctt211qvzc</w:t>
        </w:r>
      </w:hyperlink>
    </w:p>
    <w:p w14:paraId="76B0CA28" w14:textId="5E881B68" w:rsidR="00AA4AC9" w:rsidRDefault="00AA4AC9" w:rsidP="00E5401D">
      <w:pPr>
        <w:spacing w:after="0" w:line="240" w:lineRule="auto"/>
        <w:ind w:left="720" w:hanging="720"/>
        <w:rPr>
          <w:rFonts w:eastAsia="Times New Roman" w:cstheme="minorHAnsi"/>
          <w:lang w:eastAsia="en-GB"/>
        </w:rPr>
      </w:pPr>
    </w:p>
    <w:p w14:paraId="2069ECF3" w14:textId="517B332D" w:rsidR="00A90751" w:rsidRDefault="00A90751" w:rsidP="00E17A13">
      <w:pPr>
        <w:pStyle w:val="NormalWeb"/>
        <w:spacing w:before="0" w:beforeAutospacing="0" w:after="0" w:afterAutospacing="0"/>
        <w:ind w:left="720" w:hanging="720"/>
        <w:rPr>
          <w:rFonts w:asciiTheme="minorHAnsi" w:hAnsiTheme="minorHAnsi" w:cstheme="minorHAnsi"/>
          <w:sz w:val="22"/>
          <w:szCs w:val="22"/>
        </w:rPr>
      </w:pPr>
      <w:r w:rsidRPr="00A90751">
        <w:rPr>
          <w:rFonts w:asciiTheme="minorHAnsi" w:hAnsiTheme="minorHAnsi" w:cstheme="minorHAnsi"/>
          <w:sz w:val="22"/>
          <w:szCs w:val="22"/>
        </w:rPr>
        <w:t xml:space="preserve">Wikipedia contributors. (2021, May 24). </w:t>
      </w:r>
      <w:r w:rsidRPr="00A90751">
        <w:rPr>
          <w:rFonts w:asciiTheme="minorHAnsi" w:hAnsiTheme="minorHAnsi" w:cstheme="minorHAnsi"/>
          <w:i/>
          <w:iCs/>
          <w:sz w:val="22"/>
          <w:szCs w:val="22"/>
        </w:rPr>
        <w:t>Martin Pugh (historian)</w:t>
      </w:r>
      <w:r w:rsidRPr="00A90751">
        <w:rPr>
          <w:rFonts w:asciiTheme="minorHAnsi" w:hAnsiTheme="minorHAnsi" w:cstheme="minorHAnsi"/>
          <w:sz w:val="22"/>
          <w:szCs w:val="22"/>
        </w:rPr>
        <w:t xml:space="preserve">. Wikipedia. </w:t>
      </w:r>
      <w:hyperlink r:id="rId13" w:anchor=":xt=Martin%20D.%20Pugh%20FRHistS%20%28born%201947%29%20is%20a,is%20a%20fellow%20of%20the%20Royal%20Historical%20Society" w:history="1">
        <w:r w:rsidRPr="00707A80">
          <w:rPr>
            <w:rStyle w:val="Hyperlink"/>
            <w:rFonts w:asciiTheme="minorHAnsi" w:hAnsiTheme="minorHAnsi" w:cstheme="minorHAnsi"/>
            <w:sz w:val="22"/>
            <w:szCs w:val="22"/>
          </w:rPr>
          <w:t>https://en.wikipedia.org/wiki/Martin_Pugh_(historian)#:xt=Martin%20D.%20Pugh%20FRHistS%20%28born%201947%29%20is%20a,is%20a%20fellow%20of%20the%20Royal%20Historical%20Society</w:t>
        </w:r>
      </w:hyperlink>
      <w:r w:rsidRPr="00A90751">
        <w:rPr>
          <w:rFonts w:asciiTheme="minorHAnsi" w:hAnsiTheme="minorHAnsi" w:cstheme="minorHAnsi"/>
          <w:sz w:val="22"/>
          <w:szCs w:val="22"/>
        </w:rPr>
        <w:t>.</w:t>
      </w:r>
    </w:p>
    <w:p w14:paraId="7E673044" w14:textId="77777777" w:rsidR="00E17A13" w:rsidRDefault="00E17A13" w:rsidP="00A90751">
      <w:pPr>
        <w:pStyle w:val="NormalWeb"/>
        <w:spacing w:before="0" w:beforeAutospacing="0" w:after="0" w:afterAutospacing="0" w:line="276" w:lineRule="auto"/>
        <w:ind w:left="720" w:hanging="720"/>
        <w:rPr>
          <w:rFonts w:asciiTheme="minorHAnsi" w:hAnsiTheme="minorHAnsi" w:cstheme="minorHAnsi"/>
          <w:sz w:val="22"/>
          <w:szCs w:val="22"/>
        </w:rPr>
      </w:pPr>
    </w:p>
    <w:p w14:paraId="5D9644B7" w14:textId="26E35AB6" w:rsidR="00E17A13" w:rsidRDefault="00E17A13" w:rsidP="00E17A13">
      <w:pPr>
        <w:pStyle w:val="NormalWeb"/>
        <w:spacing w:before="0" w:beforeAutospacing="0" w:after="0" w:afterAutospacing="0"/>
        <w:ind w:left="720" w:hanging="720"/>
        <w:rPr>
          <w:rStyle w:val="Hyperlink"/>
          <w:rFonts w:asciiTheme="minorHAnsi" w:hAnsiTheme="minorHAnsi" w:cstheme="minorHAnsi"/>
          <w:sz w:val="22"/>
          <w:szCs w:val="22"/>
        </w:rPr>
      </w:pPr>
      <w:r w:rsidRPr="00E17A13">
        <w:rPr>
          <w:rFonts w:asciiTheme="minorHAnsi" w:hAnsiTheme="minorHAnsi" w:cstheme="minorHAnsi"/>
          <w:i/>
          <w:iCs/>
          <w:sz w:val="22"/>
          <w:szCs w:val="22"/>
        </w:rPr>
        <w:t>Martin Pugh</w:t>
      </w:r>
      <w:r w:rsidRPr="00E17A13">
        <w:rPr>
          <w:rFonts w:asciiTheme="minorHAnsi" w:hAnsiTheme="minorHAnsi" w:cstheme="minorHAnsi"/>
          <w:sz w:val="22"/>
          <w:szCs w:val="22"/>
        </w:rPr>
        <w:t xml:space="preserve">. (n.d.). Https://Wwwpenguin.Co.Uk/Authors/1015003/Martin-Pugh.Html?Tab=penguin-Biography. </w:t>
      </w:r>
      <w:hyperlink r:id="rId14" w:history="1">
        <w:r w:rsidRPr="00707A80">
          <w:rPr>
            <w:rStyle w:val="Hyperlink"/>
            <w:rFonts w:asciiTheme="minorHAnsi" w:hAnsiTheme="minorHAnsi" w:cstheme="minorHAnsi"/>
            <w:sz w:val="22"/>
            <w:szCs w:val="22"/>
          </w:rPr>
          <w:t>https://www.penguin.co.uk/authors/1015003/martin-pugh.html?tab=penguin-biography</w:t>
        </w:r>
      </w:hyperlink>
    </w:p>
    <w:p w14:paraId="7B1BB195" w14:textId="7078AD8B" w:rsidR="006646E9" w:rsidRDefault="006646E9" w:rsidP="00E17A13">
      <w:pPr>
        <w:pStyle w:val="NormalWeb"/>
        <w:spacing w:before="0" w:beforeAutospacing="0" w:after="0" w:afterAutospacing="0"/>
        <w:ind w:left="720" w:hanging="720"/>
        <w:rPr>
          <w:rFonts w:asciiTheme="minorHAnsi" w:hAnsiTheme="minorHAnsi" w:cstheme="minorHAnsi"/>
          <w:sz w:val="22"/>
          <w:szCs w:val="22"/>
        </w:rPr>
      </w:pPr>
    </w:p>
    <w:p w14:paraId="60A6969E" w14:textId="71ED259B" w:rsidR="006646E9" w:rsidRDefault="006646E9" w:rsidP="00E17A13">
      <w:pPr>
        <w:pStyle w:val="NormalWeb"/>
        <w:spacing w:before="0" w:beforeAutospacing="0" w:after="0" w:afterAutospacing="0"/>
        <w:ind w:left="720" w:hanging="720"/>
        <w:rPr>
          <w:rFonts w:asciiTheme="minorHAnsi" w:hAnsiTheme="minorHAnsi" w:cstheme="minorHAnsi"/>
          <w:sz w:val="22"/>
          <w:szCs w:val="22"/>
        </w:rPr>
      </w:pPr>
    </w:p>
    <w:p w14:paraId="31C88EF7" w14:textId="762163AF" w:rsidR="006646E9" w:rsidRDefault="006646E9" w:rsidP="00E17A13">
      <w:pPr>
        <w:pStyle w:val="NormalWeb"/>
        <w:spacing w:before="0" w:beforeAutospacing="0" w:after="0" w:afterAutospacing="0"/>
        <w:ind w:left="720" w:hanging="720"/>
        <w:rPr>
          <w:rFonts w:asciiTheme="minorHAnsi" w:hAnsiTheme="minorHAnsi" w:cstheme="minorHAnsi"/>
          <w:sz w:val="22"/>
          <w:szCs w:val="22"/>
        </w:rPr>
      </w:pPr>
    </w:p>
    <w:p w14:paraId="79FA1520" w14:textId="0A0963D7" w:rsidR="006646E9" w:rsidRDefault="006646E9" w:rsidP="00E17A13">
      <w:pPr>
        <w:pStyle w:val="NormalWeb"/>
        <w:spacing w:before="0" w:beforeAutospacing="0" w:after="0" w:afterAutospacing="0"/>
        <w:ind w:left="720" w:hanging="720"/>
        <w:rPr>
          <w:rFonts w:asciiTheme="minorHAnsi" w:hAnsiTheme="minorHAnsi" w:cstheme="minorHAnsi"/>
          <w:sz w:val="22"/>
          <w:szCs w:val="22"/>
        </w:rPr>
      </w:pPr>
    </w:p>
    <w:p w14:paraId="60481D4E" w14:textId="77777777" w:rsidR="00F105F6" w:rsidRDefault="00F105F6" w:rsidP="006646E9">
      <w:pPr>
        <w:spacing w:after="0" w:line="240" w:lineRule="auto"/>
        <w:rPr>
          <w:rFonts w:eastAsia="Times New Roman" w:cstheme="minorHAnsi"/>
          <w:b/>
          <w:bCs/>
          <w:color w:val="000000"/>
          <w:u w:val="single"/>
          <w:lang w:eastAsia="en-GB"/>
        </w:rPr>
      </w:pPr>
    </w:p>
    <w:p w14:paraId="51C0C051" w14:textId="606D6853" w:rsidR="006646E9" w:rsidRPr="0003479E" w:rsidRDefault="006646E9" w:rsidP="006646E9">
      <w:pPr>
        <w:spacing w:after="0" w:line="240" w:lineRule="auto"/>
        <w:rPr>
          <w:rFonts w:eastAsia="Times New Roman" w:cstheme="minorHAnsi"/>
          <w:b/>
          <w:bCs/>
          <w:color w:val="000000"/>
          <w:u w:val="single"/>
          <w:lang w:eastAsia="en-GB"/>
        </w:rPr>
      </w:pPr>
      <w:r w:rsidRPr="0003479E">
        <w:rPr>
          <w:rFonts w:eastAsia="Times New Roman" w:cstheme="minorHAnsi"/>
          <w:b/>
          <w:bCs/>
          <w:color w:val="000000"/>
          <w:u w:val="single"/>
          <w:lang w:eastAsia="en-GB"/>
        </w:rPr>
        <w:t>D</w:t>
      </w:r>
      <w:r>
        <w:rPr>
          <w:rFonts w:eastAsia="Times New Roman" w:cstheme="minorHAnsi"/>
          <w:b/>
          <w:bCs/>
          <w:color w:val="000000"/>
          <w:u w:val="single"/>
          <w:lang w:eastAsia="en-GB"/>
        </w:rPr>
        <w:t>OCUMENT ANALYSIS</w:t>
      </w:r>
    </w:p>
    <w:p w14:paraId="6A9ECD4C" w14:textId="77777777" w:rsidR="006646E9" w:rsidRPr="00A47D6F" w:rsidRDefault="006646E9" w:rsidP="006646E9">
      <w:pPr>
        <w:spacing w:before="100" w:beforeAutospacing="1" w:after="100" w:afterAutospacing="1" w:line="240" w:lineRule="auto"/>
        <w:ind w:left="720" w:hanging="720"/>
        <w:rPr>
          <w:rFonts w:eastAsia="Times New Roman" w:cstheme="minorHAnsi"/>
          <w:lang w:val="nb-NO" w:eastAsia="en-GB"/>
        </w:rPr>
      </w:pPr>
      <w:r w:rsidRPr="0003479E">
        <w:rPr>
          <w:rFonts w:eastAsia="Times New Roman" w:cstheme="minorHAnsi"/>
          <w:b/>
          <w:bCs/>
          <w:color w:val="000000"/>
          <w:lang w:eastAsia="en-GB"/>
        </w:rPr>
        <w:t xml:space="preserve">Mr Asquith’s reply to the Prime Minister’s Statement in The House </w:t>
      </w:r>
      <w:proofErr w:type="gramStart"/>
      <w:r w:rsidRPr="0003479E">
        <w:rPr>
          <w:rFonts w:eastAsia="Times New Roman" w:cstheme="minorHAnsi"/>
          <w:b/>
          <w:bCs/>
          <w:color w:val="000000"/>
          <w:lang w:eastAsia="en-GB"/>
        </w:rPr>
        <w:t>Of</w:t>
      </w:r>
      <w:proofErr w:type="gramEnd"/>
      <w:r w:rsidRPr="0003479E">
        <w:rPr>
          <w:rFonts w:eastAsia="Times New Roman" w:cstheme="minorHAnsi"/>
          <w:b/>
          <w:bCs/>
          <w:color w:val="000000"/>
          <w:lang w:eastAsia="en-GB"/>
        </w:rPr>
        <w:t xml:space="preserve"> Commons</w:t>
      </w:r>
      <w:r>
        <w:rPr>
          <w:rFonts w:eastAsia="Times New Roman" w:cstheme="minorHAnsi"/>
          <w:b/>
          <w:bCs/>
          <w:color w:val="000000"/>
          <w:lang w:eastAsia="en-GB"/>
        </w:rPr>
        <w:t>,</w:t>
      </w:r>
      <w:r w:rsidRPr="0003479E">
        <w:rPr>
          <w:rFonts w:eastAsia="Times New Roman" w:cstheme="minorHAnsi"/>
          <w:b/>
          <w:bCs/>
          <w:color w:val="000000"/>
          <w:lang w:eastAsia="en-GB"/>
        </w:rPr>
        <w:t xml:space="preserve"> 19</w:t>
      </w:r>
      <w:r w:rsidRPr="0003479E">
        <w:rPr>
          <w:rFonts w:eastAsia="Times New Roman" w:cstheme="minorHAnsi"/>
          <w:b/>
          <w:bCs/>
          <w:color w:val="000000"/>
          <w:vertAlign w:val="superscript"/>
          <w:lang w:eastAsia="en-GB"/>
        </w:rPr>
        <w:t>th</w:t>
      </w:r>
      <w:r w:rsidRPr="0003479E">
        <w:rPr>
          <w:rFonts w:eastAsia="Times New Roman" w:cstheme="minorHAnsi"/>
          <w:b/>
          <w:bCs/>
          <w:color w:val="000000"/>
          <w:lang w:eastAsia="en-GB"/>
        </w:rPr>
        <w:t xml:space="preserve"> December 1916</w:t>
      </w:r>
      <w:r>
        <w:rPr>
          <w:rFonts w:eastAsia="Times New Roman" w:cstheme="minorHAnsi"/>
          <w:b/>
          <w:bCs/>
          <w:color w:val="000000"/>
          <w:lang w:eastAsia="en-GB"/>
        </w:rPr>
        <w:t xml:space="preserve">. </w:t>
      </w:r>
      <w:r w:rsidRPr="0003479E">
        <w:rPr>
          <w:rFonts w:eastAsia="Times New Roman" w:cstheme="minorHAnsi"/>
          <w:b/>
          <w:bCs/>
          <w:color w:val="000000"/>
          <w:lang w:eastAsia="en-GB"/>
        </w:rPr>
        <w:t xml:space="preserve"> </w:t>
      </w:r>
      <w:r w:rsidRPr="00A47D6F">
        <w:rPr>
          <w:rFonts w:eastAsia="Times New Roman" w:cstheme="minorHAnsi"/>
          <w:b/>
          <w:bCs/>
          <w:color w:val="000000"/>
          <w:lang w:val="nb-NO" w:eastAsia="en-GB"/>
        </w:rPr>
        <w:t xml:space="preserve">(Hansard 1358-1368).  </w:t>
      </w:r>
      <w:r w:rsidR="00EE265B">
        <w:fldChar w:fldCharType="begin"/>
      </w:r>
      <w:r w:rsidR="00EE265B">
        <w:instrText xml:space="preserve"> HYPERLINK "about:blank" </w:instrText>
      </w:r>
      <w:r w:rsidR="00EE265B">
        <w:fldChar w:fldCharType="separate"/>
      </w:r>
      <w:r w:rsidRPr="00A47D6F">
        <w:rPr>
          <w:rStyle w:val="Hyperlink"/>
          <w:rFonts w:eastAsia="Times New Roman"/>
          <w:lang w:val="nb-NO"/>
        </w:rPr>
        <w:t>https://api.parliament.uk/historic-hansard/commons/1916/dec/19/prime-ministers-statement</w:t>
      </w:r>
      <w:r w:rsidR="00EE265B">
        <w:rPr>
          <w:rStyle w:val="Hyperlink"/>
          <w:rFonts w:eastAsia="Times New Roman"/>
          <w:lang w:val="nb-NO"/>
        </w:rPr>
        <w:fldChar w:fldCharType="end"/>
      </w:r>
    </w:p>
    <w:p w14:paraId="6936CFB2" w14:textId="77777777" w:rsidR="006646E9" w:rsidRPr="001D53D0" w:rsidRDefault="006646E9" w:rsidP="006646E9">
      <w:pPr>
        <w:spacing w:before="100" w:beforeAutospacing="1" w:after="100" w:afterAutospacing="1" w:line="240" w:lineRule="auto"/>
        <w:rPr>
          <w:rFonts w:eastAsia="Times New Roman" w:cstheme="minorHAnsi"/>
          <w:lang w:eastAsia="en-GB"/>
        </w:rPr>
      </w:pPr>
      <w:r>
        <w:rPr>
          <w:rFonts w:eastAsia="Times New Roman" w:cstheme="minorHAnsi"/>
          <w:lang w:eastAsia="en-GB"/>
        </w:rPr>
        <w:t xml:space="preserve">For over a century, historians have analysed the events leading up to the fall of the Asquith Coalition on the </w:t>
      </w:r>
      <w:proofErr w:type="gramStart"/>
      <w:r>
        <w:rPr>
          <w:rFonts w:eastAsia="Times New Roman" w:cstheme="minorHAnsi"/>
          <w:lang w:eastAsia="en-GB"/>
        </w:rPr>
        <w:t>5</w:t>
      </w:r>
      <w:r w:rsidRPr="001B2CC7">
        <w:rPr>
          <w:rFonts w:eastAsia="Times New Roman" w:cstheme="minorHAnsi"/>
          <w:vertAlign w:val="superscript"/>
          <w:lang w:eastAsia="en-GB"/>
        </w:rPr>
        <w:t>th</w:t>
      </w:r>
      <w:proofErr w:type="gramEnd"/>
      <w:r>
        <w:rPr>
          <w:rFonts w:eastAsia="Times New Roman" w:cstheme="minorHAnsi"/>
          <w:lang w:eastAsia="en-GB"/>
        </w:rPr>
        <w:t xml:space="preserve"> December 1916.  Unsurprisingly substantial emphasis has been placed upon the memoirs and correspondence of the principal players.  Little attention, it seems, has been paid to events in Parliament. </w:t>
      </w:r>
      <w:r w:rsidRPr="00C36E2D">
        <w:rPr>
          <w:rFonts w:eastAsia="Times New Roman" w:cstheme="minorHAnsi"/>
          <w:color w:val="000000"/>
          <w:lang w:eastAsia="en-GB"/>
        </w:rPr>
        <w:t xml:space="preserve"> This document</w:t>
      </w:r>
      <w:r>
        <w:rPr>
          <w:rFonts w:eastAsia="Times New Roman" w:cstheme="minorHAnsi"/>
          <w:color w:val="000000"/>
          <w:lang w:eastAsia="en-GB"/>
        </w:rPr>
        <w:t xml:space="preserve"> is a Hansard transcript of the first significant</w:t>
      </w:r>
      <w:r w:rsidRPr="00D25482">
        <w:rPr>
          <w:rFonts w:eastAsia="Times New Roman" w:cstheme="minorHAnsi"/>
          <w:color w:val="000000"/>
          <w:lang w:eastAsia="en-GB"/>
        </w:rPr>
        <w:t xml:space="preserve"> reply</w:t>
      </w:r>
      <w:r>
        <w:rPr>
          <w:rFonts w:eastAsia="Times New Roman" w:cstheme="minorHAnsi"/>
          <w:color w:val="000000"/>
          <w:lang w:eastAsia="en-GB"/>
        </w:rPr>
        <w:t xml:space="preserve"> given by </w:t>
      </w:r>
      <w:r w:rsidRPr="00D25482">
        <w:rPr>
          <w:rFonts w:eastAsia="Times New Roman" w:cstheme="minorHAnsi"/>
          <w:color w:val="000000"/>
          <w:lang w:eastAsia="en-GB"/>
        </w:rPr>
        <w:t>Herbert Asquith</w:t>
      </w:r>
      <w:r>
        <w:rPr>
          <w:rFonts w:eastAsia="Times New Roman" w:cstheme="minorHAnsi"/>
          <w:color w:val="000000"/>
          <w:lang w:eastAsia="en-GB"/>
        </w:rPr>
        <w:t>,</w:t>
      </w:r>
      <w:r w:rsidRPr="00187921">
        <w:rPr>
          <w:rFonts w:eastAsia="Times New Roman" w:cstheme="minorHAnsi"/>
          <w:color w:val="000000"/>
          <w:lang w:eastAsia="en-GB"/>
        </w:rPr>
        <w:t xml:space="preserve"> </w:t>
      </w:r>
      <w:r>
        <w:rPr>
          <w:rFonts w:eastAsia="Times New Roman" w:cstheme="minorHAnsi"/>
          <w:color w:val="000000"/>
          <w:lang w:eastAsia="en-GB"/>
        </w:rPr>
        <w:t xml:space="preserve">now </w:t>
      </w:r>
      <w:r w:rsidRPr="00D25482">
        <w:rPr>
          <w:rFonts w:eastAsia="Times New Roman" w:cstheme="minorHAnsi"/>
          <w:color w:val="000000"/>
          <w:lang w:eastAsia="en-GB"/>
        </w:rPr>
        <w:t>L</w:t>
      </w:r>
      <w:r>
        <w:rPr>
          <w:rFonts w:eastAsia="Times New Roman" w:cstheme="minorHAnsi"/>
          <w:color w:val="000000"/>
          <w:lang w:eastAsia="en-GB"/>
        </w:rPr>
        <w:t>eader of the</w:t>
      </w:r>
      <w:r w:rsidRPr="00D25482">
        <w:rPr>
          <w:rFonts w:eastAsia="Times New Roman" w:cstheme="minorHAnsi"/>
          <w:color w:val="000000"/>
          <w:lang w:eastAsia="en-GB"/>
        </w:rPr>
        <w:t xml:space="preserve"> Opposition</w:t>
      </w:r>
      <w:r>
        <w:rPr>
          <w:rFonts w:eastAsia="Times New Roman" w:cstheme="minorHAnsi"/>
          <w:color w:val="000000"/>
          <w:lang w:eastAsia="en-GB"/>
        </w:rPr>
        <w:t>,</w:t>
      </w:r>
      <w:r w:rsidRPr="00187921">
        <w:rPr>
          <w:rFonts w:eastAsia="Times New Roman" w:cstheme="minorHAnsi"/>
          <w:color w:val="000000"/>
          <w:lang w:eastAsia="en-GB"/>
        </w:rPr>
        <w:t xml:space="preserve"> </w:t>
      </w:r>
      <w:r>
        <w:rPr>
          <w:rFonts w:eastAsia="Times New Roman" w:cstheme="minorHAnsi"/>
          <w:color w:val="000000"/>
          <w:lang w:eastAsia="en-GB"/>
        </w:rPr>
        <w:t>to a s</w:t>
      </w:r>
      <w:r w:rsidRPr="00187921">
        <w:rPr>
          <w:rFonts w:eastAsia="Times New Roman" w:cstheme="minorHAnsi"/>
          <w:color w:val="000000"/>
          <w:lang w:eastAsia="en-GB"/>
        </w:rPr>
        <w:t>t</w:t>
      </w:r>
      <w:r>
        <w:rPr>
          <w:rFonts w:eastAsia="Times New Roman" w:cstheme="minorHAnsi"/>
          <w:color w:val="000000"/>
          <w:lang w:eastAsia="en-GB"/>
        </w:rPr>
        <w:t>atement by the new Prime Ministe</w:t>
      </w:r>
      <w:r w:rsidRPr="00187921">
        <w:rPr>
          <w:rFonts w:eastAsia="Times New Roman" w:cstheme="minorHAnsi"/>
          <w:color w:val="000000"/>
          <w:lang w:eastAsia="en-GB"/>
        </w:rPr>
        <w:t>r</w:t>
      </w:r>
      <w:r>
        <w:rPr>
          <w:rFonts w:eastAsia="Times New Roman" w:cstheme="minorHAnsi"/>
          <w:color w:val="000000"/>
          <w:lang w:eastAsia="en-GB"/>
        </w:rPr>
        <w:t>,</w:t>
      </w:r>
      <w:r w:rsidRPr="00187921">
        <w:rPr>
          <w:rFonts w:eastAsia="Times New Roman" w:cstheme="minorHAnsi"/>
          <w:color w:val="000000"/>
          <w:lang w:eastAsia="en-GB"/>
        </w:rPr>
        <w:t xml:space="preserve"> David Lloyd George</w:t>
      </w:r>
      <w:r>
        <w:rPr>
          <w:rFonts w:eastAsia="Times New Roman" w:cstheme="minorHAnsi"/>
          <w:color w:val="000000"/>
          <w:lang w:eastAsia="en-GB"/>
        </w:rPr>
        <w:t>,</w:t>
      </w:r>
      <w:r w:rsidRPr="00187921">
        <w:rPr>
          <w:rFonts w:eastAsia="Times New Roman" w:cstheme="minorHAnsi"/>
          <w:color w:val="000000"/>
          <w:lang w:eastAsia="en-GB"/>
        </w:rPr>
        <w:t xml:space="preserve"> in the House</w:t>
      </w:r>
      <w:r>
        <w:rPr>
          <w:rFonts w:eastAsia="Times New Roman" w:cstheme="minorHAnsi"/>
          <w:color w:val="000000"/>
          <w:lang w:eastAsia="en-GB"/>
        </w:rPr>
        <w:t xml:space="preserve"> o</w:t>
      </w:r>
      <w:r w:rsidRPr="00187921">
        <w:rPr>
          <w:rFonts w:eastAsia="Times New Roman" w:cstheme="minorHAnsi"/>
          <w:color w:val="000000"/>
          <w:lang w:eastAsia="en-GB"/>
        </w:rPr>
        <w:t>f Common</w:t>
      </w:r>
      <w:r>
        <w:rPr>
          <w:rFonts w:eastAsia="Times New Roman" w:cstheme="minorHAnsi"/>
          <w:color w:val="000000"/>
          <w:lang w:eastAsia="en-GB"/>
        </w:rPr>
        <w:t xml:space="preserve">s </w:t>
      </w:r>
      <w:r w:rsidRPr="00187921">
        <w:rPr>
          <w:rFonts w:eastAsia="Times New Roman" w:cstheme="minorHAnsi"/>
          <w:color w:val="000000"/>
          <w:lang w:eastAsia="en-GB"/>
        </w:rPr>
        <w:t xml:space="preserve">on the </w:t>
      </w:r>
      <w:proofErr w:type="gramStart"/>
      <w:r w:rsidRPr="00187921">
        <w:rPr>
          <w:rFonts w:eastAsia="Times New Roman" w:cstheme="minorHAnsi"/>
          <w:color w:val="000000"/>
          <w:lang w:eastAsia="en-GB"/>
        </w:rPr>
        <w:t>19</w:t>
      </w:r>
      <w:r w:rsidRPr="00187921">
        <w:rPr>
          <w:rFonts w:eastAsia="Times New Roman" w:cstheme="minorHAnsi"/>
          <w:color w:val="000000"/>
          <w:vertAlign w:val="superscript"/>
          <w:lang w:eastAsia="en-GB"/>
        </w:rPr>
        <w:t>th</w:t>
      </w:r>
      <w:proofErr w:type="gramEnd"/>
      <w:r>
        <w:rPr>
          <w:rFonts w:eastAsia="Times New Roman" w:cstheme="minorHAnsi"/>
          <w:color w:val="000000"/>
          <w:lang w:eastAsia="en-GB"/>
        </w:rPr>
        <w:t xml:space="preserve"> December.</w:t>
      </w:r>
      <w:r w:rsidRPr="00C14AFA">
        <w:rPr>
          <w:rFonts w:eastAsia="Times New Roman" w:cstheme="minorHAnsi"/>
          <w:lang w:eastAsia="en-GB"/>
        </w:rPr>
        <w:t xml:space="preserve">  </w:t>
      </w:r>
      <w:r>
        <w:rPr>
          <w:rFonts w:eastAsia="Times New Roman" w:cstheme="minorHAnsi"/>
          <w:color w:val="000000"/>
          <w:lang w:eastAsia="en-GB"/>
        </w:rPr>
        <w:t xml:space="preserve">The content of the speech, when read in conjunction with contemporary memoirs, </w:t>
      </w:r>
      <w:r>
        <w:rPr>
          <w:rFonts w:eastAsia="Times New Roman" w:cstheme="minorHAnsi"/>
          <w:lang w:eastAsia="en-GB"/>
        </w:rPr>
        <w:t>reveals much</w:t>
      </w:r>
      <w:r w:rsidRPr="0011225E">
        <w:rPr>
          <w:rFonts w:eastAsia="Times New Roman" w:cstheme="minorHAnsi"/>
          <w:lang w:eastAsia="en-GB"/>
        </w:rPr>
        <w:t xml:space="preserve"> about Asquith as a politician, his conduct of the war and fall from power.</w:t>
      </w:r>
    </w:p>
    <w:p w14:paraId="76CADFDD" w14:textId="77777777" w:rsidR="006646E9" w:rsidRDefault="006646E9" w:rsidP="006646E9">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He begins by congratulating his successor on his appointment.  It is hard to conceive how he could do anything else, but the irony of insincerity cannot have been lost on Lloyd George.  Certainly, his former colleague might have expected worse because this was not the first time Asquith had risen in response.  His initial interjection concerned what both parties knew was the catalyst for the fall of the Asquith Coalition, the War Committee.  Asquith's brief comment was a thinly disguised continuation of the controversy.  Adopting the tone of the outraged elder statesman, Asquith was anxious to reiterate the note-taking privileges that the Prime Minister alone possessed.  Lloyd George skilfully rebutted his remarks, and Asquith perhaps had the good sense to realise the potential embarrassment of his own petulance and delay his main response.</w:t>
      </w:r>
    </w:p>
    <w:p w14:paraId="5FFB1952" w14:textId="77777777" w:rsidR="006646E9" w:rsidRDefault="006646E9" w:rsidP="006646E9">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Following his mock congratulations, Asquith continued the ironic tone.  His comment </w:t>
      </w:r>
      <w:r w:rsidRPr="00E57DB2">
        <w:rPr>
          <w:rFonts w:eastAsia="Times New Roman" w:cstheme="minorHAnsi"/>
          <w:color w:val="000000"/>
          <w:lang w:eastAsia="en-GB"/>
        </w:rPr>
        <w:t>“that there never been two years in our history-when the voice of party has been so silent, the deflections of the party current have been so rare, and a united nation has presented a more united front”</w:t>
      </w:r>
      <w:r w:rsidRPr="00154E53">
        <w:t xml:space="preserve"> </w:t>
      </w:r>
      <w:r>
        <w:t>(</w:t>
      </w:r>
      <w:r>
        <w:rPr>
          <w:i/>
          <w:iCs/>
        </w:rPr>
        <w:t>Prime Ministers Statement</w:t>
      </w:r>
      <w:r>
        <w:t>, 1916),</w:t>
      </w:r>
      <w:r>
        <w:rPr>
          <w:rFonts w:eastAsia="Times New Roman" w:cstheme="minorHAnsi"/>
          <w:color w:val="000000"/>
          <w:lang w:eastAsia="en-GB"/>
        </w:rPr>
        <w:t xml:space="preserve"> is in total opposition to the recollections of all involved.  Jenkins wrote that following the Lansdowne Memorandum, "The Cabinet, it was suggested was hopelessly divided, not merely about the conduct of the war, but about whether it should continue to be fought at all</w:t>
      </w:r>
      <w:r w:rsidRPr="00E57DB2">
        <w:rPr>
          <w:rFonts w:eastAsia="Times New Roman" w:cstheme="minorHAnsi"/>
          <w:color w:val="000000"/>
          <w:lang w:eastAsia="en-GB"/>
        </w:rPr>
        <w:t>” (Jenkins, 1978, p. 419).</w:t>
      </w:r>
      <w:r>
        <w:rPr>
          <w:rFonts w:eastAsia="Times New Roman" w:cstheme="minorHAnsi"/>
          <w:color w:val="000000"/>
          <w:lang w:eastAsia="en-GB"/>
        </w:rPr>
        <w:t xml:space="preserve">  Notably, while Lloyd George provided a detailed and reasoned account of the events leading to the fall of the Asquith Coalition, on this Asquith was strangely silent.  In his “</w:t>
      </w:r>
      <w:r w:rsidRPr="000D177D">
        <w:rPr>
          <w:rFonts w:eastAsia="Times New Roman" w:cstheme="minorHAnsi"/>
          <w:i/>
          <w:color w:val="000000"/>
          <w:lang w:eastAsia="en-GB"/>
        </w:rPr>
        <w:t>Memories and Reflections</w:t>
      </w:r>
      <w:r>
        <w:rPr>
          <w:rFonts w:eastAsia="Times New Roman" w:cstheme="minorHAnsi"/>
          <w:i/>
          <w:color w:val="000000"/>
          <w:lang w:eastAsia="en-GB"/>
        </w:rPr>
        <w:t>”</w:t>
      </w:r>
      <w:r>
        <w:rPr>
          <w:rFonts w:eastAsia="Times New Roman" w:cstheme="minorHAnsi"/>
          <w:color w:val="000000"/>
          <w:lang w:eastAsia="en-GB"/>
        </w:rPr>
        <w:t xml:space="preserve">, there is </w:t>
      </w:r>
      <w:r w:rsidRPr="00A47D6F">
        <w:rPr>
          <w:rFonts w:eastAsia="Times New Roman" w:cstheme="minorHAnsi"/>
          <w:color w:val="000000"/>
          <w:lang w:eastAsia="en-GB"/>
        </w:rPr>
        <w:t>a visible absence</w:t>
      </w:r>
      <w:r>
        <w:rPr>
          <w:rFonts w:eastAsia="Times New Roman" w:cstheme="minorHAnsi"/>
          <w:color w:val="000000"/>
          <w:lang w:eastAsia="en-GB"/>
        </w:rPr>
        <w:t xml:space="preserve"> of his own memories.  Instead, in the chapter given over to the </w:t>
      </w:r>
      <w:r w:rsidRPr="00CE078C">
        <w:rPr>
          <w:rFonts w:eastAsia="Times New Roman" w:cstheme="minorHAnsi"/>
          <w:color w:val="000000"/>
          <w:lang w:eastAsia="en-GB"/>
        </w:rPr>
        <w:t>"Break Up of The First Coalition," he delegated the description to Lord Crewe</w:t>
      </w:r>
      <w:r w:rsidRPr="006273C7">
        <w:rPr>
          <w:rFonts w:eastAsia="Times New Roman" w:cstheme="minorHAnsi"/>
          <w:color w:val="000000"/>
          <w:lang w:eastAsia="en-GB"/>
        </w:rPr>
        <w:t>.  (Asquith 1928, p. 128).</w:t>
      </w:r>
      <w:r w:rsidRPr="00CE078C">
        <w:rPr>
          <w:rFonts w:eastAsia="Times New Roman" w:cstheme="minorHAnsi"/>
          <w:color w:val="000000"/>
          <w:lang w:eastAsia="en-GB"/>
        </w:rPr>
        <w:t xml:space="preserve">  He would have</w:t>
      </w:r>
      <w:r>
        <w:rPr>
          <w:rFonts w:eastAsia="Times New Roman" w:cstheme="minorHAnsi"/>
          <w:color w:val="000000"/>
          <w:lang w:eastAsia="en-GB"/>
        </w:rPr>
        <w:t xml:space="preserve"> done well to have, in his words, “re-traversed”, Crewe’s comments, because like Lloyd George’s Memoirs, the picture painted is of anything but unity.  Division was now not based entirely upon party lines but on a complex network of perceived loyalties set against a </w:t>
      </w:r>
      <w:r w:rsidRPr="00A47D6F">
        <w:rPr>
          <w:rFonts w:eastAsia="Times New Roman" w:cstheme="minorHAnsi"/>
          <w:color w:val="000000"/>
          <w:lang w:eastAsia="en-GB"/>
        </w:rPr>
        <w:t>fundamental disagreement</w:t>
      </w:r>
      <w:r>
        <w:rPr>
          <w:rFonts w:eastAsia="Times New Roman" w:cstheme="minorHAnsi"/>
          <w:color w:val="000000"/>
          <w:lang w:eastAsia="en-GB"/>
        </w:rPr>
        <w:t xml:space="preserve"> on how the War should be directed.</w:t>
      </w:r>
    </w:p>
    <w:p w14:paraId="3F073854" w14:textId="77777777" w:rsidR="006646E9" w:rsidRDefault="006646E9" w:rsidP="006646E9">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It appears that disunity in Government was likely to be followed by disunity in opposition.  Asquith declared that speaking from the opposition </w:t>
      </w:r>
      <w:r w:rsidRPr="00421731">
        <w:rPr>
          <w:rFonts w:eastAsia="Times New Roman" w:cstheme="minorHAnsi"/>
          <w:color w:val="000000"/>
          <w:lang w:eastAsia="en-GB"/>
        </w:rPr>
        <w:t>benches “</w:t>
      </w:r>
      <w:r w:rsidRPr="00421731">
        <w:rPr>
          <w:rFonts w:cstheme="minorHAnsi"/>
          <w:color w:val="000000"/>
        </w:rPr>
        <w:t xml:space="preserve">is not because I claim in any sense to be the Leader of what is </w:t>
      </w:r>
      <w:r w:rsidRPr="00421731">
        <w:rPr>
          <w:rFonts w:cstheme="minorHAnsi"/>
          <w:color w:val="000000"/>
        </w:rPr>
        <w:lastRenderedPageBreak/>
        <w:t>called an Opposition.  Opposition! I believe there is none...  I do not stand here and speak here as the head of the Liberal party”</w:t>
      </w:r>
      <w:r w:rsidRPr="00421731">
        <w:t xml:space="preserve"> (</w:t>
      </w:r>
      <w:r w:rsidRPr="00421731">
        <w:rPr>
          <w:i/>
          <w:iCs/>
        </w:rPr>
        <w:t>Prime Ministers Statement</w:t>
      </w:r>
      <w:r w:rsidRPr="00421731">
        <w:t>, 1916)</w:t>
      </w:r>
      <w:r w:rsidRPr="00421731">
        <w:rPr>
          <w:rFonts w:cstheme="minorHAnsi"/>
          <w:color w:val="000000"/>
        </w:rPr>
        <w:t>.</w:t>
      </w:r>
      <w:r>
        <w:rPr>
          <w:rFonts w:cstheme="minorHAnsi"/>
          <w:color w:val="000000"/>
        </w:rPr>
        <w:t xml:space="preserve">  Jenkins argues that Asquith was in a novel, if not precarious, position as nominal Leader of the </w:t>
      </w:r>
      <w:r w:rsidRPr="00421731">
        <w:rPr>
          <w:rFonts w:cstheme="minorHAnsi"/>
          <w:color w:val="000000"/>
        </w:rPr>
        <w:t>Opposition (Jenkins, 1978</w:t>
      </w:r>
      <w:r>
        <w:rPr>
          <w:rFonts w:cstheme="minorHAnsi"/>
          <w:color w:val="000000"/>
        </w:rPr>
        <w:t>,</w:t>
      </w:r>
      <w:r w:rsidRPr="00421731">
        <w:rPr>
          <w:rFonts w:cstheme="minorHAnsi"/>
          <w:color w:val="000000"/>
        </w:rPr>
        <w:t xml:space="preserve"> p</w:t>
      </w:r>
      <w:r>
        <w:rPr>
          <w:rFonts w:cstheme="minorHAnsi"/>
          <w:color w:val="000000"/>
        </w:rPr>
        <w:t xml:space="preserve">. </w:t>
      </w:r>
      <w:r w:rsidRPr="00421731">
        <w:rPr>
          <w:rFonts w:cstheme="minorHAnsi"/>
          <w:color w:val="000000"/>
        </w:rPr>
        <w:t>464).</w:t>
      </w:r>
      <w:r w:rsidRPr="00275559">
        <w:rPr>
          <w:rFonts w:cstheme="minorHAnsi"/>
          <w:color w:val="000000"/>
        </w:rPr>
        <w:t xml:space="preserve">  The Liberal party he was leading comprised some frontbenchers who were likely to be more hostile to</w:t>
      </w:r>
      <w:r>
        <w:rPr>
          <w:rFonts w:cstheme="minorHAnsi"/>
          <w:color w:val="000000"/>
        </w:rPr>
        <w:t xml:space="preserve"> the new Government than he was.  However, 126 of his MPs were committed to supporting the Government</w:t>
      </w:r>
      <w:r w:rsidRPr="007A51DB">
        <w:rPr>
          <w:rFonts w:cstheme="minorHAnsi"/>
          <w:color w:val="000000"/>
        </w:rPr>
        <w:t>.  (Jenkins, 1978, p. 464).</w:t>
      </w:r>
      <w:r>
        <w:rPr>
          <w:rFonts w:cstheme="minorHAnsi"/>
          <w:color w:val="000000"/>
        </w:rPr>
        <w:t xml:space="preserve">  Even had there been opportunity to do so, Asquith was not inclined to be </w:t>
      </w:r>
      <w:proofErr w:type="gramStart"/>
      <w:r>
        <w:rPr>
          <w:rFonts w:cstheme="minorHAnsi"/>
          <w:color w:val="000000"/>
        </w:rPr>
        <w:t>an</w:t>
      </w:r>
      <w:proofErr w:type="gramEnd"/>
      <w:r>
        <w:rPr>
          <w:rFonts w:cstheme="minorHAnsi"/>
          <w:color w:val="000000"/>
        </w:rPr>
        <w:t xml:space="preserve"> stron</w:t>
      </w:r>
      <w:r w:rsidRPr="00A47D6F">
        <w:rPr>
          <w:rFonts w:cstheme="minorHAnsi"/>
          <w:color w:val="000000"/>
        </w:rPr>
        <w:t>g</w:t>
      </w:r>
      <w:r>
        <w:rPr>
          <w:rFonts w:cstheme="minorHAnsi"/>
          <w:color w:val="000000"/>
        </w:rPr>
        <w:t xml:space="preserve"> critic.  That would have damaged national unity at a time of crisis, and "He felt a heavy, continuing responsibility for the decision of 4th August 1914</w:t>
      </w:r>
      <w:r w:rsidRPr="007A51DB">
        <w:rPr>
          <w:rFonts w:cstheme="minorHAnsi"/>
          <w:color w:val="000000"/>
        </w:rPr>
        <w:t>” (Jenkins, 1978, p. 465).</w:t>
      </w:r>
    </w:p>
    <w:p w14:paraId="1308CAAE" w14:textId="77777777" w:rsidR="006646E9" w:rsidRDefault="006646E9" w:rsidP="006646E9">
      <w:pPr>
        <w:spacing w:before="100" w:beforeAutospacing="1" w:after="100" w:afterAutospacing="1" w:line="240" w:lineRule="auto"/>
        <w:rPr>
          <w:rFonts w:eastAsia="Times New Roman" w:cstheme="minorHAnsi"/>
          <w:lang w:eastAsia="en-GB"/>
        </w:rPr>
      </w:pPr>
      <w:r>
        <w:rPr>
          <w:rFonts w:eastAsia="Times New Roman" w:cstheme="minorHAnsi"/>
          <w:color w:val="000000"/>
          <w:lang w:eastAsia="en-GB"/>
        </w:rPr>
        <w:t xml:space="preserve">Asquith is at pains to emphasise that coalition is an inherently temporary mechanism.  This is another veiled criticism of Lloyd George, who since 1910 had sought coalition as the most efficient form of Government and would undoubtedly continue to do so after the </w:t>
      </w:r>
      <w:r w:rsidRPr="007A51DB">
        <w:rPr>
          <w:rFonts w:eastAsia="Times New Roman" w:cstheme="minorHAnsi"/>
          <w:color w:val="000000"/>
          <w:lang w:eastAsia="en-GB"/>
        </w:rPr>
        <w:t>war (Fraser, 1982, p. 4).</w:t>
      </w:r>
      <w:r>
        <w:rPr>
          <w:rFonts w:eastAsia="Times New Roman" w:cstheme="minorHAnsi"/>
          <w:color w:val="000000"/>
          <w:lang w:eastAsia="en-GB"/>
        </w:rPr>
        <w:t xml:space="preserve"> </w:t>
      </w:r>
      <w:r w:rsidRPr="007A51DB">
        <w:rPr>
          <w:rFonts w:eastAsia="Times New Roman" w:cstheme="minorHAnsi"/>
          <w:color w:val="000000"/>
          <w:lang w:eastAsia="en-GB"/>
        </w:rPr>
        <w:t xml:space="preserve"> For</w:t>
      </w:r>
      <w:r>
        <w:rPr>
          <w:rFonts w:eastAsia="Times New Roman" w:cstheme="minorHAnsi"/>
          <w:color w:val="000000"/>
          <w:lang w:eastAsia="en-GB"/>
        </w:rPr>
        <w:t xml:space="preserve"> Asquith, Lloyd George represented the new politics of "state socialism and demagogy", of which coalition government was a </w:t>
      </w:r>
      <w:r w:rsidRPr="00E47E56">
        <w:rPr>
          <w:rFonts w:eastAsia="Times New Roman" w:cstheme="minorHAnsi"/>
          <w:color w:val="000000"/>
          <w:lang w:eastAsia="en-GB"/>
        </w:rPr>
        <w:t>forerunner (Fraser, 1982, p. 25).</w:t>
      </w:r>
      <w:r>
        <w:rPr>
          <w:rFonts w:eastAsia="Times New Roman" w:cstheme="minorHAnsi"/>
          <w:color w:val="000000"/>
          <w:lang w:eastAsia="en-GB"/>
        </w:rPr>
        <w:t xml:space="preserve">  Asquith went on to declare that whilst regretful that he had not completed the task, he was grateful for the </w:t>
      </w:r>
      <w:r w:rsidRPr="00E47E56">
        <w:rPr>
          <w:rFonts w:eastAsia="Times New Roman" w:cstheme="minorHAnsi"/>
          <w:lang w:eastAsia="en-GB"/>
        </w:rPr>
        <w:t xml:space="preserve">“unspeakable relief to be released from a daily burden which has lately been carried under almost insupportable conditions” </w:t>
      </w:r>
      <w:r>
        <w:t>(</w:t>
      </w:r>
      <w:r>
        <w:rPr>
          <w:i/>
          <w:iCs/>
        </w:rPr>
        <w:t>Prime Ministers Statement</w:t>
      </w:r>
      <w:r>
        <w:t>, 1916</w:t>
      </w:r>
      <w:r w:rsidRPr="00E47E56">
        <w:t>)</w:t>
      </w:r>
      <w:r w:rsidRPr="00E47E56">
        <w:rPr>
          <w:rFonts w:eastAsia="Times New Roman" w:cstheme="minorHAnsi"/>
          <w:lang w:eastAsia="en-GB"/>
        </w:rPr>
        <w:t>.  A</w:t>
      </w:r>
      <w:r>
        <w:rPr>
          <w:rFonts w:eastAsia="Times New Roman" w:cstheme="minorHAnsi"/>
          <w:lang w:eastAsia="en-GB"/>
        </w:rPr>
        <w:t xml:space="preserve">ccording to Lloyd George, he disliked the inconvenience of decision making.  "When in despair of conciliating the antagonistic proposals, the Prime minister had a habit of turning round to the mantelpiece to see whether any temporary release was indicated by the hands on the </w:t>
      </w:r>
      <w:r w:rsidRPr="00E47E56">
        <w:rPr>
          <w:rFonts w:eastAsia="Times New Roman" w:cstheme="minorHAnsi"/>
          <w:lang w:eastAsia="en-GB"/>
        </w:rPr>
        <w:t>clock” (George, 1933, p. 978).</w:t>
      </w:r>
    </w:p>
    <w:p w14:paraId="535438B8" w14:textId="77777777" w:rsidR="006646E9" w:rsidRDefault="006646E9" w:rsidP="006646E9">
      <w:pPr>
        <w:spacing w:before="100" w:beforeAutospacing="1" w:after="100" w:afterAutospacing="1" w:line="240" w:lineRule="auto"/>
        <w:rPr>
          <w:rFonts w:eastAsia="Times New Roman" w:cstheme="minorHAnsi"/>
          <w:lang w:eastAsia="en-GB"/>
        </w:rPr>
      </w:pPr>
      <w:r w:rsidRPr="00271BB0">
        <w:rPr>
          <w:rFonts w:eastAsia="Times New Roman" w:cstheme="minorHAnsi"/>
          <w:lang w:eastAsia="en-GB"/>
        </w:rPr>
        <w:t>Unwilling to comment on the personal circumstances of hi</w:t>
      </w:r>
      <w:r>
        <w:rPr>
          <w:rFonts w:eastAsia="Times New Roman" w:cstheme="minorHAnsi"/>
          <w:lang w:eastAsia="en-GB"/>
        </w:rPr>
        <w:t xml:space="preserve">s downfall, </w:t>
      </w:r>
      <w:r w:rsidRPr="00271BB0">
        <w:rPr>
          <w:rFonts w:eastAsia="Times New Roman" w:cstheme="minorHAnsi"/>
          <w:lang w:eastAsia="en-GB"/>
        </w:rPr>
        <w:t>he</w:t>
      </w:r>
      <w:r>
        <w:rPr>
          <w:rFonts w:eastAsia="Times New Roman" w:cstheme="minorHAnsi"/>
          <w:lang w:eastAsia="en-GB"/>
        </w:rPr>
        <w:t xml:space="preserve"> is compelled to address any</w:t>
      </w:r>
      <w:r w:rsidRPr="00271BB0">
        <w:rPr>
          <w:rFonts w:eastAsia="Times New Roman" w:cstheme="minorHAnsi"/>
          <w:lang w:eastAsia="en-GB"/>
        </w:rPr>
        <w:t xml:space="preserve"> adverse opinion of his </w:t>
      </w:r>
      <w:proofErr w:type="gramStart"/>
      <w:r w:rsidRPr="00271BB0">
        <w:rPr>
          <w:rFonts w:eastAsia="Times New Roman" w:cstheme="minorHAnsi"/>
          <w:lang w:eastAsia="en-GB"/>
        </w:rPr>
        <w:t>Government</w:t>
      </w:r>
      <w:proofErr w:type="gramEnd"/>
      <w:r w:rsidRPr="00271BB0">
        <w:rPr>
          <w:rFonts w:eastAsia="Times New Roman" w:cstheme="minorHAnsi"/>
          <w:lang w:eastAsia="en-GB"/>
        </w:rPr>
        <w:t xml:space="preserve">.  </w:t>
      </w:r>
      <w:r>
        <w:rPr>
          <w:rFonts w:eastAsia="Times New Roman" w:cstheme="minorHAnsi"/>
          <w:color w:val="000000"/>
          <w:lang w:eastAsia="en-GB"/>
        </w:rPr>
        <w:t>Commenting on the suggestion that i</w:t>
      </w:r>
      <w:r w:rsidRPr="00271BB0">
        <w:rPr>
          <w:rFonts w:eastAsia="Times New Roman" w:cstheme="minorHAnsi"/>
          <w:color w:val="000000"/>
          <w:lang w:eastAsia="en-GB"/>
        </w:rPr>
        <w:t xml:space="preserve">t </w:t>
      </w:r>
      <w:r w:rsidRPr="00F352E2">
        <w:rPr>
          <w:rFonts w:eastAsia="Times New Roman" w:cstheme="minorHAnsi"/>
          <w:color w:val="000000"/>
          <w:lang w:eastAsia="en-GB"/>
        </w:rPr>
        <w:t xml:space="preserve">was “failing in the resolute and effective prosecution of this </w:t>
      </w:r>
      <w:r w:rsidRPr="00F352E2">
        <w:rPr>
          <w:rFonts w:eastAsia="Times New Roman" w:cstheme="minorHAnsi"/>
          <w:lang w:eastAsia="en-GB"/>
        </w:rPr>
        <w:t>War”, he dismisses the accusation of "slackness, or lethargy, infirmity of purpose, above all want of thoroughness and want of wholeheartedness in our concentration upon our common task"</w:t>
      </w:r>
      <w:r w:rsidRPr="000842F2">
        <w:t xml:space="preserve"> </w:t>
      </w:r>
      <w:r>
        <w:t>(</w:t>
      </w:r>
      <w:r>
        <w:rPr>
          <w:i/>
          <w:iCs/>
        </w:rPr>
        <w:t>Prime Ministers Statement</w:t>
      </w:r>
      <w:r>
        <w:t>, 1916).</w:t>
      </w:r>
      <w:r>
        <w:rPr>
          <w:rFonts w:eastAsia="Times New Roman" w:cstheme="minorHAnsi"/>
          <w:lang w:eastAsia="en-GB"/>
        </w:rPr>
        <w:t xml:space="preserve">  </w:t>
      </w:r>
      <w:r w:rsidRPr="00A42FEE">
        <w:rPr>
          <w:rFonts w:eastAsia="Times New Roman" w:cstheme="minorHAnsi"/>
          <w:lang w:eastAsia="en-GB"/>
        </w:rPr>
        <w:t>The fact that he says he is not pointing the finger at L</w:t>
      </w:r>
      <w:r>
        <w:rPr>
          <w:rFonts w:eastAsia="Times New Roman" w:cstheme="minorHAnsi"/>
          <w:lang w:eastAsia="en-GB"/>
        </w:rPr>
        <w:t>loyd George as the source of these accusations i</w:t>
      </w:r>
      <w:r w:rsidRPr="00A42FEE">
        <w:rPr>
          <w:rFonts w:eastAsia="Times New Roman" w:cstheme="minorHAnsi"/>
          <w:lang w:eastAsia="en-GB"/>
        </w:rPr>
        <w:t xml:space="preserve">s </w:t>
      </w:r>
      <w:r>
        <w:rPr>
          <w:rFonts w:eastAsia="Times New Roman" w:cstheme="minorHAnsi"/>
          <w:lang w:eastAsia="en-GB"/>
        </w:rPr>
        <w:t xml:space="preserve">really an admission that he is. </w:t>
      </w:r>
    </w:p>
    <w:p w14:paraId="6110DDEF" w14:textId="77777777" w:rsidR="006646E9" w:rsidRPr="00CB408C" w:rsidRDefault="006646E9" w:rsidP="006646E9">
      <w:pPr>
        <w:spacing w:before="100" w:beforeAutospacing="1" w:after="100" w:afterAutospacing="1" w:line="240" w:lineRule="auto"/>
        <w:rPr>
          <w:rFonts w:eastAsia="Times New Roman" w:cstheme="minorHAnsi"/>
          <w:color w:val="FF0000"/>
          <w:lang w:eastAsia="en-GB"/>
        </w:rPr>
      </w:pPr>
      <w:r w:rsidRPr="00CB408C">
        <w:rPr>
          <w:rFonts w:eastAsia="Times New Roman" w:cstheme="minorHAnsi"/>
          <w:lang w:eastAsia="en-GB"/>
        </w:rPr>
        <w:t xml:space="preserve">The final part of the speech contains a review of the War. </w:t>
      </w:r>
      <w:r>
        <w:rPr>
          <w:rFonts w:eastAsia="Times New Roman" w:cstheme="minorHAnsi"/>
          <w:lang w:eastAsia="en-GB"/>
        </w:rPr>
        <w:t xml:space="preserve"> The disastrous Somme campaign is justified by the recent German peace proposal.  By referring to the two unique aspects of British power</w:t>
      </w:r>
      <w:r w:rsidRPr="00F352E2">
        <w:rPr>
          <w:rFonts w:eastAsia="Times New Roman" w:cstheme="minorHAnsi"/>
          <w:lang w:eastAsia="en-GB"/>
        </w:rPr>
        <w:t xml:space="preserve">, “naval supremacy and financial resource” </w:t>
      </w:r>
      <w:r w:rsidRPr="00F352E2">
        <w:t>(</w:t>
      </w:r>
      <w:r w:rsidRPr="00F352E2">
        <w:rPr>
          <w:i/>
          <w:iCs/>
        </w:rPr>
        <w:t>Prime Ministers Statement</w:t>
      </w:r>
      <w:r w:rsidRPr="00F352E2">
        <w:t>, 1916),</w:t>
      </w:r>
      <w:r w:rsidRPr="00F352E2">
        <w:rPr>
          <w:rFonts w:eastAsia="Times New Roman" w:cstheme="minorHAnsi"/>
          <w:lang w:eastAsia="en-GB"/>
        </w:rPr>
        <w:t xml:space="preserve"> Asquith reveals that he still believes</w:t>
      </w:r>
      <w:r>
        <w:rPr>
          <w:rFonts w:eastAsia="Times New Roman" w:cstheme="minorHAnsi"/>
          <w:lang w:eastAsia="en-GB"/>
        </w:rPr>
        <w:t xml:space="preserve"> in the traditional Liberal Party approach to the war, that of limited ground involvement.  The claim that defeat of the submarine is impossible demonstrates his lack of ideas and initiative, which is a dangerous trait in times of crisis.  Lloyd George wrote that Arthur Acland, responding to his comment that Asquith was a likeable man, replied, "Yes, but did you ever hear him make any suggestion of his own?" </w:t>
      </w:r>
      <w:r w:rsidRPr="00F352E2">
        <w:rPr>
          <w:rFonts w:eastAsia="Times New Roman" w:cstheme="minorHAnsi"/>
          <w:lang w:eastAsia="en-GB"/>
        </w:rPr>
        <w:t>(George, 1933, p. 1006).</w:t>
      </w:r>
    </w:p>
    <w:p w14:paraId="5F1EF3A9" w14:textId="77777777" w:rsidR="006646E9" w:rsidRDefault="006646E9" w:rsidP="006646E9">
      <w:pPr>
        <w:spacing w:before="100" w:beforeAutospacing="1" w:after="100" w:afterAutospacing="1" w:line="240" w:lineRule="auto"/>
        <w:rPr>
          <w:rFonts w:eastAsia="Times New Roman" w:cstheme="minorHAnsi"/>
          <w:lang w:eastAsia="en-GB"/>
        </w:rPr>
      </w:pPr>
      <w:r>
        <w:rPr>
          <w:rFonts w:eastAsia="Times New Roman" w:cstheme="minorHAnsi"/>
          <w:lang w:eastAsia="en-GB"/>
        </w:rPr>
        <w:t>The document</w:t>
      </w:r>
      <w:r w:rsidRPr="00711D6A">
        <w:rPr>
          <w:rFonts w:eastAsia="Times New Roman" w:cstheme="minorHAnsi"/>
          <w:lang w:eastAsia="en-GB"/>
        </w:rPr>
        <w:t xml:space="preserve"> reinforces the Asquith described by his contemporaries.  Deeply upset by his downfall yet anxious not to disunite the country</w:t>
      </w:r>
      <w:r>
        <w:rPr>
          <w:rFonts w:eastAsia="Times New Roman" w:cstheme="minorHAnsi"/>
          <w:lang w:eastAsia="en-GB"/>
        </w:rPr>
        <w:t>,</w:t>
      </w:r>
      <w:r w:rsidRPr="00711D6A">
        <w:rPr>
          <w:rFonts w:eastAsia="Times New Roman" w:cstheme="minorHAnsi"/>
          <w:lang w:eastAsia="en-GB"/>
        </w:rPr>
        <w:t xml:space="preserve"> he was an academic, skilful in the art of politics and yet limited in imagination.  Clinging to an </w:t>
      </w:r>
      <w:r w:rsidRPr="009C2543">
        <w:rPr>
          <w:rFonts w:eastAsia="Times New Roman" w:cstheme="minorHAnsi"/>
          <w:lang w:eastAsia="en-GB"/>
        </w:rPr>
        <w:t>outmoded p</w:t>
      </w:r>
      <w:r w:rsidRPr="00711D6A">
        <w:rPr>
          <w:rFonts w:eastAsia="Times New Roman" w:cstheme="minorHAnsi"/>
          <w:lang w:eastAsia="en-GB"/>
        </w:rPr>
        <w:t xml:space="preserve">olitical </w:t>
      </w:r>
      <w:r>
        <w:rPr>
          <w:rFonts w:eastAsia="Times New Roman" w:cstheme="minorHAnsi"/>
          <w:lang w:eastAsia="en-GB"/>
        </w:rPr>
        <w:t>ideal</w:t>
      </w:r>
      <w:r w:rsidRPr="00711D6A">
        <w:rPr>
          <w:rFonts w:eastAsia="Times New Roman" w:cstheme="minorHAnsi"/>
          <w:lang w:eastAsia="en-GB"/>
        </w:rPr>
        <w:t>, he could not grasp the demands of total war.</w:t>
      </w:r>
    </w:p>
    <w:p w14:paraId="4176926E" w14:textId="77777777" w:rsidR="006646E9" w:rsidRPr="00F105F6" w:rsidRDefault="006646E9" w:rsidP="006646E9">
      <w:pPr>
        <w:rPr>
          <w:i/>
          <w:iCs/>
          <w:color w:val="002060"/>
        </w:rPr>
      </w:pPr>
      <w:r w:rsidRPr="00F105F6">
        <w:rPr>
          <w:i/>
          <w:iCs/>
          <w:color w:val="002060"/>
        </w:rPr>
        <w:t>(</w:t>
      </w:r>
      <w:proofErr w:type="gramStart"/>
      <w:r w:rsidRPr="00F105F6">
        <w:rPr>
          <w:i/>
          <w:iCs/>
          <w:color w:val="002060"/>
        </w:rPr>
        <w:t>1033 word</w:t>
      </w:r>
      <w:proofErr w:type="gramEnd"/>
      <w:r w:rsidRPr="00F105F6">
        <w:rPr>
          <w:i/>
          <w:iCs/>
          <w:color w:val="002060"/>
        </w:rPr>
        <w:t xml:space="preserve"> count, not including citations and titles)</w:t>
      </w:r>
    </w:p>
    <w:p w14:paraId="7CDC5F59" w14:textId="77777777" w:rsidR="006646E9" w:rsidRDefault="006646E9" w:rsidP="006646E9">
      <w:pPr>
        <w:spacing w:before="100" w:beforeAutospacing="1" w:after="100" w:afterAutospacing="1" w:line="240" w:lineRule="auto"/>
        <w:rPr>
          <w:rFonts w:eastAsia="Times New Roman" w:cstheme="minorHAnsi"/>
          <w:b/>
          <w:color w:val="000000"/>
          <w:u w:val="single"/>
          <w:lang w:eastAsia="en-GB"/>
        </w:rPr>
      </w:pPr>
    </w:p>
    <w:p w14:paraId="2D42CDEC" w14:textId="77777777" w:rsidR="006646E9" w:rsidRPr="0003479E" w:rsidRDefault="006646E9" w:rsidP="006646E9">
      <w:pPr>
        <w:spacing w:before="100" w:beforeAutospacing="1" w:after="100" w:afterAutospacing="1" w:line="240" w:lineRule="auto"/>
        <w:rPr>
          <w:rFonts w:eastAsia="Times New Roman" w:cstheme="minorHAnsi"/>
          <w:b/>
          <w:color w:val="000000"/>
          <w:u w:val="single"/>
          <w:lang w:eastAsia="en-GB"/>
        </w:rPr>
      </w:pPr>
      <w:r>
        <w:rPr>
          <w:rFonts w:eastAsia="Times New Roman" w:cstheme="minorHAnsi"/>
          <w:b/>
          <w:color w:val="000000"/>
          <w:u w:val="single"/>
          <w:lang w:eastAsia="en-GB"/>
        </w:rPr>
        <w:t>B</w:t>
      </w:r>
      <w:r w:rsidRPr="00F60247">
        <w:rPr>
          <w:rFonts w:eastAsia="Times New Roman" w:cstheme="minorHAnsi"/>
          <w:b/>
          <w:color w:val="000000"/>
          <w:u w:val="single"/>
          <w:lang w:eastAsia="en-GB"/>
        </w:rPr>
        <w:t>ibliography</w:t>
      </w:r>
    </w:p>
    <w:p w14:paraId="76E2A27C" w14:textId="77777777" w:rsidR="006646E9" w:rsidRPr="00CD70AF" w:rsidRDefault="006646E9" w:rsidP="006646E9">
      <w:r>
        <w:t xml:space="preserve">Asquith, H. H. (1928).  </w:t>
      </w:r>
      <w:r w:rsidRPr="00420500">
        <w:rPr>
          <w:i/>
          <w:iCs/>
        </w:rPr>
        <w:t xml:space="preserve">Memories And </w:t>
      </w:r>
      <w:r>
        <w:rPr>
          <w:i/>
          <w:iCs/>
        </w:rPr>
        <w:t>r</w:t>
      </w:r>
      <w:r w:rsidRPr="00420500">
        <w:rPr>
          <w:i/>
          <w:iCs/>
        </w:rPr>
        <w:t>eflections</w:t>
      </w:r>
      <w:r>
        <w:t xml:space="preserve">, </w:t>
      </w:r>
      <w:r w:rsidRPr="00CD70AF">
        <w:rPr>
          <w:i/>
          <w:iCs/>
        </w:rPr>
        <w:t>1852-1927</w:t>
      </w:r>
      <w:r>
        <w:rPr>
          <w:i/>
          <w:iCs/>
        </w:rPr>
        <w:t>,</w:t>
      </w:r>
      <w:r w:rsidRPr="00CD70AF">
        <w:rPr>
          <w:i/>
          <w:iCs/>
        </w:rPr>
        <w:t xml:space="preserve"> </w:t>
      </w:r>
      <w:r>
        <w:rPr>
          <w:i/>
          <w:iCs/>
        </w:rPr>
        <w:t>v</w:t>
      </w:r>
      <w:r w:rsidRPr="00CD70AF">
        <w:rPr>
          <w:i/>
          <w:iCs/>
        </w:rPr>
        <w:t>ol</w:t>
      </w:r>
      <w:r>
        <w:rPr>
          <w:i/>
          <w:iCs/>
        </w:rPr>
        <w:t xml:space="preserve">ume </w:t>
      </w:r>
      <w:r w:rsidRPr="00CD70AF">
        <w:rPr>
          <w:i/>
          <w:iCs/>
        </w:rPr>
        <w:t>2</w:t>
      </w:r>
      <w:r>
        <w:rPr>
          <w:i/>
          <w:iCs/>
        </w:rPr>
        <w:t>.</w:t>
      </w:r>
      <w:r>
        <w:t xml:space="preserve">  Cassel &amp; Company.</w:t>
      </w:r>
    </w:p>
    <w:p w14:paraId="6F806163" w14:textId="77777777" w:rsidR="006646E9" w:rsidRPr="00567418" w:rsidRDefault="006646E9" w:rsidP="006646E9">
      <w:pPr>
        <w:spacing w:before="100" w:beforeAutospacing="1" w:after="100" w:afterAutospacing="1" w:line="240" w:lineRule="auto"/>
        <w:rPr>
          <w:rFonts w:eastAsia="Times New Roman" w:cstheme="minorHAnsi"/>
          <w:lang w:eastAsia="en-GB"/>
        </w:rPr>
      </w:pPr>
      <w:r w:rsidRPr="00EE7C8E">
        <w:rPr>
          <w:rFonts w:eastAsia="Times New Roman" w:cstheme="minorHAnsi"/>
          <w:lang w:eastAsia="en-GB"/>
        </w:rPr>
        <w:t xml:space="preserve">Beaverbrook, Lord.  (1960).  </w:t>
      </w:r>
      <w:r w:rsidRPr="00EE7C8E">
        <w:rPr>
          <w:rFonts w:eastAsia="Times New Roman" w:cstheme="minorHAnsi"/>
          <w:i/>
          <w:iCs/>
          <w:lang w:eastAsia="en-GB"/>
        </w:rPr>
        <w:t xml:space="preserve">Politicians and the </w:t>
      </w:r>
      <w:r>
        <w:rPr>
          <w:rFonts w:eastAsia="Times New Roman" w:cstheme="minorHAnsi"/>
          <w:i/>
          <w:iCs/>
          <w:lang w:eastAsia="en-GB"/>
        </w:rPr>
        <w:t>w</w:t>
      </w:r>
      <w:r w:rsidRPr="00EE7C8E">
        <w:rPr>
          <w:rFonts w:eastAsia="Times New Roman" w:cstheme="minorHAnsi"/>
          <w:i/>
          <w:iCs/>
          <w:lang w:eastAsia="en-GB"/>
        </w:rPr>
        <w:t>ar 1914-1916</w:t>
      </w:r>
      <w:r>
        <w:rPr>
          <w:rFonts w:eastAsia="Times New Roman" w:cstheme="minorHAnsi"/>
          <w:i/>
          <w:iCs/>
          <w:lang w:eastAsia="en-GB"/>
        </w:rPr>
        <w:t>.</w:t>
      </w:r>
      <w:r>
        <w:rPr>
          <w:rFonts w:eastAsia="Times New Roman" w:cstheme="minorHAnsi"/>
          <w:lang w:eastAsia="en-GB"/>
        </w:rPr>
        <w:t xml:space="preserve"> </w:t>
      </w:r>
      <w:r w:rsidRPr="00567418">
        <w:rPr>
          <w:rFonts w:cstheme="minorHAnsi"/>
          <w:shd w:val="clear" w:color="auto" w:fill="FFFFFF"/>
        </w:rPr>
        <w:t xml:space="preserve"> </w:t>
      </w:r>
      <w:proofErr w:type="spellStart"/>
      <w:r w:rsidRPr="00567418">
        <w:rPr>
          <w:rFonts w:cstheme="minorHAnsi"/>
          <w:shd w:val="clear" w:color="auto" w:fill="FFFFFF"/>
        </w:rPr>
        <w:t>Oldbourne</w:t>
      </w:r>
      <w:proofErr w:type="spellEnd"/>
      <w:r w:rsidRPr="00567418">
        <w:rPr>
          <w:rFonts w:cstheme="minorHAnsi"/>
          <w:shd w:val="clear" w:color="auto" w:fill="FFFFFF"/>
        </w:rPr>
        <w:t xml:space="preserve"> Book Co</w:t>
      </w:r>
      <w:r>
        <w:rPr>
          <w:rFonts w:cstheme="minorHAnsi"/>
          <w:shd w:val="clear" w:color="auto" w:fill="FFFFFF"/>
        </w:rPr>
        <w:t>mpany.</w:t>
      </w:r>
    </w:p>
    <w:p w14:paraId="2B24F400" w14:textId="77777777" w:rsidR="006646E9" w:rsidRPr="001F211A" w:rsidRDefault="006646E9" w:rsidP="006646E9">
      <w:pPr>
        <w:ind w:left="720" w:hanging="720"/>
        <w:rPr>
          <w:rFonts w:cstheme="minorHAnsi"/>
        </w:rPr>
      </w:pPr>
      <w:r w:rsidRPr="009B7174">
        <w:rPr>
          <w:rFonts w:cstheme="minorHAnsi"/>
        </w:rPr>
        <w:t>Burk, K.</w:t>
      </w:r>
      <w:r>
        <w:rPr>
          <w:rFonts w:cstheme="minorHAnsi"/>
        </w:rPr>
        <w:t xml:space="preserve"> </w:t>
      </w:r>
      <w:r w:rsidRPr="009B7174">
        <w:rPr>
          <w:rFonts w:cstheme="minorHAnsi"/>
        </w:rPr>
        <w:t xml:space="preserve">(2014).  </w:t>
      </w:r>
      <w:r w:rsidRPr="009B7174">
        <w:rPr>
          <w:rFonts w:cstheme="minorHAnsi"/>
          <w:i/>
          <w:iCs/>
        </w:rPr>
        <w:t xml:space="preserve">War and the </w:t>
      </w:r>
      <w:r>
        <w:rPr>
          <w:rFonts w:cstheme="minorHAnsi"/>
          <w:i/>
          <w:iCs/>
        </w:rPr>
        <w:t>s</w:t>
      </w:r>
      <w:r w:rsidRPr="009B7174">
        <w:rPr>
          <w:rFonts w:cstheme="minorHAnsi"/>
          <w:i/>
          <w:iCs/>
        </w:rPr>
        <w:t xml:space="preserve">tate </w:t>
      </w:r>
      <w:r w:rsidRPr="009B7174">
        <w:rPr>
          <w:rFonts w:eastAsia="Times New Roman" w:cstheme="minorHAnsi"/>
          <w:i/>
          <w:iCs/>
          <w:lang w:eastAsia="en-GB"/>
        </w:rPr>
        <w:t xml:space="preserve">(RLE </w:t>
      </w:r>
      <w:r>
        <w:rPr>
          <w:rFonts w:eastAsia="Times New Roman" w:cstheme="minorHAnsi"/>
          <w:i/>
          <w:iCs/>
          <w:lang w:eastAsia="en-GB"/>
        </w:rPr>
        <w:t>t</w:t>
      </w:r>
      <w:r w:rsidRPr="009B7174">
        <w:rPr>
          <w:rFonts w:eastAsia="Times New Roman" w:cstheme="minorHAnsi"/>
          <w:i/>
          <w:iCs/>
          <w:lang w:eastAsia="en-GB"/>
        </w:rPr>
        <w:t xml:space="preserve">he First World War) </w:t>
      </w:r>
      <w:r>
        <w:rPr>
          <w:rFonts w:cstheme="minorHAnsi"/>
          <w:i/>
          <w:iCs/>
        </w:rPr>
        <w:t>t</w:t>
      </w:r>
      <w:r w:rsidRPr="009B7174">
        <w:rPr>
          <w:rFonts w:cstheme="minorHAnsi"/>
          <w:i/>
          <w:iCs/>
        </w:rPr>
        <w:t xml:space="preserve">he </w:t>
      </w:r>
      <w:r>
        <w:rPr>
          <w:rFonts w:cstheme="minorHAnsi"/>
          <w:i/>
          <w:iCs/>
        </w:rPr>
        <w:t>t</w:t>
      </w:r>
      <w:r w:rsidRPr="009B7174">
        <w:rPr>
          <w:rFonts w:cstheme="minorHAnsi"/>
          <w:i/>
          <w:iCs/>
        </w:rPr>
        <w:t>ransformation of British Government, 1914-19</w:t>
      </w:r>
      <w:r w:rsidRPr="009B7174">
        <w:rPr>
          <w:rFonts w:cstheme="minorHAnsi"/>
        </w:rPr>
        <w:t xml:space="preserve"> </w:t>
      </w:r>
      <w:proofErr w:type="gramStart"/>
      <w:r w:rsidRPr="009B7174">
        <w:rPr>
          <w:rFonts w:eastAsia="Times New Roman" w:cstheme="minorHAnsi"/>
          <w:lang w:eastAsia="en-GB"/>
        </w:rPr>
        <w:t>(</w:t>
      </w:r>
      <w:r w:rsidRPr="009B7174">
        <w:rPr>
          <w:rFonts w:eastAsia="Times New Roman" w:cstheme="minorHAnsi"/>
          <w:i/>
          <w:iCs/>
          <w:lang w:eastAsia="en-GB"/>
        </w:rPr>
        <w:t xml:space="preserve"> </w:t>
      </w:r>
      <w:r w:rsidRPr="009B7174">
        <w:rPr>
          <w:rFonts w:eastAsia="Times New Roman" w:cstheme="minorHAnsi"/>
          <w:lang w:eastAsia="en-GB"/>
        </w:rPr>
        <w:t>(</w:t>
      </w:r>
      <w:proofErr w:type="gramEnd"/>
      <w:r w:rsidRPr="009B7174">
        <w:rPr>
          <w:rFonts w:eastAsia="Times New Roman" w:cstheme="minorHAnsi"/>
          <w:lang w:eastAsia="en-GB"/>
        </w:rPr>
        <w:t xml:space="preserve">1st ed.).  Taylor and Francis. </w:t>
      </w:r>
    </w:p>
    <w:p w14:paraId="43B1602B" w14:textId="77777777" w:rsidR="006646E9" w:rsidRDefault="006646E9" w:rsidP="006646E9">
      <w:pPr>
        <w:spacing w:after="0" w:line="240" w:lineRule="auto"/>
        <w:ind w:left="720" w:hanging="720"/>
        <w:rPr>
          <w:rFonts w:eastAsia="Times New Roman" w:cstheme="minorHAnsi"/>
          <w:lang w:eastAsia="en-GB"/>
        </w:rPr>
      </w:pPr>
      <w:r w:rsidRPr="00AB60B0">
        <w:rPr>
          <w:rFonts w:eastAsia="Times New Roman" w:cstheme="minorHAnsi"/>
          <w:lang w:eastAsia="en-GB"/>
        </w:rPr>
        <w:t xml:space="preserve">Fraser, P. (1982).  British War Policy and the Crisis of Liberalism in May 1915.  </w:t>
      </w:r>
      <w:r w:rsidRPr="00AB60B0">
        <w:rPr>
          <w:rFonts w:eastAsia="Times New Roman" w:cstheme="minorHAnsi"/>
          <w:i/>
          <w:iCs/>
          <w:lang w:eastAsia="en-GB"/>
        </w:rPr>
        <w:t>The Journal of Modern History</w:t>
      </w:r>
      <w:r w:rsidRPr="00AB60B0">
        <w:rPr>
          <w:rFonts w:eastAsia="Times New Roman" w:cstheme="minorHAnsi"/>
          <w:lang w:eastAsia="en-GB"/>
        </w:rPr>
        <w:t xml:space="preserve">, </w:t>
      </w:r>
      <w:r w:rsidRPr="00AB60B0">
        <w:rPr>
          <w:rFonts w:eastAsia="Times New Roman" w:cstheme="minorHAnsi"/>
          <w:i/>
          <w:iCs/>
          <w:lang w:eastAsia="en-GB"/>
        </w:rPr>
        <w:t>54</w:t>
      </w:r>
      <w:r w:rsidRPr="00AB60B0">
        <w:rPr>
          <w:rFonts w:eastAsia="Times New Roman" w:cstheme="minorHAnsi"/>
          <w:lang w:eastAsia="en-GB"/>
        </w:rPr>
        <w:t xml:space="preserve">(1), 1–26. </w:t>
      </w:r>
      <w:hyperlink r:id="rId15" w:history="1">
        <w:r w:rsidRPr="00AB60B0">
          <w:rPr>
            <w:rStyle w:val="Hyperlink"/>
            <w:rFonts w:eastAsia="Times New Roman" w:cstheme="minorHAnsi"/>
            <w:lang w:eastAsia="en-GB"/>
          </w:rPr>
          <w:t xml:space="preserve"> http://www.jstor.org/stable/1906048</w:t>
        </w:r>
      </w:hyperlink>
    </w:p>
    <w:p w14:paraId="06C325FF" w14:textId="77777777" w:rsidR="006646E9" w:rsidRPr="00A47D6F" w:rsidRDefault="006646E9" w:rsidP="006646E9">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lastRenderedPageBreak/>
        <w:t xml:space="preserve">George, D. L. (1933).  </w:t>
      </w:r>
      <w:r w:rsidRPr="001F211A">
        <w:rPr>
          <w:rFonts w:eastAsia="Times New Roman" w:cstheme="minorHAnsi"/>
          <w:i/>
          <w:iCs/>
          <w:color w:val="000000"/>
          <w:lang w:eastAsia="en-GB"/>
        </w:rPr>
        <w:t xml:space="preserve">War </w:t>
      </w:r>
      <w:r>
        <w:rPr>
          <w:rFonts w:eastAsia="Times New Roman" w:cstheme="minorHAnsi"/>
          <w:i/>
          <w:iCs/>
          <w:color w:val="000000"/>
          <w:lang w:eastAsia="en-GB"/>
        </w:rPr>
        <w:t>m</w:t>
      </w:r>
      <w:r w:rsidRPr="001F211A">
        <w:rPr>
          <w:rFonts w:eastAsia="Times New Roman" w:cstheme="minorHAnsi"/>
          <w:i/>
          <w:iCs/>
          <w:color w:val="000000"/>
          <w:lang w:eastAsia="en-GB"/>
        </w:rPr>
        <w:t>emoirs of David Lloyd George Vol II</w:t>
      </w:r>
      <w:r>
        <w:rPr>
          <w:rFonts w:eastAsia="Times New Roman" w:cstheme="minorHAnsi"/>
          <w:i/>
          <w:iCs/>
          <w:color w:val="000000"/>
          <w:lang w:eastAsia="en-GB"/>
        </w:rPr>
        <w:t>.</w:t>
      </w:r>
      <w:r>
        <w:rPr>
          <w:rFonts w:eastAsia="Times New Roman" w:cstheme="minorHAnsi"/>
          <w:color w:val="000000"/>
          <w:lang w:eastAsia="en-GB"/>
        </w:rPr>
        <w:t xml:space="preserve"> </w:t>
      </w:r>
      <w:r w:rsidRPr="00A47D6F">
        <w:rPr>
          <w:rFonts w:cstheme="minorHAnsi"/>
          <w:color w:val="43423D"/>
          <w:shd w:val="clear" w:color="auto" w:fill="FFFFFF"/>
        </w:rPr>
        <w:t xml:space="preserve"> Ivor Nicholson &amp; Watson.</w:t>
      </w:r>
    </w:p>
    <w:p w14:paraId="079548FC" w14:textId="77777777" w:rsidR="006646E9" w:rsidRDefault="006646E9" w:rsidP="006646E9">
      <w:pPr>
        <w:spacing w:before="100" w:beforeAutospacing="1" w:after="100" w:afterAutospacing="1" w:line="240" w:lineRule="auto"/>
        <w:rPr>
          <w:rFonts w:eastAsia="Times New Roman" w:cstheme="minorHAnsi"/>
          <w:color w:val="000000"/>
          <w:lang w:eastAsia="en-GB"/>
        </w:rPr>
      </w:pPr>
      <w:r w:rsidRPr="00A47D6F">
        <w:rPr>
          <w:rFonts w:eastAsia="Times New Roman" w:cstheme="minorHAnsi"/>
          <w:color w:val="000000"/>
          <w:lang w:eastAsia="en-GB"/>
        </w:rPr>
        <w:t xml:space="preserve">Jenkins, R. (1978).  </w:t>
      </w:r>
      <w:r w:rsidRPr="00567418">
        <w:rPr>
          <w:rFonts w:eastAsia="Times New Roman" w:cstheme="minorHAnsi"/>
          <w:i/>
          <w:iCs/>
          <w:color w:val="000000"/>
          <w:lang w:eastAsia="en-GB"/>
        </w:rPr>
        <w:t>Asquith</w:t>
      </w:r>
      <w:r>
        <w:rPr>
          <w:rFonts w:eastAsia="Times New Roman" w:cstheme="minorHAnsi"/>
          <w:color w:val="000000"/>
          <w:lang w:eastAsia="en-GB"/>
        </w:rPr>
        <w:t>.  Collins, London.</w:t>
      </w:r>
    </w:p>
    <w:p w14:paraId="051D9882" w14:textId="77777777" w:rsidR="006646E9" w:rsidRDefault="006646E9" w:rsidP="006646E9">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Koss.  S. (1976).  </w:t>
      </w:r>
      <w:r w:rsidRPr="00420746">
        <w:rPr>
          <w:rFonts w:eastAsia="Times New Roman" w:cstheme="minorHAnsi"/>
          <w:i/>
          <w:iCs/>
          <w:color w:val="000000"/>
          <w:lang w:eastAsia="en-GB"/>
        </w:rPr>
        <w:t>Asquith</w:t>
      </w:r>
      <w:r>
        <w:rPr>
          <w:rFonts w:eastAsia="Times New Roman" w:cstheme="minorHAnsi"/>
          <w:color w:val="000000"/>
          <w:lang w:eastAsia="en-GB"/>
        </w:rPr>
        <w:t>.  St Martin’s Press, New York.</w:t>
      </w:r>
    </w:p>
    <w:p w14:paraId="5B70661A" w14:textId="77777777" w:rsidR="006646E9" w:rsidRDefault="006646E9" w:rsidP="006646E9">
      <w:pPr>
        <w:spacing w:after="0" w:line="240" w:lineRule="auto"/>
        <w:ind w:left="720" w:hanging="720"/>
        <w:rPr>
          <w:rFonts w:eastAsia="Times New Roman" w:cstheme="minorHAnsi"/>
          <w:lang w:eastAsia="en-GB"/>
        </w:rPr>
      </w:pPr>
      <w:r w:rsidRPr="00154E53">
        <w:rPr>
          <w:rFonts w:eastAsia="Times New Roman" w:cstheme="minorHAnsi"/>
          <w:i/>
          <w:iCs/>
          <w:lang w:eastAsia="en-GB"/>
        </w:rPr>
        <w:t xml:space="preserve">Prime </w:t>
      </w:r>
      <w:proofErr w:type="gramStart"/>
      <w:r w:rsidRPr="00154E53">
        <w:rPr>
          <w:rFonts w:eastAsia="Times New Roman" w:cstheme="minorHAnsi"/>
          <w:i/>
          <w:iCs/>
          <w:lang w:eastAsia="en-GB"/>
        </w:rPr>
        <w:t>ministers</w:t>
      </w:r>
      <w:proofErr w:type="gramEnd"/>
      <w:r w:rsidRPr="00154E53">
        <w:rPr>
          <w:rFonts w:eastAsia="Times New Roman" w:cstheme="minorHAnsi"/>
          <w:i/>
          <w:iCs/>
          <w:lang w:eastAsia="en-GB"/>
        </w:rPr>
        <w:t xml:space="preserve"> statement</w:t>
      </w:r>
      <w:r w:rsidRPr="00154E53">
        <w:rPr>
          <w:rFonts w:eastAsia="Times New Roman" w:cstheme="minorHAnsi"/>
          <w:lang w:eastAsia="en-GB"/>
        </w:rPr>
        <w:t xml:space="preserve">. </w:t>
      </w:r>
      <w:r>
        <w:rPr>
          <w:rFonts w:eastAsia="Times New Roman" w:cstheme="minorHAnsi"/>
          <w:lang w:eastAsia="en-GB"/>
        </w:rPr>
        <w:t xml:space="preserve"> (19th December </w:t>
      </w:r>
      <w:r w:rsidRPr="00154E53">
        <w:rPr>
          <w:rFonts w:eastAsia="Times New Roman" w:cstheme="minorHAnsi"/>
          <w:lang w:eastAsia="en-GB"/>
        </w:rPr>
        <w:t xml:space="preserve">1916).  </w:t>
      </w:r>
      <w:hyperlink r:id="rId16" w:history="1">
        <w:r w:rsidRPr="00154E53">
          <w:rPr>
            <w:rStyle w:val="Hyperlink"/>
            <w:rFonts w:eastAsia="Times New Roman" w:cstheme="minorHAnsi"/>
            <w:lang w:eastAsia="en-GB"/>
          </w:rPr>
          <w:t>https://api.parliament.uk/historic-hansard/commons/1916/dec/19/prime-ministers-statement</w:t>
        </w:r>
      </w:hyperlink>
    </w:p>
    <w:p w14:paraId="0209DA1A" w14:textId="77777777" w:rsidR="006646E9" w:rsidRDefault="006646E9" w:rsidP="006646E9">
      <w:pPr>
        <w:spacing w:after="0" w:line="240" w:lineRule="auto"/>
        <w:rPr>
          <w:rFonts w:eastAsia="Times New Roman" w:cstheme="minorHAnsi"/>
          <w:lang w:eastAsia="en-GB"/>
        </w:rPr>
      </w:pPr>
    </w:p>
    <w:p w14:paraId="4F00C513" w14:textId="77777777" w:rsidR="006646E9" w:rsidRDefault="006646E9" w:rsidP="006646E9">
      <w:r>
        <w:t xml:space="preserve">Taylor, A. (2006).  </w:t>
      </w:r>
      <w:r w:rsidRPr="009B1A60">
        <w:rPr>
          <w:i/>
          <w:iCs/>
        </w:rPr>
        <w:t xml:space="preserve">Bonar </w:t>
      </w:r>
      <w:r>
        <w:rPr>
          <w:i/>
          <w:iCs/>
        </w:rPr>
        <w:t>l</w:t>
      </w:r>
      <w:r w:rsidRPr="009B1A60">
        <w:rPr>
          <w:i/>
          <w:iCs/>
        </w:rPr>
        <w:t>aw</w:t>
      </w:r>
      <w:r>
        <w:t>.  Haus Publishing.</w:t>
      </w:r>
    </w:p>
    <w:p w14:paraId="6B955B7E" w14:textId="77777777" w:rsidR="006646E9" w:rsidRPr="00171AF3" w:rsidRDefault="006646E9" w:rsidP="006646E9">
      <w:pPr>
        <w:ind w:left="720" w:hanging="720"/>
      </w:pPr>
      <w:r w:rsidRPr="001C5590">
        <w:rPr>
          <w:rFonts w:eastAsia="Times New Roman" w:cstheme="minorHAnsi"/>
          <w:lang w:eastAsia="en-GB"/>
        </w:rPr>
        <w:t>T</w:t>
      </w:r>
      <w:r>
        <w:rPr>
          <w:rFonts w:eastAsia="Times New Roman" w:cstheme="minorHAnsi"/>
          <w:lang w:eastAsia="en-GB"/>
        </w:rPr>
        <w:t>urner</w:t>
      </w:r>
      <w:r w:rsidRPr="001C5590">
        <w:rPr>
          <w:rFonts w:eastAsia="Times New Roman" w:cstheme="minorHAnsi"/>
          <w:lang w:eastAsia="en-GB"/>
        </w:rPr>
        <w:t>, J. (1992).  T</w:t>
      </w:r>
      <w:r>
        <w:rPr>
          <w:rFonts w:eastAsia="Times New Roman" w:cstheme="minorHAnsi"/>
          <w:lang w:eastAsia="en-GB"/>
        </w:rPr>
        <w:t>he Asquith Coalition</w:t>
      </w:r>
      <w:r w:rsidRPr="001C5590">
        <w:rPr>
          <w:rFonts w:eastAsia="Times New Roman" w:cstheme="minorHAnsi"/>
          <w:lang w:eastAsia="en-GB"/>
        </w:rPr>
        <w:t xml:space="preserve">: April 1915 to April 1916.  In </w:t>
      </w:r>
      <w:r w:rsidRPr="001C5590">
        <w:rPr>
          <w:rFonts w:eastAsia="Times New Roman" w:cstheme="minorHAnsi"/>
          <w:i/>
          <w:iCs/>
          <w:lang w:eastAsia="en-GB"/>
        </w:rPr>
        <w:t>British Politics and the Great War: Coalition and Conflict 1915-1918</w:t>
      </w:r>
      <w:r w:rsidRPr="001C5590">
        <w:rPr>
          <w:rFonts w:eastAsia="Times New Roman" w:cstheme="minorHAnsi"/>
          <w:lang w:eastAsia="en-GB"/>
        </w:rPr>
        <w:t xml:space="preserve"> (pp. 55–111).  Yale University Press.  </w:t>
      </w:r>
      <w:hyperlink r:id="rId17" w:history="1">
        <w:r w:rsidRPr="001C5590">
          <w:rPr>
            <w:rStyle w:val="Hyperlink"/>
            <w:rFonts w:eastAsia="Times New Roman" w:cstheme="minorHAnsi"/>
            <w:lang w:eastAsia="en-GB"/>
          </w:rPr>
          <w:t>https://doi.org/10.2307/j.ctt211qvzc.7</w:t>
        </w:r>
      </w:hyperlink>
    </w:p>
    <w:p w14:paraId="2547E249" w14:textId="77777777" w:rsidR="006646E9" w:rsidRDefault="006646E9" w:rsidP="00E17A13">
      <w:pPr>
        <w:pStyle w:val="NormalWeb"/>
        <w:spacing w:before="0" w:beforeAutospacing="0" w:after="0" w:afterAutospacing="0"/>
        <w:ind w:left="720" w:hanging="720"/>
        <w:rPr>
          <w:rFonts w:asciiTheme="minorHAnsi" w:hAnsiTheme="minorHAnsi" w:cstheme="minorHAnsi"/>
          <w:sz w:val="22"/>
          <w:szCs w:val="22"/>
        </w:rPr>
      </w:pPr>
    </w:p>
    <w:p w14:paraId="5B266912" w14:textId="77777777" w:rsidR="00E17A13" w:rsidRPr="00E17A13" w:rsidRDefault="00E17A13" w:rsidP="00E17A13">
      <w:pPr>
        <w:pStyle w:val="NormalWeb"/>
        <w:spacing w:before="0" w:beforeAutospacing="0" w:after="0" w:afterAutospacing="0"/>
        <w:ind w:left="720" w:hanging="720"/>
        <w:rPr>
          <w:rFonts w:asciiTheme="minorHAnsi" w:hAnsiTheme="minorHAnsi" w:cstheme="minorHAnsi"/>
          <w:sz w:val="22"/>
          <w:szCs w:val="22"/>
        </w:rPr>
      </w:pPr>
    </w:p>
    <w:p w14:paraId="44F58DD6" w14:textId="77777777" w:rsidR="00E17A13" w:rsidRDefault="00E17A13" w:rsidP="00E17A13">
      <w:pPr>
        <w:pStyle w:val="NormalWeb"/>
        <w:spacing w:before="0" w:beforeAutospacing="0" w:after="0" w:afterAutospacing="0"/>
        <w:ind w:left="720" w:hanging="720"/>
        <w:rPr>
          <w:rFonts w:asciiTheme="minorHAnsi" w:hAnsiTheme="minorHAnsi" w:cstheme="minorHAnsi"/>
          <w:sz w:val="22"/>
          <w:szCs w:val="22"/>
        </w:rPr>
      </w:pPr>
    </w:p>
    <w:p w14:paraId="144F9BEC" w14:textId="77777777" w:rsidR="00A90751" w:rsidRPr="00A90751" w:rsidRDefault="00A90751" w:rsidP="00A90751">
      <w:pPr>
        <w:pStyle w:val="NormalWeb"/>
        <w:spacing w:before="0" w:beforeAutospacing="0" w:after="0" w:afterAutospacing="0" w:line="276" w:lineRule="auto"/>
        <w:ind w:left="720" w:hanging="720"/>
        <w:rPr>
          <w:rFonts w:asciiTheme="minorHAnsi" w:hAnsiTheme="minorHAnsi" w:cstheme="minorHAnsi"/>
          <w:sz w:val="22"/>
          <w:szCs w:val="22"/>
        </w:rPr>
      </w:pPr>
    </w:p>
    <w:p w14:paraId="43C5F6E6" w14:textId="77777777" w:rsidR="00D51BA6" w:rsidRDefault="00D51BA6" w:rsidP="00D51BA6"/>
    <w:p w14:paraId="1C9DAA00" w14:textId="77777777" w:rsidR="005272C3" w:rsidRDefault="005272C3"/>
    <w:sectPr w:rsidR="005272C3" w:rsidSect="00F105F6">
      <w:pgSz w:w="11906" w:h="16838"/>
      <w:pgMar w:top="1134" w:right="907"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62EB0" w14:textId="77777777" w:rsidR="00EE265B" w:rsidRDefault="00EE265B" w:rsidP="00B844AE">
      <w:pPr>
        <w:spacing w:after="0" w:line="240" w:lineRule="auto"/>
      </w:pPr>
      <w:r>
        <w:separator/>
      </w:r>
    </w:p>
  </w:endnote>
  <w:endnote w:type="continuationSeparator" w:id="0">
    <w:p w14:paraId="19B83AAE" w14:textId="77777777" w:rsidR="00EE265B" w:rsidRDefault="00EE265B" w:rsidP="00B84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7B0FF" w14:textId="77777777" w:rsidR="00EE265B" w:rsidRDefault="00EE265B" w:rsidP="00B844AE">
      <w:pPr>
        <w:spacing w:after="0" w:line="240" w:lineRule="auto"/>
      </w:pPr>
      <w:r>
        <w:separator/>
      </w:r>
    </w:p>
  </w:footnote>
  <w:footnote w:type="continuationSeparator" w:id="0">
    <w:p w14:paraId="3898E838" w14:textId="77777777" w:rsidR="00EE265B" w:rsidRDefault="00EE265B" w:rsidP="00B844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BA6"/>
    <w:rsid w:val="001F7E66"/>
    <w:rsid w:val="00255275"/>
    <w:rsid w:val="00322C93"/>
    <w:rsid w:val="003E0162"/>
    <w:rsid w:val="00420500"/>
    <w:rsid w:val="00463239"/>
    <w:rsid w:val="00480170"/>
    <w:rsid w:val="004A210E"/>
    <w:rsid w:val="004E2DEB"/>
    <w:rsid w:val="005272C3"/>
    <w:rsid w:val="00531D3F"/>
    <w:rsid w:val="00567C7C"/>
    <w:rsid w:val="0058327E"/>
    <w:rsid w:val="005B010E"/>
    <w:rsid w:val="006646E9"/>
    <w:rsid w:val="00704F80"/>
    <w:rsid w:val="00715CD8"/>
    <w:rsid w:val="00777E84"/>
    <w:rsid w:val="00871C48"/>
    <w:rsid w:val="009B1A60"/>
    <w:rsid w:val="009B7174"/>
    <w:rsid w:val="009E0FEB"/>
    <w:rsid w:val="009E7703"/>
    <w:rsid w:val="009F3AC2"/>
    <w:rsid w:val="00A03184"/>
    <w:rsid w:val="00A90751"/>
    <w:rsid w:val="00AA4AC9"/>
    <w:rsid w:val="00AB569D"/>
    <w:rsid w:val="00AB60B0"/>
    <w:rsid w:val="00AD75CB"/>
    <w:rsid w:val="00B844AE"/>
    <w:rsid w:val="00B872A8"/>
    <w:rsid w:val="00CD70AF"/>
    <w:rsid w:val="00D51BA6"/>
    <w:rsid w:val="00DC4BD5"/>
    <w:rsid w:val="00E17A13"/>
    <w:rsid w:val="00E5401D"/>
    <w:rsid w:val="00EA7501"/>
    <w:rsid w:val="00EE265B"/>
    <w:rsid w:val="00F105F6"/>
    <w:rsid w:val="00F904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E0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B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5CD8"/>
    <w:rPr>
      <w:color w:val="0000FF" w:themeColor="hyperlink"/>
      <w:u w:val="single"/>
    </w:rPr>
  </w:style>
  <w:style w:type="character" w:styleId="UnresolvedMention">
    <w:name w:val="Unresolved Mention"/>
    <w:basedOn w:val="DefaultParagraphFont"/>
    <w:uiPriority w:val="99"/>
    <w:semiHidden/>
    <w:unhideWhenUsed/>
    <w:rsid w:val="00715CD8"/>
    <w:rPr>
      <w:color w:val="605E5C"/>
      <w:shd w:val="clear" w:color="auto" w:fill="E1DFDD"/>
    </w:rPr>
  </w:style>
  <w:style w:type="paragraph" w:styleId="Header">
    <w:name w:val="header"/>
    <w:basedOn w:val="Normal"/>
    <w:link w:val="HeaderChar"/>
    <w:uiPriority w:val="99"/>
    <w:unhideWhenUsed/>
    <w:rsid w:val="00B84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4AE"/>
  </w:style>
  <w:style w:type="paragraph" w:styleId="Footer">
    <w:name w:val="footer"/>
    <w:basedOn w:val="Normal"/>
    <w:link w:val="FooterChar"/>
    <w:uiPriority w:val="99"/>
    <w:unhideWhenUsed/>
    <w:rsid w:val="00B84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4AE"/>
  </w:style>
  <w:style w:type="character" w:styleId="FollowedHyperlink">
    <w:name w:val="FollowedHyperlink"/>
    <w:basedOn w:val="DefaultParagraphFont"/>
    <w:uiPriority w:val="99"/>
    <w:semiHidden/>
    <w:unhideWhenUsed/>
    <w:rsid w:val="009E7703"/>
    <w:rPr>
      <w:color w:val="800080" w:themeColor="followedHyperlink"/>
      <w:u w:val="single"/>
    </w:rPr>
  </w:style>
  <w:style w:type="paragraph" w:styleId="NormalWeb">
    <w:name w:val="Normal (Web)"/>
    <w:basedOn w:val="Normal"/>
    <w:uiPriority w:val="99"/>
    <w:semiHidden/>
    <w:unhideWhenUsed/>
    <w:rsid w:val="00A9075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233459">
      <w:bodyDiv w:val="1"/>
      <w:marLeft w:val="0"/>
      <w:marRight w:val="0"/>
      <w:marTop w:val="0"/>
      <w:marBottom w:val="0"/>
      <w:divBdr>
        <w:top w:val="none" w:sz="0" w:space="0" w:color="auto"/>
        <w:left w:val="none" w:sz="0" w:space="0" w:color="auto"/>
        <w:bottom w:val="none" w:sz="0" w:space="0" w:color="auto"/>
        <w:right w:val="none" w:sz="0" w:space="0" w:color="auto"/>
      </w:divBdr>
      <w:divsChild>
        <w:div w:id="1230338341">
          <w:marLeft w:val="0"/>
          <w:marRight w:val="0"/>
          <w:marTop w:val="0"/>
          <w:marBottom w:val="0"/>
          <w:divBdr>
            <w:top w:val="none" w:sz="0" w:space="0" w:color="auto"/>
            <w:left w:val="none" w:sz="0" w:space="0" w:color="auto"/>
            <w:bottom w:val="none" w:sz="0" w:space="0" w:color="auto"/>
            <w:right w:val="none" w:sz="0" w:space="0" w:color="auto"/>
          </w:divBdr>
          <w:divsChild>
            <w:div w:id="86556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286102">
      <w:bodyDiv w:val="1"/>
      <w:marLeft w:val="0"/>
      <w:marRight w:val="0"/>
      <w:marTop w:val="0"/>
      <w:marBottom w:val="0"/>
      <w:divBdr>
        <w:top w:val="none" w:sz="0" w:space="0" w:color="auto"/>
        <w:left w:val="none" w:sz="0" w:space="0" w:color="auto"/>
        <w:bottom w:val="none" w:sz="0" w:space="0" w:color="auto"/>
        <w:right w:val="none" w:sz="0" w:space="0" w:color="auto"/>
      </w:divBdr>
    </w:div>
    <w:div w:id="651758704">
      <w:bodyDiv w:val="1"/>
      <w:marLeft w:val="0"/>
      <w:marRight w:val="0"/>
      <w:marTop w:val="0"/>
      <w:marBottom w:val="0"/>
      <w:divBdr>
        <w:top w:val="none" w:sz="0" w:space="0" w:color="auto"/>
        <w:left w:val="none" w:sz="0" w:space="0" w:color="auto"/>
        <w:bottom w:val="none" w:sz="0" w:space="0" w:color="auto"/>
        <w:right w:val="none" w:sz="0" w:space="0" w:color="auto"/>
      </w:divBdr>
    </w:div>
    <w:div w:id="1209686993">
      <w:bodyDiv w:val="1"/>
      <w:marLeft w:val="0"/>
      <w:marRight w:val="0"/>
      <w:marTop w:val="0"/>
      <w:marBottom w:val="0"/>
      <w:divBdr>
        <w:top w:val="none" w:sz="0" w:space="0" w:color="auto"/>
        <w:left w:val="none" w:sz="0" w:space="0" w:color="auto"/>
        <w:bottom w:val="none" w:sz="0" w:space="0" w:color="auto"/>
        <w:right w:val="none" w:sz="0" w:space="0" w:color="auto"/>
      </w:divBdr>
      <w:divsChild>
        <w:div w:id="951670338">
          <w:marLeft w:val="0"/>
          <w:marRight w:val="0"/>
          <w:marTop w:val="0"/>
          <w:marBottom w:val="0"/>
          <w:divBdr>
            <w:top w:val="none" w:sz="0" w:space="0" w:color="auto"/>
            <w:left w:val="none" w:sz="0" w:space="0" w:color="auto"/>
            <w:bottom w:val="none" w:sz="0" w:space="0" w:color="auto"/>
            <w:right w:val="none" w:sz="0" w:space="0" w:color="auto"/>
          </w:divBdr>
          <w:divsChild>
            <w:div w:id="70676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534056">
      <w:bodyDiv w:val="1"/>
      <w:marLeft w:val="0"/>
      <w:marRight w:val="0"/>
      <w:marTop w:val="0"/>
      <w:marBottom w:val="0"/>
      <w:divBdr>
        <w:top w:val="none" w:sz="0" w:space="0" w:color="auto"/>
        <w:left w:val="none" w:sz="0" w:space="0" w:color="auto"/>
        <w:bottom w:val="none" w:sz="0" w:space="0" w:color="auto"/>
        <w:right w:val="none" w:sz="0" w:space="0" w:color="auto"/>
      </w:divBdr>
      <w:divsChild>
        <w:div w:id="493761748">
          <w:marLeft w:val="0"/>
          <w:marRight w:val="0"/>
          <w:marTop w:val="0"/>
          <w:marBottom w:val="0"/>
          <w:divBdr>
            <w:top w:val="none" w:sz="0" w:space="0" w:color="auto"/>
            <w:left w:val="none" w:sz="0" w:space="0" w:color="auto"/>
            <w:bottom w:val="none" w:sz="0" w:space="0" w:color="auto"/>
            <w:right w:val="none" w:sz="0" w:space="0" w:color="auto"/>
          </w:divBdr>
          <w:divsChild>
            <w:div w:id="104445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946087">
      <w:bodyDiv w:val="1"/>
      <w:marLeft w:val="0"/>
      <w:marRight w:val="0"/>
      <w:marTop w:val="0"/>
      <w:marBottom w:val="0"/>
      <w:divBdr>
        <w:top w:val="none" w:sz="0" w:space="0" w:color="auto"/>
        <w:left w:val="none" w:sz="0" w:space="0" w:color="auto"/>
        <w:bottom w:val="none" w:sz="0" w:space="0" w:color="auto"/>
        <w:right w:val="none" w:sz="0" w:space="0" w:color="auto"/>
      </w:divBdr>
      <w:divsChild>
        <w:div w:id="1778403639">
          <w:marLeft w:val="0"/>
          <w:marRight w:val="0"/>
          <w:marTop w:val="0"/>
          <w:marBottom w:val="0"/>
          <w:divBdr>
            <w:top w:val="none" w:sz="0" w:space="0" w:color="auto"/>
            <w:left w:val="none" w:sz="0" w:space="0" w:color="auto"/>
            <w:bottom w:val="none" w:sz="0" w:space="0" w:color="auto"/>
            <w:right w:val="none" w:sz="0" w:space="0" w:color="auto"/>
          </w:divBdr>
          <w:divsChild>
            <w:div w:id="5173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736624">
      <w:bodyDiv w:val="1"/>
      <w:marLeft w:val="0"/>
      <w:marRight w:val="0"/>
      <w:marTop w:val="0"/>
      <w:marBottom w:val="0"/>
      <w:divBdr>
        <w:top w:val="none" w:sz="0" w:space="0" w:color="auto"/>
        <w:left w:val="none" w:sz="0" w:space="0" w:color="auto"/>
        <w:bottom w:val="none" w:sz="0" w:space="0" w:color="auto"/>
        <w:right w:val="none" w:sz="0" w:space="0" w:color="auto"/>
      </w:divBdr>
      <w:divsChild>
        <w:div w:id="1809127348">
          <w:marLeft w:val="0"/>
          <w:marRight w:val="0"/>
          <w:marTop w:val="0"/>
          <w:marBottom w:val="0"/>
          <w:divBdr>
            <w:top w:val="none" w:sz="0" w:space="0" w:color="auto"/>
            <w:left w:val="none" w:sz="0" w:space="0" w:color="auto"/>
            <w:bottom w:val="none" w:sz="0" w:space="0" w:color="auto"/>
            <w:right w:val="none" w:sz="0" w:space="0" w:color="auto"/>
          </w:divBdr>
        </w:div>
      </w:divsChild>
    </w:div>
    <w:div w:id="2026900918">
      <w:bodyDiv w:val="1"/>
      <w:marLeft w:val="0"/>
      <w:marRight w:val="0"/>
      <w:marTop w:val="0"/>
      <w:marBottom w:val="0"/>
      <w:divBdr>
        <w:top w:val="none" w:sz="0" w:space="0" w:color="auto"/>
        <w:left w:val="none" w:sz="0" w:space="0" w:color="auto"/>
        <w:bottom w:val="none" w:sz="0" w:space="0" w:color="auto"/>
        <w:right w:val="none" w:sz="0" w:space="0" w:color="auto"/>
      </w:divBdr>
    </w:div>
    <w:div w:id="2113932326">
      <w:bodyDiv w:val="1"/>
      <w:marLeft w:val="0"/>
      <w:marRight w:val="0"/>
      <w:marTop w:val="0"/>
      <w:marBottom w:val="0"/>
      <w:divBdr>
        <w:top w:val="none" w:sz="0" w:space="0" w:color="auto"/>
        <w:left w:val="none" w:sz="0" w:space="0" w:color="auto"/>
        <w:bottom w:val="none" w:sz="0" w:space="0" w:color="auto"/>
        <w:right w:val="none" w:sz="0" w:space="0" w:color="auto"/>
      </w:divBdr>
      <w:divsChild>
        <w:div w:id="794493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ettings" Target="settings.xml"/><Relationship Id="rId16" Type="http://schemas.openxmlformats.org/officeDocument/2006/relationships/hyperlink" Target="about:blank" TargetMode="Externa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hyperlink" Target="about:blank" TargetMode="External"/><Relationship Id="rId5" Type="http://schemas.openxmlformats.org/officeDocument/2006/relationships/endnotes" Target="endnote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3148</Words>
  <Characters>17950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2022-02-04T15:28:00Z</dcterms:created>
  <dcterms:modified xsi:type="dcterms:W3CDTF">2022-02-04T15:28:00Z</dcterms:modified>
</cp:coreProperties>
</file>