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A3E7C" w14:textId="77777777" w:rsidR="00ED34DE" w:rsidRDefault="00ED34DE"/>
    <w:p w14:paraId="34915F8B" w14:textId="6B121A14" w:rsidR="00B5283F" w:rsidRPr="008A33F1" w:rsidRDefault="00B5283F" w:rsidP="008A33F1">
      <w:pPr>
        <w:pStyle w:val="Heading1"/>
        <w:spacing w:after="489"/>
        <w:ind w:left="1371" w:right="1366"/>
        <w:jc w:val="center"/>
        <w:rPr>
          <w:rFonts w:ascii="Arial" w:hAnsi="Arial" w:cs="Arial"/>
          <w:b/>
          <w:bCs/>
          <w:color w:val="auto"/>
        </w:rPr>
      </w:pPr>
      <w:r w:rsidRPr="008A33F1">
        <w:rPr>
          <w:rFonts w:ascii="Arial" w:hAnsi="Arial" w:cs="Arial"/>
          <w:b/>
          <w:bCs/>
          <w:color w:val="auto"/>
        </w:rPr>
        <w:t>AI Acknowledgement</w:t>
      </w:r>
    </w:p>
    <w:p w14:paraId="480B3468" w14:textId="77777777" w:rsidR="00B5283F" w:rsidRDefault="00B5283F" w:rsidP="00B5283F">
      <w:pPr>
        <w:spacing w:line="352" w:lineRule="auto"/>
        <w:ind w:right="340"/>
      </w:pPr>
      <w:r>
        <w:rPr>
          <w:rFonts w:ascii="Arial" w:eastAsia="Arial" w:hAnsi="Arial" w:cs="Arial"/>
          <w:sz w:val="28"/>
        </w:rPr>
        <w:t xml:space="preserve">“I acknowledge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r>
        <w:rPr>
          <w:rFonts w:ascii="Arial" w:eastAsia="Arial" w:hAnsi="Arial" w:cs="Arial"/>
          <w:b/>
          <w:sz w:val="36"/>
        </w:rPr>
        <w:t xml:space="preserve"> </w:t>
      </w:r>
    </w:p>
    <w:p w14:paraId="70E65C9C" w14:textId="77777777" w:rsidR="00B5283F" w:rsidRDefault="00B5283F" w:rsidP="00B5283F">
      <w:pPr>
        <w:spacing w:after="312"/>
      </w:pPr>
      <w:r>
        <w:rPr>
          <w:rFonts w:ascii="Arial" w:eastAsia="Arial" w:hAnsi="Arial" w:cs="Arial"/>
        </w:rPr>
        <w:t xml:space="preserve"> </w:t>
      </w:r>
    </w:p>
    <w:p w14:paraId="507BBCEA" w14:textId="77777777" w:rsidR="00B5283F" w:rsidRDefault="00B5283F" w:rsidP="00B5283F">
      <w:pPr>
        <w:spacing w:line="480" w:lineRule="auto"/>
        <w:jc w:val="center"/>
        <w:rPr>
          <w:rFonts w:ascii="Arial" w:hAnsi="Arial" w:cs="Arial"/>
          <w:b/>
          <w:bCs/>
          <w:sz w:val="28"/>
          <w:szCs w:val="28"/>
        </w:rPr>
      </w:pPr>
    </w:p>
    <w:p w14:paraId="13EC9307" w14:textId="77777777" w:rsidR="00ED34DE" w:rsidRDefault="00ED34DE">
      <w:pPr>
        <w:spacing w:after="160" w:line="278" w:lineRule="auto"/>
      </w:pPr>
      <w:r>
        <w:br w:type="page"/>
      </w:r>
    </w:p>
    <w:sdt>
      <w:sdtPr>
        <w:id w:val="705307043"/>
        <w:docPartObj>
          <w:docPartGallery w:val="Cover Pages"/>
          <w:docPartUnique/>
        </w:docPartObj>
      </w:sdtPr>
      <w:sdtEndPr>
        <w:rPr>
          <w:rFonts w:ascii="Arial Black" w:hAnsi="Arial Black" w:cs="Arial"/>
          <w:color w:val="0F4761" w:themeColor="accent1" w:themeShade="BF"/>
          <w:sz w:val="32"/>
          <w:szCs w:val="32"/>
        </w:rPr>
      </w:sdtEndPr>
      <w:sdtContent>
        <w:p w14:paraId="0E62CA5D" w14:textId="6ADBF901" w:rsidR="000E1CDC" w:rsidRDefault="000478EB">
          <w:r>
            <w:rPr>
              <w:noProof/>
            </w:rPr>
            <mc:AlternateContent>
              <mc:Choice Requires="wps">
                <w:drawing>
                  <wp:anchor distT="0" distB="0" distL="114300" distR="114300" simplePos="0" relativeHeight="251660288" behindDoc="0" locked="0" layoutInCell="1" allowOverlap="1" wp14:anchorId="06BA7B39" wp14:editId="6661EA57">
                    <wp:simplePos x="0" y="0"/>
                    <wp:positionH relativeFrom="page">
                      <wp:posOffset>4836695</wp:posOffset>
                    </wp:positionH>
                    <wp:positionV relativeFrom="page">
                      <wp:posOffset>216568</wp:posOffset>
                    </wp:positionV>
                    <wp:extent cx="2498123" cy="9655810"/>
                    <wp:effectExtent l="0" t="0" r="0" b="381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8123"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D728434" w14:textId="1714585E" w:rsidR="000E1CDC" w:rsidRPr="007B1A08" w:rsidRDefault="008F68E9">
                                    <w:pPr>
                                      <w:pStyle w:val="Subtitle"/>
                                      <w:rPr>
                                        <w:rFonts w:ascii="Arial Black" w:hAnsi="Arial Black" w:cstheme="minorBidi"/>
                                        <w:color w:val="FFFFFF" w:themeColor="background1"/>
                                      </w:rPr>
                                    </w:pPr>
                                    <w:r w:rsidRPr="007B1A08">
                                      <w:rPr>
                                        <w:rFonts w:ascii="Arial Black" w:hAnsi="Arial Black" w:cstheme="minorBidi"/>
                                        <w:color w:val="FFFFFF" w:themeColor="background1"/>
                                      </w:rPr>
                                      <w:t xml:space="preserve">Analysis &amp; </w:t>
                                    </w:r>
                                    <w:r w:rsidR="008668D9" w:rsidRPr="007B1A08">
                                      <w:rPr>
                                        <w:rFonts w:ascii="Arial Black" w:hAnsi="Arial Black" w:cstheme="minorBidi"/>
                                        <w:color w:val="FFFFFF" w:themeColor="background1"/>
                                      </w:rPr>
                                      <w:t>Recommendations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06BA7B39" id="Rectangle 268" o:spid="_x0000_s1026" style="position:absolute;margin-left:380.85pt;margin-top:17.05pt;width:196.7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" fillcolor="#0e2841 [3215]" stroked="f" strokeweight="1.5pt">
                    <v:textbox inset="14.4pt,,14.4pt">
                      <w:txbxContent>
                        <w:sdt>
                          <w:sdtPr>
                            <w:rPr>
                              <w:rFonts w:ascii="Arial Black" w:hAnsi="Arial Black"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D728434" w14:textId="1714585E" w:rsidR="000E1CDC" w:rsidRPr="007B1A08" w:rsidRDefault="008F68E9">
                              <w:pPr>
                                <w:pStyle w:val="Subtitle"/>
                                <w:rPr>
                                  <w:rFonts w:ascii="Arial Black" w:hAnsi="Arial Black" w:cstheme="minorBidi"/>
                                  <w:color w:val="FFFFFF" w:themeColor="background1"/>
                                </w:rPr>
                              </w:pPr>
                              <w:r w:rsidRPr="007B1A08">
                                <w:rPr>
                                  <w:rFonts w:ascii="Arial Black" w:hAnsi="Arial Black" w:cstheme="minorBidi"/>
                                  <w:color w:val="FFFFFF" w:themeColor="background1"/>
                                </w:rPr>
                                <w:t xml:space="preserve">Analysis &amp; </w:t>
                              </w:r>
                              <w:r w:rsidR="008668D9" w:rsidRPr="007B1A08">
                                <w:rPr>
                                  <w:rFonts w:ascii="Arial Black" w:hAnsi="Arial Black" w:cstheme="minorBidi"/>
                                  <w:color w:val="FFFFFF" w:themeColor="background1"/>
                                </w:rPr>
                                <w:t>Recommendations</w:t>
                              </w:r>
                            </w:p>
                          </w:sdtContent>
                        </w:sdt>
                      </w:txbxContent>
                    </v:textbox>
                    <w10:wrap anchorx="page" anchory="page"/>
                  </v:rect>
                </w:pict>
              </mc:Fallback>
            </mc:AlternateContent>
          </w:r>
          <w:r w:rsidR="000E1CDC">
            <w:rPr>
              <w:noProof/>
            </w:rPr>
            <mc:AlternateContent>
              <mc:Choice Requires="wps">
                <w:drawing>
                  <wp:anchor distT="0" distB="0" distL="114300" distR="114300" simplePos="0" relativeHeight="251659264" behindDoc="0" locked="0" layoutInCell="1" allowOverlap="1" wp14:anchorId="5C0FA5D3" wp14:editId="0C8E4C6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9263A87" w14:textId="517DC9BF" w:rsidR="000E1CDC" w:rsidRDefault="00AD11EB" w:rsidP="003842F5">
                                    <w:pPr>
                                      <w:pStyle w:val="Title"/>
                                      <w:jc w:val="center"/>
                                      <w:rPr>
                                        <w:caps/>
                                        <w:color w:val="FFFFFF" w:themeColor="background1"/>
                                        <w:sz w:val="80"/>
                                        <w:szCs w:val="80"/>
                                      </w:rPr>
                                    </w:pPr>
                                    <w:r>
                                      <w:rPr>
                                        <w:caps/>
                                        <w:color w:val="FFFFFF" w:themeColor="background1"/>
                                        <w:sz w:val="80"/>
                                        <w:szCs w:val="80"/>
                                      </w:rPr>
                                      <w:t>case report</w:t>
                                    </w:r>
                                  </w:p>
                                </w:sdtContent>
                              </w:sdt>
                              <w:p w14:paraId="6AA00B9B" w14:textId="77777777" w:rsidR="000E1CDC" w:rsidRDefault="000E1CDC">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Content>
                                  <w:p w14:paraId="18EA2CDA" w14:textId="00E0B668" w:rsidR="000E1CDC" w:rsidRDefault="00A0351F" w:rsidP="003842F5">
                                    <w:pPr>
                                      <w:pStyle w:val="BodyTextIndent"/>
                                    </w:pPr>
                                    <w:r>
                                      <w:t>To understand how inadequate handwashing techniques led t</w:t>
                                    </w:r>
                                    <w:r w:rsidR="00EB64DA">
                                      <w:t xml:space="preserve">o </w:t>
                                    </w:r>
                                    <w:r w:rsidR="00115129">
                                      <w:t xml:space="preserve">a </w:t>
                                    </w:r>
                                    <w:r w:rsidR="00EB64DA">
                                      <w:t xml:space="preserve">serious </w:t>
                                    </w:r>
                                    <w:r w:rsidR="002C0614">
                                      <w:t xml:space="preserve">outbreak of infection </w:t>
                                    </w:r>
                                    <w:r w:rsidR="00115129">
                                      <w:t>amongst</w:t>
                                    </w:r>
                                    <w:r w:rsidR="002C0614">
                                      <w:t xml:space="preserve"> patients receiving care from District Nurses in their own homes.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C0FA5D3"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9263A87" w14:textId="517DC9BF" w:rsidR="000E1CDC" w:rsidRDefault="00AD11EB" w:rsidP="003842F5">
                              <w:pPr>
                                <w:pStyle w:val="Title"/>
                                <w:jc w:val="center"/>
                                <w:rPr>
                                  <w:caps/>
                                  <w:color w:val="FFFFFF" w:themeColor="background1"/>
                                  <w:sz w:val="80"/>
                                  <w:szCs w:val="80"/>
                                </w:rPr>
                              </w:pPr>
                              <w:r>
                                <w:rPr>
                                  <w:caps/>
                                  <w:color w:val="FFFFFF" w:themeColor="background1"/>
                                  <w:sz w:val="80"/>
                                  <w:szCs w:val="80"/>
                                </w:rPr>
                                <w:t>case report</w:t>
                              </w:r>
                            </w:p>
                          </w:sdtContent>
                        </w:sdt>
                        <w:p w14:paraId="6AA00B9B" w14:textId="77777777" w:rsidR="000E1CDC" w:rsidRDefault="000E1CDC">
                          <w:pPr>
                            <w:spacing w:before="240"/>
                            <w:ind w:left="720"/>
                            <w:jc w:val="right"/>
                            <w:rPr>
                              <w:color w:val="FFFFFF" w:themeColor="background1"/>
                            </w:rPr>
                          </w:pPr>
                        </w:p>
                        <w:sdt>
                          <w:sdtPr>
                            <w:alias w:val="Abstract"/>
                            <w:id w:val="-1812170092"/>
                            <w:dataBinding w:prefixMappings="xmlns:ns0='http://schemas.microsoft.com/office/2006/coverPageProps'" w:xpath="/ns0:CoverPageProperties[1]/ns0:Abstract[1]" w:storeItemID="{55AF091B-3C7A-41E3-B477-F2FDAA23CFDA}"/>
                            <w:text/>
                          </w:sdtPr>
                          <w:sdtContent>
                            <w:p w14:paraId="18EA2CDA" w14:textId="00E0B668" w:rsidR="000E1CDC" w:rsidRDefault="00A0351F" w:rsidP="003842F5">
                              <w:pPr>
                                <w:pStyle w:val="BodyTextIndent"/>
                              </w:pPr>
                              <w:r>
                                <w:t>To understand how inadequate handwashing techniques led t</w:t>
                              </w:r>
                              <w:r w:rsidR="00EB64DA">
                                <w:t xml:space="preserve">o </w:t>
                              </w:r>
                              <w:r w:rsidR="00115129">
                                <w:t xml:space="preserve">a </w:t>
                              </w:r>
                              <w:r w:rsidR="00EB64DA">
                                <w:t xml:space="preserve">serious </w:t>
                              </w:r>
                              <w:r w:rsidR="002C0614">
                                <w:t xml:space="preserve">outbreak of infection </w:t>
                              </w:r>
                              <w:r w:rsidR="00115129">
                                <w:t>amongst</w:t>
                              </w:r>
                              <w:r w:rsidR="002C0614">
                                <w:t xml:space="preserve"> patients receiving care from District Nurses in their own homes.</w:t>
                              </w:r>
                            </w:p>
                          </w:sdtContent>
                        </w:sdt>
                      </w:txbxContent>
                    </v:textbox>
                    <w10:wrap anchorx="page" anchory="page"/>
                  </v:rect>
                </w:pict>
              </mc:Fallback>
            </mc:AlternateContent>
          </w:r>
        </w:p>
        <w:p w14:paraId="7EFA1BF6" w14:textId="77777777" w:rsidR="000E1CDC" w:rsidRDefault="000E1CDC"/>
        <w:p w14:paraId="6FC1E154" w14:textId="0DC16C4B" w:rsidR="000E1CDC" w:rsidRDefault="000E1CDC">
          <w:pPr>
            <w:spacing w:after="160" w:line="278" w:lineRule="auto"/>
            <w:rPr>
              <w:rFonts w:ascii="Arial Black" w:eastAsiaTheme="majorEastAsia" w:hAnsi="Arial Black" w:cs="Arial"/>
              <w:color w:val="0F4761" w:themeColor="accent1" w:themeShade="BF"/>
              <w:sz w:val="32"/>
              <w:szCs w:val="32"/>
            </w:rPr>
          </w:pPr>
          <w:r>
            <w:rPr>
              <w:rFonts w:ascii="Arial Black" w:hAnsi="Arial Black" w:cs="Arial"/>
              <w:color w:val="0F4761" w:themeColor="accent1" w:themeShade="BF"/>
              <w:sz w:val="32"/>
              <w:szCs w:val="32"/>
            </w:rPr>
            <w:br w:type="page"/>
          </w:r>
        </w:p>
      </w:sdtContent>
    </w:sdt>
    <w:p w14:paraId="682D1D46" w14:textId="6BE37BE9" w:rsidR="006E2F9B" w:rsidRPr="00EF75C4" w:rsidRDefault="00F9652A" w:rsidP="006E2F9B">
      <w:pPr>
        <w:pStyle w:val="Heading3"/>
        <w:rPr>
          <w:rFonts w:ascii="Arial Black" w:hAnsi="Arial Black" w:cs="Arial"/>
          <w:sz w:val="32"/>
          <w:szCs w:val="32"/>
        </w:rPr>
      </w:pPr>
      <w:r>
        <w:rPr>
          <w:rFonts w:ascii="Arial Black" w:hAnsi="Arial Black" w:cs="Arial"/>
          <w:sz w:val="32"/>
          <w:szCs w:val="32"/>
        </w:rPr>
        <w:lastRenderedPageBreak/>
        <w:t>Background to the Report</w:t>
      </w:r>
    </w:p>
    <w:p w14:paraId="166FB1EE" w14:textId="77777777" w:rsidR="00995BF8" w:rsidRPr="00995BF8" w:rsidRDefault="00995BF8" w:rsidP="00995BF8"/>
    <w:p w14:paraId="3B4EE7C5" w14:textId="77777777" w:rsidR="00B4015D" w:rsidRDefault="0014558D" w:rsidP="0019527B">
      <w:pPr>
        <w:spacing w:line="480" w:lineRule="auto"/>
        <w:rPr>
          <w:rFonts w:ascii="Arial" w:hAnsi="Arial" w:cs="Arial"/>
          <w:color w:val="000000"/>
        </w:rPr>
      </w:pPr>
      <w:r>
        <w:rPr>
          <w:rFonts w:ascii="Arial" w:hAnsi="Arial" w:cs="Arial"/>
          <w:color w:val="000000"/>
        </w:rPr>
        <w:tab/>
      </w:r>
    </w:p>
    <w:p w14:paraId="6018FA82" w14:textId="2C5A502B" w:rsidR="0019527B" w:rsidRDefault="00385BB0" w:rsidP="0019527B">
      <w:pPr>
        <w:spacing w:line="480" w:lineRule="auto"/>
        <w:rPr>
          <w:rFonts w:ascii="Arial" w:hAnsi="Arial" w:cs="Arial"/>
          <w:color w:val="000000"/>
        </w:rPr>
      </w:pPr>
      <w:r>
        <w:rPr>
          <w:rFonts w:ascii="Arial" w:hAnsi="Arial" w:cs="Arial"/>
          <w:color w:val="000000"/>
        </w:rPr>
        <w:tab/>
      </w:r>
      <w:r w:rsidR="0019527B" w:rsidRPr="0019527B">
        <w:rPr>
          <w:rFonts w:ascii="Arial" w:hAnsi="Arial" w:cs="Arial"/>
          <w:color w:val="000000"/>
        </w:rPr>
        <w:t xml:space="preserve">This report has been produced for the </w:t>
      </w:r>
      <w:proofErr w:type="spellStart"/>
      <w:r w:rsidR="0019527B" w:rsidRPr="0019527B">
        <w:rPr>
          <w:rFonts w:ascii="Arial" w:hAnsi="Arial" w:cs="Arial"/>
          <w:color w:val="000000"/>
        </w:rPr>
        <w:t>Glynafonshire</w:t>
      </w:r>
      <w:proofErr w:type="spellEnd"/>
      <w:r w:rsidR="0019527B" w:rsidRPr="0019527B">
        <w:rPr>
          <w:rFonts w:ascii="Arial" w:hAnsi="Arial" w:cs="Arial"/>
          <w:color w:val="000000"/>
        </w:rPr>
        <w:t xml:space="preserve"> Health Board to deliver an in-depth assessment of practices within the District Nursing Team. Following a critical incident that resulted in serious infections among eight patients, including one fatality, the document outlines both strengths and weaknesses, highlighting areas where current procedures </w:t>
      </w:r>
      <w:r w:rsidR="00227958">
        <w:rPr>
          <w:rFonts w:ascii="Arial" w:hAnsi="Arial" w:cs="Arial"/>
          <w:color w:val="000000"/>
        </w:rPr>
        <w:t xml:space="preserve">need </w:t>
      </w:r>
      <w:r w:rsidR="0019527B" w:rsidRPr="0019527B">
        <w:rPr>
          <w:rFonts w:ascii="Arial" w:hAnsi="Arial" w:cs="Arial"/>
          <w:color w:val="000000"/>
        </w:rPr>
        <w:t>improvement. The local health board enforces a comprehensive handwashing policy for district nurses, compliant with the Nursing and Midwifery Code of Conduct (NMC) (2018) and the Local Authority Infection Control Policy. This policy specifies protocols for effective handwashing and requires nurses to wash their hands before and after entering a patient’s home</w:t>
      </w:r>
      <w:r w:rsidR="00C26843">
        <w:rPr>
          <w:rFonts w:ascii="Arial" w:hAnsi="Arial" w:cs="Arial"/>
          <w:color w:val="000000"/>
        </w:rPr>
        <w:t>,</w:t>
      </w:r>
      <w:r w:rsidR="0019527B" w:rsidRPr="0019527B">
        <w:rPr>
          <w:rFonts w:ascii="Arial" w:hAnsi="Arial" w:cs="Arial"/>
          <w:color w:val="000000"/>
        </w:rPr>
        <w:t xml:space="preserve"> minimis</w:t>
      </w:r>
      <w:r w:rsidR="00C26843">
        <w:rPr>
          <w:rFonts w:ascii="Arial" w:hAnsi="Arial" w:cs="Arial"/>
          <w:color w:val="000000"/>
        </w:rPr>
        <w:t xml:space="preserve">ing </w:t>
      </w:r>
      <w:r w:rsidR="0019527B" w:rsidRPr="0019527B">
        <w:rPr>
          <w:rFonts w:ascii="Arial" w:hAnsi="Arial" w:cs="Arial"/>
          <w:color w:val="000000"/>
        </w:rPr>
        <w:t>the</w:t>
      </w:r>
      <w:r w:rsidR="00F466DC">
        <w:rPr>
          <w:rFonts w:ascii="Arial" w:hAnsi="Arial" w:cs="Arial"/>
          <w:color w:val="000000"/>
        </w:rPr>
        <w:t xml:space="preserve"> spread of infection</w:t>
      </w:r>
      <w:r w:rsidR="0019527B" w:rsidRPr="0019527B">
        <w:rPr>
          <w:rFonts w:ascii="Arial" w:hAnsi="Arial" w:cs="Arial"/>
          <w:color w:val="000000"/>
        </w:rPr>
        <w:t>.</w:t>
      </w:r>
    </w:p>
    <w:p w14:paraId="012A0F8A" w14:textId="60B76126" w:rsidR="0019527B" w:rsidRPr="006836EF" w:rsidRDefault="00562169" w:rsidP="006836EF">
      <w:pPr>
        <w:spacing w:line="480" w:lineRule="auto"/>
        <w:rPr>
          <w:rFonts w:ascii="Arial" w:hAnsi="Arial" w:cs="Arial"/>
          <w:color w:val="000000"/>
        </w:rPr>
      </w:pPr>
      <w:r>
        <w:rPr>
          <w:rFonts w:ascii="Arial" w:hAnsi="Arial" w:cs="Arial"/>
          <w:color w:val="000000"/>
        </w:rPr>
        <w:tab/>
      </w:r>
      <w:r w:rsidR="006836EF" w:rsidRPr="006836EF">
        <w:rPr>
          <w:rFonts w:ascii="Arial" w:hAnsi="Arial" w:cs="Arial"/>
          <w:color w:val="000000"/>
        </w:rPr>
        <w:t>All nursing staff receive comprehensive training and assessments on handwashing procedures. District nurses are required to pass written and practical evaluations to demonstrate understanding and competence in applying the policy. However, some inconsistency in adherence has been observed by the health board.</w:t>
      </w:r>
      <w:r w:rsidR="00D61A5A">
        <w:rPr>
          <w:rFonts w:ascii="Arial" w:hAnsi="Arial" w:cs="Arial"/>
          <w:color w:val="000000"/>
        </w:rPr>
        <w:t xml:space="preserve"> </w:t>
      </w:r>
      <w:r w:rsidR="006836EF" w:rsidRPr="006836EF">
        <w:rPr>
          <w:rFonts w:ascii="Arial" w:hAnsi="Arial" w:cs="Arial"/>
          <w:color w:val="000000"/>
        </w:rPr>
        <w:t>This report aims to facilitate information sharing, promote best practices, and reduce infection risks. The evaluation of the outbreak used Dual Decision-making theory to identify strategies to improve clinical decisions in community care.</w:t>
      </w:r>
    </w:p>
    <w:p w14:paraId="2C644170" w14:textId="77777777" w:rsidR="00D61A5A" w:rsidRDefault="00D61A5A" w:rsidP="006836EF">
      <w:pPr>
        <w:spacing w:line="480" w:lineRule="auto"/>
        <w:rPr>
          <w:rFonts w:ascii="Arial Black" w:hAnsi="Arial Black"/>
          <w:b/>
          <w:color w:val="153D63"/>
          <w:sz w:val="32"/>
          <w:szCs w:val="32"/>
        </w:rPr>
      </w:pPr>
    </w:p>
    <w:p w14:paraId="67D66372" w14:textId="1AFB0E67" w:rsidR="0092502B" w:rsidRPr="00EF75C4" w:rsidRDefault="0092502B" w:rsidP="006836EF">
      <w:pPr>
        <w:spacing w:line="480" w:lineRule="auto"/>
        <w:rPr>
          <w:rFonts w:ascii="Arial Black" w:hAnsi="Arial Black"/>
          <w:b/>
          <w:color w:val="153D63"/>
          <w:sz w:val="32"/>
          <w:szCs w:val="32"/>
        </w:rPr>
      </w:pPr>
      <w:r w:rsidRPr="00EF75C4">
        <w:rPr>
          <w:rFonts w:ascii="Arial Black" w:hAnsi="Arial Black"/>
          <w:b/>
          <w:color w:val="153D63"/>
          <w:sz w:val="32"/>
          <w:szCs w:val="32"/>
        </w:rPr>
        <w:t>T</w:t>
      </w:r>
      <w:r w:rsidR="0089719F">
        <w:rPr>
          <w:rFonts w:ascii="Arial Black" w:hAnsi="Arial Black"/>
          <w:b/>
          <w:color w:val="153D63"/>
          <w:sz w:val="32"/>
          <w:szCs w:val="32"/>
        </w:rPr>
        <w:t>he</w:t>
      </w:r>
      <w:r w:rsidRPr="00EF75C4">
        <w:rPr>
          <w:rFonts w:ascii="Arial Black" w:hAnsi="Arial Black"/>
          <w:b/>
          <w:color w:val="153D63"/>
          <w:sz w:val="32"/>
          <w:szCs w:val="32"/>
        </w:rPr>
        <w:t xml:space="preserve"> D</w:t>
      </w:r>
      <w:r w:rsidR="0089719F">
        <w:rPr>
          <w:rFonts w:ascii="Arial Black" w:hAnsi="Arial Black"/>
          <w:b/>
          <w:color w:val="153D63"/>
          <w:sz w:val="32"/>
          <w:szCs w:val="32"/>
        </w:rPr>
        <w:t>ual</w:t>
      </w:r>
      <w:r w:rsidRPr="00EF75C4">
        <w:rPr>
          <w:rFonts w:ascii="Arial Black" w:hAnsi="Arial Black"/>
          <w:b/>
          <w:color w:val="153D63"/>
          <w:sz w:val="32"/>
          <w:szCs w:val="32"/>
        </w:rPr>
        <w:t xml:space="preserve"> </w:t>
      </w:r>
      <w:r w:rsidR="0089719F">
        <w:rPr>
          <w:rFonts w:ascii="Arial Black" w:hAnsi="Arial Black"/>
          <w:b/>
          <w:color w:val="153D63"/>
          <w:sz w:val="32"/>
          <w:szCs w:val="32"/>
        </w:rPr>
        <w:t>D</w:t>
      </w:r>
      <w:r w:rsidR="00F9652A">
        <w:rPr>
          <w:rFonts w:ascii="Arial Black" w:hAnsi="Arial Black"/>
          <w:b/>
          <w:color w:val="153D63"/>
          <w:sz w:val="32"/>
          <w:szCs w:val="32"/>
        </w:rPr>
        <w:t>ecision-making Theory</w:t>
      </w:r>
    </w:p>
    <w:p w14:paraId="262CB823" w14:textId="77777777" w:rsidR="004504DC" w:rsidRDefault="004504DC" w:rsidP="0092502B">
      <w:pPr>
        <w:rPr>
          <w:rFonts w:ascii="Arial Black" w:hAnsi="Arial Black"/>
          <w:b/>
          <w:color w:val="153D63"/>
          <w:sz w:val="28"/>
        </w:rPr>
      </w:pPr>
    </w:p>
    <w:p w14:paraId="00489F64" w14:textId="0D38AB7B" w:rsidR="0065136B" w:rsidRPr="004504DC" w:rsidRDefault="0092502B" w:rsidP="0092502B">
      <w:pPr>
        <w:spacing w:line="480" w:lineRule="auto"/>
        <w:rPr>
          <w:rFonts w:ascii="Arial" w:hAnsi="Arial" w:cs="Arial"/>
        </w:rPr>
      </w:pPr>
      <w:r w:rsidRPr="0092502B">
        <w:rPr>
          <w:rFonts w:ascii="Arial Black" w:hAnsi="Arial Black"/>
          <w:color w:val="153D63"/>
          <w:sz w:val="28"/>
        </w:rPr>
        <w:tab/>
      </w:r>
      <w:r w:rsidRPr="004504DC">
        <w:rPr>
          <w:rFonts w:ascii="Arial" w:hAnsi="Arial" w:cs="Arial"/>
        </w:rPr>
        <w:t>The Dual Decision-making Theory is an established concept within cognitive psychology. First introduced in the 1970s by Tversky and Kahneman (1974)</w:t>
      </w:r>
      <w:r w:rsidR="00D51CFC">
        <w:rPr>
          <w:rFonts w:ascii="Arial" w:hAnsi="Arial" w:cs="Arial"/>
        </w:rPr>
        <w:t xml:space="preserve">. </w:t>
      </w:r>
      <w:r w:rsidR="00D51CFC" w:rsidRPr="004504DC">
        <w:rPr>
          <w:rFonts w:ascii="Arial" w:hAnsi="Arial" w:cs="Arial"/>
        </w:rPr>
        <w:t xml:space="preserve">The </w:t>
      </w:r>
      <w:r w:rsidR="00D51CFC" w:rsidRPr="004504DC">
        <w:rPr>
          <w:rFonts w:ascii="Arial" w:hAnsi="Arial" w:cs="Arial"/>
        </w:rPr>
        <w:lastRenderedPageBreak/>
        <w:t xml:space="preserve">framework </w:t>
      </w:r>
      <w:r w:rsidR="00D51CFC">
        <w:rPr>
          <w:rFonts w:ascii="Arial" w:hAnsi="Arial" w:cs="Arial"/>
        </w:rPr>
        <w:t>informs us</w:t>
      </w:r>
      <w:r w:rsidR="00D51CFC" w:rsidRPr="004504DC">
        <w:rPr>
          <w:rFonts w:ascii="Arial" w:hAnsi="Arial" w:cs="Arial"/>
        </w:rPr>
        <w:t xml:space="preserve"> that human cognition is governed by two distinct systems, each with unique functions and operational principles. System 1 enables swift, intuitive responses that require minimal conscious effort, whereas System 2 entails methodical, analytical thinking demanding significant attention and mental resources</w:t>
      </w:r>
      <w:r w:rsidR="00D51CFC">
        <w:rPr>
          <w:rFonts w:ascii="Arial" w:hAnsi="Arial" w:cs="Arial"/>
        </w:rPr>
        <w:t xml:space="preserve"> (</w:t>
      </w:r>
      <w:r w:rsidR="00D51CFC" w:rsidRPr="00CA159A">
        <w:rPr>
          <w:rFonts w:ascii="Arial" w:hAnsi="Arial" w:cs="Arial"/>
          <w:color w:val="000000"/>
        </w:rPr>
        <w:t>De Neys, 2018). </w:t>
      </w:r>
      <w:r w:rsidRPr="004504DC">
        <w:rPr>
          <w:rFonts w:ascii="Arial" w:hAnsi="Arial" w:cs="Arial"/>
        </w:rPr>
        <w:t xml:space="preserve">Subsequent contributions by Evans (2008) and Stanovich and West (2000) have refined and solidified the theory's importance in psychological research. These systems interact in a dynamic manner, sometimes cooperating and occasionally competing, thereby influencing individual decision-making processes. </w:t>
      </w:r>
      <w:r w:rsidR="00451E8D">
        <w:rPr>
          <w:rFonts w:ascii="Arial" w:hAnsi="Arial" w:cs="Arial"/>
        </w:rPr>
        <w:tab/>
      </w:r>
      <w:r w:rsidRPr="004504DC">
        <w:rPr>
          <w:rFonts w:ascii="Arial" w:hAnsi="Arial" w:cs="Arial"/>
        </w:rPr>
        <w:t>The theory offers critical insights into how reliance on instinctive System 1 may result in irrational judgments, while engagement with System 2 produces logical and reasoned decisions</w:t>
      </w:r>
      <w:r w:rsidR="00C43D3C">
        <w:rPr>
          <w:rFonts w:ascii="Arial" w:hAnsi="Arial" w:cs="Arial"/>
        </w:rPr>
        <w:t xml:space="preserve"> (</w:t>
      </w:r>
      <w:r w:rsidR="00C43D3C" w:rsidRPr="00C43D3C">
        <w:rPr>
          <w:rFonts w:ascii="Arial" w:hAnsi="Arial" w:cs="Arial"/>
        </w:rPr>
        <w:t>Sloman, 1996).</w:t>
      </w:r>
      <w:r w:rsidRPr="004504DC">
        <w:rPr>
          <w:rFonts w:ascii="Arial" w:hAnsi="Arial" w:cs="Arial"/>
        </w:rPr>
        <w:t xml:space="preserve"> This dynamic interplay highlights the complexity of cognitive functioning and elucidates common patterns of reasoning observed in everyday situations.</w:t>
      </w:r>
    </w:p>
    <w:p w14:paraId="35BC7136" w14:textId="77777777" w:rsidR="00D61A5A" w:rsidRDefault="00D61A5A" w:rsidP="00EA6341">
      <w:pPr>
        <w:pStyle w:val="BodyText3"/>
        <w:rPr>
          <w:b/>
          <w:bCs/>
        </w:rPr>
      </w:pPr>
    </w:p>
    <w:p w14:paraId="5DE4DB23" w14:textId="7B0FBCF3" w:rsidR="00882BA7" w:rsidRPr="00EA6341" w:rsidRDefault="008B7D7C" w:rsidP="00EA6341">
      <w:pPr>
        <w:pStyle w:val="BodyText3"/>
        <w:rPr>
          <w:b/>
          <w:bCs/>
        </w:rPr>
      </w:pPr>
      <w:r w:rsidRPr="00E16262">
        <w:rPr>
          <w:b/>
          <w:bCs/>
        </w:rPr>
        <w:t>H</w:t>
      </w:r>
      <w:r w:rsidR="00F9663F" w:rsidRPr="00E16262">
        <w:rPr>
          <w:b/>
          <w:bCs/>
        </w:rPr>
        <w:t>ow Theory Relates to the Case Study</w:t>
      </w:r>
    </w:p>
    <w:p w14:paraId="1DAAAA66" w14:textId="0EE9FB9E" w:rsidR="004B4C3D" w:rsidRDefault="00F1250C" w:rsidP="00F1250C">
      <w:pPr>
        <w:pStyle w:val="BodyText2"/>
      </w:pPr>
      <w:r>
        <w:tab/>
      </w:r>
      <w:r w:rsidR="002E54BC" w:rsidRPr="002E54BC">
        <w:t xml:space="preserve">The Dual Decision-making Theory explains how district nurses make clinical choices in complex settings. System 1 thinking is quick and intuitive, used for urgent situations, while System 2 is slower and analytical, needed for complicated cases (Gawronski, Luke &amp; Creighton, 2013). Stressful conditions can impact nurses’ decisions and patient care, as they must act under pressure (Harris and Santhosh, 2022; </w:t>
      </w:r>
      <w:proofErr w:type="spellStart"/>
      <w:r w:rsidR="002E54BC" w:rsidRPr="002E54BC">
        <w:t>Ozkaynak</w:t>
      </w:r>
      <w:proofErr w:type="spellEnd"/>
      <w:r w:rsidR="002E54BC" w:rsidRPr="002E54BC">
        <w:t xml:space="preserve"> et al., 2025). Norman et al. (2024) </w:t>
      </w:r>
      <w:r>
        <w:t>report</w:t>
      </w:r>
      <w:r w:rsidR="002E54BC" w:rsidRPr="002E54BC">
        <w:t xml:space="preserve"> that most errors stem from System 1, highlighting the importance of educating clinicians about cognitive biases to reduce mistakes.</w:t>
      </w:r>
    </w:p>
    <w:p w14:paraId="16262EC5" w14:textId="46B08B9D" w:rsidR="004B4C3D" w:rsidRDefault="004B4C3D" w:rsidP="004B4C3D">
      <w:pPr>
        <w:spacing w:line="480" w:lineRule="auto"/>
        <w:rPr>
          <w:rFonts w:ascii="Arial" w:hAnsi="Arial" w:cs="Arial"/>
          <w:color w:val="000000"/>
        </w:rPr>
      </w:pPr>
      <w:r>
        <w:rPr>
          <w:rFonts w:ascii="Arial" w:hAnsi="Arial" w:cs="Arial"/>
          <w:color w:val="000000"/>
        </w:rPr>
        <w:lastRenderedPageBreak/>
        <w:tab/>
      </w:r>
      <w:r w:rsidRPr="004B4C3D">
        <w:rPr>
          <w:rFonts w:ascii="Arial" w:hAnsi="Arial" w:cs="Arial"/>
          <w:color w:val="000000"/>
        </w:rPr>
        <w:t>Within high-pressure environments, nurses often depend on System 1 thinking, sometimes resulting in heuristic decisions such as omitting handwashing due to time limitations (</w:t>
      </w:r>
      <w:proofErr w:type="spellStart"/>
      <w:r w:rsidRPr="004B4C3D">
        <w:rPr>
          <w:rFonts w:ascii="Arial" w:hAnsi="Arial" w:cs="Arial"/>
          <w:color w:val="000000"/>
        </w:rPr>
        <w:t>Sadule</w:t>
      </w:r>
      <w:proofErr w:type="spellEnd"/>
      <w:r w:rsidRPr="004B4C3D">
        <w:rPr>
          <w:rFonts w:ascii="Arial" w:hAnsi="Arial" w:cs="Arial"/>
          <w:color w:val="000000"/>
        </w:rPr>
        <w:t>-Rios &amp; Aguilera, 2017; Baloh et al., 2019). Although the factors influencing the tendency to adopt shortcuts are not fully defined, research indicates that mental fatigue diminishes self-control and increases reliance on automatic behaviours (Baumeister, 2012; Whelehan et al., 2020). District nurses contend with lengthy shifts, unfamiliar environments, frequent interruptions, and staffing shortages</w:t>
      </w:r>
      <w:r w:rsidR="0048436B">
        <w:rPr>
          <w:rFonts w:ascii="Arial" w:hAnsi="Arial" w:cs="Arial"/>
          <w:color w:val="000000"/>
        </w:rPr>
        <w:t xml:space="preserve">, </w:t>
      </w:r>
      <w:r w:rsidRPr="004B4C3D">
        <w:rPr>
          <w:rFonts w:ascii="Arial" w:hAnsi="Arial" w:cs="Arial"/>
          <w:color w:val="000000"/>
        </w:rPr>
        <w:t xml:space="preserve">factors that contribute to cognitive overload and elevate the risk of errors. Kok (2022) reported that fatigue compromises </w:t>
      </w:r>
      <w:proofErr w:type="spellStart"/>
      <w:r w:rsidRPr="004B4C3D">
        <w:rPr>
          <w:rFonts w:ascii="Arial" w:hAnsi="Arial" w:cs="Arial"/>
          <w:color w:val="000000"/>
        </w:rPr>
        <w:t>corticostriatal</w:t>
      </w:r>
      <w:proofErr w:type="spellEnd"/>
      <w:r w:rsidRPr="004B4C3D">
        <w:rPr>
          <w:rFonts w:ascii="Arial" w:hAnsi="Arial" w:cs="Arial"/>
          <w:color w:val="000000"/>
        </w:rPr>
        <w:t xml:space="preserve"> circuit connectivity, crucial for action selection, motivation, and execution of habitual tasks. </w:t>
      </w:r>
      <w:r w:rsidR="00B46B54">
        <w:rPr>
          <w:rFonts w:ascii="Arial" w:hAnsi="Arial" w:cs="Arial"/>
          <w:color w:val="000000"/>
        </w:rPr>
        <w:tab/>
      </w:r>
      <w:r w:rsidRPr="004B4C3D">
        <w:rPr>
          <w:rFonts w:ascii="Arial" w:hAnsi="Arial" w:cs="Arial"/>
          <w:color w:val="000000"/>
        </w:rPr>
        <w:t xml:space="preserve">Under stress, these systems become less effective, prompting greater reliance on automatic responses System 1 rather than reflective, analytical decision-making System 2. Fatigue also impairs prefrontal function, reducing attention, working memory, and </w:t>
      </w:r>
      <w:r w:rsidR="00B46B54">
        <w:rPr>
          <w:rFonts w:ascii="Arial" w:hAnsi="Arial" w:cs="Arial"/>
          <w:color w:val="000000"/>
        </w:rPr>
        <w:t xml:space="preserve">the </w:t>
      </w:r>
      <w:r w:rsidRPr="004B4C3D">
        <w:rPr>
          <w:rFonts w:ascii="Arial" w:hAnsi="Arial" w:cs="Arial"/>
          <w:color w:val="000000"/>
        </w:rPr>
        <w:t xml:space="preserve">capacity to override habitual actions, thereby encouraging System 1 </w:t>
      </w:r>
      <w:r w:rsidR="001B0F42" w:rsidRPr="004B4C3D">
        <w:rPr>
          <w:rFonts w:ascii="Arial" w:hAnsi="Arial" w:cs="Arial"/>
          <w:color w:val="000000"/>
        </w:rPr>
        <w:t>thinking</w:t>
      </w:r>
      <w:r w:rsidR="001B0F42">
        <w:rPr>
          <w:rFonts w:ascii="Arial" w:hAnsi="Arial" w:cs="Arial"/>
          <w:color w:val="000000"/>
        </w:rPr>
        <w:t xml:space="preserve"> (Botvinick</w:t>
      </w:r>
      <w:r w:rsidR="00B87E9C">
        <w:rPr>
          <w:rFonts w:ascii="Arial" w:hAnsi="Arial" w:cs="Arial"/>
          <w:color w:val="000000"/>
        </w:rPr>
        <w:t>,</w:t>
      </w:r>
      <w:r w:rsidR="00B87E9C" w:rsidRPr="00A506DD">
        <w:rPr>
          <w:rFonts w:ascii="Arial" w:hAnsi="Arial" w:cs="Arial"/>
          <w:color w:val="000000"/>
        </w:rPr>
        <w:t>2015)</w:t>
      </w:r>
      <w:r w:rsidRPr="004B4C3D">
        <w:rPr>
          <w:rFonts w:ascii="Arial" w:hAnsi="Arial" w:cs="Arial"/>
          <w:color w:val="000000"/>
        </w:rPr>
        <w:t xml:space="preserve">. The striatum primarily supports routine behaviours; when fatigued, habitual actions dominate while goal-oriented behaviour declines, which may result in skipped procedures such as handwashing. Additionally, fatigue disrupts dopamine signalling in these circuits, lowering motivation, reward sensitivity, and increasing perceived task effort (Greenhouse-Tucknott et al., 2022). </w:t>
      </w:r>
      <w:r w:rsidR="009E2DBC">
        <w:rPr>
          <w:rFonts w:ascii="Arial" w:hAnsi="Arial" w:cs="Arial"/>
          <w:color w:val="000000"/>
        </w:rPr>
        <w:tab/>
      </w:r>
      <w:r w:rsidRPr="004B4C3D">
        <w:rPr>
          <w:rFonts w:ascii="Arial" w:hAnsi="Arial" w:cs="Arial"/>
          <w:color w:val="000000"/>
        </w:rPr>
        <w:t xml:space="preserve">These </w:t>
      </w:r>
      <w:proofErr w:type="spellStart"/>
      <w:r w:rsidRPr="004B4C3D">
        <w:rPr>
          <w:rFonts w:ascii="Arial" w:hAnsi="Arial" w:cs="Arial"/>
          <w:color w:val="000000"/>
        </w:rPr>
        <w:t>corticostriatal</w:t>
      </w:r>
      <w:proofErr w:type="spellEnd"/>
      <w:r w:rsidRPr="004B4C3D">
        <w:rPr>
          <w:rFonts w:ascii="Arial" w:hAnsi="Arial" w:cs="Arial"/>
          <w:color w:val="000000"/>
        </w:rPr>
        <w:t xml:space="preserve"> circuits assess whether tasks warrant the effort, and when perceived effort surpasses anticipated rewards, shortcut behaviours are reinforced.</w:t>
      </w:r>
    </w:p>
    <w:p w14:paraId="1AEFC085" w14:textId="18827877" w:rsidR="004B4C3D" w:rsidRDefault="0048436B" w:rsidP="004B4C3D">
      <w:pPr>
        <w:spacing w:line="480" w:lineRule="auto"/>
        <w:rPr>
          <w:rFonts w:ascii="Arial" w:hAnsi="Arial" w:cs="Arial"/>
          <w:color w:val="000000"/>
        </w:rPr>
      </w:pPr>
      <w:r>
        <w:rPr>
          <w:rFonts w:ascii="Arial" w:hAnsi="Arial" w:cs="Arial"/>
          <w:color w:val="000000"/>
        </w:rPr>
        <w:tab/>
      </w:r>
      <w:r w:rsidR="004B4C3D" w:rsidRPr="004B4C3D">
        <w:rPr>
          <w:rFonts w:ascii="Arial" w:hAnsi="Arial" w:cs="Arial"/>
          <w:color w:val="000000"/>
        </w:rPr>
        <w:t>Cognitive overload, especially when combined with fatigue and staffing shortages, degrades performance and increases dependence on heuristics, leading to errors and omissions (</w:t>
      </w:r>
      <w:proofErr w:type="spellStart"/>
      <w:r w:rsidR="004B4C3D" w:rsidRPr="004B4C3D">
        <w:rPr>
          <w:rFonts w:ascii="Arial" w:hAnsi="Arial" w:cs="Arial"/>
          <w:color w:val="000000"/>
        </w:rPr>
        <w:t>Ozkaynak</w:t>
      </w:r>
      <w:proofErr w:type="spellEnd"/>
      <w:r w:rsidR="004B4C3D" w:rsidRPr="004B4C3D">
        <w:rPr>
          <w:rFonts w:ascii="Arial" w:hAnsi="Arial" w:cs="Arial"/>
          <w:color w:val="000000"/>
        </w:rPr>
        <w:t xml:space="preserve"> et al., 2025; Ellithorpe, 2020; Guo et al., 2025). </w:t>
      </w:r>
      <w:r w:rsidR="004B4C3D" w:rsidRPr="004B4C3D">
        <w:rPr>
          <w:rFonts w:ascii="Arial" w:hAnsi="Arial" w:cs="Arial"/>
          <w:color w:val="000000"/>
        </w:rPr>
        <w:lastRenderedPageBreak/>
        <w:t>Higher infection rates have been directly linked to delays in handwashing, frequently caused by organisational limitations and time constraints. Decision fatigue, as outlined by Baumeister (2012), further promotes automatic behaviours, particularly during extended shifts or periods of repeated interruptions.</w:t>
      </w:r>
    </w:p>
    <w:p w14:paraId="3D3AD727" w14:textId="5ABE7393" w:rsidR="009A5D7D" w:rsidRPr="004B4C3D" w:rsidRDefault="004B4C3D" w:rsidP="004B4C3D">
      <w:pPr>
        <w:spacing w:line="480" w:lineRule="auto"/>
        <w:rPr>
          <w:rFonts w:ascii="Arial" w:hAnsi="Arial" w:cs="Arial"/>
          <w:color w:val="000000"/>
        </w:rPr>
      </w:pPr>
      <w:r>
        <w:rPr>
          <w:rFonts w:ascii="Arial" w:hAnsi="Arial" w:cs="Arial"/>
          <w:color w:val="000000"/>
        </w:rPr>
        <w:tab/>
      </w:r>
      <w:r w:rsidRPr="004B4C3D">
        <w:rPr>
          <w:rFonts w:ascii="Arial" w:hAnsi="Arial" w:cs="Arial"/>
          <w:color w:val="000000"/>
        </w:rPr>
        <w:t>Research consistently shows that cognitive overload undermines performance, particularly in the absence of self-reflection. While experience can enhance decision-making abilities, it may also foster overconfidence, encourage shortcuts</w:t>
      </w:r>
      <w:r>
        <w:rPr>
          <w:rFonts w:ascii="Arial" w:hAnsi="Arial" w:cs="Arial"/>
          <w:color w:val="000000"/>
        </w:rPr>
        <w:t>,</w:t>
      </w:r>
      <w:r w:rsidRPr="004B4C3D">
        <w:rPr>
          <w:rFonts w:ascii="Arial" w:hAnsi="Arial" w:cs="Arial"/>
          <w:color w:val="000000"/>
        </w:rPr>
        <w:t xml:space="preserve"> and </w:t>
      </w:r>
      <w:r>
        <w:rPr>
          <w:rFonts w:ascii="Arial" w:hAnsi="Arial" w:cs="Arial"/>
          <w:color w:val="000000"/>
        </w:rPr>
        <w:t>increase</w:t>
      </w:r>
      <w:r w:rsidRPr="004B4C3D">
        <w:rPr>
          <w:rFonts w:ascii="Arial" w:hAnsi="Arial" w:cs="Arial"/>
          <w:color w:val="000000"/>
        </w:rPr>
        <w:t xml:space="preserve"> the likelihood of errors. Elevated community infection rates underscore the risks associated with neglect of best practices, as both decision fatigue and environmental pressures significantly affect adherence to protocols and compromise patient safety (Guo et al., 2025).</w:t>
      </w:r>
    </w:p>
    <w:p w14:paraId="2BBFB5F4" w14:textId="77777777" w:rsidR="0093349B" w:rsidRDefault="0093349B" w:rsidP="004B4C3D">
      <w:pPr>
        <w:spacing w:line="480" w:lineRule="auto"/>
        <w:rPr>
          <w:rFonts w:ascii="Arial" w:eastAsiaTheme="minorEastAsia" w:hAnsi="Arial" w:cs="Arial"/>
          <w:color w:val="000000"/>
        </w:rPr>
      </w:pPr>
    </w:p>
    <w:p w14:paraId="0C3CA2BD" w14:textId="77777777" w:rsidR="004D556A" w:rsidRPr="00D61A5A" w:rsidRDefault="004D556A">
      <w:pPr>
        <w:pStyle w:val="Heading2"/>
        <w:rPr>
          <w:rFonts w:ascii="Arial Black" w:eastAsia="Times New Roman" w:hAnsi="Arial Black" w:cs="Arial"/>
          <w:b/>
          <w:bCs/>
          <w:color w:val="153D63"/>
        </w:rPr>
      </w:pPr>
      <w:r w:rsidRPr="00D61A5A">
        <w:rPr>
          <w:rFonts w:ascii="Arial Black" w:eastAsia="Times New Roman" w:hAnsi="Arial Black" w:cs="Arial"/>
          <w:b/>
          <w:bCs/>
          <w:color w:val="153D63"/>
        </w:rPr>
        <w:t>Example Literature</w:t>
      </w:r>
    </w:p>
    <w:p w14:paraId="1E014BC1" w14:textId="77777777" w:rsidR="0061623E" w:rsidRPr="004B6F8B" w:rsidRDefault="0061623E">
      <w:pPr>
        <w:spacing w:line="480" w:lineRule="auto"/>
        <w:rPr>
          <w:rFonts w:ascii="Arial" w:hAnsi="Arial" w:cs="Arial"/>
          <w:b/>
          <w:bCs/>
          <w:color w:val="215E99"/>
        </w:rPr>
      </w:pPr>
    </w:p>
    <w:p w14:paraId="0D3BD43A" w14:textId="32A4ED54" w:rsidR="004D556A" w:rsidRPr="00440B0D" w:rsidRDefault="0061623E">
      <w:pPr>
        <w:spacing w:line="480" w:lineRule="auto"/>
        <w:rPr>
          <w:rFonts w:ascii="Arial" w:eastAsiaTheme="minorEastAsia" w:hAnsi="Arial" w:cs="Arial"/>
        </w:rPr>
      </w:pPr>
      <w:r w:rsidRPr="00440B0D">
        <w:rPr>
          <w:rFonts w:ascii="Arial" w:hAnsi="Arial" w:cs="Arial"/>
          <w:color w:val="215E99"/>
        </w:rPr>
        <w:tab/>
      </w:r>
      <w:r w:rsidR="004D556A" w:rsidRPr="00440B0D">
        <w:rPr>
          <w:rFonts w:ascii="Arial" w:hAnsi="Arial" w:cs="Arial"/>
        </w:rPr>
        <w:t xml:space="preserve">Research by Harris and Santhosh (2022) explores the decision-making processes of medical practitioners working within intensive care settings. Their findings reveal that clinicians frequently shift, or ‘toggle’, between intuitive System 1 and analytical System 2 approaches in response to the demands of the clinical environment. This toggling allows practitioners to adapt their reasoning style to the complexity and urgency of each situation, balancing rapid, experience-driven responses with more considered, evidence-based </w:t>
      </w:r>
      <w:r w:rsidR="006A7C14" w:rsidRPr="00440B0D">
        <w:rPr>
          <w:rFonts w:ascii="Arial" w:hAnsi="Arial" w:cs="Arial"/>
        </w:rPr>
        <w:t>judgment</w:t>
      </w:r>
      <w:r w:rsidR="004D556A" w:rsidRPr="00440B0D">
        <w:rPr>
          <w:rFonts w:ascii="Arial" w:hAnsi="Arial" w:cs="Arial"/>
        </w:rPr>
        <w:t xml:space="preserve"> when necessary. </w:t>
      </w:r>
    </w:p>
    <w:p w14:paraId="4B4964F3" w14:textId="7366BD02" w:rsidR="004D556A" w:rsidRDefault="00323795">
      <w:pPr>
        <w:spacing w:line="480" w:lineRule="auto"/>
        <w:rPr>
          <w:rFonts w:ascii="Arial" w:hAnsi="Arial" w:cs="Arial"/>
        </w:rPr>
      </w:pPr>
      <w:r>
        <w:rPr>
          <w:rFonts w:ascii="Arial" w:hAnsi="Arial" w:cs="Arial"/>
        </w:rPr>
        <w:tab/>
      </w:r>
      <w:r w:rsidR="004D556A" w:rsidRPr="00440B0D">
        <w:rPr>
          <w:rFonts w:ascii="Arial" w:hAnsi="Arial" w:cs="Arial"/>
        </w:rPr>
        <w:t xml:space="preserve">Similarly, a study conducted by </w:t>
      </w:r>
      <w:proofErr w:type="spellStart"/>
      <w:r w:rsidR="004D556A" w:rsidRPr="00440B0D">
        <w:rPr>
          <w:rFonts w:ascii="Arial" w:hAnsi="Arial" w:cs="Arial"/>
        </w:rPr>
        <w:t>Ozkaynak</w:t>
      </w:r>
      <w:proofErr w:type="spellEnd"/>
      <w:r w:rsidR="004D556A" w:rsidRPr="00440B0D">
        <w:rPr>
          <w:rFonts w:ascii="Arial" w:hAnsi="Arial" w:cs="Arial"/>
        </w:rPr>
        <w:t xml:space="preserve"> et al. (2025) within a hospital Emergency Department highlights the impact of </w:t>
      </w:r>
      <w:r w:rsidR="00486727">
        <w:rPr>
          <w:rFonts w:ascii="Arial" w:hAnsi="Arial" w:cs="Arial"/>
        </w:rPr>
        <w:t>work-related</w:t>
      </w:r>
      <w:r w:rsidR="00EB0DCF">
        <w:rPr>
          <w:rFonts w:ascii="Arial" w:hAnsi="Arial" w:cs="Arial"/>
        </w:rPr>
        <w:t xml:space="preserve"> </w:t>
      </w:r>
      <w:r w:rsidR="004D556A" w:rsidRPr="00440B0D">
        <w:rPr>
          <w:rFonts w:ascii="Arial" w:hAnsi="Arial" w:cs="Arial"/>
        </w:rPr>
        <w:t xml:space="preserve">fatigue on </w:t>
      </w:r>
      <w:r w:rsidR="00DA6357">
        <w:rPr>
          <w:rFonts w:ascii="Arial" w:hAnsi="Arial" w:cs="Arial"/>
        </w:rPr>
        <w:t>judgments by staff</w:t>
      </w:r>
      <w:r w:rsidR="004D556A" w:rsidRPr="00440B0D">
        <w:rPr>
          <w:rFonts w:ascii="Arial" w:hAnsi="Arial" w:cs="Arial"/>
        </w:rPr>
        <w:t xml:space="preserve">. The research demonstrates that when clinicians experience fatigue, their choices can deviate from established evidence-based guidelines. As a result, patient </w:t>
      </w:r>
      <w:r w:rsidR="004D556A" w:rsidRPr="00440B0D">
        <w:rPr>
          <w:rFonts w:ascii="Arial" w:hAnsi="Arial" w:cs="Arial"/>
        </w:rPr>
        <w:lastRenderedPageBreak/>
        <w:t xml:space="preserve">needs may not be adequately addressed, underlining the risks associated with cognitive overload and the importance of supporting staff to maintain high standards of care under demanding conditions. </w:t>
      </w:r>
    </w:p>
    <w:p w14:paraId="08809E6F" w14:textId="77777777" w:rsidR="004B6F8B" w:rsidRDefault="00B133C5" w:rsidP="0066393E">
      <w:pPr>
        <w:spacing w:line="480" w:lineRule="auto"/>
        <w:rPr>
          <w:rFonts w:ascii="Arial" w:hAnsi="Arial" w:cs="Arial"/>
          <w:i/>
          <w:iCs/>
        </w:rPr>
      </w:pPr>
      <w:r>
        <w:rPr>
          <w:rFonts w:ascii="Arial" w:hAnsi="Arial" w:cs="Arial"/>
        </w:rPr>
        <w:tab/>
        <w:t xml:space="preserve">A study was conducted for a dissertation </w:t>
      </w:r>
      <w:r w:rsidR="001117AA">
        <w:rPr>
          <w:rFonts w:ascii="Arial" w:hAnsi="Arial" w:cs="Arial"/>
        </w:rPr>
        <w:t>that</w:t>
      </w:r>
      <w:r>
        <w:rPr>
          <w:rFonts w:ascii="Arial" w:hAnsi="Arial" w:cs="Arial"/>
        </w:rPr>
        <w:t xml:space="preserve"> looked at the importance of hand hygiene in reducing </w:t>
      </w:r>
      <w:r w:rsidR="001117AA">
        <w:rPr>
          <w:rFonts w:ascii="Arial" w:hAnsi="Arial" w:cs="Arial"/>
        </w:rPr>
        <w:t>patient infections</w:t>
      </w:r>
      <w:r w:rsidR="00255D6A">
        <w:rPr>
          <w:rFonts w:ascii="Arial" w:hAnsi="Arial" w:cs="Arial"/>
        </w:rPr>
        <w:t xml:space="preserve"> </w:t>
      </w:r>
      <w:r w:rsidR="005D15B2">
        <w:rPr>
          <w:rFonts w:ascii="Arial" w:hAnsi="Arial" w:cs="Arial"/>
        </w:rPr>
        <w:t xml:space="preserve">amongst </w:t>
      </w:r>
      <w:r w:rsidR="00255D6A" w:rsidRPr="00255D6A">
        <w:rPr>
          <w:rFonts w:ascii="Arial" w:hAnsi="Arial" w:cs="Arial"/>
        </w:rPr>
        <w:t xml:space="preserve">50 </w:t>
      </w:r>
      <w:r w:rsidR="00611173">
        <w:rPr>
          <w:rFonts w:ascii="Arial" w:hAnsi="Arial" w:cs="Arial"/>
        </w:rPr>
        <w:t xml:space="preserve">clinical </w:t>
      </w:r>
      <w:r w:rsidR="005D15B2">
        <w:rPr>
          <w:rFonts w:ascii="Arial" w:hAnsi="Arial" w:cs="Arial"/>
        </w:rPr>
        <w:t>staff</w:t>
      </w:r>
      <w:r w:rsidR="00611173">
        <w:rPr>
          <w:rFonts w:ascii="Arial" w:hAnsi="Arial" w:cs="Arial"/>
        </w:rPr>
        <w:t xml:space="preserve"> in a hospital setting</w:t>
      </w:r>
      <w:r w:rsidR="006E1C37">
        <w:rPr>
          <w:rFonts w:ascii="Arial" w:hAnsi="Arial" w:cs="Arial"/>
        </w:rPr>
        <w:t xml:space="preserve">. The results showed that there were significant improvements in compliance </w:t>
      </w:r>
      <w:r w:rsidR="00F92FFA">
        <w:rPr>
          <w:rFonts w:ascii="Arial" w:hAnsi="Arial" w:cs="Arial"/>
        </w:rPr>
        <w:t>from 33.3% to 87.9%</w:t>
      </w:r>
      <w:r w:rsidR="00611173">
        <w:rPr>
          <w:rFonts w:ascii="Arial" w:hAnsi="Arial" w:cs="Arial"/>
        </w:rPr>
        <w:t xml:space="preserve"> </w:t>
      </w:r>
      <w:r w:rsidR="006E1C37">
        <w:rPr>
          <w:rFonts w:ascii="Arial" w:hAnsi="Arial" w:cs="Arial"/>
        </w:rPr>
        <w:t>following the intervention of using an infographic and training</w:t>
      </w:r>
      <w:r w:rsidR="00141E00">
        <w:rPr>
          <w:rFonts w:ascii="Arial" w:hAnsi="Arial" w:cs="Arial"/>
        </w:rPr>
        <w:t xml:space="preserve"> (</w:t>
      </w:r>
      <w:r w:rsidR="0063398D" w:rsidRPr="0063398D">
        <w:rPr>
          <w:rFonts w:ascii="Arial" w:hAnsi="Arial" w:cs="Arial"/>
        </w:rPr>
        <w:t>Baffour</w:t>
      </w:r>
      <w:r w:rsidR="0063398D">
        <w:rPr>
          <w:rFonts w:ascii="Arial" w:hAnsi="Arial" w:cs="Arial"/>
        </w:rPr>
        <w:t xml:space="preserve">, </w:t>
      </w:r>
      <w:r w:rsidR="0063398D" w:rsidRPr="0063398D">
        <w:rPr>
          <w:rFonts w:ascii="Arial" w:hAnsi="Arial" w:cs="Arial"/>
        </w:rPr>
        <w:t>2021). </w:t>
      </w:r>
    </w:p>
    <w:p w14:paraId="508F961D" w14:textId="77777777" w:rsidR="004B6F8B" w:rsidRDefault="004B6F8B" w:rsidP="0066393E">
      <w:pPr>
        <w:spacing w:line="480" w:lineRule="auto"/>
        <w:rPr>
          <w:rFonts w:ascii="Arial" w:hAnsi="Arial" w:cs="Arial"/>
          <w:i/>
          <w:iCs/>
        </w:rPr>
      </w:pPr>
    </w:p>
    <w:p w14:paraId="13339DAA" w14:textId="494AAB04" w:rsidR="00DC4E99" w:rsidRDefault="00DC4E99" w:rsidP="001B0F42">
      <w:pPr>
        <w:spacing w:line="480" w:lineRule="auto"/>
        <w:rPr>
          <w:rFonts w:ascii="Arial Black" w:hAnsi="Arial Black" w:cs="Arial"/>
          <w:color w:val="153D63" w:themeColor="text2" w:themeTint="E6"/>
          <w:sz w:val="32"/>
          <w:szCs w:val="32"/>
        </w:rPr>
      </w:pPr>
      <w:r>
        <w:rPr>
          <w:rFonts w:ascii="Arial Black" w:hAnsi="Arial Black" w:cs="Arial"/>
          <w:color w:val="153D63" w:themeColor="text2" w:themeTint="E6"/>
          <w:sz w:val="32"/>
          <w:szCs w:val="32"/>
        </w:rPr>
        <w:t>Suggestions for New Procedures</w:t>
      </w:r>
    </w:p>
    <w:p w14:paraId="33FFE0CF" w14:textId="332AEE36"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This report examines the dynamic relationship between job demands, reflective practice, staffing levels, and infection control within healthcare settings. Reflective practice enables nurses to integrate intuition and critical analysis, thereby identifying deficiencies in infection control and implementing targeted enhancements that contribute to patient safety. Routine engagement in reflection sessions fosters professional conduct, sustains clinical standards, and promotes collaborative teamwork, particularly among staff who work autonomously (Cohn &amp; Lynch, 2017; </w:t>
      </w:r>
      <w:proofErr w:type="spellStart"/>
      <w:r w:rsidR="0050757A" w:rsidRPr="0050757A">
        <w:rPr>
          <w:rFonts w:ascii="Arial" w:hAnsi="Arial" w:cs="Arial"/>
          <w:color w:val="000000"/>
        </w:rPr>
        <w:t>Revans</w:t>
      </w:r>
      <w:proofErr w:type="spellEnd"/>
      <w:r w:rsidR="0050757A" w:rsidRPr="0050757A">
        <w:rPr>
          <w:rFonts w:ascii="Arial" w:hAnsi="Arial" w:cs="Arial"/>
          <w:color w:val="000000"/>
        </w:rPr>
        <w:t>, 2017).</w:t>
      </w:r>
    </w:p>
    <w:p w14:paraId="3472ED1A" w14:textId="11014A16"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Unscheduled managerial oversight and supervision are effective in reducing errors and highlighting staffing challenges, which allows management to adjust personnel allocations and budgetary resources in alignment with best practice guidelines. Organizational support is essential for mitigating low staff morale and associated issues such as stress and illness; sufficient staffing provisions afford nurses the necessary time for reflection and rigorous infection control measures. </w:t>
      </w:r>
      <w:r w:rsidR="0050757A" w:rsidRPr="0050757A">
        <w:rPr>
          <w:rFonts w:ascii="Arial" w:hAnsi="Arial" w:cs="Arial"/>
          <w:color w:val="000000"/>
        </w:rPr>
        <w:lastRenderedPageBreak/>
        <w:t xml:space="preserve">Conversely, elevated workloads can result in burnout and suboptimal outcomes (Waterfield &amp; </w:t>
      </w:r>
      <w:proofErr w:type="spellStart"/>
      <w:r w:rsidR="0050757A" w:rsidRPr="0050757A">
        <w:rPr>
          <w:rFonts w:ascii="Arial" w:hAnsi="Arial" w:cs="Arial"/>
          <w:color w:val="000000"/>
        </w:rPr>
        <w:t>Barnason</w:t>
      </w:r>
      <w:proofErr w:type="spellEnd"/>
      <w:r w:rsidR="0050757A" w:rsidRPr="0050757A">
        <w:rPr>
          <w:rFonts w:ascii="Arial" w:hAnsi="Arial" w:cs="Arial"/>
          <w:color w:val="000000"/>
        </w:rPr>
        <w:t>, 2022).</w:t>
      </w:r>
    </w:p>
    <w:p w14:paraId="32ED9551" w14:textId="7983F7DE"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Adequate staffing empowers nurses to maintain infection control protocols, prevent overload, engage in reflective practice, and make informed decisions (</w:t>
      </w:r>
      <w:proofErr w:type="spellStart"/>
      <w:r w:rsidR="0050757A" w:rsidRPr="0050757A">
        <w:rPr>
          <w:rFonts w:ascii="Arial" w:hAnsi="Arial" w:cs="Arial"/>
          <w:color w:val="000000"/>
        </w:rPr>
        <w:t>Ozkaynak</w:t>
      </w:r>
      <w:proofErr w:type="spellEnd"/>
      <w:r w:rsidR="0050757A" w:rsidRPr="0050757A">
        <w:rPr>
          <w:rFonts w:ascii="Arial" w:hAnsi="Arial" w:cs="Arial"/>
          <w:color w:val="000000"/>
        </w:rPr>
        <w:t xml:space="preserve"> et al., 2025). The integration of reflective practice, appropriate staffing levels, and robust infection control procedures is vital for upholding high standards of patient care.</w:t>
      </w:r>
    </w:p>
    <w:p w14:paraId="4F98C581" w14:textId="12A16519" w:rsidR="0050757A" w:rsidRDefault="001B0F42"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 xml:space="preserve">Collaboration between management and district nurses is enhanced by regular reminders, such as electronic prompts or signage, to reinforce hand hygiene and disrupt habitual </w:t>
      </w:r>
      <w:r w:rsidR="0071292C" w:rsidRPr="0050757A">
        <w:rPr>
          <w:rFonts w:ascii="Arial" w:hAnsi="Arial" w:cs="Arial"/>
          <w:color w:val="000000"/>
        </w:rPr>
        <w:t>behaviours</w:t>
      </w:r>
      <w:r w:rsidR="0050757A" w:rsidRPr="0050757A">
        <w:rPr>
          <w:rFonts w:ascii="Arial" w:hAnsi="Arial" w:cs="Arial"/>
          <w:color w:val="000000"/>
        </w:rPr>
        <w:t>. Supplementary tools—including patient stickers, equipment tags, and group applications for communication and location-sharing—strengthen teamwork and compliance with evidence-based practices. Scheduled breaks and peer accountability help alleviate decision fatigue and ensure consistent infection control. These strategies, guided by research and industry standards, facilitate improved handwashing adherence and promote patient safety.</w:t>
      </w:r>
    </w:p>
    <w:p w14:paraId="27887667" w14:textId="56C90399" w:rsidR="0050757A" w:rsidRDefault="0071292C" w:rsidP="001B0F42">
      <w:pPr>
        <w:spacing w:line="480" w:lineRule="auto"/>
        <w:rPr>
          <w:rFonts w:ascii="Arial" w:hAnsi="Arial" w:cs="Arial"/>
          <w:color w:val="000000"/>
        </w:rPr>
      </w:pPr>
      <w:r>
        <w:rPr>
          <w:rFonts w:ascii="Arial" w:hAnsi="Arial" w:cs="Arial"/>
          <w:color w:val="000000"/>
        </w:rPr>
        <w:tab/>
      </w:r>
      <w:r w:rsidR="0050757A" w:rsidRPr="0050757A">
        <w:rPr>
          <w:rFonts w:ascii="Arial" w:hAnsi="Arial" w:cs="Arial"/>
          <w:color w:val="000000"/>
        </w:rPr>
        <w:t>The ethical considerations for introducing new handwashing protocols for district nursing teams include:</w:t>
      </w:r>
    </w:p>
    <w:p w14:paraId="501AD740" w14:textId="5450B0F2"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Beneficence:</w:t>
      </w:r>
      <w:r w:rsidRPr="0050757A">
        <w:rPr>
          <w:rFonts w:ascii="Arial" w:hAnsi="Arial" w:cs="Arial"/>
          <w:color w:val="000000"/>
        </w:rPr>
        <w:t xml:space="preserve"> Promoting the </w:t>
      </w:r>
      <w:r w:rsidR="009931B4">
        <w:rPr>
          <w:rFonts w:ascii="Arial" w:hAnsi="Arial" w:cs="Arial"/>
          <w:color w:val="000000"/>
        </w:rPr>
        <w:t>well-being</w:t>
      </w:r>
      <w:r w:rsidRPr="0050757A">
        <w:rPr>
          <w:rFonts w:ascii="Arial" w:hAnsi="Arial" w:cs="Arial"/>
          <w:color w:val="000000"/>
        </w:rPr>
        <w:t xml:space="preserve"> of vulnerable patients in their own homes.</w:t>
      </w:r>
    </w:p>
    <w:p w14:paraId="2FCD7EA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Non-maleficence:</w:t>
      </w:r>
      <w:r w:rsidRPr="0050757A">
        <w:rPr>
          <w:rFonts w:ascii="Arial" w:hAnsi="Arial" w:cs="Arial"/>
          <w:color w:val="000000"/>
        </w:rPr>
        <w:t xml:space="preserve"> Enhancing procedures to lower infection rates and minimize avoidable harm.</w:t>
      </w:r>
    </w:p>
    <w:p w14:paraId="1BE52680"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Autonomy:</w:t>
      </w:r>
      <w:r w:rsidRPr="0050757A">
        <w:rPr>
          <w:rFonts w:ascii="Arial" w:hAnsi="Arial" w:cs="Arial"/>
          <w:color w:val="000000"/>
        </w:rPr>
        <w:t xml:space="preserve"> Respecting patient consent and household routines when implementing handwashing improvements, ensuring harmonious nurse-patient interactions.</w:t>
      </w:r>
    </w:p>
    <w:p w14:paraId="0E0EBC5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lastRenderedPageBreak/>
        <w:t>Justice:</w:t>
      </w:r>
      <w:r w:rsidRPr="0050757A">
        <w:rPr>
          <w:rFonts w:ascii="Arial" w:hAnsi="Arial" w:cs="Arial"/>
          <w:color w:val="000000"/>
        </w:rPr>
        <w:t xml:space="preserve"> Guaranteeing equitable access to safe environments and equipment for all patients.</w:t>
      </w:r>
    </w:p>
    <w:p w14:paraId="7186A7F0"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Professional Integrity and Accountability:</w:t>
      </w:r>
      <w:r w:rsidRPr="0050757A">
        <w:rPr>
          <w:rFonts w:ascii="Arial" w:hAnsi="Arial" w:cs="Arial"/>
          <w:color w:val="000000"/>
        </w:rPr>
        <w:t xml:space="preserve"> Upholding legal obligations and professional standards.</w:t>
      </w:r>
    </w:p>
    <w:p w14:paraId="4EB0800B"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Feasibility and Moral Distress:</w:t>
      </w:r>
      <w:r w:rsidRPr="0050757A">
        <w:rPr>
          <w:rFonts w:ascii="Arial" w:hAnsi="Arial" w:cs="Arial"/>
          <w:color w:val="000000"/>
        </w:rPr>
        <w:t xml:space="preserve"> Ensuring procedures are practical and thoroughly tested for both nurses and patients.</w:t>
      </w:r>
    </w:p>
    <w:p w14:paraId="13AD0E6F"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Informed Consent:</w:t>
      </w:r>
      <w:r w:rsidRPr="0050757A">
        <w:rPr>
          <w:rFonts w:ascii="Arial" w:hAnsi="Arial" w:cs="Arial"/>
          <w:color w:val="000000"/>
        </w:rPr>
        <w:t xml:space="preserve"> Clearly explaining all procedures and potential risks to patients before clinical interventions.</w:t>
      </w:r>
    </w:p>
    <w:p w14:paraId="6CAE5CA6" w14:textId="77777777" w:rsidR="0050757A" w:rsidRDefault="0050757A" w:rsidP="001B0F42">
      <w:pPr>
        <w:pStyle w:val="ListParagraph"/>
        <w:spacing w:line="480" w:lineRule="auto"/>
        <w:rPr>
          <w:rFonts w:ascii="Arial" w:hAnsi="Arial" w:cs="Arial"/>
          <w:color w:val="000000"/>
        </w:rPr>
      </w:pPr>
      <w:r w:rsidRPr="0050757A">
        <w:rPr>
          <w:rFonts w:ascii="Arial" w:hAnsi="Arial" w:cs="Arial"/>
          <w:b/>
          <w:color w:val="000000"/>
        </w:rPr>
        <w:t>Right to Refuse:</w:t>
      </w:r>
      <w:r w:rsidRPr="0050757A">
        <w:rPr>
          <w:rFonts w:ascii="Arial" w:hAnsi="Arial" w:cs="Arial"/>
          <w:color w:val="000000"/>
        </w:rPr>
        <w:t xml:space="preserve"> Affirming the patient's right to decline treatment, and the nurse's right to refuse interventions not deemed in the patient's best interest.</w:t>
      </w:r>
    </w:p>
    <w:p w14:paraId="19CECD0F" w14:textId="7825423D" w:rsidR="00462B0E" w:rsidRDefault="0050757A" w:rsidP="001B0F42">
      <w:pPr>
        <w:pStyle w:val="ListParagraph"/>
        <w:spacing w:line="480" w:lineRule="auto"/>
        <w:rPr>
          <w:rFonts w:ascii="Arial" w:hAnsi="Arial" w:cs="Arial"/>
          <w:color w:val="000000"/>
        </w:rPr>
      </w:pPr>
      <w:r w:rsidRPr="0050757A">
        <w:rPr>
          <w:rFonts w:ascii="Arial" w:hAnsi="Arial" w:cs="Arial"/>
          <w:b/>
          <w:color w:val="000000"/>
        </w:rPr>
        <w:t>Duty of Candour:</w:t>
      </w:r>
      <w:r w:rsidRPr="0050757A">
        <w:rPr>
          <w:rFonts w:ascii="Arial" w:hAnsi="Arial" w:cs="Arial"/>
          <w:color w:val="000000"/>
        </w:rPr>
        <w:t xml:space="preserve"> Maintaining transparency with patients, colleagues, and management regarding any errors or omissions.</w:t>
      </w:r>
    </w:p>
    <w:p w14:paraId="22D80267" w14:textId="5D4F441C" w:rsidR="009C535A" w:rsidRDefault="00152CCA" w:rsidP="001B0F42">
      <w:pPr>
        <w:pStyle w:val="ListParagraph"/>
        <w:spacing w:line="480" w:lineRule="auto"/>
        <w:rPr>
          <w:rFonts w:ascii="Arial" w:hAnsi="Arial" w:cs="Arial"/>
          <w:color w:val="000000"/>
        </w:rPr>
      </w:pPr>
      <w:r w:rsidRPr="00152CCA">
        <w:rPr>
          <w:rFonts w:ascii="Arial" w:hAnsi="Arial" w:cs="Arial"/>
          <w:b/>
          <w:bCs/>
          <w:color w:val="000000"/>
        </w:rPr>
        <w:t>Confidentiality</w:t>
      </w:r>
      <w:r w:rsidR="00DD5D66" w:rsidRPr="00152CCA">
        <w:rPr>
          <w:rFonts w:ascii="Arial" w:hAnsi="Arial" w:cs="Arial"/>
          <w:b/>
          <w:bCs/>
          <w:color w:val="000000"/>
        </w:rPr>
        <w:t>:</w:t>
      </w:r>
      <w:r w:rsidR="00DD5D66">
        <w:rPr>
          <w:rFonts w:ascii="Arial" w:hAnsi="Arial" w:cs="Arial"/>
          <w:color w:val="000000"/>
        </w:rPr>
        <w:t xml:space="preserve"> Ensure that all </w:t>
      </w:r>
      <w:r>
        <w:rPr>
          <w:rFonts w:ascii="Arial" w:hAnsi="Arial" w:cs="Arial"/>
          <w:color w:val="000000"/>
        </w:rPr>
        <w:t>patients'</w:t>
      </w:r>
      <w:r w:rsidR="00DD5D66">
        <w:rPr>
          <w:rFonts w:ascii="Arial" w:hAnsi="Arial" w:cs="Arial"/>
          <w:color w:val="000000"/>
        </w:rPr>
        <w:t xml:space="preserve"> records are recorded and stored in line with local health board policies</w:t>
      </w:r>
      <w:r>
        <w:rPr>
          <w:rFonts w:ascii="Arial" w:hAnsi="Arial" w:cs="Arial"/>
          <w:color w:val="000000"/>
        </w:rPr>
        <w:t xml:space="preserve"> and General Data Protection Regulations (201</w:t>
      </w:r>
      <w:r w:rsidR="003B409F">
        <w:rPr>
          <w:rFonts w:ascii="Arial" w:hAnsi="Arial" w:cs="Arial"/>
          <w:color w:val="000000"/>
        </w:rPr>
        <w:t>6</w:t>
      </w:r>
      <w:r>
        <w:rPr>
          <w:rFonts w:ascii="Arial" w:hAnsi="Arial" w:cs="Arial"/>
          <w:color w:val="000000"/>
        </w:rPr>
        <w:t>).</w:t>
      </w:r>
    </w:p>
    <w:p w14:paraId="0A0441EE" w14:textId="65DAA3AC" w:rsidR="00C511A2" w:rsidRPr="0050757A" w:rsidRDefault="00C511A2" w:rsidP="001B0F42">
      <w:pPr>
        <w:pStyle w:val="ListParagraph"/>
        <w:spacing w:line="480" w:lineRule="auto"/>
        <w:rPr>
          <w:rFonts w:ascii="Arial" w:hAnsi="Arial" w:cs="Arial"/>
          <w:b/>
          <w:color w:val="000000"/>
        </w:rPr>
      </w:pPr>
      <w:r w:rsidRPr="001F7D82">
        <w:rPr>
          <w:rFonts w:ascii="Arial" w:hAnsi="Arial" w:cs="Arial"/>
          <w:b/>
          <w:bCs/>
          <w:color w:val="000000"/>
        </w:rPr>
        <w:t>Safe Practice:</w:t>
      </w:r>
      <w:r>
        <w:rPr>
          <w:rFonts w:ascii="Arial" w:hAnsi="Arial" w:cs="Arial"/>
          <w:color w:val="000000"/>
        </w:rPr>
        <w:t xml:space="preserve"> Ensuring all patients are</w:t>
      </w:r>
      <w:r w:rsidR="00973BB6">
        <w:rPr>
          <w:rFonts w:ascii="Arial" w:hAnsi="Arial" w:cs="Arial"/>
          <w:color w:val="000000"/>
        </w:rPr>
        <w:t xml:space="preserve"> treated safely, adhering to best practice guidelines</w:t>
      </w:r>
      <w:r w:rsidR="00862155">
        <w:rPr>
          <w:rFonts w:ascii="Arial" w:hAnsi="Arial" w:cs="Arial"/>
          <w:color w:val="000000"/>
        </w:rPr>
        <w:t>,</w:t>
      </w:r>
      <w:r w:rsidR="00BB0D52">
        <w:rPr>
          <w:rFonts w:ascii="Arial" w:hAnsi="Arial" w:cs="Arial"/>
          <w:color w:val="000000"/>
        </w:rPr>
        <w:t xml:space="preserve"> including N</w:t>
      </w:r>
      <w:r w:rsidR="006837BE">
        <w:rPr>
          <w:rFonts w:ascii="Arial" w:hAnsi="Arial" w:cs="Arial"/>
          <w:color w:val="000000"/>
        </w:rPr>
        <w:t>ational Institute for</w:t>
      </w:r>
      <w:r w:rsidR="00862155">
        <w:rPr>
          <w:rFonts w:ascii="Arial" w:hAnsi="Arial" w:cs="Arial"/>
          <w:color w:val="000000"/>
        </w:rPr>
        <w:t xml:space="preserve"> Health and Care Excellence (NI</w:t>
      </w:r>
      <w:r w:rsidR="00BB0D52">
        <w:rPr>
          <w:rFonts w:ascii="Arial" w:hAnsi="Arial" w:cs="Arial"/>
          <w:color w:val="000000"/>
        </w:rPr>
        <w:t>CE</w:t>
      </w:r>
      <w:r w:rsidR="00862155">
        <w:rPr>
          <w:rFonts w:ascii="Arial" w:hAnsi="Arial" w:cs="Arial"/>
          <w:color w:val="000000"/>
        </w:rPr>
        <w:t xml:space="preserve">) </w:t>
      </w:r>
      <w:r w:rsidR="00BB0D52">
        <w:rPr>
          <w:rFonts w:ascii="Arial" w:hAnsi="Arial" w:cs="Arial"/>
          <w:color w:val="000000"/>
        </w:rPr>
        <w:t>(</w:t>
      </w:r>
      <w:r w:rsidR="006837BE">
        <w:rPr>
          <w:rFonts w:ascii="Arial" w:hAnsi="Arial" w:cs="Arial"/>
          <w:color w:val="000000"/>
        </w:rPr>
        <w:t>2012)</w:t>
      </w:r>
      <w:r w:rsidR="0039435A">
        <w:rPr>
          <w:rFonts w:ascii="Arial" w:hAnsi="Arial" w:cs="Arial"/>
          <w:color w:val="000000"/>
        </w:rPr>
        <w:t>, following the Health and Safety Act (</w:t>
      </w:r>
      <w:r w:rsidR="00B62FCE">
        <w:rPr>
          <w:rFonts w:ascii="Arial" w:hAnsi="Arial" w:cs="Arial"/>
          <w:color w:val="000000"/>
        </w:rPr>
        <w:t>1</w:t>
      </w:r>
      <w:r w:rsidR="00D60D27">
        <w:rPr>
          <w:rFonts w:ascii="Arial" w:hAnsi="Arial" w:cs="Arial"/>
          <w:color w:val="000000"/>
        </w:rPr>
        <w:t>974)</w:t>
      </w:r>
      <w:r w:rsidR="00E20E0B">
        <w:rPr>
          <w:rFonts w:ascii="Arial" w:hAnsi="Arial" w:cs="Arial"/>
          <w:color w:val="000000"/>
        </w:rPr>
        <w:t>,</w:t>
      </w:r>
      <w:r w:rsidR="00D60D27">
        <w:rPr>
          <w:rFonts w:ascii="Arial" w:hAnsi="Arial" w:cs="Arial"/>
          <w:color w:val="000000"/>
        </w:rPr>
        <w:t xml:space="preserve"> and Safeguarding guidelines</w:t>
      </w:r>
      <w:r w:rsidR="0055621C">
        <w:rPr>
          <w:rFonts w:ascii="Arial" w:hAnsi="Arial" w:cs="Arial"/>
          <w:color w:val="000000"/>
        </w:rPr>
        <w:t xml:space="preserve"> </w:t>
      </w:r>
      <w:r w:rsidR="001F7D82">
        <w:rPr>
          <w:rFonts w:ascii="Arial" w:hAnsi="Arial" w:cs="Arial"/>
          <w:color w:val="000000"/>
        </w:rPr>
        <w:t>(Care Act, 2014).</w:t>
      </w:r>
    </w:p>
    <w:p w14:paraId="3E7D75C2" w14:textId="77777777" w:rsidR="004A625E" w:rsidRDefault="004A625E" w:rsidP="001B0F42">
      <w:pPr>
        <w:spacing w:line="480" w:lineRule="auto"/>
        <w:rPr>
          <w:rFonts w:ascii="Arial" w:hAnsi="Arial" w:cs="Arial"/>
          <w:color w:val="000000"/>
        </w:rPr>
      </w:pPr>
    </w:p>
    <w:p w14:paraId="2A842A85" w14:textId="7D7779AD" w:rsidR="00A45602" w:rsidRDefault="00A506DD" w:rsidP="007D7075">
      <w:pPr>
        <w:pStyle w:val="Heading2"/>
        <w:rPr>
          <w:rFonts w:ascii="Arial Black" w:eastAsia="Times New Roman" w:hAnsi="Arial Black"/>
          <w:b/>
          <w:color w:val="153D63"/>
        </w:rPr>
      </w:pPr>
      <w:r w:rsidRPr="00A506DD">
        <w:rPr>
          <w:rFonts w:ascii="Arial Black" w:eastAsia="Times New Roman" w:hAnsi="Arial Black"/>
          <w:b/>
          <w:color w:val="153D63"/>
        </w:rPr>
        <w:t>Evaluation and Critique of the Theory</w:t>
      </w:r>
    </w:p>
    <w:p w14:paraId="38A4E193" w14:textId="77777777" w:rsidR="0030641D" w:rsidRPr="0030641D" w:rsidRDefault="0030641D" w:rsidP="0030641D"/>
    <w:p w14:paraId="3056C3B4" w14:textId="4DD11336" w:rsidR="00A506DD" w:rsidRDefault="0030641D" w:rsidP="007D7075">
      <w:pPr>
        <w:spacing w:line="480" w:lineRule="auto"/>
        <w:rPr>
          <w:rFonts w:ascii="Arial" w:hAnsi="Arial" w:cs="Arial"/>
          <w:color w:val="000000"/>
        </w:rPr>
      </w:pPr>
      <w:r>
        <w:rPr>
          <w:rFonts w:ascii="Arial" w:hAnsi="Arial" w:cs="Arial"/>
          <w:color w:val="000000"/>
        </w:rPr>
        <w:tab/>
      </w:r>
      <w:r w:rsidR="007D7075" w:rsidRPr="007D7075">
        <w:rPr>
          <w:rFonts w:ascii="Arial" w:hAnsi="Arial" w:cs="Arial"/>
          <w:color w:val="000000"/>
        </w:rPr>
        <w:t>Dual-decision-making theory (Kahneman, 2011) explains how intuitive and analytical thinking affect behaviour in clinical settings.</w:t>
      </w:r>
      <w:r w:rsidR="007D7075">
        <w:rPr>
          <w:rFonts w:ascii="Arial" w:hAnsi="Arial" w:cs="Arial"/>
          <w:color w:val="000000"/>
        </w:rPr>
        <w:t xml:space="preserve"> </w:t>
      </w:r>
      <w:r w:rsidR="00A506DD" w:rsidRPr="00A506DD">
        <w:rPr>
          <w:rFonts w:ascii="Arial" w:hAnsi="Arial" w:cs="Arial"/>
          <w:color w:val="000000"/>
        </w:rPr>
        <w:t>Kahneman’s model distinguishes between System 1</w:t>
      </w:r>
      <w:r>
        <w:rPr>
          <w:rFonts w:ascii="Arial" w:hAnsi="Arial" w:cs="Arial"/>
          <w:color w:val="000000"/>
        </w:rPr>
        <w:t xml:space="preserve">, </w:t>
      </w:r>
      <w:r w:rsidR="00A506DD" w:rsidRPr="00A506DD">
        <w:rPr>
          <w:rFonts w:ascii="Arial" w:hAnsi="Arial" w:cs="Arial"/>
          <w:color w:val="000000"/>
        </w:rPr>
        <w:t>rapid, experience-based intuition</w:t>
      </w:r>
      <w:r>
        <w:rPr>
          <w:rFonts w:ascii="Arial" w:hAnsi="Arial" w:cs="Arial"/>
          <w:color w:val="000000"/>
        </w:rPr>
        <w:t xml:space="preserve">, </w:t>
      </w:r>
      <w:r w:rsidR="00A506DD" w:rsidRPr="00A506DD">
        <w:rPr>
          <w:rFonts w:ascii="Arial" w:hAnsi="Arial" w:cs="Arial"/>
          <w:color w:val="000000"/>
        </w:rPr>
        <w:t>and System 2</w:t>
      </w:r>
      <w:r>
        <w:rPr>
          <w:rFonts w:ascii="Arial" w:hAnsi="Arial" w:cs="Arial"/>
          <w:color w:val="000000"/>
        </w:rPr>
        <w:t xml:space="preserve">, </w:t>
      </w:r>
      <w:r w:rsidR="00A506DD" w:rsidRPr="00A506DD">
        <w:rPr>
          <w:rFonts w:ascii="Arial" w:hAnsi="Arial" w:cs="Arial"/>
          <w:color w:val="000000"/>
        </w:rPr>
        <w:t>slower, deliberative reasoning</w:t>
      </w:r>
      <w:r>
        <w:rPr>
          <w:rFonts w:ascii="Arial" w:hAnsi="Arial" w:cs="Arial"/>
          <w:color w:val="000000"/>
        </w:rPr>
        <w:t xml:space="preserve">, </w:t>
      </w:r>
      <w:r w:rsidR="00A506DD" w:rsidRPr="00A506DD">
        <w:rPr>
          <w:rFonts w:ascii="Arial" w:hAnsi="Arial" w:cs="Arial"/>
          <w:color w:val="000000"/>
        </w:rPr>
        <w:t xml:space="preserve">highlighting their respective contributions to clinical </w:t>
      </w:r>
      <w:r w:rsidR="00A506DD" w:rsidRPr="00A506DD">
        <w:rPr>
          <w:rFonts w:ascii="Arial" w:hAnsi="Arial" w:cs="Arial"/>
          <w:color w:val="000000"/>
        </w:rPr>
        <w:lastRenderedPageBreak/>
        <w:t>diagnostics. While intuitive reasoning may facilitate efficiency, it also increases vulnerability to cognitive biases such as premature anchoring on diagnoses. In contrast, an overemphasis on analytical reasoning can result in delayed urgent interventions, potentially compromising patient outcomes. This dichotomy accentuates the practical tension clinicians encounter when balancing speed and accuracy during decision-making.</w:t>
      </w:r>
    </w:p>
    <w:p w14:paraId="4E714BBF" w14:textId="2EC11314" w:rsidR="00A506DD" w:rsidRDefault="003C4484"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Building upon Kahneman’s conceptualisation, Evans &amp; Stanovich (2013) critique the dual-system model, contending that its binary portrayal oversimplifies cognitive architecture and lacks neurobiological specificity. They assert that cognition consists of multiple interacting processes operating concurrently, suggesting that interventions aimed at enhancing clinical decision-making should address this complexity rather than focusing solely on the dichotomy between intuition and analysis. For healthcare professionals, such as nurses, effective strategies to improve judgement—especially those related to hand hygiene compliance—should engage the broader spectrum of cognitive processes, thereby delivering more sophisticated support in multifaceted, real-world scenarios.</w:t>
      </w:r>
    </w:p>
    <w:p w14:paraId="4DFE7DAC" w14:textId="35D12C6E" w:rsidR="00A506DD" w:rsidRDefault="00577C87" w:rsidP="00577C87">
      <w:pPr>
        <w:spacing w:line="480" w:lineRule="auto"/>
        <w:rPr>
          <w:rFonts w:ascii="Arial" w:hAnsi="Arial" w:cs="Arial"/>
          <w:color w:val="000000"/>
        </w:rPr>
      </w:pPr>
      <w:r>
        <w:rPr>
          <w:rFonts w:ascii="Arial" w:hAnsi="Arial" w:cs="Arial"/>
          <w:color w:val="000000"/>
        </w:rPr>
        <w:tab/>
      </w:r>
      <w:proofErr w:type="spellStart"/>
      <w:r w:rsidRPr="00577C87">
        <w:rPr>
          <w:rFonts w:ascii="Arial" w:hAnsi="Arial" w:cs="Arial"/>
          <w:color w:val="000000"/>
        </w:rPr>
        <w:t>Botvinick</w:t>
      </w:r>
      <w:proofErr w:type="spellEnd"/>
      <w:r w:rsidRPr="00577C87">
        <w:rPr>
          <w:rFonts w:ascii="Arial" w:hAnsi="Arial" w:cs="Arial"/>
          <w:color w:val="000000"/>
        </w:rPr>
        <w:t xml:space="preserve"> (2015) suggests cognitive control is a process shaped by demand and effort, not a standalone system.</w:t>
      </w:r>
      <w:r>
        <w:rPr>
          <w:rFonts w:ascii="Arial" w:hAnsi="Arial" w:cs="Arial"/>
          <w:color w:val="000000"/>
        </w:rPr>
        <w:t xml:space="preserve"> </w:t>
      </w:r>
      <w:r w:rsidR="00A506DD" w:rsidRPr="00A506DD">
        <w:rPr>
          <w:rFonts w:ascii="Arial" w:hAnsi="Arial" w:cs="Arial"/>
          <w:color w:val="000000"/>
        </w:rPr>
        <w:t xml:space="preserve">According to </w:t>
      </w:r>
      <w:proofErr w:type="spellStart"/>
      <w:r w:rsidR="00391C26">
        <w:rPr>
          <w:rFonts w:ascii="Arial" w:hAnsi="Arial" w:cs="Arial"/>
          <w:color w:val="000000"/>
        </w:rPr>
        <w:t>Botvinick’s</w:t>
      </w:r>
      <w:proofErr w:type="spellEnd"/>
      <w:r w:rsidR="00391C26">
        <w:rPr>
          <w:rFonts w:ascii="Arial" w:hAnsi="Arial" w:cs="Arial"/>
          <w:color w:val="000000"/>
        </w:rPr>
        <w:t xml:space="preserve"> (2015)</w:t>
      </w:r>
      <w:r w:rsidR="00A506DD" w:rsidRPr="00A506DD">
        <w:rPr>
          <w:rFonts w:ascii="Arial" w:hAnsi="Arial" w:cs="Arial"/>
          <w:color w:val="000000"/>
        </w:rPr>
        <w:t xml:space="preserve"> model, individuals allocate cognitive resources only when the anticipated benefits justify the associated effort. This perspective is particularly salient for nurses working under time constraints. For example, when faced with increased demands for handwashing, nurses do not simply transition from intuitive to analytical thinking; instead, they evaluate whether the additional effort aligns with potential improvements in infection control and patient safety. Practically, a nurse might forgo handwashing between patient visits during periods of high workload if the immediate </w:t>
      </w:r>
      <w:r w:rsidR="00A506DD" w:rsidRPr="00A506DD">
        <w:rPr>
          <w:rFonts w:ascii="Arial" w:hAnsi="Arial" w:cs="Arial"/>
          <w:color w:val="000000"/>
        </w:rPr>
        <w:lastRenderedPageBreak/>
        <w:t xml:space="preserve">benefit appears marginal compared to the time invested, even if this contravenes best practice guidelines. Conversely, awareness of a recent infection outbreak or exposure to vulnerable patients can elevate the perceived benefits of rigorous hand hygiene, prompting greater resource allocation despite time pressures. Empirical evidence indicates that compliance with handwashing protocols improves when nurses perceive tangible, immediate advantages, such as reduced infection rates or direct supervisor feedback, thus demonstrating </w:t>
      </w:r>
      <w:proofErr w:type="spellStart"/>
      <w:r w:rsidR="00A506DD" w:rsidRPr="00A506DD">
        <w:rPr>
          <w:rFonts w:ascii="Arial" w:hAnsi="Arial" w:cs="Arial"/>
          <w:color w:val="000000"/>
        </w:rPr>
        <w:t>Botvinick’s</w:t>
      </w:r>
      <w:proofErr w:type="spellEnd"/>
      <w:r w:rsidR="00A506DD" w:rsidRPr="00A506DD">
        <w:rPr>
          <w:rFonts w:ascii="Arial" w:hAnsi="Arial" w:cs="Arial"/>
          <w:color w:val="000000"/>
        </w:rPr>
        <w:t xml:space="preserve"> adaptive effort allocation in clinical environments.</w:t>
      </w:r>
    </w:p>
    <w:p w14:paraId="0057B9FB" w14:textId="39E935ED" w:rsidR="00A506DD" w:rsidRDefault="00A45602"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 xml:space="preserve">The theoretical discourse is further complicated by De Neys (2018), who highlights deficiencies in current models regarding the interaction between System 1 and System 2 processes. He notes that existing frameworks inadequately explain how these systems operate jointly during clinical decision-making, particularly under uncertainty. Augusto (2024) extends this argument, advocating for models that reflect the heterogeneous nature of cognitive processes rather than relying on reductive dichotomies. Similarly, </w:t>
      </w:r>
      <w:proofErr w:type="spellStart"/>
      <w:r w:rsidR="00A506DD" w:rsidRPr="00A506DD">
        <w:rPr>
          <w:rFonts w:ascii="Arial" w:hAnsi="Arial" w:cs="Arial"/>
          <w:color w:val="000000"/>
        </w:rPr>
        <w:t>Grayot</w:t>
      </w:r>
      <w:proofErr w:type="spellEnd"/>
      <w:r w:rsidR="00A506DD" w:rsidRPr="00A506DD">
        <w:rPr>
          <w:rFonts w:ascii="Arial" w:hAnsi="Arial" w:cs="Arial"/>
          <w:color w:val="000000"/>
        </w:rPr>
        <w:t xml:space="preserve"> (2020) critiques the dual-system theory for prioritising explanatory convenience over empirical accuracy, warning against oversimplification of the complex mechanisms underlying judgment and decision-making.</w:t>
      </w:r>
    </w:p>
    <w:p w14:paraId="7C1BCCE5" w14:textId="42C68C48" w:rsidR="00366333" w:rsidRPr="00A506DD" w:rsidRDefault="00A45602" w:rsidP="00A45602">
      <w:pPr>
        <w:spacing w:line="480" w:lineRule="auto"/>
        <w:rPr>
          <w:rFonts w:ascii="Arial" w:hAnsi="Arial" w:cs="Arial"/>
          <w:color w:val="000000"/>
        </w:rPr>
      </w:pPr>
      <w:r>
        <w:rPr>
          <w:rFonts w:ascii="Arial" w:hAnsi="Arial" w:cs="Arial"/>
          <w:color w:val="000000"/>
        </w:rPr>
        <w:tab/>
      </w:r>
      <w:r w:rsidR="00A506DD" w:rsidRPr="00A506DD">
        <w:rPr>
          <w:rFonts w:ascii="Arial" w:hAnsi="Arial" w:cs="Arial"/>
          <w:color w:val="000000"/>
        </w:rPr>
        <w:t xml:space="preserve">Despite continued debate and criticism, the dual-system approach remains prevalent across various domains, including healthcare and creative industries. Its widespread use can be attributed to its intuitive accessibility and practical utility in describing decision-making processes, even as its conceptual and empirical limitations are increasingly acknowledged (De Neys, 2021). In summary, while dual-decision-making theory offers a valuable framework for understanding clinical judgement, contemporary critiques and alternative perspectives underscore the </w:t>
      </w:r>
      <w:r w:rsidR="00A506DD" w:rsidRPr="00A506DD">
        <w:rPr>
          <w:rFonts w:ascii="Arial" w:hAnsi="Arial" w:cs="Arial"/>
          <w:color w:val="000000"/>
        </w:rPr>
        <w:lastRenderedPageBreak/>
        <w:t>necessity for more nuanced, context-sensitive models—particularly in the application of cognitive theory to real-world clinical challenges, such as nurse handwashing compliance.</w:t>
      </w:r>
    </w:p>
    <w:p w14:paraId="37A0452C" w14:textId="77777777" w:rsidR="0036394C" w:rsidRPr="0036394C" w:rsidRDefault="0036394C" w:rsidP="001D324B">
      <w:pPr>
        <w:spacing w:line="480" w:lineRule="auto"/>
        <w:rPr>
          <w:rFonts w:ascii="Arial" w:eastAsiaTheme="minorEastAsia" w:hAnsi="Arial" w:cs="Arial"/>
        </w:rPr>
      </w:pPr>
    </w:p>
    <w:p w14:paraId="708E8EEB" w14:textId="0BF4BE46" w:rsidR="00F10921" w:rsidRPr="001D324B" w:rsidRDefault="007F6D4B" w:rsidP="001D324B">
      <w:pPr>
        <w:spacing w:line="480" w:lineRule="auto"/>
        <w:rPr>
          <w:color w:val="153D63" w:themeColor="text2" w:themeTint="E6"/>
          <w:sz w:val="32"/>
          <w:szCs w:val="32"/>
        </w:rPr>
      </w:pPr>
      <w:r w:rsidRPr="009D2ADF">
        <w:rPr>
          <w:rFonts w:ascii="Arial Black" w:hAnsi="Arial Black"/>
          <w:color w:val="153D63" w:themeColor="text2" w:themeTint="E6"/>
          <w:sz w:val="32"/>
          <w:szCs w:val="32"/>
        </w:rPr>
        <w:t>C</w:t>
      </w:r>
      <w:r w:rsidR="00864335">
        <w:rPr>
          <w:rFonts w:ascii="Arial Black" w:hAnsi="Arial Black"/>
          <w:color w:val="153D63" w:themeColor="text2" w:themeTint="E6"/>
          <w:sz w:val="32"/>
          <w:szCs w:val="32"/>
        </w:rPr>
        <w:t>onclusion and Final Recom</w:t>
      </w:r>
      <w:r w:rsidR="00F20645">
        <w:rPr>
          <w:rFonts w:ascii="Arial Black" w:hAnsi="Arial Black"/>
          <w:color w:val="153D63" w:themeColor="text2" w:themeTint="E6"/>
          <w:sz w:val="32"/>
          <w:szCs w:val="32"/>
        </w:rPr>
        <w:t>mendations</w:t>
      </w:r>
    </w:p>
    <w:p w14:paraId="3642319F" w14:textId="50FEECF6" w:rsid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The dual decision-making theory provides a valuable framework for understanding how District Nurses formulate clinical judgments in challenging environments. This model delineates their reliance on both rapid, intuitive cognition</w:t>
      </w:r>
      <w:r w:rsidR="00932323">
        <w:rPr>
          <w:rFonts w:ascii="Arial" w:hAnsi="Arial" w:cs="Arial"/>
          <w:color w:val="000000"/>
        </w:rPr>
        <w:t>,</w:t>
      </w:r>
      <w:r w:rsidRPr="00587FBA">
        <w:rPr>
          <w:rFonts w:ascii="Arial" w:hAnsi="Arial" w:cs="Arial"/>
          <w:color w:val="000000"/>
        </w:rPr>
        <w:t xml:space="preserve"> System 1</w:t>
      </w:r>
      <w:r w:rsidR="00932323">
        <w:rPr>
          <w:rFonts w:ascii="Arial" w:hAnsi="Arial" w:cs="Arial"/>
          <w:color w:val="000000"/>
        </w:rPr>
        <w:t>,</w:t>
      </w:r>
      <w:r w:rsidRPr="00587FBA">
        <w:rPr>
          <w:rFonts w:ascii="Arial" w:hAnsi="Arial" w:cs="Arial"/>
          <w:color w:val="000000"/>
        </w:rPr>
        <w:t xml:space="preserve"> and more deliberate, analytical reasoning</w:t>
      </w:r>
      <w:r w:rsidR="002E4436">
        <w:rPr>
          <w:rFonts w:ascii="Arial" w:hAnsi="Arial" w:cs="Arial"/>
          <w:color w:val="000000"/>
        </w:rPr>
        <w:t>,</w:t>
      </w:r>
      <w:r w:rsidRPr="00587FBA">
        <w:rPr>
          <w:rFonts w:ascii="Arial" w:hAnsi="Arial" w:cs="Arial"/>
          <w:color w:val="000000"/>
        </w:rPr>
        <w:t xml:space="preserve"> System 2. District Nurses frequently manage complex situations, operate under strict time constraints, and address logistical challenges such as travel, which contribute to increased patient caseloads and fatigue. These factors have been linked to a higher incidence of missed hand hygiene opportunities and clinical errors, as reported by Harris &amp; Santhosh (2022). Moreover, insufficient rest, cognitive overload, and stress-related absences further amplify these issues. Targeted interventions designed to strengthen evidence-based and analytical decision-making have demonstrated effectiveness in reducing error rates and improving patient outcomes (Harris &amp; Santhosh, 2022; </w:t>
      </w:r>
      <w:proofErr w:type="spellStart"/>
      <w:r w:rsidRPr="00587FBA">
        <w:rPr>
          <w:rFonts w:ascii="Arial" w:hAnsi="Arial" w:cs="Arial"/>
          <w:color w:val="000000"/>
        </w:rPr>
        <w:t>Ozkaynak</w:t>
      </w:r>
      <w:proofErr w:type="spellEnd"/>
      <w:r w:rsidRPr="00587FBA">
        <w:rPr>
          <w:rFonts w:ascii="Arial" w:hAnsi="Arial" w:cs="Arial"/>
          <w:color w:val="000000"/>
        </w:rPr>
        <w:t xml:space="preserve"> et al., 2025).</w:t>
      </w:r>
    </w:p>
    <w:p w14:paraId="4D6BE74A" w14:textId="4F1F7E76" w:rsid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District Nurses are recognised by the public as trusted and highly skilled professionals, reinforcing expectations for consistently high standards of competence and professionalism. The necessity to maintain exemplary clinical practices and prevent errors that may compromise patient safety increases the inherent stress associated with daily nursing responsibilities (</w:t>
      </w:r>
      <w:proofErr w:type="spellStart"/>
      <w:r w:rsidRPr="00587FBA">
        <w:rPr>
          <w:rFonts w:ascii="Arial" w:hAnsi="Arial" w:cs="Arial"/>
          <w:color w:val="000000"/>
        </w:rPr>
        <w:t>McKinless</w:t>
      </w:r>
      <w:proofErr w:type="spellEnd"/>
      <w:r w:rsidRPr="00587FBA">
        <w:rPr>
          <w:rFonts w:ascii="Arial" w:hAnsi="Arial" w:cs="Arial"/>
          <w:color w:val="000000"/>
        </w:rPr>
        <w:t>, 2020).</w:t>
      </w:r>
    </w:p>
    <w:p w14:paraId="1E682556" w14:textId="7D814875" w:rsidR="0061493B" w:rsidRPr="00587FBA" w:rsidRDefault="00587FBA" w:rsidP="00587FBA">
      <w:pPr>
        <w:spacing w:line="480" w:lineRule="auto"/>
        <w:rPr>
          <w:rFonts w:ascii="Arial" w:hAnsi="Arial" w:cs="Arial"/>
          <w:color w:val="000000"/>
        </w:rPr>
      </w:pPr>
      <w:r>
        <w:rPr>
          <w:rFonts w:ascii="Arial" w:hAnsi="Arial" w:cs="Arial"/>
          <w:color w:val="000000"/>
        </w:rPr>
        <w:tab/>
      </w:r>
      <w:r w:rsidRPr="00587FBA">
        <w:rPr>
          <w:rFonts w:ascii="Arial" w:hAnsi="Arial" w:cs="Arial"/>
          <w:color w:val="000000"/>
        </w:rPr>
        <w:t xml:space="preserve">Given the significant responsibility placed on district nursing teams to uphold stringent standards and minimise infection risks—where lapses can affect not only </w:t>
      </w:r>
      <w:r w:rsidRPr="00587FBA">
        <w:rPr>
          <w:rFonts w:ascii="Arial" w:hAnsi="Arial" w:cs="Arial"/>
          <w:color w:val="000000"/>
        </w:rPr>
        <w:lastRenderedPageBreak/>
        <w:t xml:space="preserve">patient health but also the reputation of </w:t>
      </w:r>
      <w:r w:rsidR="00AE6815">
        <w:rPr>
          <w:rFonts w:ascii="Arial" w:hAnsi="Arial" w:cs="Arial"/>
          <w:color w:val="000000"/>
        </w:rPr>
        <w:t xml:space="preserve">the </w:t>
      </w:r>
      <w:r w:rsidRPr="00587FBA">
        <w:rPr>
          <w:rFonts w:ascii="Arial" w:hAnsi="Arial" w:cs="Arial"/>
          <w:color w:val="000000"/>
        </w:rPr>
        <w:t>practitioner, the team, the profession, and the Glynafonshir Health Board</w:t>
      </w:r>
      <w:r w:rsidR="00D4320D">
        <w:rPr>
          <w:rFonts w:ascii="Arial" w:hAnsi="Arial" w:cs="Arial"/>
          <w:color w:val="000000"/>
        </w:rPr>
        <w:t xml:space="preserve">, </w:t>
      </w:r>
      <w:r w:rsidRPr="00587FBA">
        <w:rPr>
          <w:rFonts w:ascii="Arial" w:hAnsi="Arial" w:cs="Arial"/>
          <w:color w:val="000000"/>
        </w:rPr>
        <w:t>it is crucial to address deficiencies in hand hygiene practices (Baffour, 2021). Drawing on dual process models of decision-making, the following recommendations outline strategies to support clinical staff, particularly nurses, in making informed decisions and suggest measures to enhance compliance with institutional policies (Harris and Santhosh, 2022).</w:t>
      </w:r>
    </w:p>
    <w:p w14:paraId="7861353D" w14:textId="77777777" w:rsidR="003F6855" w:rsidRPr="000966CA" w:rsidRDefault="003F6855" w:rsidP="00587FBA">
      <w:pPr>
        <w:spacing w:line="480" w:lineRule="auto"/>
        <w:rPr>
          <w:rFonts w:ascii="Arial" w:eastAsia="Times New Roman" w:hAnsi="Arial" w:cs="Arial"/>
          <w:color w:val="153D63" w:themeColor="text2" w:themeTint="E6"/>
        </w:rPr>
      </w:pPr>
    </w:p>
    <w:p w14:paraId="1A5432FA" w14:textId="399AB312" w:rsidR="000150BE" w:rsidRPr="00465281" w:rsidRDefault="007F6D4B" w:rsidP="000150BE">
      <w:pPr>
        <w:spacing w:line="480" w:lineRule="auto"/>
        <w:rPr>
          <w:rFonts w:ascii="Arial Black" w:eastAsia="Times New Roman" w:hAnsi="Arial Black"/>
          <w:color w:val="153D63" w:themeColor="text2" w:themeTint="E6"/>
          <w:sz w:val="28"/>
          <w:szCs w:val="28"/>
        </w:rPr>
      </w:pPr>
      <w:r w:rsidRPr="00465281">
        <w:rPr>
          <w:rFonts w:ascii="Arial Black" w:eastAsia="Times New Roman" w:hAnsi="Arial Black"/>
          <w:color w:val="153D63" w:themeColor="text2" w:themeTint="E6"/>
          <w:sz w:val="28"/>
          <w:szCs w:val="28"/>
        </w:rPr>
        <w:t>Recommendations for Clinical Teams</w:t>
      </w:r>
    </w:p>
    <w:p w14:paraId="49148029" w14:textId="77777777" w:rsidR="00FC1332" w:rsidRDefault="007F6D4B" w:rsidP="000150BE">
      <w:pPr>
        <w:spacing w:line="480" w:lineRule="auto"/>
        <w:rPr>
          <w:rFonts w:ascii="Arial" w:eastAsia="Times New Roman" w:hAnsi="Arial" w:cs="Arial"/>
          <w:b/>
          <w:bCs/>
          <w:i/>
          <w:iCs/>
          <w:color w:val="000000"/>
        </w:rPr>
      </w:pPr>
      <w:r w:rsidRPr="006A321A">
        <w:rPr>
          <w:rFonts w:ascii="Arial" w:eastAsia="Times New Roman" w:hAnsi="Arial" w:cs="Arial"/>
          <w:b/>
          <w:bCs/>
          <w:i/>
          <w:iCs/>
          <w:color w:val="000000"/>
        </w:rPr>
        <w:t>Targeted Training</w:t>
      </w:r>
    </w:p>
    <w:p w14:paraId="45BCA150" w14:textId="6D36828C" w:rsidR="00C73E20" w:rsidRPr="00BD4372" w:rsidRDefault="00301136" w:rsidP="009E2BFE">
      <w:pPr>
        <w:spacing w:line="480" w:lineRule="auto"/>
      </w:pPr>
      <w:r>
        <w:rPr>
          <w:rFonts w:ascii="Arial" w:hAnsi="Arial" w:cs="Arial"/>
          <w:color w:val="000000"/>
        </w:rPr>
        <w:tab/>
      </w:r>
      <w:r w:rsidR="009E2BFE" w:rsidRPr="009E2BFE">
        <w:rPr>
          <w:rFonts w:ascii="Arial" w:hAnsi="Arial" w:cs="Arial"/>
          <w:color w:val="000000"/>
        </w:rPr>
        <w:t>Regular training reinforces protocol compliance and addresses knowledge gaps and procedural lapses, ensuring nurses follow best practices, especially in hand hygiene (</w:t>
      </w:r>
      <w:r w:rsidR="009E2BFE" w:rsidRPr="009E2BFE">
        <w:rPr>
          <w:rFonts w:ascii="Arial" w:hAnsi="Arial" w:cs="Arial"/>
          <w:i/>
          <w:color w:val="000000"/>
        </w:rPr>
        <w:t>Gawronski, Luke &amp; Creighton, 2013</w:t>
      </w:r>
      <w:r w:rsidR="009E2BFE" w:rsidRPr="009E2BFE">
        <w:rPr>
          <w:rFonts w:ascii="Arial" w:hAnsi="Arial" w:cs="Arial"/>
          <w:color w:val="000000"/>
        </w:rPr>
        <w:t>).</w:t>
      </w:r>
    </w:p>
    <w:p w14:paraId="70488932" w14:textId="58656ABC" w:rsidR="005005A1" w:rsidRDefault="007F6D4B" w:rsidP="009E2BFE">
      <w:pPr>
        <w:spacing w:line="480" w:lineRule="auto"/>
        <w:rPr>
          <w:rFonts w:ascii="Arial" w:eastAsia="Times New Roman" w:hAnsi="Arial" w:cs="Arial"/>
          <w:b/>
          <w:bCs/>
          <w:i/>
          <w:iCs/>
          <w:color w:val="000000"/>
        </w:rPr>
      </w:pPr>
      <w:r w:rsidRPr="00F20645">
        <w:rPr>
          <w:rFonts w:ascii="Arial" w:eastAsia="Times New Roman" w:hAnsi="Arial" w:cs="Arial"/>
          <w:b/>
          <w:bCs/>
          <w:i/>
          <w:iCs/>
          <w:color w:val="000000"/>
        </w:rPr>
        <w:t>Enhanced Staffing Levels</w:t>
      </w:r>
    </w:p>
    <w:p w14:paraId="375B46E8" w14:textId="4A14A0C5" w:rsidR="00381E2D" w:rsidRDefault="007A38B9" w:rsidP="007A38B9">
      <w:pPr>
        <w:spacing w:line="480" w:lineRule="auto"/>
      </w:pPr>
      <w:r>
        <w:rPr>
          <w:rFonts w:ascii="Arial" w:hAnsi="Arial" w:cs="Arial"/>
          <w:color w:val="000000"/>
        </w:rPr>
        <w:tab/>
      </w:r>
      <w:r w:rsidRPr="007A38B9">
        <w:rPr>
          <w:rFonts w:ascii="Arial" w:hAnsi="Arial" w:cs="Arial"/>
          <w:color w:val="000000"/>
        </w:rPr>
        <w:t>Adequate staffing allows nurses time for thoughtful decision-making and lowers dependence on quick judgments, supporting consistent quality care (</w:t>
      </w:r>
      <w:proofErr w:type="spellStart"/>
      <w:r w:rsidRPr="007A38B9">
        <w:rPr>
          <w:rFonts w:ascii="Arial" w:hAnsi="Arial" w:cs="Arial"/>
          <w:color w:val="000000"/>
        </w:rPr>
        <w:t>McKinless</w:t>
      </w:r>
      <w:proofErr w:type="spellEnd"/>
      <w:r w:rsidRPr="007A38B9">
        <w:rPr>
          <w:rFonts w:ascii="Arial" w:hAnsi="Arial" w:cs="Arial"/>
          <w:color w:val="000000"/>
        </w:rPr>
        <w:t>, 2020).</w:t>
      </w:r>
    </w:p>
    <w:p w14:paraId="77622FD4" w14:textId="14114D33" w:rsidR="005005A1" w:rsidRDefault="007F6D4B" w:rsidP="007A38B9">
      <w:pPr>
        <w:spacing w:line="480" w:lineRule="auto"/>
        <w:rPr>
          <w:rFonts w:ascii="Arial" w:eastAsia="Times New Roman" w:hAnsi="Arial" w:cs="Arial"/>
          <w:b/>
          <w:bCs/>
          <w:i/>
          <w:iCs/>
          <w:color w:val="000000"/>
        </w:rPr>
      </w:pPr>
      <w:r w:rsidRPr="00BF2D88">
        <w:rPr>
          <w:rFonts w:ascii="Arial" w:eastAsia="Times New Roman" w:hAnsi="Arial" w:cs="Arial"/>
          <w:b/>
          <w:bCs/>
          <w:i/>
          <w:iCs/>
          <w:color w:val="000000"/>
        </w:rPr>
        <w:t>Visual Prompts</w:t>
      </w:r>
    </w:p>
    <w:p w14:paraId="590BB960" w14:textId="4814B52D" w:rsidR="00821C26" w:rsidRPr="00AE6815" w:rsidRDefault="007A38B9" w:rsidP="001166BF">
      <w:pPr>
        <w:spacing w:line="480" w:lineRule="auto"/>
      </w:pPr>
      <w:r>
        <w:rPr>
          <w:rFonts w:ascii="Arial" w:hAnsi="Arial" w:cs="Arial"/>
          <w:color w:val="000000"/>
        </w:rPr>
        <w:tab/>
      </w:r>
      <w:r w:rsidR="001166BF" w:rsidRPr="001166BF">
        <w:rPr>
          <w:rFonts w:ascii="Arial" w:hAnsi="Arial" w:cs="Arial"/>
          <w:color w:val="000000"/>
        </w:rPr>
        <w:t xml:space="preserve">The use of key or bag fobs, entrance stickers, and app reminders interrupts habitual </w:t>
      </w:r>
      <w:proofErr w:type="spellStart"/>
      <w:r w:rsidR="001166BF" w:rsidRPr="001166BF">
        <w:rPr>
          <w:rFonts w:ascii="Arial" w:hAnsi="Arial" w:cs="Arial"/>
          <w:color w:val="000000"/>
        </w:rPr>
        <w:t>behaviors</w:t>
      </w:r>
      <w:proofErr w:type="spellEnd"/>
      <w:r w:rsidR="001166BF" w:rsidRPr="001166BF">
        <w:rPr>
          <w:rFonts w:ascii="Arial" w:hAnsi="Arial" w:cs="Arial"/>
          <w:color w:val="000000"/>
        </w:rPr>
        <w:t xml:space="preserve"> and improves protocol compliance. These visual cues help reinforce hand hygiene, supporting best practices and reducing mistakes (Baffour, 2021).</w:t>
      </w:r>
      <w:r w:rsidR="001166BF">
        <w:rPr>
          <w:rFonts w:ascii="Arial" w:hAnsi="Arial" w:cs="Arial"/>
          <w:color w:val="000000"/>
        </w:rPr>
        <w:t xml:space="preserve"> </w:t>
      </w:r>
      <w:r w:rsidR="00D46033" w:rsidRPr="002103E3">
        <w:rPr>
          <w:rFonts w:eastAsiaTheme="minorEastAsia"/>
        </w:rPr>
        <w:t> </w:t>
      </w:r>
      <w:r w:rsidR="00793BB6">
        <w:t xml:space="preserve"> </w:t>
      </w:r>
    </w:p>
    <w:p w14:paraId="19756083" w14:textId="35CEC942" w:rsidR="005005A1" w:rsidRDefault="007F6D4B" w:rsidP="001166BF">
      <w:pPr>
        <w:spacing w:line="480" w:lineRule="auto"/>
        <w:rPr>
          <w:rFonts w:ascii="Arial" w:eastAsia="Times New Roman" w:hAnsi="Arial" w:cs="Arial"/>
          <w:b/>
          <w:bCs/>
          <w:i/>
          <w:iCs/>
          <w:color w:val="000000"/>
        </w:rPr>
      </w:pPr>
      <w:r w:rsidRPr="00853F45">
        <w:rPr>
          <w:rFonts w:ascii="Arial" w:eastAsia="Times New Roman" w:hAnsi="Arial" w:cs="Arial"/>
          <w:b/>
          <w:bCs/>
          <w:i/>
          <w:iCs/>
          <w:color w:val="000000"/>
        </w:rPr>
        <w:t>Teamwork and Communication Apps</w:t>
      </w:r>
    </w:p>
    <w:p w14:paraId="376D212E" w14:textId="1702F685" w:rsidR="00C93F88" w:rsidRPr="00821C26" w:rsidRDefault="001166BF" w:rsidP="00821C26">
      <w:pPr>
        <w:pStyle w:val="BodyText2"/>
      </w:pPr>
      <w:r>
        <w:tab/>
      </w:r>
      <w:r w:rsidR="00D13B19" w:rsidRPr="00D13B19">
        <w:t>Using group apps improves information sharing, strengthens teamwork, and reduces stress from working alone. This approach combats isolation and supports peer interaction, which can lead to better clinical results (Daher, 2022, October).</w:t>
      </w:r>
    </w:p>
    <w:p w14:paraId="10F6523C" w14:textId="7FBAAC33" w:rsidR="00A75913" w:rsidRDefault="007F6D4B" w:rsidP="00E918AB">
      <w:pPr>
        <w:spacing w:line="480" w:lineRule="auto"/>
        <w:rPr>
          <w:rFonts w:ascii="Arial" w:eastAsia="Times New Roman" w:hAnsi="Arial" w:cs="Arial"/>
          <w:b/>
          <w:bCs/>
          <w:i/>
          <w:iCs/>
          <w:color w:val="000000"/>
        </w:rPr>
      </w:pPr>
      <w:r w:rsidRPr="009557A3">
        <w:rPr>
          <w:rFonts w:ascii="Arial" w:eastAsia="Times New Roman" w:hAnsi="Arial" w:cs="Arial"/>
          <w:b/>
          <w:bCs/>
          <w:i/>
          <w:iCs/>
          <w:color w:val="000000"/>
        </w:rPr>
        <w:lastRenderedPageBreak/>
        <w:t>Competency Assessment with Supervisory Support</w:t>
      </w:r>
    </w:p>
    <w:p w14:paraId="10297E0B" w14:textId="3FD3AFC1" w:rsidR="00465281" w:rsidRPr="00A67844" w:rsidRDefault="00D13B19" w:rsidP="00E918AB">
      <w:pPr>
        <w:spacing w:line="480" w:lineRule="auto"/>
        <w:rPr>
          <w:rFonts w:ascii="Arial Black" w:hAnsi="Arial Black"/>
          <w:color w:val="153D63" w:themeColor="text2" w:themeTint="E6"/>
        </w:rPr>
      </w:pPr>
      <w:r>
        <w:rPr>
          <w:rFonts w:ascii="Arial" w:hAnsi="Arial" w:cs="Arial"/>
          <w:color w:val="000000"/>
        </w:rPr>
        <w:tab/>
      </w:r>
      <w:r w:rsidRPr="00D13B19">
        <w:rPr>
          <w:rFonts w:ascii="Arial" w:hAnsi="Arial" w:cs="Arial"/>
          <w:color w:val="000000"/>
        </w:rPr>
        <w:t xml:space="preserve">Regular competency assessments and supervision support consistent protocol adherence and skill retention </w:t>
      </w:r>
      <w:r w:rsidRPr="00A67844">
        <w:rPr>
          <w:rFonts w:ascii="Arial" w:hAnsi="Arial" w:cs="Arial"/>
          <w:color w:val="000000"/>
        </w:rPr>
        <w:t>(</w:t>
      </w:r>
      <w:r w:rsidRPr="00A67844">
        <w:rPr>
          <w:rFonts w:ascii="Arial" w:hAnsi="Arial" w:cs="Arial"/>
          <w:i/>
          <w:color w:val="000000"/>
        </w:rPr>
        <w:t>Gawronski, Luke &amp; Creighton, 2013</w:t>
      </w:r>
      <w:r w:rsidR="00D4320D" w:rsidRPr="00A67844">
        <w:rPr>
          <w:rFonts w:ascii="Arial" w:hAnsi="Arial" w:cs="Arial"/>
          <w:color w:val="000000"/>
        </w:rPr>
        <w:t>). _</w:t>
      </w:r>
    </w:p>
    <w:p w14:paraId="384D34BA" w14:textId="77777777" w:rsidR="00FF233D" w:rsidRDefault="00FF233D" w:rsidP="00E918AB">
      <w:pPr>
        <w:spacing w:line="480" w:lineRule="auto"/>
        <w:rPr>
          <w:rFonts w:ascii="Arial Black" w:eastAsia="Times New Roman" w:hAnsi="Arial Black"/>
          <w:color w:val="153D63" w:themeColor="text2" w:themeTint="E6"/>
        </w:rPr>
      </w:pPr>
    </w:p>
    <w:p w14:paraId="34DB05CE" w14:textId="41EA672C" w:rsidR="008D58AA" w:rsidRPr="00465281" w:rsidRDefault="00465281" w:rsidP="00942CF6">
      <w:pPr>
        <w:spacing w:line="480" w:lineRule="auto"/>
        <w:rPr>
          <w:rFonts w:ascii="Arial Black" w:eastAsia="Times New Roman" w:hAnsi="Arial Black"/>
          <w:color w:val="153D63" w:themeColor="text2" w:themeTint="E6"/>
          <w:sz w:val="28"/>
          <w:szCs w:val="28"/>
        </w:rPr>
      </w:pPr>
      <w:r w:rsidRPr="00465281">
        <w:rPr>
          <w:rFonts w:ascii="Arial Black" w:eastAsia="Times New Roman" w:hAnsi="Arial Black"/>
          <w:color w:val="153D63" w:themeColor="text2" w:themeTint="E6"/>
          <w:sz w:val="28"/>
          <w:szCs w:val="28"/>
        </w:rPr>
        <w:t>Supportive</w:t>
      </w:r>
      <w:r w:rsidR="007F6D4B" w:rsidRPr="00465281">
        <w:rPr>
          <w:rFonts w:ascii="Arial Black" w:eastAsia="Times New Roman" w:hAnsi="Arial Black"/>
          <w:color w:val="153D63" w:themeColor="text2" w:themeTint="E6"/>
          <w:sz w:val="28"/>
          <w:szCs w:val="28"/>
        </w:rPr>
        <w:t xml:space="preserve"> Measures for Staff Well</w:t>
      </w:r>
      <w:r w:rsidR="00E67866">
        <w:rPr>
          <w:rFonts w:ascii="Arial Black" w:eastAsia="Times New Roman" w:hAnsi="Arial Black"/>
          <w:color w:val="153D63" w:themeColor="text2" w:themeTint="E6"/>
          <w:sz w:val="28"/>
          <w:szCs w:val="28"/>
        </w:rPr>
        <w:t>-</w:t>
      </w:r>
      <w:r w:rsidR="007F6D4B" w:rsidRPr="00465281">
        <w:rPr>
          <w:rFonts w:ascii="Arial Black" w:eastAsia="Times New Roman" w:hAnsi="Arial Black"/>
          <w:color w:val="153D63" w:themeColor="text2" w:themeTint="E6"/>
          <w:sz w:val="28"/>
          <w:szCs w:val="28"/>
        </w:rPr>
        <w:t>being</w:t>
      </w:r>
    </w:p>
    <w:p w14:paraId="25F9851B" w14:textId="77777777" w:rsidR="008D58AA" w:rsidRPr="00942CF6" w:rsidRDefault="007F6D4B" w:rsidP="00942CF6">
      <w:pPr>
        <w:spacing w:line="480" w:lineRule="auto"/>
        <w:rPr>
          <w:rFonts w:ascii="Arial" w:eastAsia="Times New Roman" w:hAnsi="Arial" w:cs="Arial"/>
          <w:b/>
          <w:bCs/>
          <w:i/>
          <w:iCs/>
          <w:color w:val="000000"/>
        </w:rPr>
      </w:pPr>
      <w:r w:rsidRPr="00942CF6">
        <w:rPr>
          <w:rFonts w:ascii="Arial" w:eastAsia="Times New Roman" w:hAnsi="Arial" w:cs="Arial"/>
          <w:b/>
          <w:bCs/>
          <w:i/>
          <w:iCs/>
          <w:color w:val="000000"/>
        </w:rPr>
        <w:t>Scheduled Breaks</w:t>
      </w:r>
    </w:p>
    <w:p w14:paraId="0998E922" w14:textId="16A930FB" w:rsidR="007B2C1E" w:rsidRDefault="009E2BFE" w:rsidP="00942CF6">
      <w:pPr>
        <w:spacing w:line="480" w:lineRule="auto"/>
      </w:pPr>
      <w:r>
        <w:rPr>
          <w:rFonts w:ascii="Arial" w:hAnsi="Arial" w:cs="Arial"/>
          <w:color w:val="000000"/>
        </w:rPr>
        <w:tab/>
      </w:r>
      <w:r w:rsidR="00942CF6" w:rsidRPr="00942CF6">
        <w:rPr>
          <w:rFonts w:ascii="Arial" w:hAnsi="Arial" w:cs="Arial"/>
          <w:color w:val="000000"/>
        </w:rPr>
        <w:t>Regular breaks can prevent decision fatigue, reduce sickness and staff shortages, and help staff maintain analytical reasoning (Min et al., 2020).</w:t>
      </w:r>
    </w:p>
    <w:p w14:paraId="6E00DC41" w14:textId="0828357E" w:rsidR="006579A2" w:rsidRPr="009012FF" w:rsidRDefault="007F6D4B" w:rsidP="00942CF6">
      <w:pPr>
        <w:spacing w:line="480" w:lineRule="auto"/>
        <w:rPr>
          <w:rFonts w:ascii="Arial" w:eastAsia="Times New Roman" w:hAnsi="Arial" w:cs="Arial"/>
          <w:b/>
          <w:bCs/>
          <w:i/>
          <w:iCs/>
          <w:color w:val="000000"/>
        </w:rPr>
      </w:pPr>
      <w:r w:rsidRPr="009012FF">
        <w:rPr>
          <w:rFonts w:ascii="Arial" w:eastAsia="Times New Roman" w:hAnsi="Arial" w:cs="Arial"/>
          <w:b/>
          <w:bCs/>
          <w:i/>
          <w:iCs/>
          <w:color w:val="000000"/>
        </w:rPr>
        <w:t>Peer Accountability Systems</w:t>
      </w:r>
    </w:p>
    <w:p w14:paraId="250FA20E" w14:textId="73C8CB12" w:rsidR="006579A2" w:rsidRDefault="009E2BFE" w:rsidP="009012FF">
      <w:pPr>
        <w:spacing w:line="480" w:lineRule="auto"/>
      </w:pPr>
      <w:r>
        <w:rPr>
          <w:rFonts w:ascii="Arial" w:hAnsi="Arial" w:cs="Arial"/>
          <w:color w:val="000000"/>
        </w:rPr>
        <w:tab/>
      </w:r>
      <w:r w:rsidR="009012FF" w:rsidRPr="009012FF">
        <w:rPr>
          <w:rFonts w:ascii="Arial" w:hAnsi="Arial" w:cs="Arial"/>
          <w:color w:val="000000"/>
        </w:rPr>
        <w:t>Peer support and accountability help maintain protocol compliance and foster shared responsibility, minimizing overconfidence and promoting reflection to prevent missed procedures (Lockett et al., 2015).</w:t>
      </w:r>
    </w:p>
    <w:p w14:paraId="69E84279" w14:textId="77777777" w:rsidR="006579A2" w:rsidRPr="009431ED" w:rsidRDefault="007F6D4B" w:rsidP="009012FF">
      <w:pPr>
        <w:spacing w:line="480" w:lineRule="auto"/>
        <w:rPr>
          <w:rFonts w:ascii="Arial" w:eastAsia="Times New Roman" w:hAnsi="Arial" w:cs="Arial"/>
          <w:b/>
          <w:bCs/>
          <w:i/>
          <w:iCs/>
          <w:color w:val="000000"/>
        </w:rPr>
      </w:pPr>
      <w:r w:rsidRPr="009431ED">
        <w:rPr>
          <w:rFonts w:ascii="Arial" w:eastAsia="Times New Roman" w:hAnsi="Arial" w:cs="Arial"/>
          <w:b/>
          <w:bCs/>
          <w:i/>
          <w:iCs/>
          <w:color w:val="000000"/>
        </w:rPr>
        <w:t>Wellbeing Apps</w:t>
      </w:r>
    </w:p>
    <w:p w14:paraId="3C6C5B98" w14:textId="1501EA5A" w:rsidR="008D401C" w:rsidRPr="006579A2" w:rsidRDefault="009431ED" w:rsidP="009431ED">
      <w:pPr>
        <w:pStyle w:val="BodyText2"/>
        <w:rPr>
          <w:sz w:val="32"/>
          <w:szCs w:val="32"/>
        </w:rPr>
      </w:pPr>
      <w:r>
        <w:tab/>
      </w:r>
      <w:r w:rsidRPr="009431ED">
        <w:t>Digital wellbeing tools offer early support to stressed nurses, helping prevent absenteeism and lower sickness rates. These apps provide accessible mental health resources, addressing stress within the District Nursing Team (</w:t>
      </w:r>
      <w:proofErr w:type="spellStart"/>
      <w:r w:rsidRPr="009431ED">
        <w:t>Coelhoso</w:t>
      </w:r>
      <w:proofErr w:type="spellEnd"/>
      <w:r w:rsidRPr="009431ED">
        <w:t xml:space="preserve"> et al., 2019).</w:t>
      </w:r>
    </w:p>
    <w:p w14:paraId="66F7137C" w14:textId="77777777" w:rsidR="00A97A6A" w:rsidRDefault="007F6D4B" w:rsidP="00A97A6A">
      <w:pPr>
        <w:pStyle w:val="Heading2"/>
        <w:spacing w:line="480" w:lineRule="auto"/>
        <w:rPr>
          <w:rFonts w:ascii="Arial Black" w:eastAsia="Times New Roman" w:hAnsi="Arial Black"/>
          <w:color w:val="153D63" w:themeColor="text2" w:themeTint="E6"/>
          <w:sz w:val="28"/>
          <w:szCs w:val="28"/>
        </w:rPr>
      </w:pPr>
      <w:r w:rsidRPr="00FF233D">
        <w:rPr>
          <w:rFonts w:ascii="Arial Black" w:eastAsia="Times New Roman" w:hAnsi="Arial Black"/>
          <w:color w:val="153D63" w:themeColor="text2" w:themeTint="E6"/>
          <w:sz w:val="28"/>
          <w:szCs w:val="28"/>
        </w:rPr>
        <w:lastRenderedPageBreak/>
        <w:t>Recommendations for Policy Makers</w:t>
      </w:r>
    </w:p>
    <w:p w14:paraId="28CD5E3C" w14:textId="77777777" w:rsidR="00A97A6A" w:rsidRPr="00A97A6A" w:rsidRDefault="007F6D4B" w:rsidP="00A97A6A">
      <w:pPr>
        <w:pStyle w:val="Heading2"/>
        <w:spacing w:line="480" w:lineRule="auto"/>
        <w:rPr>
          <w:rFonts w:ascii="Arial" w:eastAsia="Times New Roman" w:hAnsi="Arial" w:cs="Arial"/>
          <w:i/>
          <w:iCs/>
          <w:color w:val="000000"/>
          <w:sz w:val="24"/>
          <w:szCs w:val="24"/>
        </w:rPr>
      </w:pPr>
      <w:r w:rsidRPr="00A97A6A">
        <w:rPr>
          <w:rFonts w:ascii="Arial" w:eastAsia="Times New Roman" w:hAnsi="Arial" w:cs="Arial"/>
          <w:b/>
          <w:bCs/>
          <w:i/>
          <w:iCs/>
          <w:color w:val="000000"/>
          <w:sz w:val="24"/>
          <w:szCs w:val="24"/>
        </w:rPr>
        <w:t>Mandated Competency Assessments</w:t>
      </w:r>
    </w:p>
    <w:p w14:paraId="0EF798BF" w14:textId="06B65ED0" w:rsidR="003363B5" w:rsidRDefault="005A4AD7" w:rsidP="005A4AD7">
      <w:pPr>
        <w:pStyle w:val="Heading2"/>
        <w:spacing w:line="480" w:lineRule="auto"/>
        <w:rPr>
          <w:rFonts w:ascii="Arial" w:eastAsia="Times New Roman" w:hAnsi="Arial" w:cs="Arial"/>
          <w:color w:val="000000"/>
          <w:sz w:val="24"/>
          <w:szCs w:val="24"/>
        </w:rPr>
      </w:pPr>
      <w:r>
        <w:rPr>
          <w:rFonts w:ascii="Arial" w:eastAsia="Times New Roman" w:hAnsi="Arial" w:cs="Arial"/>
          <w:color w:val="000000"/>
          <w:sz w:val="24"/>
          <w:szCs w:val="24"/>
        </w:rPr>
        <w:tab/>
      </w:r>
      <w:r w:rsidR="007F6D4B" w:rsidRPr="005A4AD7">
        <w:rPr>
          <w:rFonts w:ascii="Arial" w:eastAsia="Times New Roman" w:hAnsi="Arial" w:cs="Arial"/>
          <w:color w:val="000000"/>
          <w:sz w:val="24"/>
          <w:szCs w:val="24"/>
        </w:rPr>
        <w:t>Require regular competency evaluations with supervisory support to ensure consistent skill development and protocol adherence across clinical teams. This addresses gaps in performance and helps maintain high standards of care</w:t>
      </w:r>
      <w:r w:rsidR="0059194E">
        <w:rPr>
          <w:rFonts w:ascii="Arial" w:eastAsia="Times New Roman" w:hAnsi="Arial" w:cs="Arial"/>
          <w:color w:val="000000"/>
          <w:sz w:val="24"/>
          <w:szCs w:val="24"/>
        </w:rPr>
        <w:t xml:space="preserve"> (Frank et al.,</w:t>
      </w:r>
      <w:r w:rsidR="005B22C3">
        <w:rPr>
          <w:rFonts w:ascii="Arial" w:eastAsia="Times New Roman" w:hAnsi="Arial" w:cs="Arial"/>
          <w:color w:val="000000"/>
          <w:sz w:val="24"/>
          <w:szCs w:val="24"/>
        </w:rPr>
        <w:t xml:space="preserve"> 2018).</w:t>
      </w:r>
    </w:p>
    <w:p w14:paraId="08F2E811" w14:textId="6FB1B19C" w:rsidR="005A4AD7" w:rsidRPr="006B2080" w:rsidRDefault="007F6D4B" w:rsidP="005A4AD7">
      <w:pPr>
        <w:pStyle w:val="Heading2"/>
        <w:spacing w:line="480" w:lineRule="auto"/>
        <w:rPr>
          <w:rFonts w:ascii="Arial" w:eastAsia="Times New Roman" w:hAnsi="Arial" w:cs="Arial"/>
          <w:b/>
          <w:bCs/>
          <w:i/>
          <w:iCs/>
          <w:color w:val="000000"/>
          <w:sz w:val="24"/>
          <w:szCs w:val="24"/>
        </w:rPr>
      </w:pPr>
      <w:r w:rsidRPr="006B2080">
        <w:rPr>
          <w:rFonts w:ascii="Arial" w:eastAsia="Times New Roman" w:hAnsi="Arial" w:cs="Arial"/>
          <w:b/>
          <w:bCs/>
          <w:i/>
          <w:iCs/>
          <w:color w:val="000000"/>
          <w:sz w:val="24"/>
          <w:szCs w:val="24"/>
        </w:rPr>
        <w:t>Supportive Workplace Culture</w:t>
      </w:r>
    </w:p>
    <w:p w14:paraId="2D5DFE22" w14:textId="79237316" w:rsidR="00CE12C5" w:rsidRDefault="009E2BFE" w:rsidP="00247F2D">
      <w:pPr>
        <w:pStyle w:val="Heading2"/>
        <w:spacing w:line="480" w:lineRule="auto"/>
        <w:rPr>
          <w:rFonts w:eastAsia="Times New Roman"/>
        </w:rPr>
      </w:pPr>
      <w:r>
        <w:rPr>
          <w:rFonts w:ascii="Arial" w:eastAsia="Times New Roman" w:hAnsi="Arial" w:cs="Arial"/>
          <w:color w:val="000000"/>
          <w:sz w:val="24"/>
        </w:rPr>
        <w:tab/>
      </w:r>
      <w:r w:rsidR="006B2080" w:rsidRPr="006B2080">
        <w:rPr>
          <w:rFonts w:ascii="Arial" w:eastAsia="Times New Roman" w:hAnsi="Arial" w:cs="Arial"/>
          <w:color w:val="000000"/>
          <w:sz w:val="24"/>
        </w:rPr>
        <w:t>Cultivate cultures that support professional growth, well-being, and reflection. Recognising staff contributions boosts motivation and encourages best practice (Doleman et al., 2025).</w:t>
      </w:r>
    </w:p>
    <w:p w14:paraId="6681A226" w14:textId="08A497BE" w:rsidR="007F6D4B" w:rsidRPr="00A97A6A" w:rsidRDefault="007F6D4B" w:rsidP="004C4283">
      <w:pPr>
        <w:pStyle w:val="Heading2"/>
        <w:spacing w:line="480" w:lineRule="auto"/>
        <w:rPr>
          <w:rFonts w:ascii="Arial" w:eastAsia="Times New Roman" w:hAnsi="Arial" w:cs="Arial"/>
          <w:b/>
          <w:bCs/>
          <w:i/>
          <w:iCs/>
          <w:color w:val="auto"/>
          <w:sz w:val="24"/>
          <w:szCs w:val="24"/>
        </w:rPr>
      </w:pPr>
      <w:r w:rsidRPr="00A97A6A">
        <w:rPr>
          <w:rFonts w:ascii="Arial" w:eastAsia="Times New Roman" w:hAnsi="Arial" w:cs="Arial"/>
          <w:b/>
          <w:bCs/>
          <w:i/>
          <w:iCs/>
          <w:color w:val="auto"/>
          <w:sz w:val="24"/>
          <w:szCs w:val="24"/>
        </w:rPr>
        <w:t>Evidence and Research Support</w:t>
      </w:r>
    </w:p>
    <w:p w14:paraId="29595C6E" w14:textId="0A8C4025" w:rsidR="002D3684" w:rsidRDefault="004C4283" w:rsidP="004C4283">
      <w:pPr>
        <w:pStyle w:val="BodyText2"/>
      </w:pPr>
      <w:r>
        <w:tab/>
      </w:r>
      <w:r w:rsidRPr="004C4283">
        <w:t xml:space="preserve">Harris and Santhosh (2022) and </w:t>
      </w:r>
      <w:proofErr w:type="spellStart"/>
      <w:r w:rsidRPr="004C4283">
        <w:t>Ozkaynak</w:t>
      </w:r>
      <w:proofErr w:type="spellEnd"/>
      <w:r w:rsidRPr="004C4283">
        <w:t xml:space="preserve"> et al. (2025) show that healthcare staff face rapid decision-making challenges, with occupational stress affecting judgment. Fatigue can lead to deviations from evidence-based practice, highlighting the importance of proper staffing and support. Systematically categorising interventions and linking them to challenges creates an evidence-based framework for improving nursing decisions, staff wellbeing, and infection control compliance, ultimately enhancing patient safety.</w:t>
      </w:r>
    </w:p>
    <w:p w14:paraId="3CBCD56E" w14:textId="77777777" w:rsidR="002D3684" w:rsidRPr="000B3494" w:rsidRDefault="002D3684">
      <w:pPr>
        <w:pStyle w:val="Heading2"/>
        <w:spacing w:line="480" w:lineRule="auto"/>
        <w:rPr>
          <w:rFonts w:ascii="Arial Black" w:eastAsia="Times New Roman" w:hAnsi="Arial Black"/>
          <w:color w:val="153D63"/>
          <w:sz w:val="28"/>
          <w:szCs w:val="28"/>
        </w:rPr>
      </w:pPr>
      <w:r w:rsidRPr="000B3494">
        <w:rPr>
          <w:rFonts w:ascii="Arial Black" w:eastAsia="Times New Roman" w:hAnsi="Arial Black"/>
          <w:color w:val="153D63"/>
          <w:sz w:val="28"/>
          <w:szCs w:val="28"/>
        </w:rPr>
        <w:lastRenderedPageBreak/>
        <w:t>Implementation and Continuous Improvement</w:t>
      </w:r>
    </w:p>
    <w:p w14:paraId="3354A98A" w14:textId="77777777" w:rsidR="002D3684" w:rsidRPr="009012FF" w:rsidRDefault="002D3684" w:rsidP="007C42EB">
      <w:pPr>
        <w:pStyle w:val="Heading3"/>
        <w:spacing w:line="480" w:lineRule="auto"/>
        <w:rPr>
          <w:rFonts w:ascii="Arial" w:eastAsia="Times New Roman" w:hAnsi="Arial" w:cs="Arial"/>
          <w:b/>
          <w:bCs/>
          <w:i/>
          <w:iCs/>
          <w:color w:val="000000"/>
          <w:sz w:val="24"/>
          <w:szCs w:val="24"/>
        </w:rPr>
      </w:pPr>
      <w:r w:rsidRPr="009012FF">
        <w:rPr>
          <w:rFonts w:ascii="Arial" w:eastAsia="Times New Roman" w:hAnsi="Arial" w:cs="Arial"/>
          <w:b/>
          <w:bCs/>
          <w:i/>
          <w:iCs/>
          <w:color w:val="000000"/>
          <w:sz w:val="24"/>
          <w:szCs w:val="24"/>
        </w:rPr>
        <w:t>Integrating Recommendations with Audit Processes</w:t>
      </w:r>
    </w:p>
    <w:p w14:paraId="51F8DF09" w14:textId="18A97B8E" w:rsidR="002D3684" w:rsidRPr="009E2BFE" w:rsidRDefault="00160E58" w:rsidP="009E2BFE">
      <w:pPr>
        <w:pStyle w:val="BodyText2"/>
        <w:rPr>
          <w:b/>
          <w:bCs/>
        </w:rPr>
      </w:pPr>
      <w:r>
        <w:tab/>
      </w:r>
      <w:r w:rsidR="00754984" w:rsidRPr="00754984">
        <w:t xml:space="preserve">The </w:t>
      </w:r>
      <w:proofErr w:type="spellStart"/>
      <w:r w:rsidR="00754984" w:rsidRPr="00754984">
        <w:t>Glynafonshire</w:t>
      </w:r>
      <w:proofErr w:type="spellEnd"/>
      <w:r w:rsidR="00754984" w:rsidRPr="00754984">
        <w:t xml:space="preserve"> Health Board District Nursing Team should implement these strategies with monthly audits to monitor infection control effectiveness, ensuring continued compliance with best practices (</w:t>
      </w:r>
      <w:proofErr w:type="spellStart"/>
      <w:r w:rsidR="00754984" w:rsidRPr="00754984">
        <w:t>Jamtvedt</w:t>
      </w:r>
      <w:proofErr w:type="spellEnd"/>
      <w:r w:rsidR="00754984" w:rsidRPr="00754984">
        <w:t xml:space="preserve"> et al., 2019).</w:t>
      </w:r>
    </w:p>
    <w:p w14:paraId="5391362F" w14:textId="77777777" w:rsidR="002D3684" w:rsidRPr="00810EE4" w:rsidRDefault="002D3684" w:rsidP="007C42EB">
      <w:pPr>
        <w:pStyle w:val="Heading3"/>
        <w:spacing w:line="480" w:lineRule="auto"/>
        <w:rPr>
          <w:rFonts w:ascii="Arial" w:eastAsia="Times New Roman" w:hAnsi="Arial" w:cs="Arial"/>
          <w:b/>
          <w:bCs/>
          <w:i/>
          <w:iCs/>
          <w:color w:val="000000"/>
          <w:sz w:val="24"/>
          <w:szCs w:val="24"/>
        </w:rPr>
      </w:pPr>
      <w:r w:rsidRPr="00810EE4">
        <w:rPr>
          <w:rFonts w:ascii="Arial" w:eastAsia="Times New Roman" w:hAnsi="Arial" w:cs="Arial"/>
          <w:b/>
          <w:bCs/>
          <w:i/>
          <w:iCs/>
          <w:color w:val="000000"/>
          <w:sz w:val="24"/>
          <w:szCs w:val="24"/>
        </w:rPr>
        <w:t>Feedback and Communication</w:t>
      </w:r>
    </w:p>
    <w:p w14:paraId="5C283A16" w14:textId="7877BCF3" w:rsidR="00B86606" w:rsidRDefault="00160E58" w:rsidP="00160E58">
      <w:pPr>
        <w:spacing w:line="480" w:lineRule="auto"/>
        <w:rPr>
          <w:b/>
          <w:bCs/>
        </w:rPr>
      </w:pPr>
      <w:r>
        <w:rPr>
          <w:rFonts w:ascii="Arial" w:hAnsi="Arial" w:cs="Arial"/>
          <w:color w:val="000000"/>
        </w:rPr>
        <w:tab/>
      </w:r>
      <w:r w:rsidRPr="00160E58">
        <w:rPr>
          <w:rFonts w:ascii="Arial" w:hAnsi="Arial" w:cs="Arial"/>
          <w:color w:val="000000"/>
        </w:rPr>
        <w:t>Monthly feedback should be shared with the Management Board, District Nursing Team, and Patient Bodies. This feedback must show how better cognitive decisions lead to improved patient safety and provide clear progress evidence. Transparent communication keeps stakeholders updated on developments and outcomes (</w:t>
      </w:r>
      <w:proofErr w:type="spellStart"/>
      <w:r w:rsidRPr="00160E58">
        <w:rPr>
          <w:rFonts w:ascii="Arial" w:hAnsi="Arial" w:cs="Arial"/>
          <w:color w:val="000000"/>
        </w:rPr>
        <w:t>Jamtvedt</w:t>
      </w:r>
      <w:proofErr w:type="spellEnd"/>
      <w:r w:rsidRPr="00160E58">
        <w:rPr>
          <w:rFonts w:ascii="Arial" w:hAnsi="Arial" w:cs="Arial"/>
          <w:color w:val="000000"/>
        </w:rPr>
        <w:t xml:space="preserve"> et al., 2019).</w:t>
      </w:r>
    </w:p>
    <w:p w14:paraId="4FDB181F" w14:textId="77777777" w:rsidR="00395A24" w:rsidRDefault="00395A24" w:rsidP="00160E58">
      <w:pPr>
        <w:spacing w:line="480" w:lineRule="auto"/>
        <w:jc w:val="center"/>
        <w:rPr>
          <w:rFonts w:ascii="Arial" w:hAnsi="Arial" w:cs="Arial"/>
          <w:b/>
          <w:bCs/>
          <w:color w:val="000000"/>
          <w:sz w:val="32"/>
          <w:szCs w:val="32"/>
        </w:rPr>
      </w:pPr>
    </w:p>
    <w:p w14:paraId="7FE1D8AC" w14:textId="77777777" w:rsidR="00395A24" w:rsidRDefault="00395A24" w:rsidP="00160E58">
      <w:pPr>
        <w:spacing w:line="480" w:lineRule="auto"/>
        <w:jc w:val="center"/>
        <w:rPr>
          <w:rFonts w:ascii="Arial" w:hAnsi="Arial" w:cs="Arial"/>
          <w:b/>
          <w:bCs/>
          <w:color w:val="000000"/>
          <w:sz w:val="32"/>
          <w:szCs w:val="32"/>
        </w:rPr>
      </w:pPr>
    </w:p>
    <w:p w14:paraId="6A7CE964" w14:textId="77777777" w:rsidR="003A5843" w:rsidRDefault="003A5843" w:rsidP="00F550DC">
      <w:pPr>
        <w:spacing w:line="480" w:lineRule="auto"/>
        <w:jc w:val="center"/>
        <w:rPr>
          <w:rFonts w:ascii="Arial" w:hAnsi="Arial" w:cs="Arial"/>
          <w:b/>
          <w:bCs/>
          <w:color w:val="000000"/>
          <w:sz w:val="32"/>
          <w:szCs w:val="32"/>
        </w:rPr>
      </w:pPr>
    </w:p>
    <w:p w14:paraId="42F1BC70" w14:textId="77777777" w:rsidR="003A5843" w:rsidRDefault="003A5843" w:rsidP="00F550DC">
      <w:pPr>
        <w:spacing w:line="480" w:lineRule="auto"/>
        <w:jc w:val="center"/>
        <w:rPr>
          <w:rFonts w:ascii="Arial" w:hAnsi="Arial" w:cs="Arial"/>
          <w:b/>
          <w:bCs/>
          <w:color w:val="000000"/>
          <w:sz w:val="32"/>
          <w:szCs w:val="32"/>
        </w:rPr>
      </w:pPr>
    </w:p>
    <w:p w14:paraId="25952DB6" w14:textId="77777777" w:rsidR="003A5843" w:rsidRDefault="003A5843" w:rsidP="00F550DC">
      <w:pPr>
        <w:spacing w:line="480" w:lineRule="auto"/>
        <w:jc w:val="center"/>
        <w:rPr>
          <w:rFonts w:ascii="Arial" w:hAnsi="Arial" w:cs="Arial"/>
          <w:b/>
          <w:bCs/>
          <w:color w:val="000000"/>
          <w:sz w:val="32"/>
          <w:szCs w:val="32"/>
        </w:rPr>
      </w:pPr>
    </w:p>
    <w:p w14:paraId="1FA7BB01" w14:textId="77777777" w:rsidR="003A5843" w:rsidRDefault="003A5843" w:rsidP="00F550DC">
      <w:pPr>
        <w:spacing w:line="480" w:lineRule="auto"/>
        <w:jc w:val="center"/>
        <w:rPr>
          <w:rFonts w:ascii="Arial" w:hAnsi="Arial" w:cs="Arial"/>
          <w:b/>
          <w:bCs/>
          <w:color w:val="000000"/>
          <w:sz w:val="32"/>
          <w:szCs w:val="32"/>
        </w:rPr>
      </w:pPr>
    </w:p>
    <w:p w14:paraId="7C91AC8C" w14:textId="77777777" w:rsidR="00864A52" w:rsidRDefault="00864A52" w:rsidP="00F550DC">
      <w:pPr>
        <w:spacing w:line="480" w:lineRule="auto"/>
        <w:jc w:val="center"/>
        <w:rPr>
          <w:rFonts w:ascii="Arial" w:hAnsi="Arial" w:cs="Arial"/>
          <w:b/>
          <w:bCs/>
          <w:color w:val="000000"/>
          <w:sz w:val="32"/>
          <w:szCs w:val="32"/>
        </w:rPr>
      </w:pPr>
    </w:p>
    <w:p w14:paraId="3055EEF0" w14:textId="77777777" w:rsidR="00864A52" w:rsidRDefault="00864A52" w:rsidP="00F550DC">
      <w:pPr>
        <w:spacing w:line="480" w:lineRule="auto"/>
        <w:jc w:val="center"/>
        <w:rPr>
          <w:rFonts w:ascii="Arial" w:hAnsi="Arial" w:cs="Arial"/>
          <w:b/>
          <w:bCs/>
          <w:color w:val="000000"/>
          <w:sz w:val="32"/>
          <w:szCs w:val="32"/>
        </w:rPr>
      </w:pPr>
    </w:p>
    <w:p w14:paraId="31EF1E5A" w14:textId="77777777" w:rsidR="00864A52" w:rsidRDefault="00864A52" w:rsidP="00F550DC">
      <w:pPr>
        <w:spacing w:line="480" w:lineRule="auto"/>
        <w:jc w:val="center"/>
        <w:rPr>
          <w:rFonts w:ascii="Arial" w:hAnsi="Arial" w:cs="Arial"/>
          <w:b/>
          <w:bCs/>
          <w:color w:val="000000"/>
          <w:sz w:val="32"/>
          <w:szCs w:val="32"/>
        </w:rPr>
      </w:pPr>
    </w:p>
    <w:p w14:paraId="58F1C472" w14:textId="77777777" w:rsidR="00864A52" w:rsidRDefault="00864A52" w:rsidP="00F550DC">
      <w:pPr>
        <w:spacing w:line="480" w:lineRule="auto"/>
        <w:jc w:val="center"/>
        <w:rPr>
          <w:rFonts w:ascii="Arial" w:hAnsi="Arial" w:cs="Arial"/>
          <w:b/>
          <w:bCs/>
          <w:color w:val="000000"/>
          <w:sz w:val="32"/>
          <w:szCs w:val="32"/>
        </w:rPr>
      </w:pPr>
    </w:p>
    <w:p w14:paraId="0E4FB4F1" w14:textId="77777777" w:rsidR="003A5843" w:rsidRDefault="003A5843" w:rsidP="00F550DC">
      <w:pPr>
        <w:spacing w:line="480" w:lineRule="auto"/>
        <w:jc w:val="center"/>
        <w:rPr>
          <w:rFonts w:ascii="Arial" w:hAnsi="Arial" w:cs="Arial"/>
          <w:b/>
          <w:bCs/>
          <w:color w:val="000000"/>
          <w:sz w:val="32"/>
          <w:szCs w:val="32"/>
        </w:rPr>
      </w:pPr>
    </w:p>
    <w:p w14:paraId="3C000D0C" w14:textId="2837CDE0" w:rsidR="006F7525" w:rsidRPr="004A2DBC" w:rsidRDefault="006F7525" w:rsidP="00F550DC">
      <w:pPr>
        <w:spacing w:line="480" w:lineRule="auto"/>
        <w:jc w:val="center"/>
        <w:rPr>
          <w:rFonts w:ascii="Arial" w:hAnsi="Arial" w:cs="Arial"/>
          <w:b/>
          <w:bCs/>
          <w:color w:val="000000"/>
          <w:sz w:val="32"/>
          <w:szCs w:val="32"/>
        </w:rPr>
      </w:pPr>
      <w:r w:rsidRPr="004A2DBC">
        <w:rPr>
          <w:rFonts w:ascii="Arial" w:hAnsi="Arial" w:cs="Arial"/>
          <w:b/>
          <w:bCs/>
          <w:color w:val="000000"/>
          <w:sz w:val="32"/>
          <w:szCs w:val="32"/>
        </w:rPr>
        <w:t>References</w:t>
      </w:r>
    </w:p>
    <w:p w14:paraId="1BAC4799" w14:textId="684416E4" w:rsidR="002103E3" w:rsidRDefault="002103E3" w:rsidP="00F70554">
      <w:pPr>
        <w:spacing w:line="480" w:lineRule="auto"/>
        <w:rPr>
          <w:rFonts w:ascii="Arial" w:eastAsiaTheme="minorEastAsia" w:hAnsi="Arial" w:cs="Arial"/>
          <w:color w:val="000000"/>
        </w:rPr>
      </w:pPr>
      <w:r w:rsidRPr="002103E3">
        <w:rPr>
          <w:rFonts w:ascii="Arial" w:eastAsiaTheme="minorEastAsia" w:hAnsi="Arial" w:cs="Arial"/>
          <w:color w:val="000000"/>
        </w:rPr>
        <w:t>Baffour, T. A. (2021). </w:t>
      </w:r>
      <w:r w:rsidRPr="00A6717A">
        <w:rPr>
          <w:rFonts w:ascii="Arial" w:eastAsiaTheme="minorEastAsia" w:hAnsi="Arial" w:cs="Arial"/>
          <w:i/>
          <w:iCs/>
          <w:color w:val="000000"/>
        </w:rPr>
        <w:t xml:space="preserve">The use of an infographic visual reminder, staff education and </w:t>
      </w:r>
      <w:r w:rsidR="0033774D" w:rsidRPr="00A6717A">
        <w:rPr>
          <w:rFonts w:ascii="Arial" w:eastAsiaTheme="minorEastAsia" w:hAnsi="Arial" w:cs="Arial"/>
          <w:i/>
          <w:iCs/>
          <w:color w:val="000000"/>
        </w:rPr>
        <w:tab/>
      </w:r>
      <w:r w:rsidRPr="00A6717A">
        <w:rPr>
          <w:rFonts w:ascii="Arial" w:eastAsiaTheme="minorEastAsia" w:hAnsi="Arial" w:cs="Arial"/>
          <w:i/>
          <w:iCs/>
          <w:color w:val="000000"/>
        </w:rPr>
        <w:t>feedback to increase hand washing compliance among hospital staff</w:t>
      </w:r>
      <w:r w:rsidRPr="002103E3">
        <w:rPr>
          <w:rFonts w:ascii="Arial" w:eastAsiaTheme="minorEastAsia" w:hAnsi="Arial" w:cs="Arial"/>
          <w:color w:val="000000"/>
        </w:rPr>
        <w:t xml:space="preserve"> (Doctoral </w:t>
      </w:r>
      <w:r w:rsidR="0033774D">
        <w:rPr>
          <w:rFonts w:ascii="Arial" w:eastAsiaTheme="minorEastAsia" w:hAnsi="Arial" w:cs="Arial"/>
          <w:color w:val="000000"/>
        </w:rPr>
        <w:tab/>
      </w:r>
      <w:r w:rsidRPr="002103E3">
        <w:rPr>
          <w:rFonts w:ascii="Arial" w:eastAsiaTheme="minorEastAsia" w:hAnsi="Arial" w:cs="Arial"/>
          <w:color w:val="000000"/>
        </w:rPr>
        <w:t>dissertation, Rutgers University</w:t>
      </w:r>
      <w:r w:rsidR="00683C4F">
        <w:rPr>
          <w:rFonts w:ascii="Arial" w:eastAsiaTheme="minorEastAsia" w:hAnsi="Arial" w:cs="Arial"/>
          <w:color w:val="000000"/>
        </w:rPr>
        <w:t>,</w:t>
      </w:r>
      <w:r w:rsidRPr="002103E3">
        <w:rPr>
          <w:rFonts w:ascii="Arial" w:eastAsiaTheme="minorEastAsia" w:hAnsi="Arial" w:cs="Arial"/>
          <w:color w:val="000000"/>
        </w:rPr>
        <w:t xml:space="preserve"> The State University of New Jersey, </w:t>
      </w:r>
      <w:r w:rsidR="0033774D">
        <w:rPr>
          <w:rFonts w:ascii="Arial" w:eastAsiaTheme="minorEastAsia" w:hAnsi="Arial" w:cs="Arial"/>
          <w:color w:val="000000"/>
        </w:rPr>
        <w:tab/>
      </w:r>
      <w:r w:rsidRPr="002103E3">
        <w:rPr>
          <w:rFonts w:ascii="Arial" w:eastAsiaTheme="minorEastAsia" w:hAnsi="Arial" w:cs="Arial"/>
          <w:color w:val="000000"/>
        </w:rPr>
        <w:t>RBHS School of Nursing).</w:t>
      </w:r>
    </w:p>
    <w:p w14:paraId="27FC45F0" w14:textId="77777777" w:rsidR="002103E3" w:rsidRDefault="002103E3" w:rsidP="00F70554">
      <w:pPr>
        <w:spacing w:line="480" w:lineRule="auto"/>
        <w:rPr>
          <w:rFonts w:ascii="Arial" w:eastAsiaTheme="minorEastAsia" w:hAnsi="Arial" w:cs="Arial"/>
          <w:color w:val="000000"/>
        </w:rPr>
      </w:pPr>
    </w:p>
    <w:p w14:paraId="6F9F86C5" w14:textId="3B4382C3" w:rsidR="00EB3DF2" w:rsidRDefault="00F70554" w:rsidP="00F70554">
      <w:pPr>
        <w:spacing w:line="480" w:lineRule="auto"/>
        <w:rPr>
          <w:rFonts w:ascii="Arial" w:eastAsiaTheme="minorEastAsia" w:hAnsi="Arial" w:cs="Arial"/>
          <w:color w:val="000000"/>
        </w:rPr>
      </w:pPr>
      <w:r w:rsidRPr="00F70554">
        <w:rPr>
          <w:rFonts w:ascii="Arial" w:eastAsiaTheme="minorEastAsia" w:hAnsi="Arial" w:cs="Arial"/>
          <w:color w:val="000000"/>
        </w:rPr>
        <w:t xml:space="preserve">Baloh, J., Thom, K. A., Perencevich, E., Rock, C., Robinson, G., Ward, M., ... &amp; </w:t>
      </w:r>
      <w:r w:rsidR="004A2DBC">
        <w:rPr>
          <w:rFonts w:ascii="Arial" w:eastAsiaTheme="minorEastAsia" w:hAnsi="Arial" w:cs="Arial"/>
          <w:color w:val="000000"/>
        </w:rPr>
        <w:tab/>
      </w:r>
      <w:r w:rsidRPr="00F70554">
        <w:rPr>
          <w:rFonts w:ascii="Arial" w:eastAsiaTheme="minorEastAsia" w:hAnsi="Arial" w:cs="Arial"/>
          <w:color w:val="000000"/>
        </w:rPr>
        <w:t xml:space="preserve">Reisinger, H. S. (2019). Hand hygiene before donning nonsterile gloves: </w:t>
      </w:r>
      <w:r w:rsidR="004A2DBC">
        <w:rPr>
          <w:rFonts w:ascii="Arial" w:eastAsiaTheme="minorEastAsia" w:hAnsi="Arial" w:cs="Arial"/>
          <w:color w:val="000000"/>
        </w:rPr>
        <w:tab/>
      </w:r>
      <w:r w:rsidRPr="00F70554">
        <w:rPr>
          <w:rFonts w:ascii="Arial" w:eastAsiaTheme="minorEastAsia" w:hAnsi="Arial" w:cs="Arial"/>
          <w:color w:val="000000"/>
        </w:rPr>
        <w:t>healthcare workers' beliefs and practices. </w:t>
      </w:r>
      <w:r w:rsidRPr="00F70554">
        <w:rPr>
          <w:rFonts w:ascii="Arial" w:eastAsiaTheme="minorEastAsia" w:hAnsi="Arial" w:cs="Arial"/>
          <w:i/>
          <w:iCs/>
          <w:color w:val="000000"/>
        </w:rPr>
        <w:t xml:space="preserve">American journal of infection </w:t>
      </w:r>
      <w:r w:rsidR="009F1129">
        <w:rPr>
          <w:rFonts w:ascii="Arial" w:eastAsiaTheme="minorEastAsia" w:hAnsi="Arial" w:cs="Arial"/>
          <w:i/>
          <w:iCs/>
          <w:color w:val="000000"/>
        </w:rPr>
        <w:tab/>
      </w:r>
      <w:r w:rsidRPr="00F70554">
        <w:rPr>
          <w:rFonts w:ascii="Arial" w:eastAsiaTheme="minorEastAsia" w:hAnsi="Arial" w:cs="Arial"/>
          <w:i/>
          <w:iCs/>
          <w:color w:val="000000"/>
        </w:rPr>
        <w:t>control</w:t>
      </w:r>
      <w:r w:rsidRPr="00F70554">
        <w:rPr>
          <w:rFonts w:ascii="Arial" w:eastAsiaTheme="minorEastAsia" w:hAnsi="Arial" w:cs="Arial"/>
          <w:color w:val="000000"/>
        </w:rPr>
        <w:t>, </w:t>
      </w:r>
      <w:r w:rsidRPr="00F70554">
        <w:rPr>
          <w:rFonts w:ascii="Arial" w:eastAsiaTheme="minorEastAsia" w:hAnsi="Arial" w:cs="Arial"/>
          <w:i/>
          <w:iCs/>
          <w:color w:val="000000"/>
        </w:rPr>
        <w:t>47</w:t>
      </w:r>
      <w:r w:rsidRPr="00F70554">
        <w:rPr>
          <w:rFonts w:ascii="Arial" w:eastAsiaTheme="minorEastAsia" w:hAnsi="Arial" w:cs="Arial"/>
          <w:color w:val="000000"/>
        </w:rPr>
        <w:t>(5), 492-497.</w:t>
      </w:r>
    </w:p>
    <w:p w14:paraId="1289314A" w14:textId="77777777" w:rsidR="00C22C0C" w:rsidRDefault="00C22C0C" w:rsidP="00F70554">
      <w:pPr>
        <w:spacing w:line="480" w:lineRule="auto"/>
        <w:rPr>
          <w:rFonts w:ascii="Arial" w:eastAsiaTheme="minorEastAsia" w:hAnsi="Arial" w:cs="Arial"/>
          <w:color w:val="000000"/>
        </w:rPr>
      </w:pPr>
    </w:p>
    <w:p w14:paraId="2438F05B" w14:textId="745A6AD8" w:rsidR="00F2575E" w:rsidRDefault="00C22C0C" w:rsidP="00F70554">
      <w:pPr>
        <w:spacing w:line="480" w:lineRule="auto"/>
        <w:rPr>
          <w:rFonts w:ascii="Arial" w:eastAsiaTheme="minorEastAsia" w:hAnsi="Arial" w:cs="Arial"/>
          <w:color w:val="000000"/>
        </w:rPr>
      </w:pPr>
      <w:proofErr w:type="spellStart"/>
      <w:r w:rsidRPr="00C22C0C">
        <w:rPr>
          <w:rFonts w:ascii="Arial" w:eastAsiaTheme="minorEastAsia" w:hAnsi="Arial" w:cs="Arial"/>
          <w:color w:val="000000"/>
        </w:rPr>
        <w:t>Botvinick</w:t>
      </w:r>
      <w:proofErr w:type="spellEnd"/>
      <w:r w:rsidRPr="00C22C0C">
        <w:rPr>
          <w:rFonts w:ascii="Arial" w:eastAsiaTheme="minorEastAsia" w:hAnsi="Arial" w:cs="Arial"/>
          <w:color w:val="000000"/>
        </w:rPr>
        <w:t xml:space="preserve">, M., &amp; Braver, T. (2015). Motivation and cognitive control: from </w:t>
      </w:r>
      <w:proofErr w:type="spellStart"/>
      <w:r w:rsidRPr="00C22C0C">
        <w:rPr>
          <w:rFonts w:ascii="Arial" w:eastAsiaTheme="minorEastAsia" w:hAnsi="Arial" w:cs="Arial"/>
          <w:color w:val="000000"/>
        </w:rPr>
        <w:t>behavior</w:t>
      </w:r>
      <w:proofErr w:type="spellEnd"/>
      <w:r w:rsidRPr="00C22C0C">
        <w:rPr>
          <w:rFonts w:ascii="Arial" w:eastAsiaTheme="minorEastAsia" w:hAnsi="Arial" w:cs="Arial"/>
          <w:color w:val="000000"/>
        </w:rPr>
        <w:t xml:space="preserve"> to </w:t>
      </w:r>
      <w:r w:rsidR="0022565A">
        <w:rPr>
          <w:rFonts w:ascii="Arial" w:eastAsiaTheme="minorEastAsia" w:hAnsi="Arial" w:cs="Arial"/>
          <w:color w:val="000000"/>
        </w:rPr>
        <w:tab/>
      </w:r>
      <w:r w:rsidRPr="00C22C0C">
        <w:rPr>
          <w:rFonts w:ascii="Arial" w:eastAsiaTheme="minorEastAsia" w:hAnsi="Arial" w:cs="Arial"/>
          <w:color w:val="000000"/>
        </w:rPr>
        <w:t>neural mechanism. </w:t>
      </w:r>
      <w:r w:rsidRPr="00C22C0C">
        <w:rPr>
          <w:rFonts w:ascii="Arial" w:eastAsiaTheme="minorEastAsia" w:hAnsi="Arial" w:cs="Arial"/>
          <w:i/>
          <w:iCs/>
          <w:color w:val="000000"/>
        </w:rPr>
        <w:t>Annual review of psychology</w:t>
      </w:r>
      <w:r w:rsidRPr="00C22C0C">
        <w:rPr>
          <w:rFonts w:ascii="Arial" w:eastAsiaTheme="minorEastAsia" w:hAnsi="Arial" w:cs="Arial"/>
          <w:color w:val="000000"/>
        </w:rPr>
        <w:t>, </w:t>
      </w:r>
      <w:r w:rsidRPr="00C22C0C">
        <w:rPr>
          <w:rFonts w:ascii="Arial" w:eastAsiaTheme="minorEastAsia" w:hAnsi="Arial" w:cs="Arial"/>
          <w:i/>
          <w:iCs/>
          <w:color w:val="000000"/>
        </w:rPr>
        <w:t>66</w:t>
      </w:r>
      <w:r w:rsidRPr="00C22C0C">
        <w:rPr>
          <w:rFonts w:ascii="Arial" w:eastAsiaTheme="minorEastAsia" w:hAnsi="Arial" w:cs="Arial"/>
          <w:color w:val="000000"/>
        </w:rPr>
        <w:t>(1), 83-113.</w:t>
      </w:r>
    </w:p>
    <w:p w14:paraId="1A8F0C9F" w14:textId="77777777" w:rsidR="00006CBD" w:rsidRDefault="00006CBD" w:rsidP="00F70554">
      <w:pPr>
        <w:spacing w:line="480" w:lineRule="auto"/>
        <w:rPr>
          <w:rFonts w:ascii="Arial" w:eastAsiaTheme="minorEastAsia" w:hAnsi="Arial" w:cs="Arial"/>
          <w:color w:val="000000"/>
        </w:rPr>
      </w:pPr>
    </w:p>
    <w:p w14:paraId="380E2944" w14:textId="650E2563" w:rsidR="0020151F" w:rsidRDefault="001F6F98" w:rsidP="00F70554">
      <w:pPr>
        <w:spacing w:line="480" w:lineRule="auto"/>
        <w:rPr>
          <w:rFonts w:ascii="Arial" w:eastAsiaTheme="minorEastAsia" w:hAnsi="Arial" w:cs="Arial"/>
          <w:color w:val="000000"/>
        </w:rPr>
      </w:pPr>
      <w:r w:rsidRPr="001F6F98">
        <w:rPr>
          <w:rFonts w:ascii="Arial" w:eastAsiaTheme="minorEastAsia" w:hAnsi="Arial" w:cs="Arial"/>
          <w:color w:val="000000"/>
        </w:rPr>
        <w:t xml:space="preserve">Coelhoso, C. C., Tobo, P. R., Lacerda, S. S., Lima, A. H., Barrichello, C. R. C., </w:t>
      </w:r>
      <w:r w:rsidR="0033774D">
        <w:rPr>
          <w:rFonts w:ascii="Arial" w:eastAsiaTheme="minorEastAsia" w:hAnsi="Arial" w:cs="Arial"/>
          <w:color w:val="000000"/>
        </w:rPr>
        <w:tab/>
      </w:r>
      <w:r w:rsidRPr="001F6F98">
        <w:rPr>
          <w:rFonts w:ascii="Arial" w:eastAsiaTheme="minorEastAsia" w:hAnsi="Arial" w:cs="Arial"/>
          <w:color w:val="000000"/>
        </w:rPr>
        <w:t xml:space="preserve">Amaro Jr, E., &amp; </w:t>
      </w:r>
      <w:proofErr w:type="spellStart"/>
      <w:r w:rsidRPr="001F6F98">
        <w:rPr>
          <w:rFonts w:ascii="Arial" w:eastAsiaTheme="minorEastAsia" w:hAnsi="Arial" w:cs="Arial"/>
          <w:color w:val="000000"/>
        </w:rPr>
        <w:t>Kozasa</w:t>
      </w:r>
      <w:proofErr w:type="spellEnd"/>
      <w:r w:rsidRPr="001F6F98">
        <w:rPr>
          <w:rFonts w:ascii="Arial" w:eastAsiaTheme="minorEastAsia" w:hAnsi="Arial" w:cs="Arial"/>
          <w:color w:val="000000"/>
        </w:rPr>
        <w:t xml:space="preserve">, E. H. (2019). A new mental health mobile app for </w:t>
      </w:r>
      <w:r w:rsidR="0033774D">
        <w:rPr>
          <w:rFonts w:ascii="Arial" w:eastAsiaTheme="minorEastAsia" w:hAnsi="Arial" w:cs="Arial"/>
          <w:color w:val="000000"/>
        </w:rPr>
        <w:tab/>
      </w:r>
      <w:r w:rsidRPr="001F6F98">
        <w:rPr>
          <w:rFonts w:ascii="Arial" w:eastAsiaTheme="minorEastAsia" w:hAnsi="Arial" w:cs="Arial"/>
          <w:color w:val="000000"/>
        </w:rPr>
        <w:t xml:space="preserve">well-being and stress reduction in working women: randomized controlled </w:t>
      </w:r>
      <w:r w:rsidR="0033774D">
        <w:rPr>
          <w:rFonts w:ascii="Arial" w:eastAsiaTheme="minorEastAsia" w:hAnsi="Arial" w:cs="Arial"/>
          <w:color w:val="000000"/>
        </w:rPr>
        <w:tab/>
      </w:r>
      <w:r w:rsidRPr="001F6F98">
        <w:rPr>
          <w:rFonts w:ascii="Arial" w:eastAsiaTheme="minorEastAsia" w:hAnsi="Arial" w:cs="Arial"/>
          <w:color w:val="000000"/>
        </w:rPr>
        <w:t>trial. </w:t>
      </w:r>
      <w:r w:rsidRPr="001F6F98">
        <w:rPr>
          <w:rFonts w:ascii="Arial" w:eastAsiaTheme="minorEastAsia" w:hAnsi="Arial" w:cs="Arial"/>
          <w:i/>
          <w:iCs/>
          <w:color w:val="000000"/>
        </w:rPr>
        <w:t>Journal of medical Internet research</w:t>
      </w:r>
      <w:r w:rsidRPr="001F6F98">
        <w:rPr>
          <w:rFonts w:ascii="Arial" w:eastAsiaTheme="minorEastAsia" w:hAnsi="Arial" w:cs="Arial"/>
          <w:color w:val="000000"/>
        </w:rPr>
        <w:t>, </w:t>
      </w:r>
      <w:r w:rsidRPr="001F6F98">
        <w:rPr>
          <w:rFonts w:ascii="Arial" w:eastAsiaTheme="minorEastAsia" w:hAnsi="Arial" w:cs="Arial"/>
          <w:i/>
          <w:iCs/>
          <w:color w:val="000000"/>
        </w:rPr>
        <w:t>21</w:t>
      </w:r>
      <w:r w:rsidRPr="001F6F98">
        <w:rPr>
          <w:rFonts w:ascii="Arial" w:eastAsiaTheme="minorEastAsia" w:hAnsi="Arial" w:cs="Arial"/>
          <w:color w:val="000000"/>
        </w:rPr>
        <w:t>(11), e14269.</w:t>
      </w:r>
    </w:p>
    <w:p w14:paraId="1D25ABC6" w14:textId="77777777" w:rsidR="00F2575E" w:rsidRDefault="00F2575E">
      <w:pPr>
        <w:spacing w:line="480" w:lineRule="auto"/>
        <w:rPr>
          <w:rFonts w:ascii="Arial" w:hAnsi="Arial" w:cs="Arial"/>
          <w:color w:val="000000"/>
        </w:rPr>
      </w:pPr>
    </w:p>
    <w:p w14:paraId="2DAAF35E" w14:textId="6B404F0E" w:rsidR="00236E90" w:rsidRDefault="00C30AE0">
      <w:pPr>
        <w:spacing w:line="480" w:lineRule="auto"/>
        <w:rPr>
          <w:rFonts w:ascii="Arial" w:hAnsi="Arial" w:cs="Arial"/>
          <w:color w:val="000000"/>
        </w:rPr>
      </w:pPr>
      <w:r w:rsidRPr="00C30AE0">
        <w:rPr>
          <w:rFonts w:ascii="Arial" w:hAnsi="Arial" w:cs="Arial"/>
          <w:color w:val="000000"/>
        </w:rPr>
        <w:t xml:space="preserve">Cohn, S., &amp; Lynch, R. (2017). Falling into a routine: From habits to situated </w:t>
      </w:r>
      <w:r w:rsidR="003B1590">
        <w:rPr>
          <w:rFonts w:ascii="Arial" w:hAnsi="Arial" w:cs="Arial"/>
          <w:color w:val="000000"/>
        </w:rPr>
        <w:tab/>
      </w:r>
      <w:r w:rsidRPr="00C30AE0">
        <w:rPr>
          <w:rFonts w:ascii="Arial" w:hAnsi="Arial" w:cs="Arial"/>
          <w:color w:val="000000"/>
        </w:rPr>
        <w:t>practices. </w:t>
      </w:r>
      <w:r w:rsidRPr="00C30AE0">
        <w:rPr>
          <w:rFonts w:ascii="Arial" w:hAnsi="Arial" w:cs="Arial"/>
          <w:i/>
          <w:iCs/>
          <w:color w:val="000000"/>
        </w:rPr>
        <w:t>Sociology of health &amp; illness</w:t>
      </w:r>
      <w:r w:rsidRPr="00C30AE0">
        <w:rPr>
          <w:rFonts w:ascii="Arial" w:hAnsi="Arial" w:cs="Arial"/>
          <w:color w:val="000000"/>
        </w:rPr>
        <w:t>, </w:t>
      </w:r>
      <w:r w:rsidRPr="00C30AE0">
        <w:rPr>
          <w:rFonts w:ascii="Arial" w:hAnsi="Arial" w:cs="Arial"/>
          <w:i/>
          <w:iCs/>
          <w:color w:val="000000"/>
        </w:rPr>
        <w:t>39</w:t>
      </w:r>
      <w:r w:rsidRPr="00C30AE0">
        <w:rPr>
          <w:rFonts w:ascii="Arial" w:hAnsi="Arial" w:cs="Arial"/>
          <w:color w:val="000000"/>
        </w:rPr>
        <w:t>(8), 1398-1411.</w:t>
      </w:r>
    </w:p>
    <w:p w14:paraId="2F752C6A" w14:textId="77777777" w:rsidR="00E97E2C" w:rsidRDefault="00E97E2C">
      <w:pPr>
        <w:spacing w:line="480" w:lineRule="auto"/>
        <w:rPr>
          <w:rFonts w:ascii="Arial" w:hAnsi="Arial" w:cs="Arial"/>
          <w:color w:val="000000"/>
        </w:rPr>
      </w:pPr>
    </w:p>
    <w:p w14:paraId="4FDCEC4A" w14:textId="13C35C97" w:rsidR="00E97E2C" w:rsidRDefault="00E97E2C">
      <w:pPr>
        <w:spacing w:line="480" w:lineRule="auto"/>
        <w:rPr>
          <w:rFonts w:ascii="Arial" w:hAnsi="Arial" w:cs="Arial"/>
          <w:color w:val="000000"/>
        </w:rPr>
      </w:pPr>
      <w:r w:rsidRPr="00E97E2C">
        <w:rPr>
          <w:rFonts w:ascii="Arial" w:hAnsi="Arial" w:cs="Arial"/>
          <w:color w:val="000000"/>
        </w:rPr>
        <w:lastRenderedPageBreak/>
        <w:t xml:space="preserve">Daher, D. E. (2022, October). From Lone Workers to Connected Workers–How </w:t>
      </w:r>
      <w:r w:rsidR="0033774D">
        <w:rPr>
          <w:rFonts w:ascii="Arial" w:hAnsi="Arial" w:cs="Arial"/>
          <w:color w:val="000000"/>
        </w:rPr>
        <w:tab/>
      </w:r>
      <w:r w:rsidRPr="00E97E2C">
        <w:rPr>
          <w:rFonts w:ascii="Arial" w:hAnsi="Arial" w:cs="Arial"/>
          <w:color w:val="000000"/>
        </w:rPr>
        <w:t>Technology is Transforming Safety. In </w:t>
      </w:r>
      <w:r w:rsidRPr="00E97E2C">
        <w:rPr>
          <w:rFonts w:ascii="Arial" w:hAnsi="Arial" w:cs="Arial"/>
          <w:i/>
          <w:iCs/>
          <w:color w:val="000000"/>
        </w:rPr>
        <w:t xml:space="preserve">Abu Dhabi International Petroleum </w:t>
      </w:r>
      <w:r w:rsidR="00D713D2">
        <w:rPr>
          <w:rFonts w:ascii="Arial" w:hAnsi="Arial" w:cs="Arial"/>
          <w:i/>
          <w:iCs/>
          <w:color w:val="000000"/>
        </w:rPr>
        <w:tab/>
      </w:r>
      <w:r w:rsidRPr="00E97E2C">
        <w:rPr>
          <w:rFonts w:ascii="Arial" w:hAnsi="Arial" w:cs="Arial"/>
          <w:i/>
          <w:iCs/>
          <w:color w:val="000000"/>
        </w:rPr>
        <w:t>Exhibition and Conference</w:t>
      </w:r>
      <w:r w:rsidRPr="00E97E2C">
        <w:rPr>
          <w:rFonts w:ascii="Arial" w:hAnsi="Arial" w:cs="Arial"/>
          <w:color w:val="000000"/>
        </w:rPr>
        <w:t> (p. D012S138R002). SPE.</w:t>
      </w:r>
    </w:p>
    <w:p w14:paraId="7E6DF9E0" w14:textId="77777777" w:rsidR="003B1590" w:rsidRDefault="003B1590" w:rsidP="004C6E7D">
      <w:pPr>
        <w:spacing w:line="480" w:lineRule="auto"/>
        <w:rPr>
          <w:rFonts w:ascii="Arial" w:hAnsi="Arial" w:cs="Arial"/>
          <w:color w:val="000000"/>
        </w:rPr>
      </w:pPr>
    </w:p>
    <w:p w14:paraId="4DC4B2A1" w14:textId="48C3B611" w:rsidR="004C6E7D" w:rsidRDefault="004C6E7D" w:rsidP="004C6E7D">
      <w:pPr>
        <w:spacing w:line="480" w:lineRule="auto"/>
        <w:rPr>
          <w:rFonts w:ascii="Arial" w:hAnsi="Arial" w:cs="Arial"/>
          <w:color w:val="000000"/>
        </w:rPr>
      </w:pPr>
      <w:r w:rsidRPr="004C6E7D">
        <w:rPr>
          <w:rFonts w:ascii="Arial" w:hAnsi="Arial" w:cs="Arial"/>
          <w:color w:val="000000"/>
        </w:rPr>
        <w:t xml:space="preserve">Demirel, S., Roke, Y., Chavannes, N. H., &amp; Harten, P. N. (2025). Navigating </w:t>
      </w:r>
      <w:r>
        <w:rPr>
          <w:rFonts w:ascii="Arial" w:hAnsi="Arial" w:cs="Arial"/>
          <w:color w:val="000000"/>
        </w:rPr>
        <w:tab/>
      </w:r>
      <w:r w:rsidRPr="004C6E7D">
        <w:rPr>
          <w:rFonts w:ascii="Arial" w:hAnsi="Arial" w:cs="Arial"/>
          <w:color w:val="000000"/>
        </w:rPr>
        <w:t xml:space="preserve">Workplace Stress: A Qualitative Exploration of Mental Healthcare Workers’ </w:t>
      </w:r>
      <w:r>
        <w:rPr>
          <w:rFonts w:ascii="Arial" w:hAnsi="Arial" w:cs="Arial"/>
          <w:color w:val="000000"/>
        </w:rPr>
        <w:tab/>
      </w:r>
      <w:r w:rsidRPr="004C6E7D">
        <w:rPr>
          <w:rFonts w:ascii="Arial" w:hAnsi="Arial" w:cs="Arial"/>
          <w:color w:val="000000"/>
        </w:rPr>
        <w:t xml:space="preserve">Lived Experiences with STAPP@ Work, a Mobile Stress Management </w:t>
      </w:r>
      <w:r>
        <w:rPr>
          <w:rFonts w:ascii="Arial" w:hAnsi="Arial" w:cs="Arial"/>
          <w:color w:val="000000"/>
        </w:rPr>
        <w:tab/>
      </w:r>
      <w:r w:rsidRPr="004C6E7D">
        <w:rPr>
          <w:rFonts w:ascii="Arial" w:hAnsi="Arial" w:cs="Arial"/>
          <w:color w:val="000000"/>
        </w:rPr>
        <w:t>Intervention.</w:t>
      </w:r>
    </w:p>
    <w:p w14:paraId="1CBDB7AB" w14:textId="77777777" w:rsidR="00B43A62" w:rsidRDefault="00B43A62">
      <w:pPr>
        <w:spacing w:line="480" w:lineRule="auto"/>
        <w:rPr>
          <w:rFonts w:ascii="Arial" w:hAnsi="Arial" w:cs="Arial"/>
          <w:color w:val="000000"/>
        </w:rPr>
      </w:pPr>
    </w:p>
    <w:p w14:paraId="268DE17D" w14:textId="0F612464" w:rsidR="00CA159A" w:rsidRDefault="00CA159A">
      <w:pPr>
        <w:spacing w:line="480" w:lineRule="auto"/>
        <w:rPr>
          <w:rFonts w:ascii="Arial" w:hAnsi="Arial" w:cs="Arial"/>
          <w:color w:val="000000"/>
        </w:rPr>
      </w:pPr>
      <w:r w:rsidRPr="00CA159A">
        <w:rPr>
          <w:rFonts w:ascii="Arial" w:hAnsi="Arial" w:cs="Arial"/>
          <w:color w:val="000000"/>
        </w:rPr>
        <w:t>De Neys, W. (Ed.). (2018). </w:t>
      </w:r>
      <w:r w:rsidRPr="00CA159A">
        <w:rPr>
          <w:rFonts w:ascii="Arial" w:hAnsi="Arial" w:cs="Arial"/>
          <w:i/>
          <w:iCs/>
          <w:color w:val="000000"/>
        </w:rPr>
        <w:t>Dual process theory 2.0</w:t>
      </w:r>
      <w:r w:rsidRPr="00CA159A">
        <w:rPr>
          <w:rFonts w:ascii="Arial" w:hAnsi="Arial" w:cs="Arial"/>
          <w:color w:val="000000"/>
        </w:rPr>
        <w:t>. New York: Routledge.</w:t>
      </w:r>
    </w:p>
    <w:p w14:paraId="690155E8" w14:textId="222E3D2A" w:rsidR="006F7525" w:rsidRDefault="003B1590">
      <w:pPr>
        <w:spacing w:line="480" w:lineRule="auto"/>
        <w:rPr>
          <w:rFonts w:ascii="Arial" w:hAnsi="Arial" w:cs="Arial"/>
          <w:color w:val="000000"/>
        </w:rPr>
      </w:pPr>
      <w:r>
        <w:rPr>
          <w:rFonts w:ascii="Arial" w:hAnsi="Arial" w:cs="Arial"/>
          <w:color w:val="000000"/>
        </w:rPr>
        <w:tab/>
      </w:r>
      <w:r w:rsidR="006F7525">
        <w:rPr>
          <w:rFonts w:ascii="Arial" w:hAnsi="Arial" w:cs="Arial"/>
          <w:color w:val="000000"/>
        </w:rPr>
        <w:t xml:space="preserve">Ellithorpe, M. E. (2020). Mode model. </w:t>
      </w:r>
      <w:r w:rsidR="006F7525">
        <w:rPr>
          <w:rFonts w:ascii="Arial" w:hAnsi="Arial" w:cs="Arial"/>
          <w:i/>
          <w:iCs/>
          <w:color w:val="000000"/>
        </w:rPr>
        <w:t xml:space="preserve">The International </w:t>
      </w:r>
      <w:proofErr w:type="spellStart"/>
      <w:r w:rsidR="006F7525">
        <w:rPr>
          <w:rFonts w:ascii="Arial" w:hAnsi="Arial" w:cs="Arial"/>
          <w:i/>
          <w:iCs/>
          <w:color w:val="000000"/>
        </w:rPr>
        <w:t>Encyclopedia</w:t>
      </w:r>
      <w:proofErr w:type="spellEnd"/>
      <w:r w:rsidR="006F7525">
        <w:rPr>
          <w:rFonts w:ascii="Arial" w:hAnsi="Arial" w:cs="Arial"/>
          <w:i/>
          <w:iCs/>
          <w:color w:val="000000"/>
        </w:rPr>
        <w:t xml:space="preserve"> of </w:t>
      </w:r>
      <w:r>
        <w:rPr>
          <w:rFonts w:ascii="Arial" w:hAnsi="Arial" w:cs="Arial"/>
          <w:i/>
          <w:iCs/>
          <w:color w:val="000000"/>
        </w:rPr>
        <w:tab/>
      </w:r>
      <w:r w:rsidR="006F7525">
        <w:rPr>
          <w:rFonts w:ascii="Arial" w:hAnsi="Arial" w:cs="Arial"/>
          <w:i/>
          <w:iCs/>
          <w:color w:val="000000"/>
        </w:rPr>
        <w:t>Media Psychology</w:t>
      </w:r>
      <w:r w:rsidR="006F7525">
        <w:rPr>
          <w:rFonts w:ascii="Arial" w:hAnsi="Arial" w:cs="Arial"/>
          <w:color w:val="000000"/>
        </w:rPr>
        <w:t>, 1-7.</w:t>
      </w:r>
    </w:p>
    <w:p w14:paraId="54855D54" w14:textId="77777777" w:rsidR="00B43A62" w:rsidRDefault="00B43A62">
      <w:pPr>
        <w:spacing w:line="480" w:lineRule="auto"/>
        <w:rPr>
          <w:rFonts w:ascii="Arial" w:hAnsi="Arial" w:cs="Arial"/>
          <w:color w:val="000000"/>
        </w:rPr>
      </w:pPr>
    </w:p>
    <w:p w14:paraId="429521F8" w14:textId="1F2EAE4E" w:rsidR="00BE733D" w:rsidRDefault="00251624">
      <w:pPr>
        <w:spacing w:line="480" w:lineRule="auto"/>
        <w:rPr>
          <w:rFonts w:ascii="Arial" w:hAnsi="Arial" w:cs="Arial"/>
          <w:color w:val="000000"/>
        </w:rPr>
      </w:pPr>
      <w:r w:rsidRPr="00251624">
        <w:rPr>
          <w:rFonts w:ascii="Arial" w:hAnsi="Arial" w:cs="Arial"/>
          <w:color w:val="000000"/>
        </w:rPr>
        <w:t>De Neys, W. (2021). On dual-and single-process models of thinking. </w:t>
      </w:r>
      <w:r w:rsidRPr="00251624">
        <w:rPr>
          <w:rFonts w:ascii="Arial" w:hAnsi="Arial" w:cs="Arial"/>
          <w:i/>
          <w:iCs/>
          <w:color w:val="000000"/>
        </w:rPr>
        <w:t xml:space="preserve">Perspectives on </w:t>
      </w:r>
      <w:r w:rsidR="003B1590">
        <w:rPr>
          <w:rFonts w:ascii="Arial" w:hAnsi="Arial" w:cs="Arial"/>
          <w:i/>
          <w:iCs/>
          <w:color w:val="000000"/>
        </w:rPr>
        <w:tab/>
      </w:r>
      <w:r w:rsidRPr="00251624">
        <w:rPr>
          <w:rFonts w:ascii="Arial" w:hAnsi="Arial" w:cs="Arial"/>
          <w:i/>
          <w:iCs/>
          <w:color w:val="000000"/>
        </w:rPr>
        <w:t>psychological science</w:t>
      </w:r>
      <w:r w:rsidRPr="00251624">
        <w:rPr>
          <w:rFonts w:ascii="Arial" w:hAnsi="Arial" w:cs="Arial"/>
          <w:color w:val="000000"/>
        </w:rPr>
        <w:t>, </w:t>
      </w:r>
      <w:r w:rsidRPr="00251624">
        <w:rPr>
          <w:rFonts w:ascii="Arial" w:hAnsi="Arial" w:cs="Arial"/>
          <w:i/>
          <w:iCs/>
          <w:color w:val="000000"/>
        </w:rPr>
        <w:t>16</w:t>
      </w:r>
      <w:r w:rsidRPr="00251624">
        <w:rPr>
          <w:rFonts w:ascii="Arial" w:hAnsi="Arial" w:cs="Arial"/>
          <w:color w:val="000000"/>
        </w:rPr>
        <w:t>(6), 1412-1427.</w:t>
      </w:r>
    </w:p>
    <w:p w14:paraId="79388CD4" w14:textId="77777777" w:rsidR="00693B9D" w:rsidRDefault="00693B9D">
      <w:pPr>
        <w:spacing w:line="480" w:lineRule="auto"/>
        <w:rPr>
          <w:rFonts w:ascii="Arial" w:hAnsi="Arial" w:cs="Arial"/>
          <w:color w:val="000000"/>
        </w:rPr>
      </w:pPr>
    </w:p>
    <w:p w14:paraId="0090C09C" w14:textId="2141A598" w:rsidR="00693B9D" w:rsidRDefault="00693B9D">
      <w:pPr>
        <w:spacing w:line="480" w:lineRule="auto"/>
        <w:rPr>
          <w:rFonts w:ascii="Arial" w:hAnsi="Arial" w:cs="Arial"/>
          <w:color w:val="000000"/>
        </w:rPr>
      </w:pPr>
      <w:r w:rsidRPr="00693B9D">
        <w:rPr>
          <w:rFonts w:ascii="Arial" w:hAnsi="Arial" w:cs="Arial"/>
          <w:color w:val="000000"/>
        </w:rPr>
        <w:t xml:space="preserve">Doleman, G., </w:t>
      </w:r>
      <w:proofErr w:type="spellStart"/>
      <w:r w:rsidRPr="00693B9D">
        <w:rPr>
          <w:rFonts w:ascii="Arial" w:hAnsi="Arial" w:cs="Arial"/>
          <w:color w:val="000000"/>
        </w:rPr>
        <w:t>Bloxsome</w:t>
      </w:r>
      <w:proofErr w:type="spellEnd"/>
      <w:r w:rsidRPr="00693B9D">
        <w:rPr>
          <w:rFonts w:ascii="Arial" w:hAnsi="Arial" w:cs="Arial"/>
          <w:color w:val="000000"/>
        </w:rPr>
        <w:t xml:space="preserve">, D., Wang, R., &amp; Whitehead, L. (2025). Fostering a Resilient </w:t>
      </w:r>
      <w:r w:rsidR="00D713D2">
        <w:rPr>
          <w:rFonts w:ascii="Arial" w:hAnsi="Arial" w:cs="Arial"/>
          <w:color w:val="000000"/>
        </w:rPr>
        <w:tab/>
      </w:r>
      <w:r w:rsidRPr="00693B9D">
        <w:rPr>
          <w:rFonts w:ascii="Arial" w:hAnsi="Arial" w:cs="Arial"/>
          <w:color w:val="000000"/>
        </w:rPr>
        <w:t xml:space="preserve">Healthcare System: Supportive Practice Environment Initiatives to Support </w:t>
      </w:r>
      <w:r w:rsidR="00D713D2">
        <w:rPr>
          <w:rFonts w:ascii="Arial" w:hAnsi="Arial" w:cs="Arial"/>
          <w:color w:val="000000"/>
        </w:rPr>
        <w:tab/>
      </w:r>
      <w:r w:rsidRPr="00693B9D">
        <w:rPr>
          <w:rFonts w:ascii="Arial" w:hAnsi="Arial" w:cs="Arial"/>
          <w:color w:val="000000"/>
        </w:rPr>
        <w:t>Nurse and Midwives a Scoping Review. </w:t>
      </w:r>
      <w:r w:rsidRPr="00693B9D">
        <w:rPr>
          <w:rFonts w:ascii="Arial" w:hAnsi="Arial" w:cs="Arial"/>
          <w:i/>
          <w:iCs/>
          <w:color w:val="000000"/>
        </w:rPr>
        <w:t xml:space="preserve">Journal of Nursing </w:t>
      </w:r>
      <w:r>
        <w:rPr>
          <w:rFonts w:ascii="Arial" w:hAnsi="Arial" w:cs="Arial"/>
          <w:i/>
          <w:iCs/>
          <w:color w:val="000000"/>
        </w:rPr>
        <w:tab/>
      </w:r>
      <w:r w:rsidRPr="00693B9D">
        <w:rPr>
          <w:rFonts w:ascii="Arial" w:hAnsi="Arial" w:cs="Arial"/>
          <w:i/>
          <w:iCs/>
          <w:color w:val="000000"/>
        </w:rPr>
        <w:t>Management</w:t>
      </w:r>
      <w:r w:rsidRPr="00693B9D">
        <w:rPr>
          <w:rFonts w:ascii="Arial" w:hAnsi="Arial" w:cs="Arial"/>
          <w:color w:val="000000"/>
        </w:rPr>
        <w:t>, </w:t>
      </w:r>
      <w:r w:rsidRPr="00693B9D">
        <w:rPr>
          <w:rFonts w:ascii="Arial" w:hAnsi="Arial" w:cs="Arial"/>
          <w:i/>
          <w:iCs/>
          <w:color w:val="000000"/>
        </w:rPr>
        <w:t>2025</w:t>
      </w:r>
      <w:r w:rsidRPr="00693B9D">
        <w:rPr>
          <w:rFonts w:ascii="Arial" w:hAnsi="Arial" w:cs="Arial"/>
          <w:color w:val="000000"/>
        </w:rPr>
        <w:t>(1), 8898411.</w:t>
      </w:r>
    </w:p>
    <w:p w14:paraId="38C450F5" w14:textId="77777777" w:rsidR="001B6538" w:rsidRDefault="001B6538">
      <w:pPr>
        <w:spacing w:line="480" w:lineRule="auto"/>
        <w:rPr>
          <w:rFonts w:ascii="Arial" w:hAnsi="Arial" w:cs="Arial"/>
          <w:color w:val="000000"/>
        </w:rPr>
      </w:pPr>
    </w:p>
    <w:p w14:paraId="07D2BAE1" w14:textId="6E7A797B" w:rsidR="001B6538" w:rsidRDefault="001B6538">
      <w:pPr>
        <w:spacing w:line="480" w:lineRule="auto"/>
        <w:rPr>
          <w:rFonts w:ascii="Arial" w:hAnsi="Arial" w:cs="Arial"/>
          <w:color w:val="000000"/>
        </w:rPr>
      </w:pPr>
      <w:r w:rsidRPr="001B6538">
        <w:rPr>
          <w:rFonts w:ascii="Arial" w:hAnsi="Arial" w:cs="Arial"/>
          <w:color w:val="000000"/>
        </w:rPr>
        <w:t xml:space="preserve">Evans, J. S. B., &amp; Stanovich, K. E. (2013). Dual-process theories of higher cognition: </w:t>
      </w:r>
      <w:r w:rsidR="00D713D2">
        <w:rPr>
          <w:rFonts w:ascii="Arial" w:hAnsi="Arial" w:cs="Arial"/>
          <w:color w:val="000000"/>
        </w:rPr>
        <w:tab/>
      </w:r>
      <w:r w:rsidRPr="001B6538">
        <w:rPr>
          <w:rFonts w:ascii="Arial" w:hAnsi="Arial" w:cs="Arial"/>
          <w:color w:val="000000"/>
        </w:rPr>
        <w:t>Advancing the debate. </w:t>
      </w:r>
      <w:r w:rsidRPr="001B6538">
        <w:rPr>
          <w:rFonts w:ascii="Arial" w:hAnsi="Arial" w:cs="Arial"/>
          <w:i/>
          <w:iCs/>
          <w:color w:val="000000"/>
        </w:rPr>
        <w:t>Perspectives on psychological science</w:t>
      </w:r>
      <w:r w:rsidRPr="001B6538">
        <w:rPr>
          <w:rFonts w:ascii="Arial" w:hAnsi="Arial" w:cs="Arial"/>
          <w:color w:val="000000"/>
        </w:rPr>
        <w:t>, </w:t>
      </w:r>
      <w:r w:rsidRPr="001B6538">
        <w:rPr>
          <w:rFonts w:ascii="Arial" w:hAnsi="Arial" w:cs="Arial"/>
          <w:i/>
          <w:iCs/>
          <w:color w:val="000000"/>
        </w:rPr>
        <w:t>8</w:t>
      </w:r>
      <w:r w:rsidRPr="001B6538">
        <w:rPr>
          <w:rFonts w:ascii="Arial" w:hAnsi="Arial" w:cs="Arial"/>
          <w:color w:val="000000"/>
        </w:rPr>
        <w:t>(3), 223-241.</w:t>
      </w:r>
    </w:p>
    <w:p w14:paraId="424DCB0F" w14:textId="77777777" w:rsidR="005B5DD8" w:rsidRDefault="005B5DD8">
      <w:pPr>
        <w:spacing w:line="480" w:lineRule="auto"/>
        <w:rPr>
          <w:rFonts w:ascii="Arial" w:hAnsi="Arial" w:cs="Arial"/>
          <w:color w:val="000000"/>
        </w:rPr>
      </w:pPr>
    </w:p>
    <w:p w14:paraId="1DD9331B" w14:textId="0BDFA1AB" w:rsidR="005B5DD8" w:rsidRDefault="005B5DD8">
      <w:pPr>
        <w:spacing w:line="480" w:lineRule="auto"/>
        <w:rPr>
          <w:rFonts w:ascii="Arial" w:hAnsi="Arial" w:cs="Arial"/>
          <w:color w:val="000000"/>
        </w:rPr>
      </w:pPr>
      <w:r w:rsidRPr="005B5DD8">
        <w:rPr>
          <w:rFonts w:ascii="Arial" w:hAnsi="Arial" w:cs="Arial"/>
          <w:color w:val="000000"/>
        </w:rPr>
        <w:lastRenderedPageBreak/>
        <w:t xml:space="preserve">Frank, B., Simper, N., Cai, B., Salem, D., Kaupp, J., &amp; Lindley-Peart, M. (2018). </w:t>
      </w:r>
      <w:r w:rsidR="00D713D2">
        <w:rPr>
          <w:rFonts w:ascii="Arial" w:hAnsi="Arial" w:cs="Arial"/>
          <w:color w:val="000000"/>
        </w:rPr>
        <w:tab/>
      </w:r>
      <w:r w:rsidRPr="005B5DD8">
        <w:rPr>
          <w:rFonts w:ascii="Arial" w:hAnsi="Arial" w:cs="Arial"/>
          <w:color w:val="000000"/>
        </w:rPr>
        <w:t xml:space="preserve">Enhancing development of competencies by means of continuous </w:t>
      </w:r>
      <w:r w:rsidR="00D713D2">
        <w:rPr>
          <w:rFonts w:ascii="Arial" w:hAnsi="Arial" w:cs="Arial"/>
          <w:color w:val="000000"/>
        </w:rPr>
        <w:tab/>
      </w:r>
      <w:r w:rsidRPr="005B5DD8">
        <w:rPr>
          <w:rFonts w:ascii="Arial" w:hAnsi="Arial" w:cs="Arial"/>
          <w:color w:val="000000"/>
        </w:rPr>
        <w:t>improvement processes. </w:t>
      </w:r>
      <w:r w:rsidRPr="005B5DD8">
        <w:rPr>
          <w:rFonts w:ascii="Arial" w:hAnsi="Arial" w:cs="Arial"/>
          <w:i/>
          <w:iCs/>
          <w:color w:val="000000"/>
        </w:rPr>
        <w:t>Canadian public policy</w:t>
      </w:r>
      <w:r w:rsidRPr="005B5DD8">
        <w:rPr>
          <w:rFonts w:ascii="Arial" w:hAnsi="Arial" w:cs="Arial"/>
          <w:color w:val="000000"/>
        </w:rPr>
        <w:t>, </w:t>
      </w:r>
      <w:r w:rsidRPr="005B5DD8">
        <w:rPr>
          <w:rFonts w:ascii="Arial" w:hAnsi="Arial" w:cs="Arial"/>
          <w:i/>
          <w:iCs/>
          <w:color w:val="000000"/>
        </w:rPr>
        <w:t>44</w:t>
      </w:r>
      <w:r w:rsidRPr="005B5DD8">
        <w:rPr>
          <w:rFonts w:ascii="Arial" w:hAnsi="Arial" w:cs="Arial"/>
          <w:color w:val="000000"/>
        </w:rPr>
        <w:t>(S1), S56-S72.</w:t>
      </w:r>
    </w:p>
    <w:p w14:paraId="7000C219" w14:textId="77777777" w:rsidR="00B43A62" w:rsidRDefault="00B43A62">
      <w:pPr>
        <w:spacing w:line="480" w:lineRule="auto"/>
        <w:rPr>
          <w:rFonts w:ascii="Arial" w:hAnsi="Arial" w:cs="Arial"/>
          <w:color w:val="000000"/>
        </w:rPr>
      </w:pPr>
    </w:p>
    <w:p w14:paraId="7349893C" w14:textId="0AACDF1E" w:rsidR="006F7525" w:rsidRDefault="006F7525">
      <w:pPr>
        <w:spacing w:line="480" w:lineRule="auto"/>
        <w:rPr>
          <w:rFonts w:ascii="Arial" w:hAnsi="Arial" w:cs="Arial"/>
          <w:color w:val="000000"/>
        </w:rPr>
      </w:pPr>
      <w:r>
        <w:rPr>
          <w:rFonts w:ascii="Arial" w:hAnsi="Arial" w:cs="Arial"/>
          <w:color w:val="000000"/>
        </w:rPr>
        <w:t xml:space="preserve">Gawronski, B., Luke, D. M., &amp; Creighton, L. A. (2013). Dual-Process Theories. In </w:t>
      </w:r>
      <w:r w:rsidR="003B1590">
        <w:rPr>
          <w:rFonts w:ascii="Arial" w:hAnsi="Arial" w:cs="Arial"/>
          <w:color w:val="000000"/>
        </w:rPr>
        <w:tab/>
      </w:r>
      <w:r>
        <w:rPr>
          <w:rFonts w:ascii="Arial" w:hAnsi="Arial" w:cs="Arial"/>
          <w:i/>
          <w:iCs/>
          <w:color w:val="000000"/>
        </w:rPr>
        <w:t>The Oxford Handbook of Social Cognition</w:t>
      </w:r>
      <w:r>
        <w:rPr>
          <w:rFonts w:ascii="Arial" w:hAnsi="Arial" w:cs="Arial"/>
          <w:color w:val="000000"/>
        </w:rPr>
        <w:t xml:space="preserve"> (pp. 282-312). Oxford University </w:t>
      </w:r>
      <w:r w:rsidR="006B5005">
        <w:rPr>
          <w:rFonts w:ascii="Arial" w:hAnsi="Arial" w:cs="Arial"/>
          <w:color w:val="000000"/>
        </w:rPr>
        <w:tab/>
      </w:r>
      <w:r>
        <w:rPr>
          <w:rFonts w:ascii="Arial" w:hAnsi="Arial" w:cs="Arial"/>
          <w:color w:val="000000"/>
        </w:rPr>
        <w:t>Press.</w:t>
      </w:r>
    </w:p>
    <w:p w14:paraId="196375BF" w14:textId="77777777" w:rsidR="00846E7A" w:rsidRDefault="00846E7A">
      <w:pPr>
        <w:spacing w:line="480" w:lineRule="auto"/>
        <w:rPr>
          <w:rFonts w:ascii="Arial" w:hAnsi="Arial" w:cs="Arial"/>
          <w:color w:val="000000"/>
        </w:rPr>
      </w:pPr>
    </w:p>
    <w:p w14:paraId="40872738" w14:textId="66C037E9" w:rsidR="00900376" w:rsidRDefault="005D5F38">
      <w:pPr>
        <w:spacing w:line="480" w:lineRule="auto"/>
        <w:rPr>
          <w:rFonts w:ascii="Arial" w:hAnsi="Arial" w:cs="Arial"/>
          <w:color w:val="000000"/>
        </w:rPr>
      </w:pPr>
      <w:r>
        <w:rPr>
          <w:rFonts w:ascii="Arial" w:hAnsi="Arial" w:cs="Arial"/>
          <w:color w:val="000000"/>
        </w:rPr>
        <w:t>General</w:t>
      </w:r>
      <w:r w:rsidR="00F17A45">
        <w:rPr>
          <w:rFonts w:ascii="Arial" w:hAnsi="Arial" w:cs="Arial"/>
          <w:color w:val="000000"/>
        </w:rPr>
        <w:t xml:space="preserve"> Data Protection Regulation European Union. (2016</w:t>
      </w:r>
      <w:r w:rsidR="00F17A45" w:rsidRPr="00C511A2">
        <w:rPr>
          <w:rFonts w:ascii="Arial" w:hAnsi="Arial" w:cs="Arial"/>
          <w:i/>
          <w:iCs/>
          <w:color w:val="000000"/>
        </w:rPr>
        <w:t xml:space="preserve">). </w:t>
      </w:r>
      <w:r w:rsidR="00842C4C" w:rsidRPr="00C511A2">
        <w:rPr>
          <w:rFonts w:ascii="Arial" w:hAnsi="Arial" w:cs="Arial"/>
          <w:i/>
          <w:iCs/>
          <w:color w:val="000000"/>
        </w:rPr>
        <w:t xml:space="preserve"> Regulation (EU) </w:t>
      </w:r>
      <w:r w:rsidR="00846E7A" w:rsidRPr="00C511A2">
        <w:rPr>
          <w:rFonts w:ascii="Arial" w:hAnsi="Arial" w:cs="Arial"/>
          <w:i/>
          <w:iCs/>
          <w:color w:val="000000"/>
        </w:rPr>
        <w:tab/>
      </w:r>
      <w:r w:rsidR="00842C4C" w:rsidRPr="00C511A2">
        <w:rPr>
          <w:rFonts w:ascii="Arial" w:hAnsi="Arial" w:cs="Arial"/>
          <w:i/>
          <w:iCs/>
          <w:color w:val="000000"/>
        </w:rPr>
        <w:t>2016/679 of the European Parliament and of the C</w:t>
      </w:r>
      <w:r w:rsidR="001831D6" w:rsidRPr="00C511A2">
        <w:rPr>
          <w:rFonts w:ascii="Arial" w:hAnsi="Arial" w:cs="Arial"/>
          <w:i/>
          <w:iCs/>
          <w:color w:val="000000"/>
        </w:rPr>
        <w:t xml:space="preserve">ouncil of 27 April 2016 on </w:t>
      </w:r>
      <w:r w:rsidR="00846E7A" w:rsidRPr="00C511A2">
        <w:rPr>
          <w:rFonts w:ascii="Arial" w:hAnsi="Arial" w:cs="Arial"/>
          <w:i/>
          <w:iCs/>
          <w:color w:val="000000"/>
        </w:rPr>
        <w:tab/>
      </w:r>
      <w:r w:rsidR="001831D6" w:rsidRPr="00C511A2">
        <w:rPr>
          <w:rFonts w:ascii="Arial" w:hAnsi="Arial" w:cs="Arial"/>
          <w:i/>
          <w:iCs/>
          <w:color w:val="000000"/>
        </w:rPr>
        <w:t xml:space="preserve">the protection of natural persons </w:t>
      </w:r>
      <w:proofErr w:type="gramStart"/>
      <w:r w:rsidR="001831D6" w:rsidRPr="00C511A2">
        <w:rPr>
          <w:rFonts w:ascii="Arial" w:hAnsi="Arial" w:cs="Arial"/>
          <w:i/>
          <w:iCs/>
          <w:color w:val="000000"/>
        </w:rPr>
        <w:t>with regard to</w:t>
      </w:r>
      <w:proofErr w:type="gramEnd"/>
      <w:r w:rsidR="001831D6" w:rsidRPr="00C511A2">
        <w:rPr>
          <w:rFonts w:ascii="Arial" w:hAnsi="Arial" w:cs="Arial"/>
          <w:i/>
          <w:iCs/>
          <w:color w:val="000000"/>
        </w:rPr>
        <w:t xml:space="preserve"> the processing of personal </w:t>
      </w:r>
      <w:r w:rsidR="00846E7A" w:rsidRPr="00C511A2">
        <w:rPr>
          <w:rFonts w:ascii="Arial" w:hAnsi="Arial" w:cs="Arial"/>
          <w:i/>
          <w:iCs/>
          <w:color w:val="000000"/>
        </w:rPr>
        <w:tab/>
      </w:r>
      <w:r w:rsidR="001831D6" w:rsidRPr="00C511A2">
        <w:rPr>
          <w:rFonts w:ascii="Arial" w:hAnsi="Arial" w:cs="Arial"/>
          <w:i/>
          <w:iCs/>
          <w:color w:val="000000"/>
        </w:rPr>
        <w:t xml:space="preserve">data and on the free movement of such data (General Data Protection </w:t>
      </w:r>
      <w:r w:rsidR="00846E7A" w:rsidRPr="00C511A2">
        <w:rPr>
          <w:rFonts w:ascii="Arial" w:hAnsi="Arial" w:cs="Arial"/>
          <w:i/>
          <w:iCs/>
          <w:color w:val="000000"/>
        </w:rPr>
        <w:tab/>
      </w:r>
      <w:r w:rsidR="001831D6" w:rsidRPr="00C511A2">
        <w:rPr>
          <w:rFonts w:ascii="Arial" w:hAnsi="Arial" w:cs="Arial"/>
          <w:i/>
          <w:iCs/>
          <w:color w:val="000000"/>
        </w:rPr>
        <w:t xml:space="preserve">Regulation). Office Journal of </w:t>
      </w:r>
      <w:r w:rsidR="00846E7A" w:rsidRPr="00C511A2">
        <w:rPr>
          <w:rFonts w:ascii="Arial" w:hAnsi="Arial" w:cs="Arial"/>
          <w:i/>
          <w:iCs/>
          <w:color w:val="000000"/>
        </w:rPr>
        <w:t>the European Union</w:t>
      </w:r>
      <w:r w:rsidR="00846E7A">
        <w:rPr>
          <w:rFonts w:ascii="Arial" w:hAnsi="Arial" w:cs="Arial"/>
          <w:color w:val="000000"/>
        </w:rPr>
        <w:t xml:space="preserve">. </w:t>
      </w:r>
      <w:r w:rsidR="00846E7A" w:rsidRPr="00C511A2">
        <w:rPr>
          <w:rFonts w:ascii="Arial" w:hAnsi="Arial" w:cs="Arial"/>
          <w:color w:val="000000"/>
        </w:rPr>
        <w:t>https://eur-</w:t>
      </w:r>
      <w:r w:rsidR="00846E7A" w:rsidRPr="00C511A2">
        <w:rPr>
          <w:rFonts w:ascii="Arial" w:hAnsi="Arial" w:cs="Arial"/>
          <w:color w:val="000000"/>
        </w:rPr>
        <w:tab/>
        <w:t>lex.europan.eu/</w:t>
      </w:r>
      <w:proofErr w:type="spellStart"/>
      <w:r w:rsidR="00846E7A" w:rsidRPr="00C511A2">
        <w:rPr>
          <w:rFonts w:ascii="Arial" w:hAnsi="Arial" w:cs="Arial"/>
          <w:color w:val="000000"/>
        </w:rPr>
        <w:t>eli</w:t>
      </w:r>
      <w:proofErr w:type="spellEnd"/>
      <w:r w:rsidR="00846E7A" w:rsidRPr="00C511A2">
        <w:rPr>
          <w:rFonts w:ascii="Arial" w:hAnsi="Arial" w:cs="Arial"/>
          <w:color w:val="000000"/>
        </w:rPr>
        <w:t>/reg/2016/679/</w:t>
      </w:r>
      <w:proofErr w:type="spellStart"/>
      <w:r w:rsidR="00846E7A" w:rsidRPr="00C511A2">
        <w:rPr>
          <w:rFonts w:ascii="Arial" w:hAnsi="Arial" w:cs="Arial"/>
          <w:color w:val="000000"/>
        </w:rPr>
        <w:t>oj</w:t>
      </w:r>
      <w:proofErr w:type="spellEnd"/>
    </w:p>
    <w:p w14:paraId="39962760" w14:textId="77777777" w:rsidR="00846E7A" w:rsidRDefault="00846E7A">
      <w:pPr>
        <w:spacing w:line="480" w:lineRule="auto"/>
        <w:rPr>
          <w:rFonts w:ascii="Arial" w:hAnsi="Arial" w:cs="Arial"/>
          <w:color w:val="000000"/>
        </w:rPr>
      </w:pPr>
    </w:p>
    <w:p w14:paraId="36366FF3" w14:textId="47B4540D" w:rsidR="00D9505B" w:rsidRDefault="00900376">
      <w:pPr>
        <w:spacing w:line="480" w:lineRule="auto"/>
        <w:rPr>
          <w:rFonts w:ascii="Arial" w:hAnsi="Arial" w:cs="Arial"/>
          <w:color w:val="000000"/>
        </w:rPr>
      </w:pPr>
      <w:proofErr w:type="spellStart"/>
      <w:r w:rsidRPr="00900376">
        <w:rPr>
          <w:rFonts w:ascii="Arial" w:hAnsi="Arial" w:cs="Arial"/>
          <w:color w:val="000000"/>
        </w:rPr>
        <w:t>Grayot</w:t>
      </w:r>
      <w:proofErr w:type="spellEnd"/>
      <w:r w:rsidRPr="00900376">
        <w:rPr>
          <w:rFonts w:ascii="Arial" w:hAnsi="Arial" w:cs="Arial"/>
          <w:color w:val="000000"/>
        </w:rPr>
        <w:t xml:space="preserve">, J. D. (2020). Dual process theories in </w:t>
      </w:r>
      <w:proofErr w:type="spellStart"/>
      <w:r w:rsidRPr="00900376">
        <w:rPr>
          <w:rFonts w:ascii="Arial" w:hAnsi="Arial" w:cs="Arial"/>
          <w:color w:val="000000"/>
        </w:rPr>
        <w:t>behavioral</w:t>
      </w:r>
      <w:proofErr w:type="spellEnd"/>
      <w:r w:rsidRPr="00900376">
        <w:rPr>
          <w:rFonts w:ascii="Arial" w:hAnsi="Arial" w:cs="Arial"/>
          <w:color w:val="000000"/>
        </w:rPr>
        <w:t xml:space="preserve"> economics and </w:t>
      </w:r>
      <w:r w:rsidR="00AF7564">
        <w:rPr>
          <w:rFonts w:ascii="Arial" w:hAnsi="Arial" w:cs="Arial"/>
          <w:color w:val="000000"/>
        </w:rPr>
        <w:tab/>
      </w:r>
      <w:r w:rsidRPr="00900376">
        <w:rPr>
          <w:rFonts w:ascii="Arial" w:hAnsi="Arial" w:cs="Arial"/>
          <w:color w:val="000000"/>
        </w:rPr>
        <w:t>neuroeconomics: A critical review. </w:t>
      </w:r>
      <w:r w:rsidRPr="00900376">
        <w:rPr>
          <w:rFonts w:ascii="Arial" w:hAnsi="Arial" w:cs="Arial"/>
          <w:i/>
          <w:iCs/>
          <w:color w:val="000000"/>
        </w:rPr>
        <w:t xml:space="preserve">Review of Philosophy and </w:t>
      </w:r>
      <w:r w:rsidR="00AF7564">
        <w:rPr>
          <w:rFonts w:ascii="Arial" w:hAnsi="Arial" w:cs="Arial"/>
          <w:i/>
          <w:iCs/>
          <w:color w:val="000000"/>
        </w:rPr>
        <w:tab/>
      </w:r>
      <w:r w:rsidRPr="00900376">
        <w:rPr>
          <w:rFonts w:ascii="Arial" w:hAnsi="Arial" w:cs="Arial"/>
          <w:i/>
          <w:iCs/>
          <w:color w:val="000000"/>
        </w:rPr>
        <w:t>Psychology</w:t>
      </w:r>
      <w:r w:rsidRPr="00900376">
        <w:rPr>
          <w:rFonts w:ascii="Arial" w:hAnsi="Arial" w:cs="Arial"/>
          <w:color w:val="000000"/>
        </w:rPr>
        <w:t>, </w:t>
      </w:r>
      <w:r w:rsidRPr="00900376">
        <w:rPr>
          <w:rFonts w:ascii="Arial" w:hAnsi="Arial" w:cs="Arial"/>
          <w:i/>
          <w:iCs/>
          <w:color w:val="000000"/>
        </w:rPr>
        <w:t>11</w:t>
      </w:r>
      <w:r w:rsidRPr="00900376">
        <w:rPr>
          <w:rFonts w:ascii="Arial" w:hAnsi="Arial" w:cs="Arial"/>
          <w:color w:val="000000"/>
        </w:rPr>
        <w:t>(1), 105-136.</w:t>
      </w:r>
    </w:p>
    <w:p w14:paraId="20F9C381" w14:textId="77777777" w:rsidR="00900376" w:rsidRDefault="00900376">
      <w:pPr>
        <w:spacing w:line="480" w:lineRule="auto"/>
        <w:rPr>
          <w:rFonts w:ascii="Arial" w:hAnsi="Arial" w:cs="Arial"/>
          <w:color w:val="000000"/>
        </w:rPr>
      </w:pPr>
    </w:p>
    <w:p w14:paraId="59B45A20" w14:textId="4C7B6C3E" w:rsidR="00D9505B" w:rsidRDefault="006717C4">
      <w:pPr>
        <w:spacing w:line="480" w:lineRule="auto"/>
        <w:rPr>
          <w:rFonts w:ascii="Arial" w:hAnsi="Arial" w:cs="Arial"/>
          <w:color w:val="000000"/>
        </w:rPr>
      </w:pPr>
      <w:r w:rsidRPr="006717C4">
        <w:rPr>
          <w:rFonts w:ascii="Arial" w:hAnsi="Arial" w:cs="Arial"/>
          <w:color w:val="000000"/>
        </w:rPr>
        <w:t xml:space="preserve">Greenhouse-Tucknott, A., Butterworth, J. B., Wrightson, J. G., Smeeton, N. J., </w:t>
      </w:r>
      <w:r w:rsidR="00C759E2">
        <w:rPr>
          <w:rFonts w:ascii="Arial" w:hAnsi="Arial" w:cs="Arial"/>
          <w:color w:val="000000"/>
        </w:rPr>
        <w:tab/>
      </w:r>
      <w:r w:rsidRPr="006717C4">
        <w:rPr>
          <w:rFonts w:ascii="Arial" w:hAnsi="Arial" w:cs="Arial"/>
          <w:color w:val="000000"/>
        </w:rPr>
        <w:t xml:space="preserve">Critchley, H. D., </w:t>
      </w:r>
      <w:proofErr w:type="spellStart"/>
      <w:r w:rsidRPr="006717C4">
        <w:rPr>
          <w:rFonts w:ascii="Arial" w:hAnsi="Arial" w:cs="Arial"/>
          <w:color w:val="000000"/>
        </w:rPr>
        <w:t>Dekerle</w:t>
      </w:r>
      <w:proofErr w:type="spellEnd"/>
      <w:r w:rsidRPr="006717C4">
        <w:rPr>
          <w:rFonts w:ascii="Arial" w:hAnsi="Arial" w:cs="Arial"/>
          <w:color w:val="000000"/>
        </w:rPr>
        <w:t xml:space="preserve">, J., &amp; Harrison, N. A. (2022). Toward the unity of </w:t>
      </w:r>
      <w:r w:rsidR="00C759E2">
        <w:rPr>
          <w:rFonts w:ascii="Arial" w:hAnsi="Arial" w:cs="Arial"/>
          <w:color w:val="000000"/>
        </w:rPr>
        <w:tab/>
      </w:r>
      <w:r w:rsidRPr="006717C4">
        <w:rPr>
          <w:rFonts w:ascii="Arial" w:hAnsi="Arial" w:cs="Arial"/>
          <w:color w:val="000000"/>
        </w:rPr>
        <w:t xml:space="preserve">pathological and exertional fatigue: A predictive processing </w:t>
      </w:r>
      <w:r w:rsidR="007F2B0D">
        <w:rPr>
          <w:rFonts w:ascii="Arial" w:hAnsi="Arial" w:cs="Arial"/>
          <w:color w:val="000000"/>
        </w:rPr>
        <w:tab/>
      </w:r>
      <w:r w:rsidRPr="006717C4">
        <w:rPr>
          <w:rFonts w:ascii="Arial" w:hAnsi="Arial" w:cs="Arial"/>
          <w:color w:val="000000"/>
        </w:rPr>
        <w:t>model. </w:t>
      </w:r>
      <w:r w:rsidRPr="006717C4">
        <w:rPr>
          <w:rFonts w:ascii="Arial" w:hAnsi="Arial" w:cs="Arial"/>
          <w:i/>
          <w:iCs/>
          <w:color w:val="000000"/>
        </w:rPr>
        <w:t xml:space="preserve">Cognitive, Affective, &amp; </w:t>
      </w:r>
      <w:proofErr w:type="spellStart"/>
      <w:r w:rsidRPr="006717C4">
        <w:rPr>
          <w:rFonts w:ascii="Arial" w:hAnsi="Arial" w:cs="Arial"/>
          <w:i/>
          <w:iCs/>
          <w:color w:val="000000"/>
        </w:rPr>
        <w:t>Behavioral</w:t>
      </w:r>
      <w:proofErr w:type="spellEnd"/>
      <w:r w:rsidRPr="006717C4">
        <w:rPr>
          <w:rFonts w:ascii="Arial" w:hAnsi="Arial" w:cs="Arial"/>
          <w:i/>
          <w:iCs/>
          <w:color w:val="000000"/>
        </w:rPr>
        <w:t xml:space="preserve"> Neuroscience</w:t>
      </w:r>
      <w:r w:rsidRPr="006717C4">
        <w:rPr>
          <w:rFonts w:ascii="Arial" w:hAnsi="Arial" w:cs="Arial"/>
          <w:color w:val="000000"/>
        </w:rPr>
        <w:t>, </w:t>
      </w:r>
      <w:r w:rsidRPr="006717C4">
        <w:rPr>
          <w:rFonts w:ascii="Arial" w:hAnsi="Arial" w:cs="Arial"/>
          <w:i/>
          <w:iCs/>
          <w:color w:val="000000"/>
        </w:rPr>
        <w:t>22</w:t>
      </w:r>
      <w:r w:rsidRPr="006717C4">
        <w:rPr>
          <w:rFonts w:ascii="Arial" w:hAnsi="Arial" w:cs="Arial"/>
          <w:color w:val="000000"/>
        </w:rPr>
        <w:t>(2), 215-228.</w:t>
      </w:r>
    </w:p>
    <w:p w14:paraId="6722A879" w14:textId="14091D80" w:rsidR="006F7525" w:rsidRDefault="006F7525">
      <w:pPr>
        <w:spacing w:line="480" w:lineRule="auto"/>
        <w:rPr>
          <w:rFonts w:ascii="Arial" w:hAnsi="Arial" w:cs="Arial"/>
          <w:color w:val="000000"/>
        </w:rPr>
      </w:pPr>
    </w:p>
    <w:p w14:paraId="789E6A95" w14:textId="6781D200" w:rsidR="00B6336B" w:rsidRDefault="00B6336B" w:rsidP="00B6336B">
      <w:pPr>
        <w:spacing w:line="480" w:lineRule="auto"/>
        <w:rPr>
          <w:rFonts w:ascii="Arial" w:hAnsi="Arial" w:cs="Arial"/>
          <w:color w:val="000000"/>
        </w:rPr>
      </w:pPr>
      <w:r>
        <w:rPr>
          <w:rFonts w:ascii="Arial" w:hAnsi="Arial" w:cs="Arial"/>
          <w:color w:val="000000"/>
        </w:rPr>
        <w:lastRenderedPageBreak/>
        <w:t>Harris, E., &amp; Santhosh, L. (2022)</w:t>
      </w:r>
      <w:r w:rsidRPr="009111BB">
        <w:rPr>
          <w:rFonts w:ascii="Arial" w:hAnsi="Arial" w:cs="Arial"/>
          <w:color w:val="000000"/>
        </w:rPr>
        <w:t xml:space="preserve">. Dual </w:t>
      </w:r>
      <w:r>
        <w:rPr>
          <w:rFonts w:ascii="Arial" w:hAnsi="Arial" w:cs="Arial"/>
          <w:color w:val="000000"/>
        </w:rPr>
        <w:t xml:space="preserve">process theory and cognitive load: How </w:t>
      </w:r>
      <w:r w:rsidR="00B1463D">
        <w:rPr>
          <w:rFonts w:ascii="Arial" w:hAnsi="Arial" w:cs="Arial"/>
          <w:color w:val="000000"/>
        </w:rPr>
        <w:tab/>
      </w:r>
      <w:r>
        <w:rPr>
          <w:rFonts w:ascii="Arial" w:hAnsi="Arial" w:cs="Arial"/>
          <w:color w:val="000000"/>
        </w:rPr>
        <w:t xml:space="preserve">intensivists make diagnoses. </w:t>
      </w:r>
      <w:r w:rsidRPr="002D3D5A">
        <w:rPr>
          <w:rFonts w:ascii="Arial" w:hAnsi="Arial" w:cs="Arial"/>
          <w:i/>
          <w:iCs/>
          <w:color w:val="000000"/>
        </w:rPr>
        <w:t>Critical Care Clinics, 38(</w:t>
      </w:r>
      <w:r>
        <w:rPr>
          <w:rFonts w:ascii="Arial" w:hAnsi="Arial" w:cs="Arial"/>
          <w:color w:val="000000"/>
        </w:rPr>
        <w:t xml:space="preserve">1), 1-12. </w:t>
      </w:r>
    </w:p>
    <w:p w14:paraId="73352EE6" w14:textId="7A624B40" w:rsidR="00B6336B" w:rsidRDefault="00B1463D" w:rsidP="00B6336B">
      <w:pPr>
        <w:spacing w:line="480" w:lineRule="auto"/>
        <w:rPr>
          <w:rFonts w:ascii="Arial" w:hAnsi="Arial" w:cs="Arial"/>
          <w:color w:val="000000"/>
        </w:rPr>
      </w:pPr>
      <w:r>
        <w:rPr>
          <w:rFonts w:ascii="Arial" w:hAnsi="Arial" w:cs="Arial"/>
          <w:color w:val="000000"/>
        </w:rPr>
        <w:tab/>
      </w:r>
      <w:r w:rsidR="00B6336B">
        <w:rPr>
          <w:rFonts w:ascii="Arial" w:hAnsi="Arial" w:cs="Arial"/>
          <w:color w:val="000000"/>
        </w:rPr>
        <w:t>https:// doi.org/10.1016/j.ccc.2021.09.001</w:t>
      </w:r>
    </w:p>
    <w:p w14:paraId="3443CD90" w14:textId="77777777" w:rsidR="005A71FA" w:rsidRDefault="005A71FA" w:rsidP="00B6336B">
      <w:pPr>
        <w:spacing w:line="480" w:lineRule="auto"/>
        <w:rPr>
          <w:rFonts w:ascii="Arial" w:hAnsi="Arial" w:cs="Arial"/>
          <w:color w:val="000000"/>
        </w:rPr>
      </w:pPr>
    </w:p>
    <w:p w14:paraId="1A55D92F" w14:textId="0A5FEDFB" w:rsidR="005A71FA" w:rsidRDefault="00E47F0F" w:rsidP="00B6336B">
      <w:pPr>
        <w:spacing w:line="480" w:lineRule="auto"/>
        <w:rPr>
          <w:rFonts w:ascii="Arial" w:hAnsi="Arial" w:cs="Arial"/>
          <w:color w:val="000000"/>
        </w:rPr>
      </w:pPr>
      <w:r>
        <w:rPr>
          <w:rFonts w:ascii="Arial" w:hAnsi="Arial" w:cs="Arial"/>
          <w:color w:val="000000"/>
        </w:rPr>
        <w:t>Health and Safety at Work Act. (1974)</w:t>
      </w:r>
      <w:r w:rsidR="00482F41">
        <w:rPr>
          <w:rFonts w:ascii="Arial" w:hAnsi="Arial" w:cs="Arial"/>
          <w:color w:val="000000"/>
        </w:rPr>
        <w:t xml:space="preserve"> UK Parliament. </w:t>
      </w:r>
      <w:r w:rsidR="00312C3C">
        <w:rPr>
          <w:rFonts w:ascii="Arial" w:hAnsi="Arial" w:cs="Arial"/>
          <w:color w:val="000000"/>
        </w:rPr>
        <w:tab/>
      </w:r>
      <w:r w:rsidR="00482F41">
        <w:rPr>
          <w:rFonts w:ascii="Arial" w:hAnsi="Arial" w:cs="Arial"/>
          <w:color w:val="000000"/>
        </w:rPr>
        <w:t>https://</w:t>
      </w:r>
      <w:r w:rsidR="00312C3C">
        <w:rPr>
          <w:rFonts w:ascii="Arial" w:hAnsi="Arial" w:cs="Arial"/>
          <w:color w:val="000000"/>
        </w:rPr>
        <w:t>www.legislation.gov.uk/ukpga/1974/37</w:t>
      </w:r>
    </w:p>
    <w:p w14:paraId="74A5887F" w14:textId="77777777" w:rsidR="0035757D" w:rsidRDefault="0035757D" w:rsidP="00B6336B">
      <w:pPr>
        <w:spacing w:line="480" w:lineRule="auto"/>
        <w:rPr>
          <w:rFonts w:ascii="Arial" w:hAnsi="Arial" w:cs="Arial"/>
          <w:color w:val="000000"/>
        </w:rPr>
      </w:pPr>
    </w:p>
    <w:p w14:paraId="384FBF05" w14:textId="35F47007" w:rsidR="0035757D" w:rsidRDefault="0035757D" w:rsidP="00B6336B">
      <w:pPr>
        <w:spacing w:line="480" w:lineRule="auto"/>
        <w:rPr>
          <w:rFonts w:ascii="Arial" w:hAnsi="Arial" w:cs="Arial"/>
          <w:color w:val="000000"/>
        </w:rPr>
      </w:pPr>
      <w:r w:rsidRPr="0035757D">
        <w:rPr>
          <w:rFonts w:ascii="Arial" w:hAnsi="Arial" w:cs="Arial"/>
          <w:color w:val="000000"/>
        </w:rPr>
        <w:t xml:space="preserve">Jamtvedt, G., </w:t>
      </w:r>
      <w:proofErr w:type="spellStart"/>
      <w:r w:rsidRPr="0035757D">
        <w:rPr>
          <w:rFonts w:ascii="Arial" w:hAnsi="Arial" w:cs="Arial"/>
          <w:color w:val="000000"/>
        </w:rPr>
        <w:t>Flottorp</w:t>
      </w:r>
      <w:proofErr w:type="spellEnd"/>
      <w:r w:rsidRPr="0035757D">
        <w:rPr>
          <w:rFonts w:ascii="Arial" w:hAnsi="Arial" w:cs="Arial"/>
          <w:color w:val="000000"/>
        </w:rPr>
        <w:t xml:space="preserve">, S., &amp; Ivers, N. (2019). Audit and feedback as a quality </w:t>
      </w:r>
      <w:r w:rsidR="00C759E2">
        <w:rPr>
          <w:rFonts w:ascii="Arial" w:hAnsi="Arial" w:cs="Arial"/>
          <w:color w:val="000000"/>
        </w:rPr>
        <w:tab/>
      </w:r>
      <w:r w:rsidRPr="0035757D">
        <w:rPr>
          <w:rFonts w:ascii="Arial" w:hAnsi="Arial" w:cs="Arial"/>
          <w:color w:val="000000"/>
        </w:rPr>
        <w:t>strategy. </w:t>
      </w:r>
      <w:r w:rsidRPr="0035757D">
        <w:rPr>
          <w:rFonts w:ascii="Arial" w:hAnsi="Arial" w:cs="Arial"/>
          <w:i/>
          <w:iCs/>
          <w:color w:val="000000"/>
        </w:rPr>
        <w:t>Improving healthcare quality in Europe</w:t>
      </w:r>
      <w:r w:rsidRPr="0035757D">
        <w:rPr>
          <w:rFonts w:ascii="Arial" w:hAnsi="Arial" w:cs="Arial"/>
          <w:color w:val="000000"/>
        </w:rPr>
        <w:t>, 265.</w:t>
      </w:r>
    </w:p>
    <w:p w14:paraId="2D0019EC" w14:textId="77777777" w:rsidR="007F2B0D" w:rsidRDefault="007F2B0D" w:rsidP="00B6336B">
      <w:pPr>
        <w:spacing w:line="480" w:lineRule="auto"/>
        <w:rPr>
          <w:rFonts w:ascii="Arial" w:hAnsi="Arial" w:cs="Arial"/>
          <w:color w:val="000000"/>
        </w:rPr>
      </w:pPr>
    </w:p>
    <w:p w14:paraId="5A6879C7" w14:textId="4ADD75E1" w:rsidR="002B55AA" w:rsidRDefault="002B55AA" w:rsidP="00B6336B">
      <w:pPr>
        <w:spacing w:line="480" w:lineRule="auto"/>
        <w:rPr>
          <w:rFonts w:ascii="Arial" w:hAnsi="Arial" w:cs="Arial"/>
          <w:color w:val="000000"/>
        </w:rPr>
      </w:pPr>
      <w:r w:rsidRPr="002B55AA">
        <w:rPr>
          <w:rFonts w:ascii="Arial" w:hAnsi="Arial" w:cs="Arial"/>
          <w:color w:val="000000"/>
        </w:rPr>
        <w:t>Kahneman, D. (2011). Thinking, fast and slow. </w:t>
      </w:r>
      <w:r w:rsidRPr="002B55AA">
        <w:rPr>
          <w:rFonts w:ascii="Arial" w:hAnsi="Arial" w:cs="Arial"/>
          <w:i/>
          <w:iCs/>
          <w:color w:val="000000"/>
        </w:rPr>
        <w:t>Farrar, Straus and Giroux</w:t>
      </w:r>
      <w:r w:rsidRPr="002B55AA">
        <w:rPr>
          <w:rFonts w:ascii="Arial" w:hAnsi="Arial" w:cs="Arial"/>
          <w:color w:val="000000"/>
        </w:rPr>
        <w:t>.</w:t>
      </w:r>
    </w:p>
    <w:p w14:paraId="348FC856" w14:textId="77777777" w:rsidR="00416AE3" w:rsidRDefault="00416AE3" w:rsidP="00B6336B">
      <w:pPr>
        <w:spacing w:line="480" w:lineRule="auto"/>
        <w:rPr>
          <w:rFonts w:ascii="Arial" w:hAnsi="Arial" w:cs="Arial"/>
          <w:color w:val="000000"/>
        </w:rPr>
      </w:pPr>
    </w:p>
    <w:p w14:paraId="12678D78" w14:textId="7D7A7D6D" w:rsidR="00D812CD" w:rsidRDefault="00C02450" w:rsidP="00B6336B">
      <w:pPr>
        <w:spacing w:line="480" w:lineRule="auto"/>
        <w:rPr>
          <w:rFonts w:ascii="Arial" w:hAnsi="Arial" w:cs="Arial"/>
          <w:color w:val="000000"/>
        </w:rPr>
      </w:pPr>
      <w:r w:rsidRPr="00C02450">
        <w:rPr>
          <w:rFonts w:ascii="Arial" w:hAnsi="Arial" w:cs="Arial"/>
          <w:color w:val="000000"/>
        </w:rPr>
        <w:t xml:space="preserve">Kok, A. (2022). Cognitive control, motivation and fatigue: A cognitive neuroscience </w:t>
      </w:r>
      <w:r w:rsidR="00C759E2">
        <w:rPr>
          <w:rFonts w:ascii="Arial" w:hAnsi="Arial" w:cs="Arial"/>
          <w:color w:val="000000"/>
        </w:rPr>
        <w:tab/>
      </w:r>
      <w:r w:rsidRPr="00C02450">
        <w:rPr>
          <w:rFonts w:ascii="Arial" w:hAnsi="Arial" w:cs="Arial"/>
          <w:color w:val="000000"/>
        </w:rPr>
        <w:t>perspective. </w:t>
      </w:r>
      <w:r w:rsidRPr="00C02450">
        <w:rPr>
          <w:rFonts w:ascii="Arial" w:hAnsi="Arial" w:cs="Arial"/>
          <w:i/>
          <w:iCs/>
          <w:color w:val="000000"/>
        </w:rPr>
        <w:t>Brain and Cognition</w:t>
      </w:r>
      <w:r w:rsidRPr="00C02450">
        <w:rPr>
          <w:rFonts w:ascii="Arial" w:hAnsi="Arial" w:cs="Arial"/>
          <w:color w:val="000000"/>
        </w:rPr>
        <w:t>, </w:t>
      </w:r>
      <w:r w:rsidRPr="00C02450">
        <w:rPr>
          <w:rFonts w:ascii="Arial" w:hAnsi="Arial" w:cs="Arial"/>
          <w:i/>
          <w:iCs/>
          <w:color w:val="000000"/>
        </w:rPr>
        <w:t>160</w:t>
      </w:r>
      <w:r w:rsidRPr="00C02450">
        <w:rPr>
          <w:rFonts w:ascii="Arial" w:hAnsi="Arial" w:cs="Arial"/>
          <w:color w:val="000000"/>
        </w:rPr>
        <w:t>, 105880.</w:t>
      </w:r>
    </w:p>
    <w:p w14:paraId="31F58FB2" w14:textId="77777777" w:rsidR="00D66BB2" w:rsidRDefault="00D66BB2" w:rsidP="00B6336B">
      <w:pPr>
        <w:spacing w:line="480" w:lineRule="auto"/>
        <w:rPr>
          <w:rFonts w:ascii="Arial" w:hAnsi="Arial" w:cs="Arial"/>
          <w:color w:val="000000"/>
        </w:rPr>
      </w:pPr>
    </w:p>
    <w:p w14:paraId="0C7DD301" w14:textId="07A13C4F" w:rsidR="00D66BB2" w:rsidRDefault="00D66BB2" w:rsidP="00B6336B">
      <w:pPr>
        <w:spacing w:line="480" w:lineRule="auto"/>
        <w:rPr>
          <w:rFonts w:ascii="Arial" w:hAnsi="Arial" w:cs="Arial"/>
          <w:color w:val="000000"/>
        </w:rPr>
      </w:pPr>
      <w:r w:rsidRPr="00D66BB2">
        <w:rPr>
          <w:rFonts w:ascii="Arial" w:hAnsi="Arial" w:cs="Arial"/>
          <w:color w:val="000000"/>
        </w:rPr>
        <w:t xml:space="preserve">Lockett, J. J., Barkley, L., Stichler, J., Palomo, J., Kik, B., Walker, C., ... &amp; O’Byrne, </w:t>
      </w:r>
      <w:r w:rsidR="00C759E2">
        <w:rPr>
          <w:rFonts w:ascii="Arial" w:hAnsi="Arial" w:cs="Arial"/>
          <w:color w:val="000000"/>
        </w:rPr>
        <w:tab/>
      </w:r>
      <w:r w:rsidRPr="00D66BB2">
        <w:rPr>
          <w:rFonts w:ascii="Arial" w:hAnsi="Arial" w:cs="Arial"/>
          <w:color w:val="000000"/>
        </w:rPr>
        <w:t xml:space="preserve">N. (2015). Defining peer-to-peer accountability from the nurse’s </w:t>
      </w:r>
      <w:r w:rsidR="00C759E2">
        <w:rPr>
          <w:rFonts w:ascii="Arial" w:hAnsi="Arial" w:cs="Arial"/>
          <w:color w:val="000000"/>
        </w:rPr>
        <w:tab/>
      </w:r>
      <w:r w:rsidRPr="00D66BB2">
        <w:rPr>
          <w:rFonts w:ascii="Arial" w:hAnsi="Arial" w:cs="Arial"/>
          <w:color w:val="000000"/>
        </w:rPr>
        <w:t>perspective. </w:t>
      </w:r>
      <w:r w:rsidRPr="00D66BB2">
        <w:rPr>
          <w:rFonts w:ascii="Arial" w:hAnsi="Arial" w:cs="Arial"/>
          <w:i/>
          <w:iCs/>
          <w:color w:val="000000"/>
        </w:rPr>
        <w:t>JONA: The Journal of Nursing Administration</w:t>
      </w:r>
      <w:r w:rsidRPr="00D66BB2">
        <w:rPr>
          <w:rFonts w:ascii="Arial" w:hAnsi="Arial" w:cs="Arial"/>
          <w:color w:val="000000"/>
        </w:rPr>
        <w:t>, </w:t>
      </w:r>
      <w:r w:rsidRPr="00D66BB2">
        <w:rPr>
          <w:rFonts w:ascii="Arial" w:hAnsi="Arial" w:cs="Arial"/>
          <w:i/>
          <w:iCs/>
          <w:color w:val="000000"/>
        </w:rPr>
        <w:t>45</w:t>
      </w:r>
      <w:r w:rsidRPr="00D66BB2">
        <w:rPr>
          <w:rFonts w:ascii="Arial" w:hAnsi="Arial" w:cs="Arial"/>
          <w:color w:val="000000"/>
        </w:rPr>
        <w:t>(11), 557-</w:t>
      </w:r>
      <w:r>
        <w:rPr>
          <w:rFonts w:ascii="Arial" w:hAnsi="Arial" w:cs="Arial"/>
          <w:color w:val="000000"/>
        </w:rPr>
        <w:tab/>
      </w:r>
      <w:r w:rsidRPr="00D66BB2">
        <w:rPr>
          <w:rFonts w:ascii="Arial" w:hAnsi="Arial" w:cs="Arial"/>
          <w:color w:val="000000"/>
        </w:rPr>
        <w:t>562.</w:t>
      </w:r>
    </w:p>
    <w:p w14:paraId="030D2C95" w14:textId="77777777" w:rsidR="007B706F" w:rsidRDefault="007B706F" w:rsidP="00B6336B">
      <w:pPr>
        <w:spacing w:line="480" w:lineRule="auto"/>
        <w:rPr>
          <w:rFonts w:ascii="Arial" w:hAnsi="Arial" w:cs="Arial"/>
          <w:color w:val="000000"/>
        </w:rPr>
      </w:pPr>
    </w:p>
    <w:p w14:paraId="6C0F428C" w14:textId="5B94D88B" w:rsidR="00BE025C" w:rsidRDefault="00BE025C" w:rsidP="00B6336B">
      <w:pPr>
        <w:spacing w:line="480" w:lineRule="auto"/>
        <w:rPr>
          <w:rFonts w:ascii="Arial" w:hAnsi="Arial" w:cs="Arial"/>
          <w:color w:val="000000"/>
        </w:rPr>
      </w:pPr>
      <w:proofErr w:type="spellStart"/>
      <w:r w:rsidRPr="00BE025C">
        <w:rPr>
          <w:rFonts w:ascii="Arial" w:hAnsi="Arial" w:cs="Arial"/>
          <w:color w:val="000000"/>
        </w:rPr>
        <w:t>McKinless</w:t>
      </w:r>
      <w:proofErr w:type="spellEnd"/>
      <w:r w:rsidRPr="00BE025C">
        <w:rPr>
          <w:rFonts w:ascii="Arial" w:hAnsi="Arial" w:cs="Arial"/>
          <w:color w:val="000000"/>
        </w:rPr>
        <w:t xml:space="preserve">, E. (2020). Impact of stress on nurses working in the district nursing </w:t>
      </w:r>
      <w:r w:rsidR="00BA2321">
        <w:rPr>
          <w:rFonts w:ascii="Arial" w:hAnsi="Arial" w:cs="Arial"/>
          <w:color w:val="000000"/>
        </w:rPr>
        <w:tab/>
      </w:r>
      <w:r w:rsidRPr="00BE025C">
        <w:rPr>
          <w:rFonts w:ascii="Arial" w:hAnsi="Arial" w:cs="Arial"/>
          <w:color w:val="000000"/>
        </w:rPr>
        <w:t>service. </w:t>
      </w:r>
      <w:r w:rsidRPr="00BE025C">
        <w:rPr>
          <w:rFonts w:ascii="Arial" w:hAnsi="Arial" w:cs="Arial"/>
          <w:i/>
          <w:iCs/>
          <w:color w:val="000000"/>
        </w:rPr>
        <w:t>British Journal of Community Nursing</w:t>
      </w:r>
      <w:r w:rsidRPr="00BE025C">
        <w:rPr>
          <w:rFonts w:ascii="Arial" w:hAnsi="Arial" w:cs="Arial"/>
          <w:color w:val="000000"/>
        </w:rPr>
        <w:t>, </w:t>
      </w:r>
      <w:r w:rsidRPr="00BE025C">
        <w:rPr>
          <w:rFonts w:ascii="Arial" w:hAnsi="Arial" w:cs="Arial"/>
          <w:i/>
          <w:iCs/>
          <w:color w:val="000000"/>
        </w:rPr>
        <w:t>25</w:t>
      </w:r>
      <w:r w:rsidRPr="00BE025C">
        <w:rPr>
          <w:rFonts w:ascii="Arial" w:hAnsi="Arial" w:cs="Arial"/>
          <w:color w:val="000000"/>
        </w:rPr>
        <w:t>(11), 555-561.</w:t>
      </w:r>
    </w:p>
    <w:p w14:paraId="32307644" w14:textId="77777777" w:rsidR="001270AE" w:rsidRDefault="001270AE" w:rsidP="00B6336B">
      <w:pPr>
        <w:spacing w:line="480" w:lineRule="auto"/>
        <w:rPr>
          <w:rFonts w:ascii="Arial" w:hAnsi="Arial" w:cs="Arial"/>
          <w:color w:val="000000"/>
        </w:rPr>
      </w:pPr>
    </w:p>
    <w:p w14:paraId="7E696B40" w14:textId="6AAA7576" w:rsidR="00416AE3" w:rsidRDefault="001270AE" w:rsidP="00B6336B">
      <w:pPr>
        <w:spacing w:line="480" w:lineRule="auto"/>
        <w:rPr>
          <w:rFonts w:ascii="Arial" w:hAnsi="Arial" w:cs="Arial"/>
          <w:color w:val="000000"/>
        </w:rPr>
      </w:pPr>
      <w:r w:rsidRPr="001270AE">
        <w:rPr>
          <w:rFonts w:ascii="Arial" w:hAnsi="Arial" w:cs="Arial"/>
          <w:color w:val="000000"/>
        </w:rPr>
        <w:lastRenderedPageBreak/>
        <w:t xml:space="preserve">Min, A., Yoon, Y. S., Hong, H. C., &amp; Kim, Y. M. (2020). Association between nurses' </w:t>
      </w:r>
      <w:r w:rsidR="00BA2321">
        <w:rPr>
          <w:rFonts w:ascii="Arial" w:hAnsi="Arial" w:cs="Arial"/>
          <w:color w:val="000000"/>
        </w:rPr>
        <w:tab/>
      </w:r>
      <w:r w:rsidRPr="001270AE">
        <w:rPr>
          <w:rFonts w:ascii="Arial" w:hAnsi="Arial" w:cs="Arial"/>
          <w:color w:val="000000"/>
        </w:rPr>
        <w:t>breaks, missed nursing care and patient safety in Korean hospitals. </w:t>
      </w:r>
      <w:r w:rsidRPr="001270AE">
        <w:rPr>
          <w:rFonts w:ascii="Arial" w:hAnsi="Arial" w:cs="Arial"/>
          <w:i/>
          <w:iCs/>
          <w:color w:val="000000"/>
        </w:rPr>
        <w:t xml:space="preserve">Journal of </w:t>
      </w:r>
      <w:r w:rsidR="00BA2321">
        <w:rPr>
          <w:rFonts w:ascii="Arial" w:hAnsi="Arial" w:cs="Arial"/>
          <w:i/>
          <w:iCs/>
          <w:color w:val="000000"/>
        </w:rPr>
        <w:tab/>
      </w:r>
      <w:r w:rsidRPr="001270AE">
        <w:rPr>
          <w:rFonts w:ascii="Arial" w:hAnsi="Arial" w:cs="Arial"/>
          <w:i/>
          <w:iCs/>
          <w:color w:val="000000"/>
        </w:rPr>
        <w:t>nursing management</w:t>
      </w:r>
      <w:r w:rsidRPr="001270AE">
        <w:rPr>
          <w:rFonts w:ascii="Arial" w:hAnsi="Arial" w:cs="Arial"/>
          <w:color w:val="000000"/>
        </w:rPr>
        <w:t>, </w:t>
      </w:r>
      <w:r w:rsidRPr="001270AE">
        <w:rPr>
          <w:rFonts w:ascii="Arial" w:hAnsi="Arial" w:cs="Arial"/>
          <w:i/>
          <w:iCs/>
          <w:color w:val="000000"/>
        </w:rPr>
        <w:t>28</w:t>
      </w:r>
      <w:r w:rsidRPr="001270AE">
        <w:rPr>
          <w:rFonts w:ascii="Arial" w:hAnsi="Arial" w:cs="Arial"/>
          <w:color w:val="000000"/>
        </w:rPr>
        <w:t>(8), 2266-2274.</w:t>
      </w:r>
    </w:p>
    <w:p w14:paraId="1A38D845" w14:textId="77777777" w:rsidR="00C12222" w:rsidRDefault="00C12222" w:rsidP="00B6336B">
      <w:pPr>
        <w:spacing w:line="480" w:lineRule="auto"/>
        <w:rPr>
          <w:rFonts w:ascii="Arial" w:hAnsi="Arial" w:cs="Arial"/>
          <w:color w:val="000000"/>
        </w:rPr>
      </w:pPr>
    </w:p>
    <w:p w14:paraId="183A9073" w14:textId="131832FF" w:rsidR="00C12222" w:rsidRDefault="00C12222" w:rsidP="00B6336B">
      <w:pPr>
        <w:spacing w:line="480" w:lineRule="auto"/>
        <w:rPr>
          <w:rFonts w:ascii="Arial" w:hAnsi="Arial" w:cs="Arial"/>
          <w:color w:val="000000"/>
        </w:rPr>
      </w:pPr>
      <w:r>
        <w:rPr>
          <w:rFonts w:ascii="Arial" w:hAnsi="Arial" w:cs="Arial"/>
          <w:color w:val="000000"/>
        </w:rPr>
        <w:t>National Institute for Health and Care Excellence. (2012)</w:t>
      </w:r>
      <w:r w:rsidR="009D28D1">
        <w:rPr>
          <w:rFonts w:ascii="Arial" w:hAnsi="Arial" w:cs="Arial"/>
          <w:color w:val="000000"/>
        </w:rPr>
        <w:t xml:space="preserve">. Infection prevention and </w:t>
      </w:r>
      <w:r w:rsidR="005A71FA">
        <w:rPr>
          <w:rFonts w:ascii="Arial" w:hAnsi="Arial" w:cs="Arial"/>
          <w:color w:val="000000"/>
        </w:rPr>
        <w:tab/>
      </w:r>
      <w:r w:rsidR="009D28D1">
        <w:rPr>
          <w:rFonts w:ascii="Arial" w:hAnsi="Arial" w:cs="Arial"/>
          <w:color w:val="000000"/>
        </w:rPr>
        <w:t>control (CG139). https://www.nice.org.uk/guidance/cg</w:t>
      </w:r>
      <w:r w:rsidR="005A71FA">
        <w:rPr>
          <w:rFonts w:ascii="Arial" w:hAnsi="Arial" w:cs="Arial"/>
          <w:color w:val="000000"/>
        </w:rPr>
        <w:t>139</w:t>
      </w:r>
    </w:p>
    <w:p w14:paraId="587A878E" w14:textId="5898DEEF" w:rsidR="001270AE" w:rsidRDefault="0040793E" w:rsidP="00B6336B">
      <w:pPr>
        <w:spacing w:line="480" w:lineRule="auto"/>
        <w:rPr>
          <w:rFonts w:ascii="Arial" w:hAnsi="Arial" w:cs="Arial"/>
          <w:color w:val="000000"/>
        </w:rPr>
      </w:pPr>
      <w:r>
        <w:rPr>
          <w:rFonts w:ascii="Arial" w:hAnsi="Arial" w:cs="Arial"/>
          <w:color w:val="000000"/>
        </w:rPr>
        <w:tab/>
      </w:r>
      <w:r w:rsidR="00D05D8F">
        <w:rPr>
          <w:rFonts w:ascii="Arial" w:hAnsi="Arial" w:cs="Arial"/>
          <w:color w:val="000000"/>
        </w:rPr>
        <w:t xml:space="preserve"> </w:t>
      </w:r>
    </w:p>
    <w:p w14:paraId="1E7016E0" w14:textId="654DF061" w:rsidR="00D812CD" w:rsidRDefault="00D812CD" w:rsidP="00B6336B">
      <w:pPr>
        <w:spacing w:line="480" w:lineRule="auto"/>
        <w:rPr>
          <w:rFonts w:ascii="Arial" w:hAnsi="Arial" w:cs="Arial"/>
          <w:color w:val="000000"/>
        </w:rPr>
      </w:pPr>
      <w:r w:rsidRPr="00D812CD">
        <w:rPr>
          <w:rFonts w:ascii="Arial" w:hAnsi="Arial" w:cs="Arial"/>
          <w:color w:val="000000"/>
        </w:rPr>
        <w:t xml:space="preserve">Norman, G., </w:t>
      </w:r>
      <w:proofErr w:type="spellStart"/>
      <w:r w:rsidRPr="00D812CD">
        <w:rPr>
          <w:rFonts w:ascii="Arial" w:hAnsi="Arial" w:cs="Arial"/>
          <w:color w:val="000000"/>
        </w:rPr>
        <w:t>Pelaccia</w:t>
      </w:r>
      <w:proofErr w:type="spellEnd"/>
      <w:r w:rsidRPr="00D812CD">
        <w:rPr>
          <w:rFonts w:ascii="Arial" w:hAnsi="Arial" w:cs="Arial"/>
          <w:color w:val="000000"/>
        </w:rPr>
        <w:t xml:space="preserve">, T., Wyer, P., &amp; </w:t>
      </w:r>
      <w:proofErr w:type="spellStart"/>
      <w:r w:rsidRPr="00D812CD">
        <w:rPr>
          <w:rFonts w:ascii="Arial" w:hAnsi="Arial" w:cs="Arial"/>
          <w:color w:val="000000"/>
        </w:rPr>
        <w:t>Sherbino</w:t>
      </w:r>
      <w:proofErr w:type="spellEnd"/>
      <w:r w:rsidRPr="00D812CD">
        <w:rPr>
          <w:rFonts w:ascii="Arial" w:hAnsi="Arial" w:cs="Arial"/>
          <w:color w:val="000000"/>
        </w:rPr>
        <w:t xml:space="preserve">, J. (2024). Dual process models of </w:t>
      </w:r>
      <w:r>
        <w:rPr>
          <w:rFonts w:ascii="Arial" w:hAnsi="Arial" w:cs="Arial"/>
          <w:color w:val="000000"/>
        </w:rPr>
        <w:tab/>
      </w:r>
      <w:r w:rsidRPr="00D812CD">
        <w:rPr>
          <w:rFonts w:ascii="Arial" w:hAnsi="Arial" w:cs="Arial"/>
          <w:color w:val="000000"/>
        </w:rPr>
        <w:t xml:space="preserve">clinical reasoning: the central role of knowledge in diagnostic </w:t>
      </w:r>
      <w:r>
        <w:rPr>
          <w:rFonts w:ascii="Arial" w:hAnsi="Arial" w:cs="Arial"/>
          <w:color w:val="000000"/>
        </w:rPr>
        <w:tab/>
      </w:r>
      <w:r w:rsidRPr="00D812CD">
        <w:rPr>
          <w:rFonts w:ascii="Arial" w:hAnsi="Arial" w:cs="Arial"/>
          <w:color w:val="000000"/>
        </w:rPr>
        <w:t>expertise. </w:t>
      </w:r>
      <w:r w:rsidRPr="00D812CD">
        <w:rPr>
          <w:rFonts w:ascii="Arial" w:hAnsi="Arial" w:cs="Arial"/>
          <w:i/>
          <w:iCs/>
          <w:color w:val="000000"/>
        </w:rPr>
        <w:t>Journal of Evaluation in Clinical Practice</w:t>
      </w:r>
      <w:r w:rsidRPr="00D812CD">
        <w:rPr>
          <w:rFonts w:ascii="Arial" w:hAnsi="Arial" w:cs="Arial"/>
          <w:color w:val="000000"/>
        </w:rPr>
        <w:t>, </w:t>
      </w:r>
      <w:r w:rsidRPr="00D812CD">
        <w:rPr>
          <w:rFonts w:ascii="Arial" w:hAnsi="Arial" w:cs="Arial"/>
          <w:i/>
          <w:iCs/>
          <w:color w:val="000000"/>
        </w:rPr>
        <w:t>30</w:t>
      </w:r>
      <w:r w:rsidRPr="00D812CD">
        <w:rPr>
          <w:rFonts w:ascii="Arial" w:hAnsi="Arial" w:cs="Arial"/>
          <w:color w:val="000000"/>
        </w:rPr>
        <w:t>(5), 788-796.</w:t>
      </w:r>
    </w:p>
    <w:p w14:paraId="54AE3D68" w14:textId="77777777" w:rsidR="00B448BE" w:rsidRDefault="00B448BE" w:rsidP="00B448BE">
      <w:pPr>
        <w:spacing w:line="480" w:lineRule="auto"/>
        <w:rPr>
          <w:rFonts w:ascii="Arial" w:hAnsi="Arial" w:cs="Arial"/>
          <w:color w:val="000000"/>
        </w:rPr>
      </w:pPr>
    </w:p>
    <w:p w14:paraId="58F17AD4" w14:textId="3044BB09" w:rsidR="00B448BE" w:rsidRDefault="00B448BE" w:rsidP="00B448BE">
      <w:pPr>
        <w:spacing w:line="480" w:lineRule="auto"/>
        <w:rPr>
          <w:rFonts w:ascii="Arial" w:hAnsi="Arial" w:cs="Arial"/>
          <w:color w:val="000000"/>
        </w:rPr>
      </w:pPr>
      <w:r>
        <w:rPr>
          <w:rFonts w:ascii="Arial" w:hAnsi="Arial" w:cs="Arial"/>
          <w:color w:val="000000"/>
        </w:rPr>
        <w:t xml:space="preserve">Nursing and Midwifery Council. (2018). The Code: Professional standards of practice </w:t>
      </w:r>
      <w:r>
        <w:rPr>
          <w:rFonts w:ascii="Arial" w:hAnsi="Arial" w:cs="Arial"/>
          <w:color w:val="000000"/>
        </w:rPr>
        <w:tab/>
        <w:t xml:space="preserve">and behaviour for nurses, midwives and nursing associates.  </w:t>
      </w:r>
      <w:r>
        <w:rPr>
          <w:rFonts w:ascii="Arial" w:hAnsi="Arial" w:cs="Arial"/>
          <w:color w:val="000000"/>
        </w:rPr>
        <w:tab/>
        <w:t>https//www.nmc.org.uk/globalassets/sitedocuments/nmc-publications/nmc-</w:t>
      </w:r>
      <w:r>
        <w:rPr>
          <w:rFonts w:ascii="Arial" w:hAnsi="Arial" w:cs="Arial"/>
          <w:color w:val="000000"/>
        </w:rPr>
        <w:tab/>
        <w:t>code.pdf</w:t>
      </w:r>
    </w:p>
    <w:p w14:paraId="2F6C2534" w14:textId="77777777" w:rsidR="00B448BE" w:rsidRDefault="00B448BE" w:rsidP="00B448BE">
      <w:pPr>
        <w:spacing w:line="480" w:lineRule="auto"/>
        <w:rPr>
          <w:rFonts w:ascii="Arial" w:hAnsi="Arial" w:cs="Arial"/>
          <w:color w:val="000000"/>
        </w:rPr>
      </w:pPr>
    </w:p>
    <w:p w14:paraId="6394ABE3" w14:textId="208E8A4B" w:rsidR="0080576A" w:rsidRDefault="0080576A">
      <w:pPr>
        <w:spacing w:line="480" w:lineRule="auto"/>
        <w:rPr>
          <w:rFonts w:ascii="Arial" w:hAnsi="Arial" w:cs="Arial"/>
          <w:color w:val="000000"/>
        </w:rPr>
      </w:pPr>
      <w:proofErr w:type="spellStart"/>
      <w:r w:rsidRPr="0080576A">
        <w:rPr>
          <w:rFonts w:ascii="Arial" w:hAnsi="Arial" w:cs="Arial"/>
          <w:color w:val="000000"/>
        </w:rPr>
        <w:t>Ozkaynak</w:t>
      </w:r>
      <w:proofErr w:type="spellEnd"/>
      <w:r w:rsidRPr="0080576A">
        <w:rPr>
          <w:rFonts w:ascii="Arial" w:hAnsi="Arial" w:cs="Arial"/>
          <w:color w:val="000000"/>
        </w:rPr>
        <w:t xml:space="preserve">, M., Cook, P. F., Sarabia, C., Daley, T., Yu, A., Mistry, R. D., &amp; Schmidt, </w:t>
      </w:r>
      <w:r w:rsidR="00131916">
        <w:rPr>
          <w:rFonts w:ascii="Arial" w:hAnsi="Arial" w:cs="Arial"/>
          <w:color w:val="000000"/>
        </w:rPr>
        <w:tab/>
      </w:r>
      <w:r w:rsidRPr="0080576A">
        <w:rPr>
          <w:rFonts w:ascii="Arial" w:hAnsi="Arial" w:cs="Arial"/>
          <w:color w:val="000000"/>
        </w:rPr>
        <w:t xml:space="preserve">S. K. (2025). Clinical Decision-Making and Use of Clinical Decision Support </w:t>
      </w:r>
      <w:r w:rsidR="00131916">
        <w:rPr>
          <w:rFonts w:ascii="Arial" w:hAnsi="Arial" w:cs="Arial"/>
          <w:color w:val="000000"/>
        </w:rPr>
        <w:tab/>
      </w:r>
      <w:r w:rsidRPr="0080576A">
        <w:rPr>
          <w:rFonts w:ascii="Arial" w:hAnsi="Arial" w:cs="Arial"/>
          <w:color w:val="000000"/>
        </w:rPr>
        <w:t xml:space="preserve">When Clinicians are Fatigued in an Emergency Department: A Qualitative </w:t>
      </w:r>
      <w:r w:rsidR="00131916">
        <w:rPr>
          <w:rFonts w:ascii="Arial" w:hAnsi="Arial" w:cs="Arial"/>
          <w:color w:val="000000"/>
        </w:rPr>
        <w:tab/>
      </w:r>
      <w:r w:rsidRPr="0080576A">
        <w:rPr>
          <w:rFonts w:ascii="Arial" w:hAnsi="Arial" w:cs="Arial"/>
          <w:color w:val="000000"/>
        </w:rPr>
        <w:t>Study. </w:t>
      </w:r>
      <w:r w:rsidRPr="0080576A">
        <w:rPr>
          <w:rFonts w:ascii="Arial" w:hAnsi="Arial" w:cs="Arial"/>
          <w:i/>
          <w:iCs/>
          <w:color w:val="000000"/>
        </w:rPr>
        <w:t>Applied clinical informatics</w:t>
      </w:r>
      <w:r w:rsidRPr="0080576A">
        <w:rPr>
          <w:rFonts w:ascii="Arial" w:hAnsi="Arial" w:cs="Arial"/>
          <w:color w:val="000000"/>
        </w:rPr>
        <w:t>, </w:t>
      </w:r>
      <w:r w:rsidRPr="0080576A">
        <w:rPr>
          <w:rFonts w:ascii="Arial" w:hAnsi="Arial" w:cs="Arial"/>
          <w:i/>
          <w:iCs/>
          <w:color w:val="000000"/>
        </w:rPr>
        <w:t>16</w:t>
      </w:r>
      <w:r w:rsidRPr="0080576A">
        <w:rPr>
          <w:rFonts w:ascii="Arial" w:hAnsi="Arial" w:cs="Arial"/>
          <w:color w:val="000000"/>
        </w:rPr>
        <w:t>(04), 1104-1113.</w:t>
      </w:r>
    </w:p>
    <w:p w14:paraId="7973DDB9" w14:textId="77777777" w:rsidR="00A357B8" w:rsidRDefault="00A357B8">
      <w:pPr>
        <w:spacing w:line="480" w:lineRule="auto"/>
        <w:rPr>
          <w:rFonts w:ascii="Arial" w:hAnsi="Arial" w:cs="Arial"/>
          <w:color w:val="000000"/>
        </w:rPr>
      </w:pPr>
    </w:p>
    <w:p w14:paraId="557A7188" w14:textId="3E2FB955" w:rsidR="00A1105F" w:rsidRDefault="00A1105F">
      <w:pPr>
        <w:spacing w:line="480" w:lineRule="auto"/>
        <w:rPr>
          <w:rFonts w:ascii="Arial" w:hAnsi="Arial" w:cs="Arial"/>
          <w:color w:val="000000"/>
        </w:rPr>
      </w:pPr>
      <w:r w:rsidRPr="00A1105F">
        <w:rPr>
          <w:rFonts w:ascii="Arial" w:hAnsi="Arial" w:cs="Arial"/>
          <w:color w:val="000000"/>
        </w:rPr>
        <w:t xml:space="preserve">Pohl, R. F. (2022). What are cognitive </w:t>
      </w:r>
      <w:r w:rsidR="00453DB5" w:rsidRPr="00A1105F">
        <w:rPr>
          <w:rFonts w:ascii="Arial" w:hAnsi="Arial" w:cs="Arial"/>
          <w:color w:val="000000"/>
        </w:rPr>
        <w:t>illusions?</w:t>
      </w:r>
      <w:r w:rsidRPr="00A1105F">
        <w:rPr>
          <w:rFonts w:ascii="Arial" w:hAnsi="Arial" w:cs="Arial"/>
          <w:color w:val="000000"/>
        </w:rPr>
        <w:t xml:space="preserve"> In </w:t>
      </w:r>
      <w:r w:rsidRPr="00A1105F">
        <w:rPr>
          <w:rFonts w:ascii="Arial" w:hAnsi="Arial" w:cs="Arial"/>
          <w:i/>
          <w:iCs/>
          <w:color w:val="000000"/>
        </w:rPr>
        <w:t>Cognitive Illusions</w:t>
      </w:r>
      <w:r w:rsidRPr="00A1105F">
        <w:rPr>
          <w:rFonts w:ascii="Arial" w:hAnsi="Arial" w:cs="Arial"/>
          <w:color w:val="000000"/>
        </w:rPr>
        <w:t xml:space="preserve"> (pp. 3-23). </w:t>
      </w:r>
      <w:r w:rsidR="00453DB5">
        <w:rPr>
          <w:rFonts w:ascii="Arial" w:hAnsi="Arial" w:cs="Arial"/>
          <w:color w:val="000000"/>
        </w:rPr>
        <w:tab/>
      </w:r>
      <w:r w:rsidRPr="00A1105F">
        <w:rPr>
          <w:rFonts w:ascii="Arial" w:hAnsi="Arial" w:cs="Arial"/>
          <w:color w:val="000000"/>
        </w:rPr>
        <w:t>Routledge.</w:t>
      </w:r>
    </w:p>
    <w:p w14:paraId="238B5E6E" w14:textId="77777777" w:rsidR="006B5005" w:rsidRDefault="006B5005">
      <w:pPr>
        <w:spacing w:line="480" w:lineRule="auto"/>
        <w:rPr>
          <w:rFonts w:ascii="Arial" w:hAnsi="Arial" w:cs="Arial"/>
          <w:color w:val="000000"/>
        </w:rPr>
      </w:pPr>
    </w:p>
    <w:p w14:paraId="3671CAF3" w14:textId="738DD759" w:rsidR="00A1105F" w:rsidRDefault="00913FA8">
      <w:pPr>
        <w:spacing w:line="480" w:lineRule="auto"/>
        <w:rPr>
          <w:rFonts w:ascii="Arial" w:hAnsi="Arial" w:cs="Arial"/>
          <w:color w:val="000000"/>
        </w:rPr>
      </w:pPr>
      <w:proofErr w:type="spellStart"/>
      <w:r w:rsidRPr="00913FA8">
        <w:rPr>
          <w:rFonts w:ascii="Arial" w:hAnsi="Arial" w:cs="Arial"/>
          <w:color w:val="000000"/>
        </w:rPr>
        <w:t>Revans</w:t>
      </w:r>
      <w:proofErr w:type="spellEnd"/>
      <w:r w:rsidRPr="00913FA8">
        <w:rPr>
          <w:rFonts w:ascii="Arial" w:hAnsi="Arial" w:cs="Arial"/>
          <w:color w:val="000000"/>
        </w:rPr>
        <w:t>, R. (2017). </w:t>
      </w:r>
      <w:r w:rsidRPr="00913FA8">
        <w:rPr>
          <w:rFonts w:ascii="Arial" w:hAnsi="Arial" w:cs="Arial"/>
          <w:i/>
          <w:iCs/>
          <w:color w:val="000000"/>
        </w:rPr>
        <w:t>ABC of action learning</w:t>
      </w:r>
      <w:r w:rsidRPr="00913FA8">
        <w:rPr>
          <w:rFonts w:ascii="Arial" w:hAnsi="Arial" w:cs="Arial"/>
          <w:color w:val="000000"/>
        </w:rPr>
        <w:t>. Routledge.</w:t>
      </w:r>
    </w:p>
    <w:p w14:paraId="342D8517" w14:textId="77777777" w:rsidR="009F1129" w:rsidRDefault="009F1129">
      <w:pPr>
        <w:spacing w:line="480" w:lineRule="auto"/>
        <w:rPr>
          <w:rFonts w:ascii="Arial" w:hAnsi="Arial" w:cs="Arial"/>
          <w:color w:val="000000"/>
        </w:rPr>
      </w:pPr>
    </w:p>
    <w:p w14:paraId="5BCED07A" w14:textId="271CD106" w:rsidR="006B06DB" w:rsidRDefault="005E1147">
      <w:pPr>
        <w:spacing w:line="480" w:lineRule="auto"/>
        <w:rPr>
          <w:rFonts w:ascii="Arial" w:hAnsi="Arial" w:cs="Arial"/>
          <w:color w:val="000000"/>
        </w:rPr>
      </w:pPr>
      <w:proofErr w:type="spellStart"/>
      <w:r w:rsidRPr="005E1147">
        <w:rPr>
          <w:rFonts w:ascii="Arial" w:hAnsi="Arial" w:cs="Arial"/>
          <w:color w:val="000000"/>
        </w:rPr>
        <w:t>Sadule</w:t>
      </w:r>
      <w:proofErr w:type="spellEnd"/>
      <w:r w:rsidRPr="005E1147">
        <w:rPr>
          <w:rFonts w:ascii="Arial" w:hAnsi="Arial" w:cs="Arial"/>
          <w:color w:val="000000"/>
        </w:rPr>
        <w:t xml:space="preserve">-Rios, N., &amp; Aguilera, G. (2017). Nurses’ perceptions of reasons for persistent </w:t>
      </w:r>
      <w:r w:rsidR="009F1129">
        <w:rPr>
          <w:rFonts w:ascii="Arial" w:hAnsi="Arial" w:cs="Arial"/>
          <w:color w:val="000000"/>
        </w:rPr>
        <w:tab/>
      </w:r>
      <w:r w:rsidRPr="005E1147">
        <w:rPr>
          <w:rFonts w:ascii="Arial" w:hAnsi="Arial" w:cs="Arial"/>
          <w:color w:val="000000"/>
        </w:rPr>
        <w:t>low rates in hand hygiene compliance. </w:t>
      </w:r>
      <w:r w:rsidRPr="005E1147">
        <w:rPr>
          <w:rFonts w:ascii="Arial" w:hAnsi="Arial" w:cs="Arial"/>
          <w:i/>
          <w:iCs/>
          <w:color w:val="000000"/>
        </w:rPr>
        <w:t xml:space="preserve">Intensive and Critical Care </w:t>
      </w:r>
      <w:r w:rsidR="009F1129">
        <w:rPr>
          <w:rFonts w:ascii="Arial" w:hAnsi="Arial" w:cs="Arial"/>
          <w:i/>
          <w:iCs/>
          <w:color w:val="000000"/>
        </w:rPr>
        <w:tab/>
      </w:r>
      <w:r w:rsidRPr="005E1147">
        <w:rPr>
          <w:rFonts w:ascii="Arial" w:hAnsi="Arial" w:cs="Arial"/>
          <w:i/>
          <w:iCs/>
          <w:color w:val="000000"/>
        </w:rPr>
        <w:t>Nursing</w:t>
      </w:r>
      <w:r w:rsidRPr="005E1147">
        <w:rPr>
          <w:rFonts w:ascii="Arial" w:hAnsi="Arial" w:cs="Arial"/>
          <w:color w:val="000000"/>
        </w:rPr>
        <w:t>, </w:t>
      </w:r>
      <w:r w:rsidRPr="005E1147">
        <w:rPr>
          <w:rFonts w:ascii="Arial" w:hAnsi="Arial" w:cs="Arial"/>
          <w:i/>
          <w:iCs/>
          <w:color w:val="000000"/>
        </w:rPr>
        <w:t>42</w:t>
      </w:r>
      <w:r w:rsidRPr="005E1147">
        <w:rPr>
          <w:rFonts w:ascii="Arial" w:hAnsi="Arial" w:cs="Arial"/>
          <w:color w:val="000000"/>
        </w:rPr>
        <w:t>, 17-21.</w:t>
      </w:r>
    </w:p>
    <w:p w14:paraId="142A2279" w14:textId="77777777" w:rsidR="0038075F" w:rsidRDefault="0038075F">
      <w:pPr>
        <w:spacing w:line="480" w:lineRule="auto"/>
        <w:rPr>
          <w:rFonts w:ascii="Arial" w:hAnsi="Arial" w:cs="Arial"/>
          <w:color w:val="000000"/>
        </w:rPr>
      </w:pPr>
    </w:p>
    <w:p w14:paraId="346F9901" w14:textId="77777777" w:rsidR="00BB3D01" w:rsidRDefault="0038075F">
      <w:pPr>
        <w:spacing w:line="480" w:lineRule="auto"/>
        <w:rPr>
          <w:rFonts w:ascii="Arial" w:hAnsi="Arial" w:cs="Arial"/>
          <w:color w:val="000000"/>
        </w:rPr>
      </w:pPr>
      <w:r w:rsidRPr="0038075F">
        <w:rPr>
          <w:rFonts w:ascii="Arial" w:hAnsi="Arial" w:cs="Arial"/>
          <w:color w:val="000000"/>
        </w:rPr>
        <w:t xml:space="preserve">Silva, G. T. R. D., Almeida, D. B. D., Oliveira, N. L. D., </w:t>
      </w:r>
      <w:proofErr w:type="spellStart"/>
      <w:r w:rsidRPr="0038075F">
        <w:rPr>
          <w:rFonts w:ascii="Arial" w:hAnsi="Arial" w:cs="Arial"/>
          <w:color w:val="000000"/>
        </w:rPr>
        <w:t>Laitano</w:t>
      </w:r>
      <w:proofErr w:type="spellEnd"/>
      <w:r w:rsidRPr="0038075F">
        <w:rPr>
          <w:rFonts w:ascii="Arial" w:hAnsi="Arial" w:cs="Arial"/>
          <w:color w:val="000000"/>
        </w:rPr>
        <w:t xml:space="preserve">, A. D. C., Santos, V. </w:t>
      </w:r>
    </w:p>
    <w:p w14:paraId="36D78252" w14:textId="1AA01479" w:rsidR="0038075F" w:rsidRDefault="00BB3D01">
      <w:pPr>
        <w:spacing w:line="480" w:lineRule="auto"/>
        <w:rPr>
          <w:rFonts w:ascii="Arial" w:hAnsi="Arial" w:cs="Arial"/>
          <w:color w:val="000000"/>
        </w:rPr>
      </w:pPr>
      <w:r>
        <w:rPr>
          <w:rFonts w:ascii="Arial" w:hAnsi="Arial" w:cs="Arial"/>
          <w:color w:val="000000"/>
        </w:rPr>
        <w:tab/>
      </w:r>
      <w:r w:rsidR="0038075F" w:rsidRPr="0038075F">
        <w:rPr>
          <w:rFonts w:ascii="Arial" w:hAnsi="Arial" w:cs="Arial"/>
          <w:color w:val="000000"/>
        </w:rPr>
        <w:t xml:space="preserve">P. F. A., &amp; Queirós, P. J. P. (2020). Studies on the image of nurses: five </w:t>
      </w:r>
      <w:r>
        <w:rPr>
          <w:rFonts w:ascii="Arial" w:hAnsi="Arial" w:cs="Arial"/>
          <w:color w:val="000000"/>
        </w:rPr>
        <w:tab/>
      </w:r>
      <w:r w:rsidR="0038075F" w:rsidRPr="0038075F">
        <w:rPr>
          <w:rFonts w:ascii="Arial" w:hAnsi="Arial" w:cs="Arial"/>
          <w:color w:val="000000"/>
        </w:rPr>
        <w:t>decades between imagery and its repercussions. </w:t>
      </w:r>
      <w:r w:rsidR="0038075F" w:rsidRPr="0038075F">
        <w:rPr>
          <w:rFonts w:ascii="Arial" w:hAnsi="Arial" w:cs="Arial"/>
          <w:i/>
          <w:iCs/>
          <w:color w:val="000000"/>
        </w:rPr>
        <w:t>Escola Anna Nery</w:t>
      </w:r>
      <w:r w:rsidR="0038075F" w:rsidRPr="0038075F">
        <w:rPr>
          <w:rFonts w:ascii="Arial" w:hAnsi="Arial" w:cs="Arial"/>
          <w:color w:val="000000"/>
        </w:rPr>
        <w:t>, </w:t>
      </w:r>
      <w:r w:rsidR="0038075F" w:rsidRPr="0038075F">
        <w:rPr>
          <w:rFonts w:ascii="Arial" w:hAnsi="Arial" w:cs="Arial"/>
          <w:i/>
          <w:iCs/>
          <w:color w:val="000000"/>
        </w:rPr>
        <w:t>24</w:t>
      </w:r>
      <w:r w:rsidR="0038075F" w:rsidRPr="0038075F">
        <w:rPr>
          <w:rFonts w:ascii="Arial" w:hAnsi="Arial" w:cs="Arial"/>
          <w:color w:val="000000"/>
        </w:rPr>
        <w:t xml:space="preserve">, </w:t>
      </w:r>
      <w:r>
        <w:rPr>
          <w:rFonts w:ascii="Arial" w:hAnsi="Arial" w:cs="Arial"/>
          <w:color w:val="000000"/>
        </w:rPr>
        <w:tab/>
      </w:r>
      <w:r w:rsidR="0038075F" w:rsidRPr="0038075F">
        <w:rPr>
          <w:rFonts w:ascii="Arial" w:hAnsi="Arial" w:cs="Arial"/>
          <w:color w:val="000000"/>
        </w:rPr>
        <w:t>e20200063.</w:t>
      </w:r>
    </w:p>
    <w:p w14:paraId="3B365C52" w14:textId="77777777" w:rsidR="006B5005" w:rsidRDefault="006B5005">
      <w:pPr>
        <w:spacing w:line="480" w:lineRule="auto"/>
        <w:rPr>
          <w:rFonts w:ascii="Arial" w:hAnsi="Arial" w:cs="Arial"/>
          <w:color w:val="000000"/>
        </w:rPr>
      </w:pPr>
    </w:p>
    <w:p w14:paraId="4ED8385F" w14:textId="34B2676C" w:rsidR="00A357B8" w:rsidRDefault="00A357B8">
      <w:pPr>
        <w:spacing w:line="480" w:lineRule="auto"/>
        <w:rPr>
          <w:rFonts w:ascii="Arial" w:hAnsi="Arial" w:cs="Arial"/>
          <w:color w:val="000000"/>
        </w:rPr>
      </w:pPr>
      <w:r w:rsidRPr="00A357B8">
        <w:rPr>
          <w:rFonts w:ascii="Arial" w:hAnsi="Arial" w:cs="Arial"/>
          <w:color w:val="000000"/>
        </w:rPr>
        <w:t xml:space="preserve">Sloman, S. A. (1996). The empirical case for two systems of </w:t>
      </w:r>
      <w:r>
        <w:rPr>
          <w:rFonts w:ascii="Arial" w:hAnsi="Arial" w:cs="Arial"/>
          <w:color w:val="000000"/>
        </w:rPr>
        <w:tab/>
      </w:r>
      <w:r w:rsidRPr="00A357B8">
        <w:rPr>
          <w:rFonts w:ascii="Arial" w:hAnsi="Arial" w:cs="Arial"/>
          <w:color w:val="000000"/>
        </w:rPr>
        <w:t>reasoning. </w:t>
      </w:r>
      <w:r w:rsidRPr="00A357B8">
        <w:rPr>
          <w:rFonts w:ascii="Arial" w:hAnsi="Arial" w:cs="Arial"/>
          <w:i/>
          <w:iCs/>
          <w:color w:val="000000"/>
        </w:rPr>
        <w:t>Psychological bulletin</w:t>
      </w:r>
      <w:r w:rsidRPr="00A357B8">
        <w:rPr>
          <w:rFonts w:ascii="Arial" w:hAnsi="Arial" w:cs="Arial"/>
          <w:color w:val="000000"/>
        </w:rPr>
        <w:t>, </w:t>
      </w:r>
      <w:r w:rsidRPr="00A357B8">
        <w:rPr>
          <w:rFonts w:ascii="Arial" w:hAnsi="Arial" w:cs="Arial"/>
          <w:i/>
          <w:iCs/>
          <w:color w:val="000000"/>
        </w:rPr>
        <w:t>119</w:t>
      </w:r>
      <w:r w:rsidRPr="00A357B8">
        <w:rPr>
          <w:rFonts w:ascii="Arial" w:hAnsi="Arial" w:cs="Arial"/>
          <w:color w:val="000000"/>
        </w:rPr>
        <w:t>(1), 3.</w:t>
      </w:r>
    </w:p>
    <w:p w14:paraId="7A2B3981" w14:textId="77777777" w:rsidR="002A73DB" w:rsidRDefault="002A73DB">
      <w:pPr>
        <w:spacing w:line="480" w:lineRule="auto"/>
        <w:rPr>
          <w:rFonts w:ascii="Arial" w:hAnsi="Arial" w:cs="Arial"/>
          <w:color w:val="000000"/>
        </w:rPr>
      </w:pPr>
    </w:p>
    <w:p w14:paraId="12370B92" w14:textId="655D801B" w:rsidR="00BD7835" w:rsidRDefault="002A73DB">
      <w:pPr>
        <w:spacing w:line="480" w:lineRule="auto"/>
        <w:rPr>
          <w:rFonts w:ascii="Arial" w:hAnsi="Arial" w:cs="Arial"/>
          <w:color w:val="000000"/>
        </w:rPr>
      </w:pPr>
      <w:r w:rsidRPr="002A73DB">
        <w:rPr>
          <w:rFonts w:ascii="Arial" w:hAnsi="Arial" w:cs="Arial"/>
          <w:color w:val="000000"/>
        </w:rPr>
        <w:t xml:space="preserve">Tversky, A., &amp; Kahneman, D. (1974). Judgment under Uncertainty: Heuristics and </w:t>
      </w:r>
      <w:r w:rsidR="00BA2321">
        <w:rPr>
          <w:rFonts w:ascii="Arial" w:hAnsi="Arial" w:cs="Arial"/>
          <w:color w:val="000000"/>
        </w:rPr>
        <w:tab/>
      </w:r>
      <w:r w:rsidRPr="002A73DB">
        <w:rPr>
          <w:rFonts w:ascii="Arial" w:hAnsi="Arial" w:cs="Arial"/>
          <w:color w:val="000000"/>
        </w:rPr>
        <w:t xml:space="preserve">Biases: Biases in judgments reveal some heuristics of thinking under </w:t>
      </w:r>
      <w:r w:rsidR="00BA2321">
        <w:rPr>
          <w:rFonts w:ascii="Arial" w:hAnsi="Arial" w:cs="Arial"/>
          <w:color w:val="000000"/>
        </w:rPr>
        <w:tab/>
      </w:r>
      <w:r w:rsidRPr="002A73DB">
        <w:rPr>
          <w:rFonts w:ascii="Arial" w:hAnsi="Arial" w:cs="Arial"/>
          <w:color w:val="000000"/>
        </w:rPr>
        <w:t>uncertainty. </w:t>
      </w:r>
      <w:r w:rsidRPr="002A73DB">
        <w:rPr>
          <w:rFonts w:ascii="Arial" w:hAnsi="Arial" w:cs="Arial"/>
          <w:i/>
          <w:iCs/>
          <w:color w:val="000000"/>
        </w:rPr>
        <w:t>science</w:t>
      </w:r>
      <w:r w:rsidRPr="002A73DB">
        <w:rPr>
          <w:rFonts w:ascii="Arial" w:hAnsi="Arial" w:cs="Arial"/>
          <w:color w:val="000000"/>
        </w:rPr>
        <w:t>, </w:t>
      </w:r>
      <w:r w:rsidRPr="002A73DB">
        <w:rPr>
          <w:rFonts w:ascii="Arial" w:hAnsi="Arial" w:cs="Arial"/>
          <w:i/>
          <w:iCs/>
          <w:color w:val="000000"/>
        </w:rPr>
        <w:t>185</w:t>
      </w:r>
      <w:r w:rsidRPr="002A73DB">
        <w:rPr>
          <w:rFonts w:ascii="Arial" w:hAnsi="Arial" w:cs="Arial"/>
          <w:color w:val="000000"/>
        </w:rPr>
        <w:t>(4157), 1124-1131.</w:t>
      </w:r>
    </w:p>
    <w:p w14:paraId="5E185103" w14:textId="77777777" w:rsidR="00FE06CE" w:rsidRDefault="00FE06CE">
      <w:pPr>
        <w:spacing w:line="480" w:lineRule="auto"/>
        <w:rPr>
          <w:rFonts w:ascii="Arial" w:hAnsi="Arial" w:cs="Arial"/>
          <w:color w:val="000000"/>
        </w:rPr>
      </w:pPr>
    </w:p>
    <w:p w14:paraId="4F4C18EA" w14:textId="236B152E" w:rsidR="00006CBD" w:rsidRDefault="00006CBD">
      <w:pPr>
        <w:spacing w:line="480" w:lineRule="auto"/>
        <w:rPr>
          <w:rFonts w:ascii="Arial" w:hAnsi="Arial" w:cs="Arial"/>
          <w:color w:val="000000"/>
        </w:rPr>
      </w:pPr>
      <w:r>
        <w:rPr>
          <w:rFonts w:ascii="Arial" w:hAnsi="Arial" w:cs="Arial"/>
          <w:color w:val="000000"/>
        </w:rPr>
        <w:t>UK Parliament</w:t>
      </w:r>
      <w:r w:rsidR="00727037">
        <w:rPr>
          <w:rFonts w:ascii="Arial" w:hAnsi="Arial" w:cs="Arial"/>
          <w:color w:val="000000"/>
        </w:rPr>
        <w:t>. (2014</w:t>
      </w:r>
      <w:r w:rsidR="00727037" w:rsidRPr="00FE06CE">
        <w:rPr>
          <w:rFonts w:ascii="Arial" w:hAnsi="Arial" w:cs="Arial"/>
          <w:i/>
          <w:iCs/>
          <w:color w:val="000000"/>
        </w:rPr>
        <w:t>). Care Act.</w:t>
      </w:r>
      <w:r w:rsidR="00727037">
        <w:rPr>
          <w:rFonts w:ascii="Arial" w:hAnsi="Arial" w:cs="Arial"/>
          <w:color w:val="000000"/>
        </w:rPr>
        <w:t xml:space="preserve"> https://www.legislation.gov.uk/ukpga./2014/2</w:t>
      </w:r>
      <w:r w:rsidR="00FE06CE">
        <w:rPr>
          <w:rFonts w:ascii="Arial" w:hAnsi="Arial" w:cs="Arial"/>
          <w:color w:val="000000"/>
        </w:rPr>
        <w:t>3</w:t>
      </w:r>
    </w:p>
    <w:p w14:paraId="071C74A4" w14:textId="77777777" w:rsidR="009664D8" w:rsidRDefault="009664D8" w:rsidP="009664D8">
      <w:pPr>
        <w:spacing w:line="480" w:lineRule="auto"/>
        <w:rPr>
          <w:rFonts w:ascii="Arial" w:hAnsi="Arial" w:cs="Arial"/>
          <w:color w:val="000000"/>
        </w:rPr>
      </w:pPr>
    </w:p>
    <w:p w14:paraId="3694E8D6" w14:textId="229D6F94" w:rsidR="009664D8" w:rsidRDefault="009664D8" w:rsidP="009664D8">
      <w:pPr>
        <w:spacing w:line="480" w:lineRule="auto"/>
        <w:rPr>
          <w:rFonts w:ascii="Arial" w:hAnsi="Arial" w:cs="Arial"/>
          <w:color w:val="000000"/>
        </w:rPr>
      </w:pPr>
      <w:r>
        <w:rPr>
          <w:rFonts w:ascii="Arial" w:hAnsi="Arial" w:cs="Arial"/>
          <w:color w:val="000000"/>
        </w:rPr>
        <w:t>V</w:t>
      </w:r>
      <w:r w:rsidRPr="006E7FEA">
        <w:rPr>
          <w:rFonts w:ascii="Arial" w:hAnsi="Arial" w:cs="Arial"/>
          <w:color w:val="000000"/>
        </w:rPr>
        <w:t xml:space="preserve">an der Cingel, M., &amp; Brouwer, J. (2021). What makes a nurse today? A debate on </w:t>
      </w:r>
      <w:r>
        <w:rPr>
          <w:rFonts w:ascii="Arial" w:hAnsi="Arial" w:cs="Arial"/>
          <w:color w:val="000000"/>
        </w:rPr>
        <w:tab/>
      </w:r>
      <w:r w:rsidRPr="006E7FEA">
        <w:rPr>
          <w:rFonts w:ascii="Arial" w:hAnsi="Arial" w:cs="Arial"/>
          <w:color w:val="000000"/>
        </w:rPr>
        <w:t>the nursing professional identity and its need for change. </w:t>
      </w:r>
      <w:r w:rsidRPr="006E7FEA">
        <w:rPr>
          <w:rFonts w:ascii="Arial" w:hAnsi="Arial" w:cs="Arial"/>
          <w:i/>
          <w:iCs/>
          <w:color w:val="000000"/>
        </w:rPr>
        <w:t xml:space="preserve">Nursing </w:t>
      </w:r>
      <w:r>
        <w:rPr>
          <w:rFonts w:ascii="Arial" w:hAnsi="Arial" w:cs="Arial"/>
          <w:i/>
          <w:iCs/>
          <w:color w:val="000000"/>
        </w:rPr>
        <w:tab/>
      </w:r>
      <w:r w:rsidRPr="006E7FEA">
        <w:rPr>
          <w:rFonts w:ascii="Arial" w:hAnsi="Arial" w:cs="Arial"/>
          <w:i/>
          <w:iCs/>
          <w:color w:val="000000"/>
        </w:rPr>
        <w:t>philosophy</w:t>
      </w:r>
      <w:r w:rsidRPr="006E7FEA">
        <w:rPr>
          <w:rFonts w:ascii="Arial" w:hAnsi="Arial" w:cs="Arial"/>
          <w:color w:val="000000"/>
        </w:rPr>
        <w:t>, </w:t>
      </w:r>
      <w:r w:rsidRPr="006E7FEA">
        <w:rPr>
          <w:rFonts w:ascii="Arial" w:hAnsi="Arial" w:cs="Arial"/>
          <w:i/>
          <w:iCs/>
          <w:color w:val="000000"/>
        </w:rPr>
        <w:t>22</w:t>
      </w:r>
      <w:r w:rsidRPr="006E7FEA">
        <w:rPr>
          <w:rFonts w:ascii="Arial" w:hAnsi="Arial" w:cs="Arial"/>
          <w:color w:val="000000"/>
        </w:rPr>
        <w:t>(2), e12343.</w:t>
      </w:r>
    </w:p>
    <w:p w14:paraId="02361624" w14:textId="77777777" w:rsidR="009664D8" w:rsidRDefault="009664D8" w:rsidP="009664D8">
      <w:pPr>
        <w:spacing w:line="480" w:lineRule="auto"/>
        <w:rPr>
          <w:rFonts w:ascii="Arial" w:hAnsi="Arial" w:cs="Arial"/>
          <w:color w:val="000000"/>
        </w:rPr>
      </w:pPr>
    </w:p>
    <w:p w14:paraId="767D89CF" w14:textId="35F9EBC0" w:rsidR="009664D8" w:rsidRDefault="009664D8" w:rsidP="009664D8">
      <w:pPr>
        <w:spacing w:line="480" w:lineRule="auto"/>
        <w:rPr>
          <w:rFonts w:ascii="Arial" w:hAnsi="Arial" w:cs="Arial"/>
          <w:color w:val="000000"/>
        </w:rPr>
      </w:pPr>
      <w:r w:rsidRPr="003B3949">
        <w:rPr>
          <w:rFonts w:ascii="Arial" w:hAnsi="Arial" w:cs="Arial"/>
          <w:color w:val="000000"/>
        </w:rPr>
        <w:lastRenderedPageBreak/>
        <w:t xml:space="preserve">Waterfield, D., &amp; </w:t>
      </w:r>
      <w:proofErr w:type="spellStart"/>
      <w:r w:rsidRPr="003B3949">
        <w:rPr>
          <w:rFonts w:ascii="Arial" w:hAnsi="Arial" w:cs="Arial"/>
          <w:color w:val="000000"/>
        </w:rPr>
        <w:t>Barnason</w:t>
      </w:r>
      <w:proofErr w:type="spellEnd"/>
      <w:r w:rsidRPr="003B3949">
        <w:rPr>
          <w:rFonts w:ascii="Arial" w:hAnsi="Arial" w:cs="Arial"/>
          <w:color w:val="000000"/>
        </w:rPr>
        <w:t xml:space="preserve">, S. (2022). The integration of care ethics and nursing </w:t>
      </w:r>
      <w:r>
        <w:rPr>
          <w:rFonts w:ascii="Arial" w:hAnsi="Arial" w:cs="Arial"/>
          <w:color w:val="000000"/>
        </w:rPr>
        <w:tab/>
      </w:r>
      <w:r w:rsidRPr="003B3949">
        <w:rPr>
          <w:rFonts w:ascii="Arial" w:hAnsi="Arial" w:cs="Arial"/>
          <w:color w:val="000000"/>
        </w:rPr>
        <w:t>workload: A qualitative systematic review. </w:t>
      </w:r>
      <w:r w:rsidRPr="003B3949">
        <w:rPr>
          <w:rFonts w:ascii="Arial" w:hAnsi="Arial" w:cs="Arial"/>
          <w:i/>
          <w:iCs/>
          <w:color w:val="000000"/>
        </w:rPr>
        <w:t xml:space="preserve">Journal of nursing </w:t>
      </w:r>
      <w:r>
        <w:rPr>
          <w:rFonts w:ascii="Arial" w:hAnsi="Arial" w:cs="Arial"/>
          <w:i/>
          <w:iCs/>
          <w:color w:val="000000"/>
        </w:rPr>
        <w:tab/>
      </w:r>
      <w:r w:rsidRPr="003B3949">
        <w:rPr>
          <w:rFonts w:ascii="Arial" w:hAnsi="Arial" w:cs="Arial"/>
          <w:i/>
          <w:iCs/>
          <w:color w:val="000000"/>
        </w:rPr>
        <w:t>management</w:t>
      </w:r>
      <w:r w:rsidRPr="003B3949">
        <w:rPr>
          <w:rFonts w:ascii="Arial" w:hAnsi="Arial" w:cs="Arial"/>
          <w:color w:val="000000"/>
        </w:rPr>
        <w:t>, </w:t>
      </w:r>
      <w:r w:rsidRPr="003B3949">
        <w:rPr>
          <w:rFonts w:ascii="Arial" w:hAnsi="Arial" w:cs="Arial"/>
          <w:i/>
          <w:iCs/>
          <w:color w:val="000000"/>
        </w:rPr>
        <w:t>30</w:t>
      </w:r>
      <w:r w:rsidRPr="003B3949">
        <w:rPr>
          <w:rFonts w:ascii="Arial" w:hAnsi="Arial" w:cs="Arial"/>
          <w:color w:val="000000"/>
        </w:rPr>
        <w:t>(7), 2194-2206.</w:t>
      </w:r>
    </w:p>
    <w:p w14:paraId="4BEF31BE" w14:textId="77777777" w:rsidR="00A357B8" w:rsidRDefault="00A357B8">
      <w:pPr>
        <w:spacing w:line="480" w:lineRule="auto"/>
        <w:rPr>
          <w:rFonts w:ascii="Arial" w:hAnsi="Arial" w:cs="Arial"/>
          <w:color w:val="000000"/>
        </w:rPr>
      </w:pPr>
    </w:p>
    <w:p w14:paraId="40C575FB" w14:textId="43AE30AD" w:rsidR="00131916" w:rsidRPr="00015111" w:rsidRDefault="00131916">
      <w:pPr>
        <w:spacing w:line="480" w:lineRule="auto"/>
        <w:rPr>
          <w:rFonts w:ascii="Arial" w:hAnsi="Arial" w:cs="Arial"/>
        </w:rPr>
      </w:pPr>
      <w:r w:rsidRPr="00807013">
        <w:rPr>
          <w:rFonts w:ascii="Arial" w:hAnsi="Arial" w:cs="Arial"/>
        </w:rPr>
        <w:t xml:space="preserve">Whelehan, D. F., Conlon, K. C., &amp; Ridgway, P. F. (2020). Medicine and heuristics: </w:t>
      </w:r>
      <w:r>
        <w:rPr>
          <w:rFonts w:ascii="Arial" w:hAnsi="Arial" w:cs="Arial"/>
        </w:rPr>
        <w:tab/>
      </w:r>
      <w:r w:rsidRPr="00807013">
        <w:rPr>
          <w:rFonts w:ascii="Arial" w:hAnsi="Arial" w:cs="Arial"/>
        </w:rPr>
        <w:t>cognitive biases and medical decision-making. </w:t>
      </w:r>
      <w:r w:rsidRPr="00807013">
        <w:rPr>
          <w:rFonts w:ascii="Arial" w:hAnsi="Arial" w:cs="Arial"/>
          <w:i/>
          <w:iCs/>
        </w:rPr>
        <w:t xml:space="preserve">Irish Journal of Medical </w:t>
      </w:r>
      <w:r>
        <w:rPr>
          <w:rFonts w:ascii="Arial" w:hAnsi="Arial" w:cs="Arial"/>
          <w:i/>
          <w:iCs/>
        </w:rPr>
        <w:tab/>
      </w:r>
      <w:r w:rsidRPr="00807013">
        <w:rPr>
          <w:rFonts w:ascii="Arial" w:hAnsi="Arial" w:cs="Arial"/>
          <w:i/>
          <w:iCs/>
        </w:rPr>
        <w:t>Science (1971-)</w:t>
      </w:r>
      <w:r w:rsidRPr="00807013">
        <w:rPr>
          <w:rFonts w:ascii="Arial" w:hAnsi="Arial" w:cs="Arial"/>
        </w:rPr>
        <w:t>, </w:t>
      </w:r>
      <w:r w:rsidRPr="00807013">
        <w:rPr>
          <w:rFonts w:ascii="Arial" w:hAnsi="Arial" w:cs="Arial"/>
          <w:i/>
          <w:iCs/>
        </w:rPr>
        <w:t>189</w:t>
      </w:r>
      <w:r w:rsidRPr="00807013">
        <w:rPr>
          <w:rFonts w:ascii="Arial" w:hAnsi="Arial" w:cs="Arial"/>
        </w:rPr>
        <w:t>(4), 1477-1484.</w:t>
      </w:r>
    </w:p>
    <w:p w14:paraId="694B5AC5" w14:textId="77777777" w:rsidR="00131916" w:rsidRDefault="00131916">
      <w:pPr>
        <w:spacing w:line="480" w:lineRule="auto"/>
        <w:rPr>
          <w:rFonts w:ascii="Arial" w:hAnsi="Arial" w:cs="Arial"/>
          <w:color w:val="000000"/>
        </w:rPr>
      </w:pPr>
    </w:p>
    <w:p w14:paraId="37A61687" w14:textId="724C043C" w:rsidR="006F7525" w:rsidRDefault="006F7525">
      <w:pPr>
        <w:spacing w:line="480" w:lineRule="auto"/>
        <w:rPr>
          <w:rFonts w:ascii="Arial" w:hAnsi="Arial" w:cs="Arial"/>
          <w:color w:val="000000"/>
        </w:rPr>
      </w:pPr>
      <w:r>
        <w:rPr>
          <w:rFonts w:ascii="Arial" w:hAnsi="Arial" w:cs="Arial"/>
          <w:color w:val="000000"/>
        </w:rPr>
        <w:t xml:space="preserve">Wicker, A. W. (1969). Attitudes versus actions: The relationship of verbal and overt </w:t>
      </w:r>
      <w:r w:rsidR="00A357B8">
        <w:rPr>
          <w:rFonts w:ascii="Arial" w:hAnsi="Arial" w:cs="Arial"/>
          <w:color w:val="000000"/>
        </w:rPr>
        <w:tab/>
      </w:r>
      <w:r>
        <w:rPr>
          <w:rFonts w:ascii="Arial" w:hAnsi="Arial" w:cs="Arial"/>
          <w:color w:val="000000"/>
        </w:rPr>
        <w:t xml:space="preserve">behavioural responses to attitude objects. </w:t>
      </w:r>
      <w:r>
        <w:rPr>
          <w:rFonts w:ascii="Arial" w:hAnsi="Arial" w:cs="Arial"/>
          <w:i/>
          <w:iCs/>
          <w:color w:val="000000"/>
        </w:rPr>
        <w:t>Journal of Social Issues</w:t>
      </w:r>
      <w:r>
        <w:rPr>
          <w:rFonts w:ascii="Arial" w:hAnsi="Arial" w:cs="Arial"/>
          <w:color w:val="000000"/>
        </w:rPr>
        <w:t>, 25(4), 41-</w:t>
      </w:r>
      <w:r w:rsidR="00A357B8">
        <w:rPr>
          <w:rFonts w:ascii="Arial" w:hAnsi="Arial" w:cs="Arial"/>
          <w:color w:val="000000"/>
        </w:rPr>
        <w:tab/>
      </w:r>
      <w:r>
        <w:rPr>
          <w:rFonts w:ascii="Arial" w:hAnsi="Arial" w:cs="Arial"/>
          <w:color w:val="000000"/>
        </w:rPr>
        <w:t>78.</w:t>
      </w:r>
    </w:p>
    <w:p w14:paraId="6706F7D9" w14:textId="77777777" w:rsidR="00E87B65" w:rsidRDefault="00E87B65">
      <w:pPr>
        <w:spacing w:line="480" w:lineRule="auto"/>
        <w:rPr>
          <w:rFonts w:ascii="Arial" w:hAnsi="Arial" w:cs="Arial"/>
          <w:color w:val="000000"/>
        </w:rPr>
      </w:pPr>
    </w:p>
    <w:p w14:paraId="7A3461B6" w14:textId="77777777" w:rsidR="00247F2D" w:rsidRDefault="00247F2D">
      <w:pPr>
        <w:spacing w:line="480" w:lineRule="auto"/>
        <w:rPr>
          <w:rFonts w:ascii="Arial" w:hAnsi="Arial" w:cs="Arial"/>
          <w:color w:val="000000"/>
        </w:rPr>
      </w:pPr>
    </w:p>
    <w:p w14:paraId="6D18BDC8" w14:textId="77777777" w:rsidR="00247F2D" w:rsidRDefault="00247F2D">
      <w:pPr>
        <w:spacing w:line="480" w:lineRule="auto"/>
        <w:rPr>
          <w:rFonts w:ascii="Arial" w:hAnsi="Arial" w:cs="Arial"/>
          <w:color w:val="000000"/>
        </w:rPr>
      </w:pPr>
    </w:p>
    <w:p w14:paraId="4969E86D" w14:textId="77777777" w:rsidR="00247F2D" w:rsidRDefault="00247F2D">
      <w:pPr>
        <w:spacing w:line="480" w:lineRule="auto"/>
        <w:rPr>
          <w:rFonts w:ascii="Arial" w:hAnsi="Arial" w:cs="Arial"/>
          <w:color w:val="000000"/>
        </w:rPr>
      </w:pPr>
    </w:p>
    <w:p w14:paraId="34AE060B" w14:textId="77777777" w:rsidR="00247F2D" w:rsidRDefault="00247F2D">
      <w:pPr>
        <w:spacing w:line="480" w:lineRule="auto"/>
        <w:rPr>
          <w:rFonts w:ascii="Arial" w:hAnsi="Arial" w:cs="Arial"/>
          <w:color w:val="000000"/>
        </w:rPr>
      </w:pPr>
    </w:p>
    <w:p w14:paraId="667B8680" w14:textId="77777777" w:rsidR="00247F2D" w:rsidRDefault="00247F2D">
      <w:pPr>
        <w:spacing w:line="480" w:lineRule="auto"/>
        <w:rPr>
          <w:rFonts w:ascii="Arial" w:hAnsi="Arial" w:cs="Arial"/>
          <w:color w:val="000000"/>
        </w:rPr>
      </w:pPr>
    </w:p>
    <w:p w14:paraId="5BF360F6" w14:textId="77777777" w:rsidR="00247F2D" w:rsidRDefault="00247F2D">
      <w:pPr>
        <w:spacing w:line="480" w:lineRule="auto"/>
        <w:rPr>
          <w:rFonts w:ascii="Arial" w:hAnsi="Arial" w:cs="Arial"/>
          <w:color w:val="000000"/>
        </w:rPr>
      </w:pPr>
    </w:p>
    <w:p w14:paraId="61D3A96B" w14:textId="77777777" w:rsidR="00247F2D" w:rsidRDefault="00247F2D">
      <w:pPr>
        <w:spacing w:line="480" w:lineRule="auto"/>
        <w:rPr>
          <w:rFonts w:ascii="Arial" w:hAnsi="Arial" w:cs="Arial"/>
          <w:color w:val="000000"/>
        </w:rPr>
      </w:pPr>
    </w:p>
    <w:p w14:paraId="6A4EC9F5" w14:textId="77777777" w:rsidR="00247F2D" w:rsidRDefault="00247F2D">
      <w:pPr>
        <w:spacing w:line="480" w:lineRule="auto"/>
        <w:rPr>
          <w:rFonts w:ascii="Arial" w:hAnsi="Arial" w:cs="Arial"/>
          <w:color w:val="000000"/>
        </w:rPr>
      </w:pPr>
    </w:p>
    <w:p w14:paraId="72E5F915" w14:textId="77777777" w:rsidR="00247F2D" w:rsidRDefault="00247F2D">
      <w:pPr>
        <w:spacing w:line="480" w:lineRule="auto"/>
        <w:rPr>
          <w:rFonts w:ascii="Arial" w:hAnsi="Arial" w:cs="Arial"/>
          <w:color w:val="000000"/>
        </w:rPr>
      </w:pPr>
    </w:p>
    <w:p w14:paraId="1BF92E9C" w14:textId="77777777" w:rsidR="00247F2D" w:rsidRDefault="00247F2D">
      <w:pPr>
        <w:spacing w:line="480" w:lineRule="auto"/>
        <w:rPr>
          <w:rFonts w:ascii="Arial" w:hAnsi="Arial" w:cs="Arial"/>
          <w:color w:val="000000"/>
        </w:rPr>
      </w:pPr>
    </w:p>
    <w:p w14:paraId="16053456" w14:textId="77777777" w:rsidR="00247F2D" w:rsidRDefault="00247F2D">
      <w:pPr>
        <w:spacing w:line="480" w:lineRule="auto"/>
        <w:rPr>
          <w:rFonts w:ascii="Arial" w:hAnsi="Arial" w:cs="Arial"/>
          <w:color w:val="000000"/>
        </w:rPr>
      </w:pPr>
    </w:p>
    <w:p w14:paraId="2E28EB65" w14:textId="77777777" w:rsidR="00247F2D" w:rsidRDefault="00247F2D">
      <w:pPr>
        <w:spacing w:line="480" w:lineRule="auto"/>
        <w:rPr>
          <w:rFonts w:ascii="Arial" w:hAnsi="Arial" w:cs="Arial"/>
          <w:color w:val="000000"/>
        </w:rPr>
      </w:pPr>
    </w:p>
    <w:p w14:paraId="2FFD3F02" w14:textId="77777777" w:rsidR="00B44A67" w:rsidRDefault="00B44A67">
      <w:pPr>
        <w:spacing w:line="480" w:lineRule="auto"/>
        <w:rPr>
          <w:rFonts w:ascii="Arial" w:hAnsi="Arial" w:cs="Arial"/>
          <w:color w:val="000000"/>
        </w:rPr>
      </w:pPr>
    </w:p>
    <w:p w14:paraId="05A536DB" w14:textId="77777777" w:rsidR="00B44A67" w:rsidRDefault="00B44A67">
      <w:pPr>
        <w:spacing w:line="480" w:lineRule="auto"/>
        <w:rPr>
          <w:rFonts w:ascii="Arial" w:hAnsi="Arial" w:cs="Arial"/>
          <w:color w:val="000000"/>
        </w:rPr>
      </w:pPr>
    </w:p>
    <w:p w14:paraId="188B7DE3" w14:textId="77777777" w:rsidR="00015111" w:rsidRDefault="00F359AA">
      <w:pPr>
        <w:spacing w:line="480" w:lineRule="auto"/>
        <w:rPr>
          <w:rFonts w:ascii="Arial" w:hAnsi="Arial" w:cs="Arial"/>
          <w:color w:val="000000"/>
        </w:rPr>
      </w:pPr>
      <w:r w:rsidRPr="00F96E23">
        <w:rPr>
          <w:rFonts w:ascii="Arial" w:hAnsi="Arial" w:cs="Arial"/>
          <w:b/>
          <w:bCs/>
          <w:i/>
          <w:iCs/>
          <w:color w:val="000000"/>
          <w:sz w:val="32"/>
          <w:szCs w:val="32"/>
        </w:rPr>
        <w:t>Appendix A.</w:t>
      </w:r>
      <w:r w:rsidR="00604DEA">
        <w:rPr>
          <w:rFonts w:ascii="Arial" w:hAnsi="Arial" w:cs="Arial"/>
          <w:color w:val="000000"/>
        </w:rPr>
        <w:t xml:space="preserve"> </w:t>
      </w:r>
    </w:p>
    <w:p w14:paraId="3728A652" w14:textId="38F48B29" w:rsidR="00E87B65" w:rsidRDefault="00604DEA">
      <w:pPr>
        <w:spacing w:line="480" w:lineRule="auto"/>
        <w:rPr>
          <w:rFonts w:ascii="Arial" w:hAnsi="Arial" w:cs="Arial"/>
          <w:color w:val="000000"/>
        </w:rPr>
      </w:pPr>
      <w:r>
        <w:rPr>
          <w:rFonts w:ascii="Arial" w:hAnsi="Arial" w:cs="Arial"/>
          <w:color w:val="000000"/>
        </w:rPr>
        <w:t>Sticker and Key Fob Design</w:t>
      </w:r>
      <w:r w:rsidR="00B44A67">
        <w:rPr>
          <w:rFonts w:ascii="Arial" w:hAnsi="Arial" w:cs="Arial"/>
          <w:color w:val="000000"/>
        </w:rPr>
        <w:t xml:space="preserve"> </w:t>
      </w:r>
      <w:r w:rsidR="0042000D">
        <w:rPr>
          <w:rFonts w:ascii="Arial" w:hAnsi="Arial" w:cs="Arial"/>
          <w:color w:val="000000"/>
        </w:rPr>
        <w:t xml:space="preserve">be used for cognitive </w:t>
      </w:r>
      <w:r w:rsidR="00F96E23">
        <w:rPr>
          <w:rFonts w:ascii="Arial" w:hAnsi="Arial" w:cs="Arial"/>
          <w:color w:val="000000"/>
        </w:rPr>
        <w:t>memory</w:t>
      </w:r>
    </w:p>
    <w:p w14:paraId="57D77758" w14:textId="77777777" w:rsidR="00E87B65" w:rsidRDefault="00E87B65">
      <w:pPr>
        <w:spacing w:line="480" w:lineRule="auto"/>
        <w:rPr>
          <w:rFonts w:ascii="Arial" w:hAnsi="Arial" w:cs="Arial"/>
          <w:color w:val="000000"/>
        </w:rPr>
      </w:pPr>
    </w:p>
    <w:p w14:paraId="570F7AAD" w14:textId="64C96236" w:rsidR="006E4105" w:rsidRPr="006E4105" w:rsidRDefault="006E4105" w:rsidP="006E4105">
      <w:pPr>
        <w:spacing w:line="480" w:lineRule="auto"/>
        <w:rPr>
          <w:rFonts w:ascii="Arial" w:hAnsi="Arial" w:cs="Arial"/>
          <w:color w:val="000000"/>
        </w:rPr>
      </w:pPr>
      <w:r w:rsidRPr="006E4105">
        <w:rPr>
          <w:rFonts w:ascii="Arial" w:hAnsi="Arial" w:cs="Arial"/>
          <w:noProof/>
          <w:color w:val="000000"/>
        </w:rPr>
        <w:drawing>
          <wp:inline distT="0" distB="0" distL="0" distR="0" wp14:anchorId="5966C7E5" wp14:editId="3A09468F">
            <wp:extent cx="4801344" cy="4801344"/>
            <wp:effectExtent l="0" t="0" r="0" b="0"/>
            <wp:docPr id="12349468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7467" cy="4807467"/>
                    </a:xfrm>
                    <a:prstGeom prst="rect">
                      <a:avLst/>
                    </a:prstGeom>
                    <a:noFill/>
                    <a:ln>
                      <a:noFill/>
                    </a:ln>
                  </pic:spPr>
                </pic:pic>
              </a:graphicData>
            </a:graphic>
          </wp:inline>
        </w:drawing>
      </w:r>
    </w:p>
    <w:p w14:paraId="256EA5D4" w14:textId="3841DDA2" w:rsidR="00E87B65" w:rsidRDefault="00E87B65">
      <w:pPr>
        <w:spacing w:line="480" w:lineRule="auto"/>
        <w:rPr>
          <w:rFonts w:ascii="Arial" w:hAnsi="Arial" w:cs="Arial"/>
          <w:color w:val="000000"/>
        </w:rPr>
      </w:pPr>
    </w:p>
    <w:sectPr w:rsidR="00E87B65" w:rsidSect="000E1CD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7633"/>
    <w:multiLevelType w:val="multilevel"/>
    <w:tmpl w:val="A2BA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244AF"/>
    <w:multiLevelType w:val="multilevel"/>
    <w:tmpl w:val="86F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46777"/>
    <w:multiLevelType w:val="multilevel"/>
    <w:tmpl w:val="1EA2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059C0"/>
    <w:multiLevelType w:val="multilevel"/>
    <w:tmpl w:val="B638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D68E5"/>
    <w:multiLevelType w:val="hybridMultilevel"/>
    <w:tmpl w:val="A9F82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EC6A81"/>
    <w:multiLevelType w:val="multilevel"/>
    <w:tmpl w:val="4DEC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1097F"/>
    <w:multiLevelType w:val="multilevel"/>
    <w:tmpl w:val="16A4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570B01"/>
    <w:multiLevelType w:val="multilevel"/>
    <w:tmpl w:val="98F2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62B04"/>
    <w:multiLevelType w:val="multilevel"/>
    <w:tmpl w:val="0AB8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A72B2"/>
    <w:multiLevelType w:val="multilevel"/>
    <w:tmpl w:val="B634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A3216"/>
    <w:multiLevelType w:val="multilevel"/>
    <w:tmpl w:val="4B50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156BD"/>
    <w:multiLevelType w:val="multilevel"/>
    <w:tmpl w:val="AA0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9407C"/>
    <w:multiLevelType w:val="multilevel"/>
    <w:tmpl w:val="4D42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770FAF"/>
    <w:multiLevelType w:val="multilevel"/>
    <w:tmpl w:val="A06E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3398B"/>
    <w:multiLevelType w:val="multilevel"/>
    <w:tmpl w:val="946E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F07E0F"/>
    <w:multiLevelType w:val="multilevel"/>
    <w:tmpl w:val="A3E2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348ED"/>
    <w:multiLevelType w:val="multilevel"/>
    <w:tmpl w:val="C288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CA5F33"/>
    <w:multiLevelType w:val="hybridMultilevel"/>
    <w:tmpl w:val="CD8E73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040680F"/>
    <w:multiLevelType w:val="multilevel"/>
    <w:tmpl w:val="885C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904E71"/>
    <w:multiLevelType w:val="multilevel"/>
    <w:tmpl w:val="2A0A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FA1E55"/>
    <w:multiLevelType w:val="multilevel"/>
    <w:tmpl w:val="D02C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54595"/>
    <w:multiLevelType w:val="multilevel"/>
    <w:tmpl w:val="328C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4A7939"/>
    <w:multiLevelType w:val="multilevel"/>
    <w:tmpl w:val="ADE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9E624E"/>
    <w:multiLevelType w:val="multilevel"/>
    <w:tmpl w:val="0E98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85D93"/>
    <w:multiLevelType w:val="multilevel"/>
    <w:tmpl w:val="562A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574188"/>
    <w:multiLevelType w:val="multilevel"/>
    <w:tmpl w:val="95AE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31E29"/>
    <w:multiLevelType w:val="multilevel"/>
    <w:tmpl w:val="8974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492B4C"/>
    <w:multiLevelType w:val="multilevel"/>
    <w:tmpl w:val="902E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5111D"/>
    <w:multiLevelType w:val="multilevel"/>
    <w:tmpl w:val="55F8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DA1F66"/>
    <w:multiLevelType w:val="multilevel"/>
    <w:tmpl w:val="61F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5768E"/>
    <w:multiLevelType w:val="multilevel"/>
    <w:tmpl w:val="0B94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2106812">
    <w:abstractNumId w:val="9"/>
  </w:num>
  <w:num w:numId="2" w16cid:durableId="81532029">
    <w:abstractNumId w:val="2"/>
  </w:num>
  <w:num w:numId="3" w16cid:durableId="516698899">
    <w:abstractNumId w:val="24"/>
  </w:num>
  <w:num w:numId="4" w16cid:durableId="946425953">
    <w:abstractNumId w:val="16"/>
  </w:num>
  <w:num w:numId="5" w16cid:durableId="1637368689">
    <w:abstractNumId w:val="13"/>
  </w:num>
  <w:num w:numId="6" w16cid:durableId="1402631696">
    <w:abstractNumId w:val="3"/>
  </w:num>
  <w:num w:numId="7" w16cid:durableId="665133357">
    <w:abstractNumId w:val="22"/>
  </w:num>
  <w:num w:numId="8" w16cid:durableId="1207984569">
    <w:abstractNumId w:val="6"/>
  </w:num>
  <w:num w:numId="9" w16cid:durableId="1709144761">
    <w:abstractNumId w:val="11"/>
  </w:num>
  <w:num w:numId="10" w16cid:durableId="1489783288">
    <w:abstractNumId w:val="10"/>
  </w:num>
  <w:num w:numId="11" w16cid:durableId="1779831377">
    <w:abstractNumId w:val="29"/>
  </w:num>
  <w:num w:numId="12" w16cid:durableId="801339037">
    <w:abstractNumId w:val="5"/>
  </w:num>
  <w:num w:numId="13" w16cid:durableId="436369254">
    <w:abstractNumId w:val="14"/>
  </w:num>
  <w:num w:numId="14" w16cid:durableId="2105491738">
    <w:abstractNumId w:val="17"/>
  </w:num>
  <w:num w:numId="15" w16cid:durableId="537937016">
    <w:abstractNumId w:val="1"/>
  </w:num>
  <w:num w:numId="16" w16cid:durableId="929388137">
    <w:abstractNumId w:val="8"/>
  </w:num>
  <w:num w:numId="17" w16cid:durableId="1356267834">
    <w:abstractNumId w:val="18"/>
  </w:num>
  <w:num w:numId="18" w16cid:durableId="1664160642">
    <w:abstractNumId w:val="15"/>
  </w:num>
  <w:num w:numId="19" w16cid:durableId="1117681211">
    <w:abstractNumId w:val="26"/>
  </w:num>
  <w:num w:numId="20" w16cid:durableId="723795043">
    <w:abstractNumId w:val="21"/>
  </w:num>
  <w:num w:numId="21" w16cid:durableId="325479308">
    <w:abstractNumId w:val="30"/>
  </w:num>
  <w:num w:numId="22" w16cid:durableId="734858675">
    <w:abstractNumId w:val="12"/>
  </w:num>
  <w:num w:numId="23" w16cid:durableId="811483678">
    <w:abstractNumId w:val="20"/>
  </w:num>
  <w:num w:numId="24" w16cid:durableId="588468613">
    <w:abstractNumId w:val="19"/>
  </w:num>
  <w:num w:numId="25" w16cid:durableId="1536427048">
    <w:abstractNumId w:val="0"/>
  </w:num>
  <w:num w:numId="26" w16cid:durableId="575284210">
    <w:abstractNumId w:val="27"/>
  </w:num>
  <w:num w:numId="27" w16cid:durableId="2013221540">
    <w:abstractNumId w:val="23"/>
  </w:num>
  <w:num w:numId="28" w16cid:durableId="1397361221">
    <w:abstractNumId w:val="28"/>
  </w:num>
  <w:num w:numId="29" w16cid:durableId="808280525">
    <w:abstractNumId w:val="25"/>
  </w:num>
  <w:num w:numId="30" w16cid:durableId="1979214771">
    <w:abstractNumId w:val="7"/>
  </w:num>
  <w:num w:numId="31" w16cid:durableId="826097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E8"/>
    <w:rsid w:val="00002F0E"/>
    <w:rsid w:val="000039D9"/>
    <w:rsid w:val="00006CBD"/>
    <w:rsid w:val="000150BE"/>
    <w:rsid w:val="00015111"/>
    <w:rsid w:val="000162A6"/>
    <w:rsid w:val="00020D17"/>
    <w:rsid w:val="00027C9D"/>
    <w:rsid w:val="00034070"/>
    <w:rsid w:val="00034DE9"/>
    <w:rsid w:val="000356E2"/>
    <w:rsid w:val="00035C11"/>
    <w:rsid w:val="0004103B"/>
    <w:rsid w:val="000431F7"/>
    <w:rsid w:val="0004368B"/>
    <w:rsid w:val="00044B8A"/>
    <w:rsid w:val="00044EE8"/>
    <w:rsid w:val="0004650A"/>
    <w:rsid w:val="000478EB"/>
    <w:rsid w:val="00050435"/>
    <w:rsid w:val="00060E33"/>
    <w:rsid w:val="00063C69"/>
    <w:rsid w:val="0006443A"/>
    <w:rsid w:val="000648DC"/>
    <w:rsid w:val="000657E6"/>
    <w:rsid w:val="00074221"/>
    <w:rsid w:val="00082C32"/>
    <w:rsid w:val="0008665F"/>
    <w:rsid w:val="0008716E"/>
    <w:rsid w:val="0009025C"/>
    <w:rsid w:val="0009289C"/>
    <w:rsid w:val="00095EAC"/>
    <w:rsid w:val="000966CA"/>
    <w:rsid w:val="00097BE2"/>
    <w:rsid w:val="000A20FF"/>
    <w:rsid w:val="000A40B0"/>
    <w:rsid w:val="000A6335"/>
    <w:rsid w:val="000B1B91"/>
    <w:rsid w:val="000B2AA9"/>
    <w:rsid w:val="000B3494"/>
    <w:rsid w:val="000B7C9C"/>
    <w:rsid w:val="000C1C27"/>
    <w:rsid w:val="000C5BF1"/>
    <w:rsid w:val="000D03B5"/>
    <w:rsid w:val="000D2ED7"/>
    <w:rsid w:val="000D31CE"/>
    <w:rsid w:val="000D43E2"/>
    <w:rsid w:val="000D5D53"/>
    <w:rsid w:val="000D64B4"/>
    <w:rsid w:val="000D6C78"/>
    <w:rsid w:val="000D6FE6"/>
    <w:rsid w:val="000E1CDC"/>
    <w:rsid w:val="000E30AB"/>
    <w:rsid w:val="000F1064"/>
    <w:rsid w:val="000F18C4"/>
    <w:rsid w:val="000F1A55"/>
    <w:rsid w:val="000F3C48"/>
    <w:rsid w:val="000F3EC6"/>
    <w:rsid w:val="000F6259"/>
    <w:rsid w:val="000F6CC1"/>
    <w:rsid w:val="001012ED"/>
    <w:rsid w:val="00102010"/>
    <w:rsid w:val="001117AA"/>
    <w:rsid w:val="001117F3"/>
    <w:rsid w:val="00111B45"/>
    <w:rsid w:val="00111D8B"/>
    <w:rsid w:val="00114348"/>
    <w:rsid w:val="00115129"/>
    <w:rsid w:val="001166BF"/>
    <w:rsid w:val="00117ECF"/>
    <w:rsid w:val="00126E40"/>
    <w:rsid w:val="001270AE"/>
    <w:rsid w:val="00131916"/>
    <w:rsid w:val="00131F99"/>
    <w:rsid w:val="001359A0"/>
    <w:rsid w:val="00135F0B"/>
    <w:rsid w:val="00136429"/>
    <w:rsid w:val="0013714B"/>
    <w:rsid w:val="00140E94"/>
    <w:rsid w:val="00141E00"/>
    <w:rsid w:val="00143211"/>
    <w:rsid w:val="00143C86"/>
    <w:rsid w:val="00144A01"/>
    <w:rsid w:val="001454B0"/>
    <w:rsid w:val="0014558D"/>
    <w:rsid w:val="001456F1"/>
    <w:rsid w:val="00152CCA"/>
    <w:rsid w:val="00157107"/>
    <w:rsid w:val="001572C2"/>
    <w:rsid w:val="00160E58"/>
    <w:rsid w:val="001664E0"/>
    <w:rsid w:val="001751A2"/>
    <w:rsid w:val="001768CD"/>
    <w:rsid w:val="001773E3"/>
    <w:rsid w:val="00177D3C"/>
    <w:rsid w:val="00181937"/>
    <w:rsid w:val="001831D6"/>
    <w:rsid w:val="00191F6A"/>
    <w:rsid w:val="0019527B"/>
    <w:rsid w:val="00195BF6"/>
    <w:rsid w:val="001A18D3"/>
    <w:rsid w:val="001A2E87"/>
    <w:rsid w:val="001B040A"/>
    <w:rsid w:val="001B0F42"/>
    <w:rsid w:val="001B1D13"/>
    <w:rsid w:val="001B54B6"/>
    <w:rsid w:val="001B6538"/>
    <w:rsid w:val="001B69FB"/>
    <w:rsid w:val="001B7BD8"/>
    <w:rsid w:val="001C54DD"/>
    <w:rsid w:val="001C5864"/>
    <w:rsid w:val="001C5BEC"/>
    <w:rsid w:val="001C6E05"/>
    <w:rsid w:val="001D03CC"/>
    <w:rsid w:val="001D324B"/>
    <w:rsid w:val="001D61CF"/>
    <w:rsid w:val="001E2FC0"/>
    <w:rsid w:val="001E3994"/>
    <w:rsid w:val="001E3B04"/>
    <w:rsid w:val="001F4FBE"/>
    <w:rsid w:val="001F6F98"/>
    <w:rsid w:val="001F7D82"/>
    <w:rsid w:val="0020151F"/>
    <w:rsid w:val="00201DA8"/>
    <w:rsid w:val="00204D0B"/>
    <w:rsid w:val="002103E3"/>
    <w:rsid w:val="002109F9"/>
    <w:rsid w:val="00210C45"/>
    <w:rsid w:val="00212819"/>
    <w:rsid w:val="00212AD7"/>
    <w:rsid w:val="002221C1"/>
    <w:rsid w:val="0022417A"/>
    <w:rsid w:val="002244EA"/>
    <w:rsid w:val="0022565A"/>
    <w:rsid w:val="0022583B"/>
    <w:rsid w:val="00227958"/>
    <w:rsid w:val="00230603"/>
    <w:rsid w:val="00230A58"/>
    <w:rsid w:val="0023513B"/>
    <w:rsid w:val="00236E90"/>
    <w:rsid w:val="002425E8"/>
    <w:rsid w:val="002476EE"/>
    <w:rsid w:val="00247F2D"/>
    <w:rsid w:val="00250A95"/>
    <w:rsid w:val="00251624"/>
    <w:rsid w:val="002524BE"/>
    <w:rsid w:val="00255135"/>
    <w:rsid w:val="00255D6A"/>
    <w:rsid w:val="002574E9"/>
    <w:rsid w:val="00260D7C"/>
    <w:rsid w:val="002615DD"/>
    <w:rsid w:val="002619F8"/>
    <w:rsid w:val="00262F63"/>
    <w:rsid w:val="002658F2"/>
    <w:rsid w:val="00267C56"/>
    <w:rsid w:val="002728FF"/>
    <w:rsid w:val="00274072"/>
    <w:rsid w:val="00282432"/>
    <w:rsid w:val="00284E6E"/>
    <w:rsid w:val="002A0622"/>
    <w:rsid w:val="002A52C6"/>
    <w:rsid w:val="002A67B0"/>
    <w:rsid w:val="002A72DE"/>
    <w:rsid w:val="002A73DB"/>
    <w:rsid w:val="002B55AA"/>
    <w:rsid w:val="002C0614"/>
    <w:rsid w:val="002C27F2"/>
    <w:rsid w:val="002C63B5"/>
    <w:rsid w:val="002D2762"/>
    <w:rsid w:val="002D297E"/>
    <w:rsid w:val="002D3684"/>
    <w:rsid w:val="002D3D5A"/>
    <w:rsid w:val="002D4268"/>
    <w:rsid w:val="002D6308"/>
    <w:rsid w:val="002E4436"/>
    <w:rsid w:val="002E4B2A"/>
    <w:rsid w:val="002E54BC"/>
    <w:rsid w:val="002F1223"/>
    <w:rsid w:val="002F331D"/>
    <w:rsid w:val="002F34D5"/>
    <w:rsid w:val="002F50DC"/>
    <w:rsid w:val="00301136"/>
    <w:rsid w:val="0030422D"/>
    <w:rsid w:val="00304834"/>
    <w:rsid w:val="003063CA"/>
    <w:rsid w:val="0030641D"/>
    <w:rsid w:val="00312463"/>
    <w:rsid w:val="00312C3C"/>
    <w:rsid w:val="0031600E"/>
    <w:rsid w:val="003232B1"/>
    <w:rsid w:val="00323795"/>
    <w:rsid w:val="00323E63"/>
    <w:rsid w:val="003259BF"/>
    <w:rsid w:val="00327623"/>
    <w:rsid w:val="00330108"/>
    <w:rsid w:val="00334749"/>
    <w:rsid w:val="003363B5"/>
    <w:rsid w:val="0033774D"/>
    <w:rsid w:val="00337C51"/>
    <w:rsid w:val="00350FF5"/>
    <w:rsid w:val="0035181C"/>
    <w:rsid w:val="003521F9"/>
    <w:rsid w:val="00352DCE"/>
    <w:rsid w:val="0035757D"/>
    <w:rsid w:val="0036143D"/>
    <w:rsid w:val="0036394C"/>
    <w:rsid w:val="00363C8E"/>
    <w:rsid w:val="00366333"/>
    <w:rsid w:val="003707EA"/>
    <w:rsid w:val="00370934"/>
    <w:rsid w:val="0037158D"/>
    <w:rsid w:val="00371E2A"/>
    <w:rsid w:val="0038075F"/>
    <w:rsid w:val="00381E2D"/>
    <w:rsid w:val="003842F5"/>
    <w:rsid w:val="0038494E"/>
    <w:rsid w:val="00385BB0"/>
    <w:rsid w:val="0038779A"/>
    <w:rsid w:val="00390644"/>
    <w:rsid w:val="00390CA4"/>
    <w:rsid w:val="00390E8E"/>
    <w:rsid w:val="00391C26"/>
    <w:rsid w:val="00391F71"/>
    <w:rsid w:val="00392170"/>
    <w:rsid w:val="00392A74"/>
    <w:rsid w:val="0039435A"/>
    <w:rsid w:val="00395A24"/>
    <w:rsid w:val="003A5843"/>
    <w:rsid w:val="003A715E"/>
    <w:rsid w:val="003B012C"/>
    <w:rsid w:val="003B1590"/>
    <w:rsid w:val="003B2BF8"/>
    <w:rsid w:val="003B3949"/>
    <w:rsid w:val="003B409F"/>
    <w:rsid w:val="003B7B24"/>
    <w:rsid w:val="003C4094"/>
    <w:rsid w:val="003C4484"/>
    <w:rsid w:val="003C6C7F"/>
    <w:rsid w:val="003E4A1B"/>
    <w:rsid w:val="003E76A2"/>
    <w:rsid w:val="003F39A1"/>
    <w:rsid w:val="003F4326"/>
    <w:rsid w:val="003F6855"/>
    <w:rsid w:val="00403652"/>
    <w:rsid w:val="00405290"/>
    <w:rsid w:val="00405D8D"/>
    <w:rsid w:val="0040793E"/>
    <w:rsid w:val="0041112F"/>
    <w:rsid w:val="00411C90"/>
    <w:rsid w:val="00412CA0"/>
    <w:rsid w:val="00413346"/>
    <w:rsid w:val="00414DA5"/>
    <w:rsid w:val="00416AE3"/>
    <w:rsid w:val="0042000D"/>
    <w:rsid w:val="00420E76"/>
    <w:rsid w:val="00423962"/>
    <w:rsid w:val="00424D39"/>
    <w:rsid w:val="00426207"/>
    <w:rsid w:val="00430EAA"/>
    <w:rsid w:val="004336D6"/>
    <w:rsid w:val="00440234"/>
    <w:rsid w:val="0044073E"/>
    <w:rsid w:val="00440B0D"/>
    <w:rsid w:val="00440E79"/>
    <w:rsid w:val="004427D6"/>
    <w:rsid w:val="004440E3"/>
    <w:rsid w:val="00445B1A"/>
    <w:rsid w:val="0044623C"/>
    <w:rsid w:val="004470D9"/>
    <w:rsid w:val="004504DC"/>
    <w:rsid w:val="0045072B"/>
    <w:rsid w:val="00451E8D"/>
    <w:rsid w:val="00453DB5"/>
    <w:rsid w:val="00460220"/>
    <w:rsid w:val="00462B0E"/>
    <w:rsid w:val="00464460"/>
    <w:rsid w:val="00465281"/>
    <w:rsid w:val="00466985"/>
    <w:rsid w:val="004718E6"/>
    <w:rsid w:val="004723AD"/>
    <w:rsid w:val="00473E60"/>
    <w:rsid w:val="00473FB7"/>
    <w:rsid w:val="00482F41"/>
    <w:rsid w:val="0048436B"/>
    <w:rsid w:val="00484C53"/>
    <w:rsid w:val="00486727"/>
    <w:rsid w:val="0049071D"/>
    <w:rsid w:val="00490A05"/>
    <w:rsid w:val="004920EC"/>
    <w:rsid w:val="004945BD"/>
    <w:rsid w:val="004948E6"/>
    <w:rsid w:val="004A2DBC"/>
    <w:rsid w:val="004A309C"/>
    <w:rsid w:val="004A625E"/>
    <w:rsid w:val="004A6F82"/>
    <w:rsid w:val="004A7960"/>
    <w:rsid w:val="004B0D1B"/>
    <w:rsid w:val="004B116E"/>
    <w:rsid w:val="004B4C3D"/>
    <w:rsid w:val="004B6F8B"/>
    <w:rsid w:val="004C0469"/>
    <w:rsid w:val="004C4283"/>
    <w:rsid w:val="004C5D88"/>
    <w:rsid w:val="004C60CC"/>
    <w:rsid w:val="004C61E4"/>
    <w:rsid w:val="004C6E7D"/>
    <w:rsid w:val="004D054C"/>
    <w:rsid w:val="004D2292"/>
    <w:rsid w:val="004D2F2B"/>
    <w:rsid w:val="004D347B"/>
    <w:rsid w:val="004D36DA"/>
    <w:rsid w:val="004D37B6"/>
    <w:rsid w:val="004D3AA9"/>
    <w:rsid w:val="004D556A"/>
    <w:rsid w:val="004E10BF"/>
    <w:rsid w:val="004E3CC2"/>
    <w:rsid w:val="004E42D2"/>
    <w:rsid w:val="004E45AC"/>
    <w:rsid w:val="004E71D3"/>
    <w:rsid w:val="004E76D5"/>
    <w:rsid w:val="004F00AE"/>
    <w:rsid w:val="004F1FCD"/>
    <w:rsid w:val="004F36BB"/>
    <w:rsid w:val="005005A1"/>
    <w:rsid w:val="00500CE9"/>
    <w:rsid w:val="00500D26"/>
    <w:rsid w:val="00502216"/>
    <w:rsid w:val="005022BD"/>
    <w:rsid w:val="0050757A"/>
    <w:rsid w:val="00507DD0"/>
    <w:rsid w:val="00510CCE"/>
    <w:rsid w:val="005173B5"/>
    <w:rsid w:val="005222E0"/>
    <w:rsid w:val="00524AE5"/>
    <w:rsid w:val="00524BE6"/>
    <w:rsid w:val="0052538C"/>
    <w:rsid w:val="00530865"/>
    <w:rsid w:val="0053518C"/>
    <w:rsid w:val="00537761"/>
    <w:rsid w:val="00541506"/>
    <w:rsid w:val="0054427F"/>
    <w:rsid w:val="00547444"/>
    <w:rsid w:val="005500DC"/>
    <w:rsid w:val="00551507"/>
    <w:rsid w:val="00551AF2"/>
    <w:rsid w:val="005539B6"/>
    <w:rsid w:val="00553DFF"/>
    <w:rsid w:val="0055621C"/>
    <w:rsid w:val="00560879"/>
    <w:rsid w:val="00560C02"/>
    <w:rsid w:val="00561278"/>
    <w:rsid w:val="00562169"/>
    <w:rsid w:val="0056289A"/>
    <w:rsid w:val="0056381B"/>
    <w:rsid w:val="0056442C"/>
    <w:rsid w:val="005705AF"/>
    <w:rsid w:val="005761CA"/>
    <w:rsid w:val="00576E8F"/>
    <w:rsid w:val="00577C87"/>
    <w:rsid w:val="005813E9"/>
    <w:rsid w:val="00581CDD"/>
    <w:rsid w:val="00587FBA"/>
    <w:rsid w:val="0059194E"/>
    <w:rsid w:val="005924BC"/>
    <w:rsid w:val="00593258"/>
    <w:rsid w:val="00594518"/>
    <w:rsid w:val="00596663"/>
    <w:rsid w:val="00596FE1"/>
    <w:rsid w:val="00596FE6"/>
    <w:rsid w:val="00597253"/>
    <w:rsid w:val="005A272A"/>
    <w:rsid w:val="005A4882"/>
    <w:rsid w:val="005A4AD7"/>
    <w:rsid w:val="005A71FA"/>
    <w:rsid w:val="005B22C3"/>
    <w:rsid w:val="005B5126"/>
    <w:rsid w:val="005B5DD8"/>
    <w:rsid w:val="005C03B6"/>
    <w:rsid w:val="005C30B1"/>
    <w:rsid w:val="005C3690"/>
    <w:rsid w:val="005D15B2"/>
    <w:rsid w:val="005D278D"/>
    <w:rsid w:val="005D5E55"/>
    <w:rsid w:val="005D5F38"/>
    <w:rsid w:val="005E1147"/>
    <w:rsid w:val="005E4406"/>
    <w:rsid w:val="005E65CE"/>
    <w:rsid w:val="005F00C7"/>
    <w:rsid w:val="005F1809"/>
    <w:rsid w:val="005F4630"/>
    <w:rsid w:val="005F4DFA"/>
    <w:rsid w:val="00604DEA"/>
    <w:rsid w:val="0060528F"/>
    <w:rsid w:val="00611173"/>
    <w:rsid w:val="0061493B"/>
    <w:rsid w:val="0061623E"/>
    <w:rsid w:val="006168BD"/>
    <w:rsid w:val="006176A9"/>
    <w:rsid w:val="00617BBE"/>
    <w:rsid w:val="006228D2"/>
    <w:rsid w:val="00624414"/>
    <w:rsid w:val="006254D2"/>
    <w:rsid w:val="0063398D"/>
    <w:rsid w:val="0065136B"/>
    <w:rsid w:val="006543F2"/>
    <w:rsid w:val="006579A2"/>
    <w:rsid w:val="0066393E"/>
    <w:rsid w:val="006717C4"/>
    <w:rsid w:val="00674082"/>
    <w:rsid w:val="0067634D"/>
    <w:rsid w:val="00676868"/>
    <w:rsid w:val="0067794F"/>
    <w:rsid w:val="00681B2A"/>
    <w:rsid w:val="00681FA9"/>
    <w:rsid w:val="006836EF"/>
    <w:rsid w:val="006837BE"/>
    <w:rsid w:val="00683C4F"/>
    <w:rsid w:val="00685245"/>
    <w:rsid w:val="006857D7"/>
    <w:rsid w:val="006868A3"/>
    <w:rsid w:val="00693B9D"/>
    <w:rsid w:val="00697D72"/>
    <w:rsid w:val="006A0F89"/>
    <w:rsid w:val="006A1DDE"/>
    <w:rsid w:val="006A1E9A"/>
    <w:rsid w:val="006A321A"/>
    <w:rsid w:val="006A38D9"/>
    <w:rsid w:val="006A49B7"/>
    <w:rsid w:val="006A6D4B"/>
    <w:rsid w:val="006A6EF1"/>
    <w:rsid w:val="006A7C14"/>
    <w:rsid w:val="006B06DB"/>
    <w:rsid w:val="006B1A14"/>
    <w:rsid w:val="006B2080"/>
    <w:rsid w:val="006B30B8"/>
    <w:rsid w:val="006B4F64"/>
    <w:rsid w:val="006B5005"/>
    <w:rsid w:val="006B629A"/>
    <w:rsid w:val="006C0A92"/>
    <w:rsid w:val="006D094A"/>
    <w:rsid w:val="006D2DAB"/>
    <w:rsid w:val="006D4EF4"/>
    <w:rsid w:val="006D5313"/>
    <w:rsid w:val="006E1C37"/>
    <w:rsid w:val="006E2F9B"/>
    <w:rsid w:val="006E4105"/>
    <w:rsid w:val="006E553E"/>
    <w:rsid w:val="006E7845"/>
    <w:rsid w:val="006E7FEA"/>
    <w:rsid w:val="006F1931"/>
    <w:rsid w:val="006F2886"/>
    <w:rsid w:val="006F30E5"/>
    <w:rsid w:val="006F4919"/>
    <w:rsid w:val="006F5228"/>
    <w:rsid w:val="006F7525"/>
    <w:rsid w:val="007074D5"/>
    <w:rsid w:val="007109E4"/>
    <w:rsid w:val="00710D5A"/>
    <w:rsid w:val="007110CB"/>
    <w:rsid w:val="0071292C"/>
    <w:rsid w:val="00712B2E"/>
    <w:rsid w:val="00714AB6"/>
    <w:rsid w:val="007171F7"/>
    <w:rsid w:val="0071796E"/>
    <w:rsid w:val="00717F9E"/>
    <w:rsid w:val="007232EA"/>
    <w:rsid w:val="00727037"/>
    <w:rsid w:val="0072733A"/>
    <w:rsid w:val="0073046B"/>
    <w:rsid w:val="0073203A"/>
    <w:rsid w:val="00733538"/>
    <w:rsid w:val="007338F8"/>
    <w:rsid w:val="00740A58"/>
    <w:rsid w:val="00740BF5"/>
    <w:rsid w:val="00752D98"/>
    <w:rsid w:val="00754984"/>
    <w:rsid w:val="00756B06"/>
    <w:rsid w:val="007608B4"/>
    <w:rsid w:val="00764632"/>
    <w:rsid w:val="00784EF8"/>
    <w:rsid w:val="007914D7"/>
    <w:rsid w:val="00791E1C"/>
    <w:rsid w:val="00793BB6"/>
    <w:rsid w:val="00795F07"/>
    <w:rsid w:val="00797593"/>
    <w:rsid w:val="00797A0D"/>
    <w:rsid w:val="007A38B9"/>
    <w:rsid w:val="007A5E25"/>
    <w:rsid w:val="007A6FB9"/>
    <w:rsid w:val="007A746B"/>
    <w:rsid w:val="007B1312"/>
    <w:rsid w:val="007B1A08"/>
    <w:rsid w:val="007B2C1E"/>
    <w:rsid w:val="007B6D35"/>
    <w:rsid w:val="007B706F"/>
    <w:rsid w:val="007C0402"/>
    <w:rsid w:val="007C1514"/>
    <w:rsid w:val="007C3583"/>
    <w:rsid w:val="007C3EC9"/>
    <w:rsid w:val="007C42EB"/>
    <w:rsid w:val="007C44C4"/>
    <w:rsid w:val="007C56D7"/>
    <w:rsid w:val="007C7E51"/>
    <w:rsid w:val="007D2B88"/>
    <w:rsid w:val="007D3FF1"/>
    <w:rsid w:val="007D6E8F"/>
    <w:rsid w:val="007D7075"/>
    <w:rsid w:val="007E0781"/>
    <w:rsid w:val="007E1A4C"/>
    <w:rsid w:val="007E2D52"/>
    <w:rsid w:val="007E4660"/>
    <w:rsid w:val="007E4CCC"/>
    <w:rsid w:val="007E501F"/>
    <w:rsid w:val="007F27CB"/>
    <w:rsid w:val="007F2B0D"/>
    <w:rsid w:val="007F6D4B"/>
    <w:rsid w:val="007F7D79"/>
    <w:rsid w:val="0080576A"/>
    <w:rsid w:val="00806732"/>
    <w:rsid w:val="00806E9C"/>
    <w:rsid w:val="00807013"/>
    <w:rsid w:val="008074BD"/>
    <w:rsid w:val="008100CF"/>
    <w:rsid w:val="00810477"/>
    <w:rsid w:val="00810EE4"/>
    <w:rsid w:val="00811272"/>
    <w:rsid w:val="00813459"/>
    <w:rsid w:val="008134D2"/>
    <w:rsid w:val="00813A03"/>
    <w:rsid w:val="008151DB"/>
    <w:rsid w:val="00820F32"/>
    <w:rsid w:val="00821C26"/>
    <w:rsid w:val="00822F3F"/>
    <w:rsid w:val="00823817"/>
    <w:rsid w:val="00823B48"/>
    <w:rsid w:val="008323F9"/>
    <w:rsid w:val="00833737"/>
    <w:rsid w:val="008351B2"/>
    <w:rsid w:val="00842C4C"/>
    <w:rsid w:val="00845FD6"/>
    <w:rsid w:val="00846E7A"/>
    <w:rsid w:val="00851890"/>
    <w:rsid w:val="00853F45"/>
    <w:rsid w:val="00856F01"/>
    <w:rsid w:val="00857735"/>
    <w:rsid w:val="00861B5D"/>
    <w:rsid w:val="00862155"/>
    <w:rsid w:val="00864335"/>
    <w:rsid w:val="00864A52"/>
    <w:rsid w:val="008668D9"/>
    <w:rsid w:val="0087370B"/>
    <w:rsid w:val="00873AA9"/>
    <w:rsid w:val="008747B9"/>
    <w:rsid w:val="00874B88"/>
    <w:rsid w:val="008809F4"/>
    <w:rsid w:val="00882BA7"/>
    <w:rsid w:val="0088717B"/>
    <w:rsid w:val="00893433"/>
    <w:rsid w:val="0089532C"/>
    <w:rsid w:val="0089719F"/>
    <w:rsid w:val="008A02B5"/>
    <w:rsid w:val="008A268C"/>
    <w:rsid w:val="008A2D6E"/>
    <w:rsid w:val="008A33F1"/>
    <w:rsid w:val="008A359B"/>
    <w:rsid w:val="008A4F5A"/>
    <w:rsid w:val="008B7D7C"/>
    <w:rsid w:val="008C496E"/>
    <w:rsid w:val="008C5A33"/>
    <w:rsid w:val="008C6192"/>
    <w:rsid w:val="008D2E6E"/>
    <w:rsid w:val="008D3126"/>
    <w:rsid w:val="008D401C"/>
    <w:rsid w:val="008D58AA"/>
    <w:rsid w:val="008D77D7"/>
    <w:rsid w:val="008E0B74"/>
    <w:rsid w:val="008E31D7"/>
    <w:rsid w:val="008E3BF1"/>
    <w:rsid w:val="008F0E8B"/>
    <w:rsid w:val="008F176E"/>
    <w:rsid w:val="008F19ED"/>
    <w:rsid w:val="008F3AEF"/>
    <w:rsid w:val="008F41AD"/>
    <w:rsid w:val="008F68E9"/>
    <w:rsid w:val="00900376"/>
    <w:rsid w:val="009012FF"/>
    <w:rsid w:val="00906AB6"/>
    <w:rsid w:val="00906C2F"/>
    <w:rsid w:val="009111BB"/>
    <w:rsid w:val="009116C4"/>
    <w:rsid w:val="00913FA8"/>
    <w:rsid w:val="00914D12"/>
    <w:rsid w:val="009153F3"/>
    <w:rsid w:val="00916B0B"/>
    <w:rsid w:val="0091710C"/>
    <w:rsid w:val="0092502B"/>
    <w:rsid w:val="00930C91"/>
    <w:rsid w:val="009317E7"/>
    <w:rsid w:val="00932323"/>
    <w:rsid w:val="0093349B"/>
    <w:rsid w:val="0093362D"/>
    <w:rsid w:val="00940A61"/>
    <w:rsid w:val="009414AA"/>
    <w:rsid w:val="00942076"/>
    <w:rsid w:val="00942CF6"/>
    <w:rsid w:val="009431ED"/>
    <w:rsid w:val="00947EF1"/>
    <w:rsid w:val="00951EF7"/>
    <w:rsid w:val="0095223D"/>
    <w:rsid w:val="00953AF2"/>
    <w:rsid w:val="009557A3"/>
    <w:rsid w:val="00956712"/>
    <w:rsid w:val="00960FC6"/>
    <w:rsid w:val="00961D86"/>
    <w:rsid w:val="0096549E"/>
    <w:rsid w:val="009664D8"/>
    <w:rsid w:val="00972321"/>
    <w:rsid w:val="00972388"/>
    <w:rsid w:val="009738F6"/>
    <w:rsid w:val="00973BB6"/>
    <w:rsid w:val="009816BD"/>
    <w:rsid w:val="009820F2"/>
    <w:rsid w:val="0098401E"/>
    <w:rsid w:val="009847A3"/>
    <w:rsid w:val="00986FC8"/>
    <w:rsid w:val="0099063C"/>
    <w:rsid w:val="009931B4"/>
    <w:rsid w:val="0099523C"/>
    <w:rsid w:val="00995BF8"/>
    <w:rsid w:val="00996C53"/>
    <w:rsid w:val="00996EBB"/>
    <w:rsid w:val="009A1AC1"/>
    <w:rsid w:val="009A1BED"/>
    <w:rsid w:val="009A1FC8"/>
    <w:rsid w:val="009A3B6B"/>
    <w:rsid w:val="009A550D"/>
    <w:rsid w:val="009A5D7D"/>
    <w:rsid w:val="009B20AC"/>
    <w:rsid w:val="009C050D"/>
    <w:rsid w:val="009C0C4E"/>
    <w:rsid w:val="009C0C9B"/>
    <w:rsid w:val="009C2DAC"/>
    <w:rsid w:val="009C535A"/>
    <w:rsid w:val="009D1325"/>
    <w:rsid w:val="009D28D1"/>
    <w:rsid w:val="009D2ADF"/>
    <w:rsid w:val="009D52D6"/>
    <w:rsid w:val="009D76CA"/>
    <w:rsid w:val="009E2BC4"/>
    <w:rsid w:val="009E2BFE"/>
    <w:rsid w:val="009E2DBC"/>
    <w:rsid w:val="009E47C4"/>
    <w:rsid w:val="009E6F45"/>
    <w:rsid w:val="009F0001"/>
    <w:rsid w:val="009F07A9"/>
    <w:rsid w:val="009F1129"/>
    <w:rsid w:val="009F17BD"/>
    <w:rsid w:val="009F4783"/>
    <w:rsid w:val="00A0351F"/>
    <w:rsid w:val="00A067DE"/>
    <w:rsid w:val="00A072FB"/>
    <w:rsid w:val="00A07927"/>
    <w:rsid w:val="00A10E4E"/>
    <w:rsid w:val="00A1105F"/>
    <w:rsid w:val="00A11190"/>
    <w:rsid w:val="00A15329"/>
    <w:rsid w:val="00A17970"/>
    <w:rsid w:val="00A22A1B"/>
    <w:rsid w:val="00A2388F"/>
    <w:rsid w:val="00A25D2B"/>
    <w:rsid w:val="00A31EEB"/>
    <w:rsid w:val="00A357B8"/>
    <w:rsid w:val="00A37E9C"/>
    <w:rsid w:val="00A40159"/>
    <w:rsid w:val="00A41135"/>
    <w:rsid w:val="00A42360"/>
    <w:rsid w:val="00A45602"/>
    <w:rsid w:val="00A45C25"/>
    <w:rsid w:val="00A47359"/>
    <w:rsid w:val="00A506DD"/>
    <w:rsid w:val="00A53866"/>
    <w:rsid w:val="00A60FE7"/>
    <w:rsid w:val="00A6717A"/>
    <w:rsid w:val="00A67844"/>
    <w:rsid w:val="00A725A8"/>
    <w:rsid w:val="00A746B0"/>
    <w:rsid w:val="00A75913"/>
    <w:rsid w:val="00A76016"/>
    <w:rsid w:val="00A768DA"/>
    <w:rsid w:val="00A930E3"/>
    <w:rsid w:val="00A97A6A"/>
    <w:rsid w:val="00AB1A8D"/>
    <w:rsid w:val="00AB243D"/>
    <w:rsid w:val="00AB69F6"/>
    <w:rsid w:val="00AC1EEA"/>
    <w:rsid w:val="00AC2A9D"/>
    <w:rsid w:val="00AC2EF9"/>
    <w:rsid w:val="00AC5A1F"/>
    <w:rsid w:val="00AC7DC2"/>
    <w:rsid w:val="00AD07F4"/>
    <w:rsid w:val="00AD11EB"/>
    <w:rsid w:val="00AD5D55"/>
    <w:rsid w:val="00AE0465"/>
    <w:rsid w:val="00AE4E87"/>
    <w:rsid w:val="00AE6815"/>
    <w:rsid w:val="00AF3237"/>
    <w:rsid w:val="00AF659D"/>
    <w:rsid w:val="00AF7564"/>
    <w:rsid w:val="00B00ADD"/>
    <w:rsid w:val="00B00F3E"/>
    <w:rsid w:val="00B02247"/>
    <w:rsid w:val="00B026B1"/>
    <w:rsid w:val="00B02EC9"/>
    <w:rsid w:val="00B1058C"/>
    <w:rsid w:val="00B11A83"/>
    <w:rsid w:val="00B133C5"/>
    <w:rsid w:val="00B13847"/>
    <w:rsid w:val="00B1463D"/>
    <w:rsid w:val="00B146E1"/>
    <w:rsid w:val="00B14D47"/>
    <w:rsid w:val="00B1521F"/>
    <w:rsid w:val="00B153AC"/>
    <w:rsid w:val="00B17D10"/>
    <w:rsid w:val="00B228A9"/>
    <w:rsid w:val="00B2493A"/>
    <w:rsid w:val="00B2502B"/>
    <w:rsid w:val="00B250AE"/>
    <w:rsid w:val="00B25BFF"/>
    <w:rsid w:val="00B300E2"/>
    <w:rsid w:val="00B3051C"/>
    <w:rsid w:val="00B307D7"/>
    <w:rsid w:val="00B323F1"/>
    <w:rsid w:val="00B34F5E"/>
    <w:rsid w:val="00B36A1D"/>
    <w:rsid w:val="00B37C52"/>
    <w:rsid w:val="00B4015D"/>
    <w:rsid w:val="00B41E9F"/>
    <w:rsid w:val="00B43A62"/>
    <w:rsid w:val="00B444D5"/>
    <w:rsid w:val="00B448BE"/>
    <w:rsid w:val="00B44A67"/>
    <w:rsid w:val="00B44C75"/>
    <w:rsid w:val="00B46B54"/>
    <w:rsid w:val="00B5283F"/>
    <w:rsid w:val="00B56811"/>
    <w:rsid w:val="00B5750C"/>
    <w:rsid w:val="00B57CF4"/>
    <w:rsid w:val="00B62FCE"/>
    <w:rsid w:val="00B6336B"/>
    <w:rsid w:val="00B63936"/>
    <w:rsid w:val="00B66DC4"/>
    <w:rsid w:val="00B67ADC"/>
    <w:rsid w:val="00B67FB8"/>
    <w:rsid w:val="00B76EAB"/>
    <w:rsid w:val="00B812B1"/>
    <w:rsid w:val="00B828AB"/>
    <w:rsid w:val="00B86606"/>
    <w:rsid w:val="00B87E9C"/>
    <w:rsid w:val="00B917A5"/>
    <w:rsid w:val="00BA2096"/>
    <w:rsid w:val="00BA2321"/>
    <w:rsid w:val="00BA53FB"/>
    <w:rsid w:val="00BA7600"/>
    <w:rsid w:val="00BB0D52"/>
    <w:rsid w:val="00BB30BF"/>
    <w:rsid w:val="00BB34C7"/>
    <w:rsid w:val="00BB3D01"/>
    <w:rsid w:val="00BB57E9"/>
    <w:rsid w:val="00BB6EFC"/>
    <w:rsid w:val="00BB763E"/>
    <w:rsid w:val="00BC1BF8"/>
    <w:rsid w:val="00BC496A"/>
    <w:rsid w:val="00BC5637"/>
    <w:rsid w:val="00BC571D"/>
    <w:rsid w:val="00BC628C"/>
    <w:rsid w:val="00BC734E"/>
    <w:rsid w:val="00BD03C7"/>
    <w:rsid w:val="00BD168F"/>
    <w:rsid w:val="00BD2C4F"/>
    <w:rsid w:val="00BD4372"/>
    <w:rsid w:val="00BD7536"/>
    <w:rsid w:val="00BD7835"/>
    <w:rsid w:val="00BE01ED"/>
    <w:rsid w:val="00BE025C"/>
    <w:rsid w:val="00BE0BDC"/>
    <w:rsid w:val="00BE28A0"/>
    <w:rsid w:val="00BE5080"/>
    <w:rsid w:val="00BE541D"/>
    <w:rsid w:val="00BE733D"/>
    <w:rsid w:val="00BE7E49"/>
    <w:rsid w:val="00BF2D88"/>
    <w:rsid w:val="00BF45DE"/>
    <w:rsid w:val="00BF4B2E"/>
    <w:rsid w:val="00BF507E"/>
    <w:rsid w:val="00C02450"/>
    <w:rsid w:val="00C054C3"/>
    <w:rsid w:val="00C07E23"/>
    <w:rsid w:val="00C12207"/>
    <w:rsid w:val="00C12222"/>
    <w:rsid w:val="00C1645C"/>
    <w:rsid w:val="00C2046B"/>
    <w:rsid w:val="00C22C0C"/>
    <w:rsid w:val="00C26843"/>
    <w:rsid w:val="00C30AE0"/>
    <w:rsid w:val="00C423B8"/>
    <w:rsid w:val="00C43301"/>
    <w:rsid w:val="00C43D3C"/>
    <w:rsid w:val="00C46781"/>
    <w:rsid w:val="00C47691"/>
    <w:rsid w:val="00C511A2"/>
    <w:rsid w:val="00C530A2"/>
    <w:rsid w:val="00C53491"/>
    <w:rsid w:val="00C55067"/>
    <w:rsid w:val="00C55DBD"/>
    <w:rsid w:val="00C62A0F"/>
    <w:rsid w:val="00C644CC"/>
    <w:rsid w:val="00C66AB2"/>
    <w:rsid w:val="00C66D3A"/>
    <w:rsid w:val="00C731E3"/>
    <w:rsid w:val="00C73E20"/>
    <w:rsid w:val="00C759E2"/>
    <w:rsid w:val="00C76E82"/>
    <w:rsid w:val="00C8087D"/>
    <w:rsid w:val="00C83917"/>
    <w:rsid w:val="00C85E51"/>
    <w:rsid w:val="00C87A6F"/>
    <w:rsid w:val="00C93D15"/>
    <w:rsid w:val="00C93F88"/>
    <w:rsid w:val="00C94A2A"/>
    <w:rsid w:val="00CA159A"/>
    <w:rsid w:val="00CB53CC"/>
    <w:rsid w:val="00CB5E0B"/>
    <w:rsid w:val="00CC6230"/>
    <w:rsid w:val="00CD4ED4"/>
    <w:rsid w:val="00CE12C5"/>
    <w:rsid w:val="00CE2433"/>
    <w:rsid w:val="00CE41E2"/>
    <w:rsid w:val="00CE6DA1"/>
    <w:rsid w:val="00CF21DE"/>
    <w:rsid w:val="00CF28BA"/>
    <w:rsid w:val="00CF2971"/>
    <w:rsid w:val="00CF2DB6"/>
    <w:rsid w:val="00CF60A9"/>
    <w:rsid w:val="00D01B77"/>
    <w:rsid w:val="00D05D8F"/>
    <w:rsid w:val="00D13B19"/>
    <w:rsid w:val="00D22ABD"/>
    <w:rsid w:val="00D26860"/>
    <w:rsid w:val="00D30E53"/>
    <w:rsid w:val="00D32909"/>
    <w:rsid w:val="00D42C34"/>
    <w:rsid w:val="00D4320D"/>
    <w:rsid w:val="00D46033"/>
    <w:rsid w:val="00D51CFC"/>
    <w:rsid w:val="00D548F5"/>
    <w:rsid w:val="00D54E87"/>
    <w:rsid w:val="00D60D27"/>
    <w:rsid w:val="00D61A5A"/>
    <w:rsid w:val="00D63F43"/>
    <w:rsid w:val="00D643D0"/>
    <w:rsid w:val="00D66BB2"/>
    <w:rsid w:val="00D66E1A"/>
    <w:rsid w:val="00D678A4"/>
    <w:rsid w:val="00D713D2"/>
    <w:rsid w:val="00D802D2"/>
    <w:rsid w:val="00D808D8"/>
    <w:rsid w:val="00D812CD"/>
    <w:rsid w:val="00D832EF"/>
    <w:rsid w:val="00D857F3"/>
    <w:rsid w:val="00D870CE"/>
    <w:rsid w:val="00D91C69"/>
    <w:rsid w:val="00D93BAD"/>
    <w:rsid w:val="00D93E6A"/>
    <w:rsid w:val="00D9505B"/>
    <w:rsid w:val="00DA2287"/>
    <w:rsid w:val="00DA2B4D"/>
    <w:rsid w:val="00DA30E1"/>
    <w:rsid w:val="00DA5D10"/>
    <w:rsid w:val="00DA6357"/>
    <w:rsid w:val="00DB4FBD"/>
    <w:rsid w:val="00DC4E99"/>
    <w:rsid w:val="00DC7AC0"/>
    <w:rsid w:val="00DD0CDE"/>
    <w:rsid w:val="00DD2B13"/>
    <w:rsid w:val="00DD4BDB"/>
    <w:rsid w:val="00DD5D66"/>
    <w:rsid w:val="00DD6934"/>
    <w:rsid w:val="00DE26D3"/>
    <w:rsid w:val="00DE4698"/>
    <w:rsid w:val="00DE7EEB"/>
    <w:rsid w:val="00DF35CA"/>
    <w:rsid w:val="00E00192"/>
    <w:rsid w:val="00E04359"/>
    <w:rsid w:val="00E06D0D"/>
    <w:rsid w:val="00E1246F"/>
    <w:rsid w:val="00E16262"/>
    <w:rsid w:val="00E16F7A"/>
    <w:rsid w:val="00E17A2F"/>
    <w:rsid w:val="00E20E0B"/>
    <w:rsid w:val="00E263D8"/>
    <w:rsid w:val="00E30363"/>
    <w:rsid w:val="00E3084C"/>
    <w:rsid w:val="00E3086E"/>
    <w:rsid w:val="00E30938"/>
    <w:rsid w:val="00E4047C"/>
    <w:rsid w:val="00E4099B"/>
    <w:rsid w:val="00E449CA"/>
    <w:rsid w:val="00E479E8"/>
    <w:rsid w:val="00E47F0F"/>
    <w:rsid w:val="00E52146"/>
    <w:rsid w:val="00E52784"/>
    <w:rsid w:val="00E52913"/>
    <w:rsid w:val="00E547BD"/>
    <w:rsid w:val="00E570D9"/>
    <w:rsid w:val="00E61C96"/>
    <w:rsid w:val="00E6346C"/>
    <w:rsid w:val="00E63660"/>
    <w:rsid w:val="00E64BE0"/>
    <w:rsid w:val="00E669C2"/>
    <w:rsid w:val="00E67866"/>
    <w:rsid w:val="00E67D81"/>
    <w:rsid w:val="00E7604F"/>
    <w:rsid w:val="00E81F22"/>
    <w:rsid w:val="00E82EBE"/>
    <w:rsid w:val="00E835D2"/>
    <w:rsid w:val="00E86E86"/>
    <w:rsid w:val="00E8720D"/>
    <w:rsid w:val="00E87713"/>
    <w:rsid w:val="00E87B65"/>
    <w:rsid w:val="00E918AB"/>
    <w:rsid w:val="00E97E2C"/>
    <w:rsid w:val="00EA3F0D"/>
    <w:rsid w:val="00EA617A"/>
    <w:rsid w:val="00EA6341"/>
    <w:rsid w:val="00EB0DCF"/>
    <w:rsid w:val="00EB0E52"/>
    <w:rsid w:val="00EB23C7"/>
    <w:rsid w:val="00EB3DF2"/>
    <w:rsid w:val="00EB64DA"/>
    <w:rsid w:val="00EC18F9"/>
    <w:rsid w:val="00EC5FE1"/>
    <w:rsid w:val="00EC60A1"/>
    <w:rsid w:val="00EC651F"/>
    <w:rsid w:val="00ED0E82"/>
    <w:rsid w:val="00ED34DE"/>
    <w:rsid w:val="00EE0CBD"/>
    <w:rsid w:val="00EE1136"/>
    <w:rsid w:val="00EE2905"/>
    <w:rsid w:val="00EE30F1"/>
    <w:rsid w:val="00EE3C30"/>
    <w:rsid w:val="00EE7A91"/>
    <w:rsid w:val="00EF3144"/>
    <w:rsid w:val="00EF39F6"/>
    <w:rsid w:val="00EF4FE4"/>
    <w:rsid w:val="00EF67D3"/>
    <w:rsid w:val="00EF75C4"/>
    <w:rsid w:val="00F01DB2"/>
    <w:rsid w:val="00F10921"/>
    <w:rsid w:val="00F123B3"/>
    <w:rsid w:val="00F1250C"/>
    <w:rsid w:val="00F17A45"/>
    <w:rsid w:val="00F20645"/>
    <w:rsid w:val="00F20ED8"/>
    <w:rsid w:val="00F2575E"/>
    <w:rsid w:val="00F359AA"/>
    <w:rsid w:val="00F35EE3"/>
    <w:rsid w:val="00F362E1"/>
    <w:rsid w:val="00F37922"/>
    <w:rsid w:val="00F46602"/>
    <w:rsid w:val="00F466DC"/>
    <w:rsid w:val="00F4709B"/>
    <w:rsid w:val="00F47C62"/>
    <w:rsid w:val="00F550DC"/>
    <w:rsid w:val="00F57CD9"/>
    <w:rsid w:val="00F66E19"/>
    <w:rsid w:val="00F672B0"/>
    <w:rsid w:val="00F70554"/>
    <w:rsid w:val="00F72804"/>
    <w:rsid w:val="00F728E8"/>
    <w:rsid w:val="00F746D1"/>
    <w:rsid w:val="00F801CC"/>
    <w:rsid w:val="00F81F6D"/>
    <w:rsid w:val="00F831FB"/>
    <w:rsid w:val="00F83551"/>
    <w:rsid w:val="00F8590E"/>
    <w:rsid w:val="00F85BF1"/>
    <w:rsid w:val="00F916E0"/>
    <w:rsid w:val="00F92FFA"/>
    <w:rsid w:val="00F9652A"/>
    <w:rsid w:val="00F9663F"/>
    <w:rsid w:val="00F96E23"/>
    <w:rsid w:val="00FA37D6"/>
    <w:rsid w:val="00FA4844"/>
    <w:rsid w:val="00FB08B5"/>
    <w:rsid w:val="00FB0DD9"/>
    <w:rsid w:val="00FB1CA4"/>
    <w:rsid w:val="00FB4766"/>
    <w:rsid w:val="00FB6D38"/>
    <w:rsid w:val="00FC08E0"/>
    <w:rsid w:val="00FC1332"/>
    <w:rsid w:val="00FC2C3D"/>
    <w:rsid w:val="00FC2DB7"/>
    <w:rsid w:val="00FD0490"/>
    <w:rsid w:val="00FD0716"/>
    <w:rsid w:val="00FD0F8E"/>
    <w:rsid w:val="00FD298B"/>
    <w:rsid w:val="00FD396C"/>
    <w:rsid w:val="00FD59F0"/>
    <w:rsid w:val="00FD5F7C"/>
    <w:rsid w:val="00FD6FFC"/>
    <w:rsid w:val="00FD7B50"/>
    <w:rsid w:val="00FE06CE"/>
    <w:rsid w:val="00FE3CF5"/>
    <w:rsid w:val="00FE42E0"/>
    <w:rsid w:val="00FE45D9"/>
    <w:rsid w:val="00FE5DE6"/>
    <w:rsid w:val="00FE73D0"/>
    <w:rsid w:val="00FF06C5"/>
    <w:rsid w:val="00FF1ACA"/>
    <w:rsid w:val="00FF233D"/>
    <w:rsid w:val="00FF5319"/>
    <w:rsid w:val="00FF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8548"/>
  <w15:chartTrackingRefBased/>
  <w15:docId w15:val="{8C378EA3-74DF-4498-AFBA-DAE3C101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6"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BB57E9"/>
    <w:pPr>
      <w:spacing w:after="0" w:line="240" w:lineRule="auto"/>
    </w:pPr>
    <w:rPr>
      <w:kern w:val="0"/>
      <w14:ligatures w14:val="none"/>
    </w:rPr>
  </w:style>
  <w:style w:type="paragraph" w:styleId="Heading1">
    <w:name w:val="heading 1"/>
    <w:basedOn w:val="Normal"/>
    <w:next w:val="Normal"/>
    <w:link w:val="Heading1Char"/>
    <w:uiPriority w:val="9"/>
    <w:qFormat/>
    <w:rsid w:val="00044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4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4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3"/>
    <w:unhideWhenUsed/>
    <w:qFormat/>
    <w:rsid w:val="00044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E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E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E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E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EE8"/>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044EE8"/>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rsid w:val="00044EE8"/>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3"/>
    <w:rsid w:val="00044EE8"/>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044EE8"/>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044EE8"/>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044EE8"/>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044EE8"/>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044EE8"/>
    <w:rPr>
      <w:rFonts w:eastAsiaTheme="majorEastAsia" w:cstheme="majorBidi"/>
      <w:noProof/>
      <w:color w:val="272727" w:themeColor="text1" w:themeTint="D8"/>
    </w:rPr>
  </w:style>
  <w:style w:type="paragraph" w:styleId="Title">
    <w:name w:val="Title"/>
    <w:basedOn w:val="Normal"/>
    <w:next w:val="Normal"/>
    <w:link w:val="TitleChar"/>
    <w:uiPriority w:val="10"/>
    <w:qFormat/>
    <w:rsid w:val="00044E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EE8"/>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044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EE8"/>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044EE8"/>
    <w:pPr>
      <w:spacing w:before="160"/>
      <w:jc w:val="center"/>
    </w:pPr>
    <w:rPr>
      <w:i/>
      <w:iCs/>
      <w:color w:val="404040" w:themeColor="text1" w:themeTint="BF"/>
    </w:rPr>
  </w:style>
  <w:style w:type="character" w:customStyle="1" w:styleId="QuoteChar">
    <w:name w:val="Quote Char"/>
    <w:basedOn w:val="DefaultParagraphFont"/>
    <w:link w:val="Quote"/>
    <w:uiPriority w:val="29"/>
    <w:rsid w:val="00044EE8"/>
    <w:rPr>
      <w:i/>
      <w:iCs/>
      <w:noProof/>
      <w:color w:val="404040" w:themeColor="text1" w:themeTint="BF"/>
    </w:rPr>
  </w:style>
  <w:style w:type="paragraph" w:styleId="ListParagraph">
    <w:name w:val="List Paragraph"/>
    <w:basedOn w:val="Normal"/>
    <w:uiPriority w:val="34"/>
    <w:qFormat/>
    <w:rsid w:val="00044EE8"/>
    <w:pPr>
      <w:ind w:left="720"/>
      <w:contextualSpacing/>
    </w:pPr>
  </w:style>
  <w:style w:type="character" w:styleId="IntenseEmphasis">
    <w:name w:val="Intense Emphasis"/>
    <w:basedOn w:val="DefaultParagraphFont"/>
    <w:uiPriority w:val="21"/>
    <w:qFormat/>
    <w:rsid w:val="00044EE8"/>
    <w:rPr>
      <w:i/>
      <w:iCs/>
      <w:color w:val="0F4761" w:themeColor="accent1" w:themeShade="BF"/>
    </w:rPr>
  </w:style>
  <w:style w:type="paragraph" w:styleId="IntenseQuote">
    <w:name w:val="Intense Quote"/>
    <w:basedOn w:val="Normal"/>
    <w:next w:val="Normal"/>
    <w:link w:val="IntenseQuoteChar"/>
    <w:uiPriority w:val="30"/>
    <w:qFormat/>
    <w:rsid w:val="00044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EE8"/>
    <w:rPr>
      <w:i/>
      <w:iCs/>
      <w:noProof/>
      <w:color w:val="0F4761" w:themeColor="accent1" w:themeShade="BF"/>
    </w:rPr>
  </w:style>
  <w:style w:type="character" w:styleId="IntenseReference">
    <w:name w:val="Intense Reference"/>
    <w:basedOn w:val="DefaultParagraphFont"/>
    <w:uiPriority w:val="32"/>
    <w:qFormat/>
    <w:rsid w:val="00044EE8"/>
    <w:rPr>
      <w:b/>
      <w:bCs/>
      <w:smallCaps/>
      <w:color w:val="0F4761" w:themeColor="accent1" w:themeShade="BF"/>
      <w:spacing w:val="5"/>
    </w:rPr>
  </w:style>
  <w:style w:type="paragraph" w:styleId="BodyText">
    <w:name w:val="Body Text"/>
    <w:basedOn w:val="Normal"/>
    <w:link w:val="BodyTextChar"/>
    <w:uiPriority w:val="99"/>
    <w:semiHidden/>
    <w:rsid w:val="00BD7536"/>
    <w:pPr>
      <w:ind w:right="-2659"/>
    </w:pPr>
    <w:rPr>
      <w:rFonts w:ascii="Aptos" w:hAnsi="Aptos"/>
      <w:color w:val="000000"/>
    </w:rPr>
  </w:style>
  <w:style w:type="character" w:customStyle="1" w:styleId="BodyTextChar">
    <w:name w:val="Body Text Char"/>
    <w:basedOn w:val="DefaultParagraphFont"/>
    <w:link w:val="BodyText"/>
    <w:uiPriority w:val="99"/>
    <w:semiHidden/>
    <w:rsid w:val="00BD7536"/>
    <w:rPr>
      <w:rFonts w:ascii="Aptos" w:hAnsi="Aptos"/>
      <w:color w:val="000000"/>
      <w:kern w:val="0"/>
      <w14:ligatures w14:val="none"/>
    </w:rPr>
  </w:style>
  <w:style w:type="paragraph" w:styleId="BodyTextIndent">
    <w:name w:val="Body Text Indent"/>
    <w:basedOn w:val="Normal"/>
    <w:link w:val="BodyTextIndentChar"/>
    <w:uiPriority w:val="99"/>
    <w:unhideWhenUsed/>
    <w:rsid w:val="000478EB"/>
    <w:pPr>
      <w:spacing w:before="240"/>
      <w:ind w:left="1008"/>
    </w:pPr>
    <w:rPr>
      <w:color w:val="FFFFFF" w:themeColor="background1"/>
      <w:sz w:val="21"/>
      <w:szCs w:val="21"/>
    </w:rPr>
  </w:style>
  <w:style w:type="character" w:customStyle="1" w:styleId="BodyTextIndentChar">
    <w:name w:val="Body Text Indent Char"/>
    <w:basedOn w:val="DefaultParagraphFont"/>
    <w:link w:val="BodyTextIndent"/>
    <w:uiPriority w:val="99"/>
    <w:rsid w:val="000478EB"/>
    <w:rPr>
      <w:color w:val="FFFFFF" w:themeColor="background1"/>
      <w:kern w:val="0"/>
      <w:sz w:val="21"/>
      <w:szCs w:val="21"/>
      <w14:ligatures w14:val="none"/>
    </w:rPr>
  </w:style>
  <w:style w:type="paragraph" w:styleId="BodyText2">
    <w:name w:val="Body Text 2"/>
    <w:basedOn w:val="Normal"/>
    <w:link w:val="BodyText2Char"/>
    <w:uiPriority w:val="99"/>
    <w:unhideWhenUsed/>
    <w:rsid w:val="00B026B1"/>
    <w:pPr>
      <w:spacing w:line="480" w:lineRule="auto"/>
    </w:pPr>
    <w:rPr>
      <w:rFonts w:ascii="Arial" w:hAnsi="Arial" w:cs="Arial"/>
      <w:color w:val="000000"/>
    </w:rPr>
  </w:style>
  <w:style w:type="character" w:customStyle="1" w:styleId="BodyText2Char">
    <w:name w:val="Body Text 2 Char"/>
    <w:basedOn w:val="DefaultParagraphFont"/>
    <w:link w:val="BodyText2"/>
    <w:uiPriority w:val="99"/>
    <w:rsid w:val="00B026B1"/>
    <w:rPr>
      <w:rFonts w:ascii="Arial" w:hAnsi="Arial" w:cs="Arial"/>
      <w:color w:val="000000"/>
      <w:kern w:val="0"/>
      <w14:ligatures w14:val="none"/>
    </w:rPr>
  </w:style>
  <w:style w:type="character" w:styleId="Hyperlink">
    <w:name w:val="Hyperlink"/>
    <w:basedOn w:val="DefaultParagraphFont"/>
    <w:uiPriority w:val="99"/>
    <w:unhideWhenUsed/>
    <w:rsid w:val="005A4882"/>
    <w:rPr>
      <w:color w:val="467886" w:themeColor="hyperlink"/>
      <w:u w:val="single"/>
    </w:rPr>
  </w:style>
  <w:style w:type="character" w:styleId="UnresolvedMention">
    <w:name w:val="Unresolved Mention"/>
    <w:basedOn w:val="DefaultParagraphFont"/>
    <w:uiPriority w:val="99"/>
    <w:semiHidden/>
    <w:unhideWhenUsed/>
    <w:rsid w:val="005A4882"/>
    <w:rPr>
      <w:color w:val="605E5C"/>
      <w:shd w:val="clear" w:color="auto" w:fill="E1DFDD"/>
    </w:rPr>
  </w:style>
  <w:style w:type="paragraph" w:styleId="BodyText3">
    <w:name w:val="Body Text 3"/>
    <w:basedOn w:val="Normal"/>
    <w:link w:val="BodyText3Char"/>
    <w:uiPriority w:val="99"/>
    <w:unhideWhenUsed/>
    <w:rsid w:val="009A1AC1"/>
    <w:pPr>
      <w:spacing w:line="480" w:lineRule="auto"/>
    </w:pPr>
    <w:rPr>
      <w:rFonts w:ascii="Arial Black" w:hAnsi="Arial Black" w:cs="Arial"/>
      <w:color w:val="153D63" w:themeColor="text2" w:themeTint="E6"/>
      <w:sz w:val="32"/>
      <w:szCs w:val="32"/>
    </w:rPr>
  </w:style>
  <w:style w:type="character" w:customStyle="1" w:styleId="BodyText3Char">
    <w:name w:val="Body Text 3 Char"/>
    <w:basedOn w:val="DefaultParagraphFont"/>
    <w:link w:val="BodyText3"/>
    <w:uiPriority w:val="99"/>
    <w:rsid w:val="009A1AC1"/>
    <w:rPr>
      <w:rFonts w:ascii="Arial Black" w:hAnsi="Arial Black" w:cs="Arial"/>
      <w:color w:val="153D63" w:themeColor="text2" w:themeTint="E6"/>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To understand how inadequate handwashing techniques led to a serious outbreak of infection amongst patients receiving care from District Nurses in their own homes.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24</Pages>
  <Words>4304</Words>
  <Characters>24538</Characters>
  <Application>Microsoft Office Word</Application>
  <DocSecurity>0</DocSecurity>
  <Lines>204</Lines>
  <Paragraphs>57</Paragraphs>
  <ScaleCrop>false</ScaleCrop>
  <Company/>
  <LinksUpToDate>false</LinksUpToDate>
  <CharactersWithSpaces>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report</dc:title>
  <dc:subject>Analysis &amp; Recommendations</dc:subject>
  <dc:creator>michele bradley</dc:creator>
  <cp:keywords/>
  <dc:description/>
  <cp:lastModifiedBy>michele bradley</cp:lastModifiedBy>
  <cp:revision>515</cp:revision>
  <dcterms:created xsi:type="dcterms:W3CDTF">2026-04-25T10:14:00Z</dcterms:created>
  <dcterms:modified xsi:type="dcterms:W3CDTF">2026-05-03T12:24:00Z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ca9e399f-d654-4a4b-9def-6c7fad6b7090</vt:lpwstr>
  </property>
</Properties>
</file>