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C148B" w14:textId="280F9AC8" w:rsidR="00A929BF" w:rsidRDefault="00A070A0">
      <w:r>
        <w:rPr>
          <w:noProof/>
        </w:rPr>
        <w:drawing>
          <wp:inline distT="0" distB="0" distL="0" distR="0" wp14:anchorId="79B1ACD1" wp14:editId="4545F5E8">
            <wp:extent cx="3487281" cy="2356793"/>
            <wp:effectExtent l="0" t="0" r="0" b="5715"/>
            <wp:docPr id="827381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381722" name="Picture 82738172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90798" cy="2359170"/>
                    </a:xfrm>
                    <a:prstGeom prst="rect">
                      <a:avLst/>
                    </a:prstGeom>
                  </pic:spPr>
                </pic:pic>
              </a:graphicData>
            </a:graphic>
          </wp:inline>
        </w:drawing>
      </w:r>
    </w:p>
    <w:p w14:paraId="509E87F2" w14:textId="77777777" w:rsidR="00A070A0" w:rsidRDefault="00A070A0"/>
    <w:p w14:paraId="56133E8B" w14:textId="77777777" w:rsidR="00A070A0" w:rsidRDefault="00A070A0"/>
    <w:p w14:paraId="01E91A78" w14:textId="4E05830B" w:rsidR="00A070A0" w:rsidRPr="003B03FA" w:rsidRDefault="00A070A0" w:rsidP="003B03FA">
      <w:pPr>
        <w:jc w:val="center"/>
        <w:rPr>
          <w:b/>
          <w:bCs/>
          <w:sz w:val="28"/>
          <w:szCs w:val="28"/>
        </w:rPr>
      </w:pPr>
      <w:r w:rsidRPr="003B03FA">
        <w:rPr>
          <w:b/>
          <w:bCs/>
          <w:sz w:val="28"/>
          <w:szCs w:val="28"/>
        </w:rPr>
        <w:t>STUDENT NAME: SABIN GHEORGHE</w:t>
      </w:r>
    </w:p>
    <w:p w14:paraId="043CEE9F" w14:textId="053B2D9A" w:rsidR="00A070A0" w:rsidRPr="003B03FA" w:rsidRDefault="00A070A0" w:rsidP="003B03FA">
      <w:pPr>
        <w:jc w:val="center"/>
        <w:rPr>
          <w:b/>
          <w:bCs/>
          <w:sz w:val="28"/>
          <w:szCs w:val="28"/>
        </w:rPr>
      </w:pPr>
      <w:r w:rsidRPr="003B03FA">
        <w:rPr>
          <w:b/>
          <w:bCs/>
          <w:sz w:val="28"/>
          <w:szCs w:val="28"/>
        </w:rPr>
        <w:t>STUDENT ID: 2213752</w:t>
      </w:r>
    </w:p>
    <w:p w14:paraId="43B5B702" w14:textId="36920E5B" w:rsidR="00A070A0" w:rsidRPr="003B03FA" w:rsidRDefault="00A070A0" w:rsidP="003B03FA">
      <w:pPr>
        <w:jc w:val="center"/>
        <w:rPr>
          <w:b/>
          <w:bCs/>
          <w:sz w:val="28"/>
          <w:szCs w:val="28"/>
        </w:rPr>
      </w:pPr>
      <w:r w:rsidRPr="003B03FA">
        <w:rPr>
          <w:b/>
          <w:bCs/>
          <w:sz w:val="28"/>
          <w:szCs w:val="28"/>
        </w:rPr>
        <w:t>MODULE CODE: LCBB6014</w:t>
      </w:r>
    </w:p>
    <w:p w14:paraId="016A3108" w14:textId="494D169C" w:rsidR="00A070A0" w:rsidRDefault="00A070A0" w:rsidP="003B03FA">
      <w:pPr>
        <w:jc w:val="center"/>
        <w:rPr>
          <w:b/>
          <w:bCs/>
          <w:sz w:val="28"/>
          <w:szCs w:val="28"/>
        </w:rPr>
      </w:pPr>
      <w:r w:rsidRPr="003B03FA">
        <w:rPr>
          <w:b/>
          <w:bCs/>
          <w:sz w:val="28"/>
          <w:szCs w:val="28"/>
        </w:rPr>
        <w:t>WORDS:1,000</w:t>
      </w:r>
    </w:p>
    <w:p w14:paraId="603DBC19" w14:textId="77777777" w:rsidR="003B03FA" w:rsidRDefault="003B03FA" w:rsidP="003B03FA">
      <w:pPr>
        <w:rPr>
          <w:b/>
          <w:bCs/>
          <w:sz w:val="28"/>
          <w:szCs w:val="28"/>
        </w:rPr>
      </w:pPr>
    </w:p>
    <w:p w14:paraId="5316D4D9" w14:textId="77777777" w:rsidR="003B03FA" w:rsidRDefault="003B03FA" w:rsidP="003B03FA">
      <w:pPr>
        <w:rPr>
          <w:b/>
          <w:bCs/>
          <w:sz w:val="28"/>
          <w:szCs w:val="28"/>
        </w:rPr>
      </w:pPr>
    </w:p>
    <w:p w14:paraId="7BD7DD34" w14:textId="77777777" w:rsidR="003B03FA" w:rsidRDefault="003B03FA" w:rsidP="003B03FA">
      <w:pPr>
        <w:rPr>
          <w:b/>
          <w:bCs/>
          <w:sz w:val="28"/>
          <w:szCs w:val="28"/>
        </w:rPr>
      </w:pPr>
    </w:p>
    <w:p w14:paraId="030449E3" w14:textId="77777777" w:rsidR="003B03FA" w:rsidRDefault="003B03FA" w:rsidP="003B03FA">
      <w:pPr>
        <w:rPr>
          <w:b/>
          <w:bCs/>
          <w:sz w:val="28"/>
          <w:szCs w:val="28"/>
        </w:rPr>
      </w:pPr>
    </w:p>
    <w:p w14:paraId="69425EF9" w14:textId="77777777" w:rsidR="003B03FA" w:rsidRDefault="003B03FA" w:rsidP="003B03FA">
      <w:pPr>
        <w:rPr>
          <w:b/>
          <w:bCs/>
          <w:sz w:val="28"/>
          <w:szCs w:val="28"/>
        </w:rPr>
      </w:pPr>
    </w:p>
    <w:p w14:paraId="391A16BA" w14:textId="77777777" w:rsidR="003B03FA" w:rsidRDefault="003B03FA" w:rsidP="003B03FA">
      <w:pPr>
        <w:rPr>
          <w:b/>
          <w:bCs/>
          <w:sz w:val="28"/>
          <w:szCs w:val="28"/>
        </w:rPr>
      </w:pPr>
    </w:p>
    <w:p w14:paraId="0228F616" w14:textId="77777777" w:rsidR="003B03FA" w:rsidRDefault="003B03FA" w:rsidP="003B03FA">
      <w:pPr>
        <w:rPr>
          <w:b/>
          <w:bCs/>
          <w:sz w:val="28"/>
          <w:szCs w:val="28"/>
        </w:rPr>
      </w:pPr>
    </w:p>
    <w:p w14:paraId="472E31AF" w14:textId="77777777" w:rsidR="003B03FA" w:rsidRDefault="003B03FA" w:rsidP="003B03FA">
      <w:pPr>
        <w:rPr>
          <w:b/>
          <w:bCs/>
          <w:sz w:val="28"/>
          <w:szCs w:val="28"/>
        </w:rPr>
      </w:pPr>
    </w:p>
    <w:p w14:paraId="53A8BC20" w14:textId="77777777" w:rsidR="003B03FA" w:rsidRDefault="003B03FA" w:rsidP="003B03FA">
      <w:pPr>
        <w:rPr>
          <w:b/>
          <w:bCs/>
          <w:sz w:val="28"/>
          <w:szCs w:val="28"/>
        </w:rPr>
      </w:pPr>
    </w:p>
    <w:p w14:paraId="1558B363" w14:textId="77777777" w:rsidR="003B03FA" w:rsidRDefault="003B03FA" w:rsidP="003B03FA">
      <w:pPr>
        <w:rPr>
          <w:b/>
          <w:bCs/>
          <w:sz w:val="28"/>
          <w:szCs w:val="28"/>
        </w:rPr>
      </w:pPr>
    </w:p>
    <w:p w14:paraId="59762BBC" w14:textId="77777777" w:rsidR="003B03FA" w:rsidRDefault="003B03FA" w:rsidP="003B03FA">
      <w:pPr>
        <w:rPr>
          <w:b/>
          <w:bCs/>
          <w:sz w:val="28"/>
          <w:szCs w:val="28"/>
        </w:rPr>
      </w:pPr>
    </w:p>
    <w:p w14:paraId="21EAEFCD" w14:textId="77777777" w:rsidR="003B03FA" w:rsidRDefault="003B03FA" w:rsidP="003B03FA">
      <w:pPr>
        <w:rPr>
          <w:b/>
          <w:bCs/>
          <w:sz w:val="28"/>
          <w:szCs w:val="28"/>
        </w:rPr>
      </w:pPr>
    </w:p>
    <w:sdt>
      <w:sdtPr>
        <w:id w:val="-1217970896"/>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D6B728B" w14:textId="528F0954" w:rsidR="00020CD2" w:rsidRDefault="00020CD2">
          <w:pPr>
            <w:pStyle w:val="TOCHeading"/>
          </w:pPr>
          <w:r>
            <w:t>Table of Contents</w:t>
          </w:r>
        </w:p>
        <w:p w14:paraId="2DD164C2" w14:textId="7BE496D2" w:rsidR="00020CD2" w:rsidRDefault="00020CD2">
          <w:pPr>
            <w:pStyle w:val="TOC1"/>
            <w:tabs>
              <w:tab w:val="right" w:leader="dot" w:pos="9016"/>
            </w:tabs>
            <w:rPr>
              <w:noProof/>
            </w:rPr>
          </w:pPr>
          <w:r>
            <w:fldChar w:fldCharType="begin"/>
          </w:r>
          <w:r>
            <w:instrText xml:space="preserve"> TOC \o "1-3" \h \z \u </w:instrText>
          </w:r>
          <w:r>
            <w:fldChar w:fldCharType="separate"/>
          </w:r>
          <w:hyperlink w:anchor="_Toc241861858" w:history="1">
            <w:r w:rsidRPr="00581794">
              <w:rPr>
                <w:rStyle w:val="Hyperlink"/>
                <w:noProof/>
              </w:rPr>
              <w:t>INTRODUCTION</w:t>
            </w:r>
            <w:r>
              <w:rPr>
                <w:noProof/>
                <w:webHidden/>
              </w:rPr>
              <w:tab/>
            </w:r>
            <w:r>
              <w:rPr>
                <w:noProof/>
                <w:webHidden/>
              </w:rPr>
              <w:fldChar w:fldCharType="begin"/>
            </w:r>
            <w:r>
              <w:rPr>
                <w:noProof/>
                <w:webHidden/>
              </w:rPr>
              <w:instrText xml:space="preserve"> PAGEREF _Toc241861858 \h </w:instrText>
            </w:r>
            <w:r>
              <w:rPr>
                <w:noProof/>
                <w:webHidden/>
              </w:rPr>
            </w:r>
            <w:r>
              <w:rPr>
                <w:noProof/>
                <w:webHidden/>
              </w:rPr>
              <w:fldChar w:fldCharType="separate"/>
            </w:r>
            <w:r>
              <w:rPr>
                <w:noProof/>
                <w:webHidden/>
              </w:rPr>
              <w:t>3</w:t>
            </w:r>
            <w:r>
              <w:rPr>
                <w:noProof/>
                <w:webHidden/>
              </w:rPr>
              <w:fldChar w:fldCharType="end"/>
            </w:r>
          </w:hyperlink>
        </w:p>
        <w:p w14:paraId="55132557" w14:textId="061B7F49" w:rsidR="00020CD2" w:rsidRDefault="00020CD2" w:rsidP="00020CD2">
          <w:pPr>
            <w:pStyle w:val="TOC2"/>
            <w:tabs>
              <w:tab w:val="right" w:leader="dot" w:pos="9016"/>
            </w:tabs>
            <w:ind w:left="0"/>
            <w:rPr>
              <w:noProof/>
            </w:rPr>
          </w:pPr>
          <w:hyperlink w:anchor="_Toc241861859" w:history="1">
            <w:r w:rsidRPr="00581794">
              <w:rPr>
                <w:rStyle w:val="Hyperlink"/>
                <w:noProof/>
              </w:rPr>
              <w:t>Justification of the Research</w:t>
            </w:r>
            <w:r>
              <w:rPr>
                <w:noProof/>
                <w:webHidden/>
              </w:rPr>
              <w:tab/>
            </w:r>
            <w:r>
              <w:rPr>
                <w:noProof/>
                <w:webHidden/>
              </w:rPr>
              <w:fldChar w:fldCharType="begin"/>
            </w:r>
            <w:r>
              <w:rPr>
                <w:noProof/>
                <w:webHidden/>
              </w:rPr>
              <w:instrText xml:space="preserve"> PAGEREF _Toc241861859 \h </w:instrText>
            </w:r>
            <w:r>
              <w:rPr>
                <w:noProof/>
                <w:webHidden/>
              </w:rPr>
            </w:r>
            <w:r>
              <w:rPr>
                <w:noProof/>
                <w:webHidden/>
              </w:rPr>
              <w:fldChar w:fldCharType="separate"/>
            </w:r>
            <w:r>
              <w:rPr>
                <w:noProof/>
                <w:webHidden/>
              </w:rPr>
              <w:t>4</w:t>
            </w:r>
            <w:r>
              <w:rPr>
                <w:noProof/>
                <w:webHidden/>
              </w:rPr>
              <w:fldChar w:fldCharType="end"/>
            </w:r>
          </w:hyperlink>
        </w:p>
        <w:p w14:paraId="5A8C63A7" w14:textId="511AF65D" w:rsidR="00020CD2" w:rsidRDefault="00020CD2" w:rsidP="00020CD2">
          <w:pPr>
            <w:pStyle w:val="TOC2"/>
            <w:tabs>
              <w:tab w:val="right" w:leader="dot" w:pos="9016"/>
            </w:tabs>
            <w:ind w:left="0"/>
            <w:rPr>
              <w:noProof/>
            </w:rPr>
          </w:pPr>
          <w:hyperlink w:anchor="_Toc241861860" w:history="1">
            <w:r w:rsidRPr="00581794">
              <w:rPr>
                <w:rStyle w:val="Hyperlink"/>
                <w:noProof/>
              </w:rPr>
              <w:t>Literature Review</w:t>
            </w:r>
            <w:r>
              <w:rPr>
                <w:noProof/>
                <w:webHidden/>
              </w:rPr>
              <w:tab/>
            </w:r>
            <w:r>
              <w:rPr>
                <w:noProof/>
                <w:webHidden/>
              </w:rPr>
              <w:fldChar w:fldCharType="begin"/>
            </w:r>
            <w:r>
              <w:rPr>
                <w:noProof/>
                <w:webHidden/>
              </w:rPr>
              <w:instrText xml:space="preserve"> PAGEREF _Toc241861860 \h </w:instrText>
            </w:r>
            <w:r>
              <w:rPr>
                <w:noProof/>
                <w:webHidden/>
              </w:rPr>
            </w:r>
            <w:r>
              <w:rPr>
                <w:noProof/>
                <w:webHidden/>
              </w:rPr>
              <w:fldChar w:fldCharType="separate"/>
            </w:r>
            <w:r>
              <w:rPr>
                <w:noProof/>
                <w:webHidden/>
              </w:rPr>
              <w:t>4</w:t>
            </w:r>
            <w:r>
              <w:rPr>
                <w:noProof/>
                <w:webHidden/>
              </w:rPr>
              <w:fldChar w:fldCharType="end"/>
            </w:r>
          </w:hyperlink>
        </w:p>
        <w:p w14:paraId="56D7F0D5" w14:textId="101CB8AB" w:rsidR="00020CD2" w:rsidRDefault="00020CD2" w:rsidP="00020CD2">
          <w:pPr>
            <w:pStyle w:val="TOC2"/>
            <w:tabs>
              <w:tab w:val="right" w:leader="dot" w:pos="9016"/>
            </w:tabs>
            <w:ind w:left="0"/>
            <w:rPr>
              <w:noProof/>
            </w:rPr>
          </w:pPr>
          <w:hyperlink w:anchor="_Toc241861861" w:history="1">
            <w:r w:rsidRPr="00581794">
              <w:rPr>
                <w:rStyle w:val="Hyperlink"/>
                <w:noProof/>
              </w:rPr>
              <w:t>Methodology</w:t>
            </w:r>
            <w:r>
              <w:rPr>
                <w:noProof/>
                <w:webHidden/>
              </w:rPr>
              <w:tab/>
            </w:r>
            <w:r>
              <w:rPr>
                <w:noProof/>
                <w:webHidden/>
              </w:rPr>
              <w:fldChar w:fldCharType="begin"/>
            </w:r>
            <w:r>
              <w:rPr>
                <w:noProof/>
                <w:webHidden/>
              </w:rPr>
              <w:instrText xml:space="preserve"> PAGEREF _Toc241861861 \h </w:instrText>
            </w:r>
            <w:r>
              <w:rPr>
                <w:noProof/>
                <w:webHidden/>
              </w:rPr>
            </w:r>
            <w:r>
              <w:rPr>
                <w:noProof/>
                <w:webHidden/>
              </w:rPr>
              <w:fldChar w:fldCharType="separate"/>
            </w:r>
            <w:r>
              <w:rPr>
                <w:noProof/>
                <w:webHidden/>
              </w:rPr>
              <w:t>5</w:t>
            </w:r>
            <w:r>
              <w:rPr>
                <w:noProof/>
                <w:webHidden/>
              </w:rPr>
              <w:fldChar w:fldCharType="end"/>
            </w:r>
          </w:hyperlink>
        </w:p>
        <w:p w14:paraId="353EFC30" w14:textId="4A8A00F8" w:rsidR="00020CD2" w:rsidRDefault="00020CD2" w:rsidP="00020CD2">
          <w:pPr>
            <w:pStyle w:val="TOC2"/>
            <w:tabs>
              <w:tab w:val="right" w:leader="dot" w:pos="9016"/>
            </w:tabs>
            <w:ind w:left="0"/>
            <w:rPr>
              <w:noProof/>
            </w:rPr>
          </w:pPr>
          <w:hyperlink w:anchor="_Toc241861862" w:history="1">
            <w:r w:rsidRPr="00581794">
              <w:rPr>
                <w:rStyle w:val="Hyperlink"/>
                <w:noProof/>
              </w:rPr>
              <w:t>References:</w:t>
            </w:r>
            <w:r>
              <w:rPr>
                <w:noProof/>
                <w:webHidden/>
              </w:rPr>
              <w:tab/>
            </w:r>
            <w:r>
              <w:rPr>
                <w:noProof/>
                <w:webHidden/>
              </w:rPr>
              <w:fldChar w:fldCharType="begin"/>
            </w:r>
            <w:r>
              <w:rPr>
                <w:noProof/>
                <w:webHidden/>
              </w:rPr>
              <w:instrText xml:space="preserve"> PAGEREF _Toc241861862 \h </w:instrText>
            </w:r>
            <w:r>
              <w:rPr>
                <w:noProof/>
                <w:webHidden/>
              </w:rPr>
            </w:r>
            <w:r>
              <w:rPr>
                <w:noProof/>
                <w:webHidden/>
              </w:rPr>
              <w:fldChar w:fldCharType="separate"/>
            </w:r>
            <w:r>
              <w:rPr>
                <w:noProof/>
                <w:webHidden/>
              </w:rPr>
              <w:t>7</w:t>
            </w:r>
            <w:r>
              <w:rPr>
                <w:noProof/>
                <w:webHidden/>
              </w:rPr>
              <w:fldChar w:fldCharType="end"/>
            </w:r>
          </w:hyperlink>
        </w:p>
        <w:p w14:paraId="6E15F677" w14:textId="2B540D4D" w:rsidR="00020CD2" w:rsidRDefault="00020CD2">
          <w:r>
            <w:rPr>
              <w:b/>
              <w:bCs/>
            </w:rPr>
            <w:fldChar w:fldCharType="end"/>
          </w:r>
        </w:p>
      </w:sdtContent>
    </w:sdt>
    <w:p w14:paraId="52EF68DC" w14:textId="77777777" w:rsidR="003B03FA" w:rsidRPr="00020CD2" w:rsidRDefault="003B03FA" w:rsidP="003B03FA">
      <w:pPr>
        <w:rPr>
          <w:rFonts w:ascii="Times New Roman" w:hAnsi="Times New Roman" w:cs="Times New Roman"/>
        </w:rPr>
      </w:pPr>
    </w:p>
    <w:p w14:paraId="3E7015AF" w14:textId="77777777" w:rsidR="003B03FA" w:rsidRDefault="003B03FA" w:rsidP="003B03FA">
      <w:pPr>
        <w:rPr>
          <w:b/>
          <w:bCs/>
          <w:sz w:val="28"/>
          <w:szCs w:val="28"/>
        </w:rPr>
      </w:pPr>
    </w:p>
    <w:p w14:paraId="349F63D2" w14:textId="77777777" w:rsidR="003B03FA" w:rsidRDefault="003B03FA" w:rsidP="003B03FA">
      <w:pPr>
        <w:rPr>
          <w:b/>
          <w:bCs/>
          <w:sz w:val="28"/>
          <w:szCs w:val="28"/>
        </w:rPr>
      </w:pPr>
    </w:p>
    <w:p w14:paraId="66995F6B" w14:textId="77777777" w:rsidR="003B03FA" w:rsidRDefault="003B03FA" w:rsidP="003B03FA">
      <w:pPr>
        <w:rPr>
          <w:b/>
          <w:bCs/>
          <w:sz w:val="28"/>
          <w:szCs w:val="28"/>
        </w:rPr>
      </w:pPr>
    </w:p>
    <w:p w14:paraId="6DE54D8E" w14:textId="77777777" w:rsidR="003B03FA" w:rsidRDefault="003B03FA" w:rsidP="003B03FA">
      <w:pPr>
        <w:rPr>
          <w:b/>
          <w:bCs/>
          <w:sz w:val="28"/>
          <w:szCs w:val="28"/>
        </w:rPr>
      </w:pPr>
    </w:p>
    <w:p w14:paraId="11D4E51A" w14:textId="77777777" w:rsidR="003B03FA" w:rsidRDefault="003B03FA" w:rsidP="003B03FA">
      <w:pPr>
        <w:rPr>
          <w:b/>
          <w:bCs/>
          <w:sz w:val="28"/>
          <w:szCs w:val="28"/>
        </w:rPr>
      </w:pPr>
    </w:p>
    <w:p w14:paraId="6DAFE389" w14:textId="77777777" w:rsidR="003B03FA" w:rsidRDefault="003B03FA" w:rsidP="003B03FA">
      <w:pPr>
        <w:rPr>
          <w:b/>
          <w:bCs/>
          <w:sz w:val="28"/>
          <w:szCs w:val="28"/>
        </w:rPr>
      </w:pPr>
    </w:p>
    <w:p w14:paraId="448DE57C" w14:textId="77777777" w:rsidR="003B03FA" w:rsidRDefault="003B03FA" w:rsidP="003B03FA">
      <w:pPr>
        <w:rPr>
          <w:b/>
          <w:bCs/>
          <w:sz w:val="28"/>
          <w:szCs w:val="28"/>
        </w:rPr>
      </w:pPr>
    </w:p>
    <w:p w14:paraId="128CA070" w14:textId="77777777" w:rsidR="003B03FA" w:rsidRDefault="003B03FA" w:rsidP="003B03FA">
      <w:pPr>
        <w:rPr>
          <w:b/>
          <w:bCs/>
          <w:sz w:val="28"/>
          <w:szCs w:val="28"/>
        </w:rPr>
      </w:pPr>
    </w:p>
    <w:p w14:paraId="1A6F89C4" w14:textId="77777777" w:rsidR="003B03FA" w:rsidRDefault="003B03FA" w:rsidP="003B03FA">
      <w:pPr>
        <w:rPr>
          <w:b/>
          <w:bCs/>
          <w:sz w:val="28"/>
          <w:szCs w:val="28"/>
        </w:rPr>
      </w:pPr>
    </w:p>
    <w:p w14:paraId="0965994A" w14:textId="77777777" w:rsidR="003B03FA" w:rsidRDefault="003B03FA" w:rsidP="003B03FA">
      <w:pPr>
        <w:rPr>
          <w:b/>
          <w:bCs/>
          <w:sz w:val="28"/>
          <w:szCs w:val="28"/>
        </w:rPr>
      </w:pPr>
    </w:p>
    <w:p w14:paraId="07635C58" w14:textId="77777777" w:rsidR="003B03FA" w:rsidRDefault="003B03FA" w:rsidP="003B03FA">
      <w:pPr>
        <w:rPr>
          <w:b/>
          <w:bCs/>
          <w:sz w:val="28"/>
          <w:szCs w:val="28"/>
        </w:rPr>
      </w:pPr>
    </w:p>
    <w:p w14:paraId="16DEBD52" w14:textId="77777777" w:rsidR="003B03FA" w:rsidRDefault="003B03FA" w:rsidP="003B03FA">
      <w:pPr>
        <w:rPr>
          <w:b/>
          <w:bCs/>
          <w:sz w:val="28"/>
          <w:szCs w:val="28"/>
        </w:rPr>
      </w:pPr>
    </w:p>
    <w:p w14:paraId="160403C3" w14:textId="77777777" w:rsidR="003B03FA" w:rsidRDefault="003B03FA" w:rsidP="003B03FA">
      <w:pPr>
        <w:rPr>
          <w:b/>
          <w:bCs/>
          <w:sz w:val="28"/>
          <w:szCs w:val="28"/>
        </w:rPr>
      </w:pPr>
    </w:p>
    <w:p w14:paraId="2E5190C1" w14:textId="77777777" w:rsidR="003B03FA" w:rsidRDefault="003B03FA" w:rsidP="003B03FA">
      <w:pPr>
        <w:rPr>
          <w:b/>
          <w:bCs/>
          <w:sz w:val="28"/>
          <w:szCs w:val="28"/>
        </w:rPr>
      </w:pPr>
    </w:p>
    <w:p w14:paraId="31214CE2" w14:textId="77777777" w:rsidR="003B03FA" w:rsidRDefault="003B03FA" w:rsidP="003B03FA">
      <w:pPr>
        <w:rPr>
          <w:b/>
          <w:bCs/>
          <w:sz w:val="28"/>
          <w:szCs w:val="28"/>
        </w:rPr>
      </w:pPr>
    </w:p>
    <w:p w14:paraId="46381A5C" w14:textId="77777777" w:rsidR="003B03FA" w:rsidRDefault="003B03FA" w:rsidP="003B03FA">
      <w:pPr>
        <w:rPr>
          <w:b/>
          <w:bCs/>
          <w:sz w:val="28"/>
          <w:szCs w:val="28"/>
        </w:rPr>
      </w:pPr>
    </w:p>
    <w:p w14:paraId="5DA720D1" w14:textId="77777777" w:rsidR="003B03FA" w:rsidRDefault="003B03FA" w:rsidP="003B03FA">
      <w:pPr>
        <w:rPr>
          <w:b/>
          <w:bCs/>
          <w:sz w:val="28"/>
          <w:szCs w:val="28"/>
        </w:rPr>
      </w:pPr>
    </w:p>
    <w:p w14:paraId="051EEC47" w14:textId="77777777" w:rsidR="003B03FA" w:rsidRDefault="003B03FA" w:rsidP="003B03FA">
      <w:pPr>
        <w:rPr>
          <w:b/>
          <w:bCs/>
          <w:sz w:val="28"/>
          <w:szCs w:val="28"/>
        </w:rPr>
      </w:pPr>
    </w:p>
    <w:p w14:paraId="523DCA68" w14:textId="77777777" w:rsidR="003B03FA" w:rsidRDefault="003B03FA" w:rsidP="003B03FA">
      <w:pPr>
        <w:rPr>
          <w:b/>
          <w:bCs/>
          <w:sz w:val="28"/>
          <w:szCs w:val="28"/>
        </w:rPr>
      </w:pPr>
    </w:p>
    <w:p w14:paraId="2B782470" w14:textId="1295FCB2" w:rsidR="003B03FA" w:rsidRPr="00020CD2" w:rsidRDefault="003B03FA" w:rsidP="003B03FA">
      <w:pPr>
        <w:jc w:val="center"/>
        <w:rPr>
          <w:rFonts w:ascii="Times New Roman" w:hAnsi="Times New Roman" w:cs="Times New Roman"/>
          <w:b/>
          <w:bCs/>
        </w:rPr>
      </w:pPr>
      <w:r w:rsidRPr="00020CD2">
        <w:rPr>
          <w:rFonts w:ascii="Times New Roman" w:hAnsi="Times New Roman" w:cs="Times New Roman"/>
          <w:b/>
          <w:bCs/>
        </w:rPr>
        <w:lastRenderedPageBreak/>
        <w:t>TOPIC: The Impact of Exchange Rate Fluctuations on the Financial Performance of International Businesses</w:t>
      </w:r>
    </w:p>
    <w:p w14:paraId="3832778C" w14:textId="77777777" w:rsidR="003B03FA" w:rsidRPr="00020CD2" w:rsidRDefault="003B03FA" w:rsidP="003B03FA">
      <w:pPr>
        <w:jc w:val="center"/>
        <w:rPr>
          <w:rFonts w:ascii="Times New Roman" w:hAnsi="Times New Roman" w:cs="Times New Roman"/>
          <w:b/>
          <w:bCs/>
        </w:rPr>
      </w:pPr>
    </w:p>
    <w:p w14:paraId="1563522C" w14:textId="77777777" w:rsidR="003B03FA" w:rsidRPr="00020CD2" w:rsidRDefault="003B03FA" w:rsidP="003B03FA">
      <w:pPr>
        <w:jc w:val="center"/>
        <w:rPr>
          <w:rFonts w:ascii="Times New Roman" w:hAnsi="Times New Roman" w:cs="Times New Roman"/>
          <w:b/>
          <w:bCs/>
        </w:rPr>
      </w:pPr>
    </w:p>
    <w:p w14:paraId="1AE7C01E" w14:textId="77777777" w:rsidR="003B03FA" w:rsidRDefault="003B03FA" w:rsidP="003B03FA"/>
    <w:p w14:paraId="4CD8FC21" w14:textId="41548F03" w:rsidR="003B03FA" w:rsidRPr="003B03FA" w:rsidRDefault="00020CD2" w:rsidP="00020CD2">
      <w:pPr>
        <w:pStyle w:val="Heading1"/>
      </w:pPr>
      <w:bookmarkStart w:id="0" w:name="_Toc241861858"/>
      <w:r>
        <w:t>INTRODUCTION</w:t>
      </w:r>
      <w:bookmarkEnd w:id="0"/>
      <w:r>
        <w:t xml:space="preserve"> </w:t>
      </w:r>
    </w:p>
    <w:p w14:paraId="75C34004" w14:textId="797D4043" w:rsidR="003B03FA"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This research will study the effect of foreign exchange rate fluctuations on the financial performance of international business. The research will </w:t>
      </w:r>
      <w:r w:rsidRPr="00020CD2">
        <w:rPr>
          <w:rFonts w:ascii="Times New Roman" w:hAnsi="Times New Roman" w:cs="Times New Roman"/>
        </w:rPr>
        <w:t>analyse</w:t>
      </w:r>
      <w:r w:rsidRPr="00020CD2">
        <w:rPr>
          <w:rFonts w:ascii="Times New Roman" w:hAnsi="Times New Roman" w:cs="Times New Roman"/>
        </w:rPr>
        <w:t xml:space="preserve"> the impact of appreciation and depreciation of currency on important financial measures such as receipts, profitability, operating costs and firm value. It will also look at strategies through which international businesses hedge foreign exchange exposure financially and operationally.</w:t>
      </w:r>
    </w:p>
    <w:p w14:paraId="3B1AA25F" w14:textId="09448164" w:rsidR="003B03FA" w:rsidRPr="00020CD2" w:rsidRDefault="003B03FA" w:rsidP="00020CD2">
      <w:pPr>
        <w:spacing w:line="360" w:lineRule="auto"/>
        <w:jc w:val="both"/>
        <w:rPr>
          <w:rFonts w:ascii="Times New Roman" w:hAnsi="Times New Roman" w:cs="Times New Roman"/>
          <w:b/>
          <w:bCs/>
        </w:rPr>
      </w:pPr>
      <w:r w:rsidRPr="00020CD2">
        <w:rPr>
          <w:rFonts w:ascii="Times New Roman" w:hAnsi="Times New Roman" w:cs="Times New Roman"/>
        </w:rPr>
        <w:t xml:space="preserve"> </w:t>
      </w:r>
      <w:r w:rsidRPr="00020CD2">
        <w:rPr>
          <w:rFonts w:ascii="Times New Roman" w:hAnsi="Times New Roman" w:cs="Times New Roman"/>
          <w:b/>
          <w:bCs/>
        </w:rPr>
        <w:t xml:space="preserve">Research Aim </w:t>
      </w:r>
    </w:p>
    <w:p w14:paraId="07D3ED82"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The aim of this research is to critically examine the impact of exchange rate fluctuations on the financial performance of international businesses and evaluate how foreign exchange risk management practices may reduce the financial consequences of currency volatility.</w:t>
      </w:r>
    </w:p>
    <w:p w14:paraId="70E283A8" w14:textId="3CE1C090" w:rsidR="003B03FA" w:rsidRPr="00020CD2" w:rsidRDefault="003B03FA" w:rsidP="00020CD2">
      <w:pPr>
        <w:spacing w:line="360" w:lineRule="auto"/>
        <w:jc w:val="both"/>
        <w:rPr>
          <w:rFonts w:ascii="Times New Roman" w:hAnsi="Times New Roman" w:cs="Times New Roman"/>
          <w:b/>
          <w:bCs/>
        </w:rPr>
      </w:pPr>
      <w:r w:rsidRPr="00020CD2">
        <w:rPr>
          <w:rFonts w:ascii="Times New Roman" w:hAnsi="Times New Roman" w:cs="Times New Roman"/>
          <w:b/>
          <w:bCs/>
        </w:rPr>
        <w:t>Research Objectives</w:t>
      </w:r>
    </w:p>
    <w:p w14:paraId="2A60FDB2" w14:textId="54F190DF" w:rsidR="003B03FA" w:rsidRPr="00020CD2" w:rsidRDefault="003B03FA" w:rsidP="00020CD2">
      <w:pPr>
        <w:pStyle w:val="ListParagraph"/>
        <w:numPr>
          <w:ilvl w:val="0"/>
          <w:numId w:val="3"/>
        </w:numPr>
        <w:spacing w:line="360" w:lineRule="auto"/>
        <w:jc w:val="both"/>
        <w:rPr>
          <w:rFonts w:ascii="Times New Roman" w:hAnsi="Times New Roman" w:cs="Times New Roman"/>
        </w:rPr>
      </w:pPr>
      <w:r w:rsidRPr="00020CD2">
        <w:rPr>
          <w:rFonts w:ascii="Times New Roman" w:hAnsi="Times New Roman" w:cs="Times New Roman"/>
        </w:rPr>
        <w:t>To examine the relationship between exchange rate fluctuations and the financial performance of international businesses.</w:t>
      </w:r>
    </w:p>
    <w:p w14:paraId="65F155A7" w14:textId="0388107E" w:rsidR="003B03FA" w:rsidRPr="00020CD2" w:rsidRDefault="003B03FA" w:rsidP="00020CD2">
      <w:pPr>
        <w:pStyle w:val="ListParagraph"/>
        <w:numPr>
          <w:ilvl w:val="0"/>
          <w:numId w:val="3"/>
        </w:numPr>
        <w:spacing w:line="360" w:lineRule="auto"/>
        <w:jc w:val="both"/>
        <w:rPr>
          <w:rFonts w:ascii="Times New Roman" w:hAnsi="Times New Roman" w:cs="Times New Roman"/>
        </w:rPr>
      </w:pPr>
      <w:r w:rsidRPr="00020CD2">
        <w:rPr>
          <w:rFonts w:ascii="Times New Roman" w:hAnsi="Times New Roman" w:cs="Times New Roman"/>
        </w:rPr>
        <w:t>To identify how exchange rate movements affect profitability, revenues, costs and firm value.</w:t>
      </w:r>
    </w:p>
    <w:p w14:paraId="766FC626" w14:textId="111EA069" w:rsidR="003B03FA" w:rsidRPr="00020CD2" w:rsidRDefault="003B03FA" w:rsidP="00020CD2">
      <w:pPr>
        <w:pStyle w:val="ListParagraph"/>
        <w:numPr>
          <w:ilvl w:val="0"/>
          <w:numId w:val="3"/>
        </w:numPr>
        <w:spacing w:line="360" w:lineRule="auto"/>
        <w:jc w:val="both"/>
        <w:rPr>
          <w:rFonts w:ascii="Times New Roman" w:hAnsi="Times New Roman" w:cs="Times New Roman"/>
        </w:rPr>
      </w:pPr>
      <w:r w:rsidRPr="00020CD2">
        <w:rPr>
          <w:rFonts w:ascii="Times New Roman" w:hAnsi="Times New Roman" w:cs="Times New Roman"/>
        </w:rPr>
        <w:t>To investigate whether the level of international exposure influences the financial effects of exchange rate fluctuations.</w:t>
      </w:r>
    </w:p>
    <w:p w14:paraId="582AFFB6" w14:textId="707C7F53" w:rsidR="003B03FA" w:rsidRPr="00020CD2" w:rsidRDefault="003B03FA" w:rsidP="00020CD2">
      <w:pPr>
        <w:spacing w:line="360" w:lineRule="auto"/>
        <w:jc w:val="both"/>
        <w:rPr>
          <w:rFonts w:ascii="Times New Roman" w:hAnsi="Times New Roman" w:cs="Times New Roman"/>
          <w:b/>
          <w:bCs/>
        </w:rPr>
      </w:pPr>
      <w:r w:rsidRPr="00020CD2">
        <w:rPr>
          <w:rFonts w:ascii="Times New Roman" w:hAnsi="Times New Roman" w:cs="Times New Roman"/>
          <w:b/>
          <w:bCs/>
        </w:rPr>
        <w:t>Research Questions</w:t>
      </w:r>
    </w:p>
    <w:p w14:paraId="2613864C" w14:textId="258CCBDB" w:rsidR="003B03FA" w:rsidRPr="00020CD2" w:rsidRDefault="003B03FA" w:rsidP="00020CD2">
      <w:pPr>
        <w:pStyle w:val="ListParagraph"/>
        <w:numPr>
          <w:ilvl w:val="0"/>
          <w:numId w:val="4"/>
        </w:numPr>
        <w:spacing w:line="360" w:lineRule="auto"/>
        <w:jc w:val="both"/>
        <w:rPr>
          <w:rFonts w:ascii="Times New Roman" w:hAnsi="Times New Roman" w:cs="Times New Roman"/>
        </w:rPr>
      </w:pPr>
      <w:r w:rsidRPr="00020CD2">
        <w:rPr>
          <w:rFonts w:ascii="Times New Roman" w:hAnsi="Times New Roman" w:cs="Times New Roman"/>
        </w:rPr>
        <w:t>What impact do exchange rate fluctuations have on the financial performance of international businesses?</w:t>
      </w:r>
    </w:p>
    <w:p w14:paraId="5613EB4C" w14:textId="5AAE66EE" w:rsidR="003B03FA" w:rsidRPr="00020CD2" w:rsidRDefault="003B03FA" w:rsidP="00020CD2">
      <w:pPr>
        <w:pStyle w:val="ListParagraph"/>
        <w:numPr>
          <w:ilvl w:val="0"/>
          <w:numId w:val="4"/>
        </w:numPr>
        <w:spacing w:line="360" w:lineRule="auto"/>
        <w:jc w:val="both"/>
        <w:rPr>
          <w:rFonts w:ascii="Times New Roman" w:hAnsi="Times New Roman" w:cs="Times New Roman"/>
        </w:rPr>
      </w:pPr>
      <w:r w:rsidRPr="00020CD2">
        <w:rPr>
          <w:rFonts w:ascii="Times New Roman" w:hAnsi="Times New Roman" w:cs="Times New Roman"/>
        </w:rPr>
        <w:t>How do exchange rate movements affect profitability, revenues, costs and firm value?</w:t>
      </w:r>
    </w:p>
    <w:p w14:paraId="2D8C7D63" w14:textId="11B3E8EC" w:rsidR="003B03FA" w:rsidRPr="00020CD2" w:rsidRDefault="003B03FA" w:rsidP="00020CD2">
      <w:pPr>
        <w:pStyle w:val="ListParagraph"/>
        <w:numPr>
          <w:ilvl w:val="0"/>
          <w:numId w:val="4"/>
        </w:numPr>
        <w:spacing w:line="360" w:lineRule="auto"/>
        <w:jc w:val="both"/>
        <w:rPr>
          <w:rFonts w:ascii="Times New Roman" w:hAnsi="Times New Roman" w:cs="Times New Roman"/>
        </w:rPr>
      </w:pPr>
      <w:r w:rsidRPr="00020CD2">
        <w:rPr>
          <w:rFonts w:ascii="Times New Roman" w:hAnsi="Times New Roman" w:cs="Times New Roman"/>
        </w:rPr>
        <w:t>To what extent can foreign exchange risk management and hedging reduce the financial impact of exchange rate fluctuations?</w:t>
      </w:r>
    </w:p>
    <w:p w14:paraId="25A3A313" w14:textId="77777777" w:rsidR="005747BD" w:rsidRPr="00020CD2" w:rsidRDefault="005747BD" w:rsidP="00020CD2">
      <w:pPr>
        <w:pStyle w:val="ListParagraph"/>
        <w:spacing w:line="360" w:lineRule="auto"/>
        <w:jc w:val="both"/>
        <w:rPr>
          <w:rFonts w:ascii="Times New Roman" w:hAnsi="Times New Roman" w:cs="Times New Roman"/>
        </w:rPr>
      </w:pPr>
    </w:p>
    <w:p w14:paraId="01B30C72" w14:textId="191872F9" w:rsidR="003B03FA" w:rsidRPr="00020CD2" w:rsidRDefault="003B03FA" w:rsidP="00020CD2">
      <w:pPr>
        <w:pStyle w:val="Heading2"/>
      </w:pPr>
      <w:bookmarkStart w:id="1" w:name="_Toc241861859"/>
      <w:r w:rsidRPr="00020CD2">
        <w:lastRenderedPageBreak/>
        <w:t>Justification of the Research</w:t>
      </w:r>
      <w:bookmarkEnd w:id="1"/>
    </w:p>
    <w:p w14:paraId="6151AEF3"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International businesses need to deal with exchange rate risk as companies working across different borders regularly earn income, incur expenses, hold assets and undertake liabilities in different currencies. Changes in exchange rates may change the value in domestic currency of an international revenue and expense and ultimately a firm’s profitability and value (Dominguez and Tesar, 2006).</w:t>
      </w:r>
    </w:p>
    <w:p w14:paraId="30ED9DB0" w14:textId="5F407E3B"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Foreign exchange risks exposed to international business include transaction, translation and economic risk, which is the subject of the research. </w:t>
      </w:r>
      <w:r>
        <w:rPr>
          <w:rFonts w:ascii="Times New Roman" w:hAnsi="Times New Roman" w:cs="Times New Roman"/>
        </w:rPr>
        <w:t>(</w:t>
      </w:r>
      <w:r w:rsidRPr="00020CD2">
        <w:rPr>
          <w:rFonts w:ascii="Times New Roman" w:hAnsi="Times New Roman" w:cs="Times New Roman"/>
        </w:rPr>
        <w:t xml:space="preserve">Chou </w:t>
      </w:r>
      <w:proofErr w:type="gramStart"/>
      <w:r w:rsidRPr="00020CD2">
        <w:rPr>
          <w:rFonts w:ascii="Times New Roman" w:hAnsi="Times New Roman" w:cs="Times New Roman"/>
        </w:rPr>
        <w:t xml:space="preserve">et al. </w:t>
      </w:r>
      <w:r>
        <w:rPr>
          <w:rFonts w:ascii="Times New Roman" w:hAnsi="Times New Roman" w:cs="Times New Roman"/>
        </w:rPr>
        <w:t>,</w:t>
      </w:r>
      <w:proofErr w:type="gramEnd"/>
      <w:r>
        <w:rPr>
          <w:rFonts w:ascii="Times New Roman" w:hAnsi="Times New Roman" w:cs="Times New Roman"/>
        </w:rPr>
        <w:t xml:space="preserve"> </w:t>
      </w:r>
      <w:r w:rsidRPr="00020CD2">
        <w:rPr>
          <w:rFonts w:ascii="Times New Roman" w:hAnsi="Times New Roman" w:cs="Times New Roman"/>
        </w:rPr>
        <w:t>2017) shows that the effect of exchange rate fluctuation is highly dependent upon the currency concerned and that foreign sales are an important determinant of firms' economic exposure. Thus, it is important for financial planning and risk management to understand exchange rate exposure. The research also has practical value in ensuring that effective management of currency risk will help businesses protect cash flows, profitability and investment capacity.</w:t>
      </w:r>
    </w:p>
    <w:p w14:paraId="43A80D2C" w14:textId="412999BE" w:rsidR="003B03FA" w:rsidRPr="00020CD2" w:rsidRDefault="003B03FA" w:rsidP="00020CD2">
      <w:pPr>
        <w:pStyle w:val="Heading2"/>
      </w:pPr>
      <w:bookmarkStart w:id="2" w:name="_Toc241861860"/>
      <w:r w:rsidRPr="00020CD2">
        <w:t>Literature Review</w:t>
      </w:r>
      <w:bookmarkEnd w:id="2"/>
    </w:p>
    <w:p w14:paraId="60A23386" w14:textId="3F376506"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Within international finance, there has been considerable interest in the relationship between exchange rates and corporate financial performance. In theory, exchange rate movements can affect businesses by influencing their foreign revenues, their production costs, their imports, exports, and the value of their foreign assets and liabilities. Firms from eight countries were used by </w:t>
      </w:r>
      <w:r>
        <w:rPr>
          <w:rFonts w:ascii="Times New Roman" w:hAnsi="Times New Roman" w:cs="Times New Roman"/>
        </w:rPr>
        <w:t>(</w:t>
      </w:r>
      <w:r w:rsidRPr="00020CD2">
        <w:rPr>
          <w:rFonts w:ascii="Times New Roman" w:hAnsi="Times New Roman" w:cs="Times New Roman"/>
        </w:rPr>
        <w:t xml:space="preserve">Dominguez and </w:t>
      </w:r>
      <w:proofErr w:type="gramStart"/>
      <w:r w:rsidRPr="00020CD2">
        <w:rPr>
          <w:rFonts w:ascii="Times New Roman" w:hAnsi="Times New Roman" w:cs="Times New Roman"/>
        </w:rPr>
        <w:t xml:space="preserve">Tesar </w:t>
      </w:r>
      <w:r>
        <w:rPr>
          <w:rFonts w:ascii="Times New Roman" w:hAnsi="Times New Roman" w:cs="Times New Roman"/>
        </w:rPr>
        <w:t>,</w:t>
      </w:r>
      <w:proofErr w:type="gramEnd"/>
      <w:r>
        <w:rPr>
          <w:rFonts w:ascii="Times New Roman" w:hAnsi="Times New Roman" w:cs="Times New Roman"/>
        </w:rPr>
        <w:t xml:space="preserve"> </w:t>
      </w:r>
      <w:r w:rsidRPr="00020CD2">
        <w:rPr>
          <w:rFonts w:ascii="Times New Roman" w:hAnsi="Times New Roman" w:cs="Times New Roman"/>
        </w:rPr>
        <w:t>2006) and the authors found that a sizeable proportion of firms were affected by exchange rate movements. However, the exposure, both in direction and magnitude, varied across firms and over time.</w:t>
      </w:r>
    </w:p>
    <w:p w14:paraId="499F7CA3"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The involvement in international activity seems to have a strong impact on that exposure.</w:t>
      </w:r>
    </w:p>
    <w:p w14:paraId="067D54B5" w14:textId="33FACA1A"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 According to Doidge, Griffin and Williamson (2006), firms with high international sales experience economically significant differences in firm value associated with exchange rates. The research shows that businesses with large foreign activities may be increasingly sensitive to currency fluctuations.  </w:t>
      </w:r>
      <w:r>
        <w:rPr>
          <w:rFonts w:ascii="Times New Roman" w:hAnsi="Times New Roman" w:cs="Times New Roman"/>
        </w:rPr>
        <w:t>(</w:t>
      </w:r>
      <w:r w:rsidRPr="00020CD2">
        <w:rPr>
          <w:rFonts w:ascii="Times New Roman" w:hAnsi="Times New Roman" w:cs="Times New Roman"/>
        </w:rPr>
        <w:t xml:space="preserve">Likewise, Fraser and </w:t>
      </w:r>
      <w:proofErr w:type="spellStart"/>
      <w:proofErr w:type="gramStart"/>
      <w:r w:rsidRPr="00020CD2">
        <w:rPr>
          <w:rFonts w:ascii="Times New Roman" w:hAnsi="Times New Roman" w:cs="Times New Roman"/>
        </w:rPr>
        <w:t>Pantzalis</w:t>
      </w:r>
      <w:proofErr w:type="spellEnd"/>
      <w:r w:rsidRPr="00020CD2">
        <w:rPr>
          <w:rFonts w:ascii="Times New Roman" w:hAnsi="Times New Roman" w:cs="Times New Roman"/>
        </w:rPr>
        <w:t xml:space="preserve"> </w:t>
      </w:r>
      <w:r>
        <w:rPr>
          <w:rFonts w:ascii="Times New Roman" w:hAnsi="Times New Roman" w:cs="Times New Roman"/>
        </w:rPr>
        <w:t>,</w:t>
      </w:r>
      <w:proofErr w:type="gramEnd"/>
      <w:r>
        <w:rPr>
          <w:rFonts w:ascii="Times New Roman" w:hAnsi="Times New Roman" w:cs="Times New Roman"/>
        </w:rPr>
        <w:t xml:space="preserve"> </w:t>
      </w:r>
      <w:r w:rsidRPr="00020CD2">
        <w:rPr>
          <w:rFonts w:ascii="Times New Roman" w:hAnsi="Times New Roman" w:cs="Times New Roman"/>
        </w:rPr>
        <w:t xml:space="preserve">2004) found US multinationals to have foreign exchange exposure. Also, they showed that firm-specific exchange rate estimates reveal exposure more effectively than standard exchange rate indices do. </w:t>
      </w:r>
    </w:p>
    <w:p w14:paraId="11274EEA" w14:textId="1F785B5B"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As per the exchange rate movements, it may have a different impact on the financial performance of the companies depending on the case. </w:t>
      </w:r>
      <w:proofErr w:type="gramStart"/>
      <w:r>
        <w:rPr>
          <w:rFonts w:ascii="Times New Roman" w:hAnsi="Times New Roman" w:cs="Times New Roman"/>
        </w:rPr>
        <w:t>(</w:t>
      </w:r>
      <w:r w:rsidRPr="00020CD2">
        <w:rPr>
          <w:rFonts w:ascii="Times New Roman" w:hAnsi="Times New Roman" w:cs="Times New Roman"/>
        </w:rPr>
        <w:t xml:space="preserve"> </w:t>
      </w:r>
      <w:proofErr w:type="spellStart"/>
      <w:r w:rsidRPr="00020CD2">
        <w:rPr>
          <w:rFonts w:ascii="Times New Roman" w:hAnsi="Times New Roman" w:cs="Times New Roman"/>
        </w:rPr>
        <w:t>Allayannis</w:t>
      </w:r>
      <w:proofErr w:type="spellEnd"/>
      <w:proofErr w:type="gramEnd"/>
      <w:r w:rsidRPr="00020CD2">
        <w:rPr>
          <w:rFonts w:ascii="Times New Roman" w:hAnsi="Times New Roman" w:cs="Times New Roman"/>
        </w:rPr>
        <w:t xml:space="preserve"> and </w:t>
      </w:r>
      <w:proofErr w:type="gramStart"/>
      <w:r w:rsidRPr="00020CD2">
        <w:rPr>
          <w:rFonts w:ascii="Times New Roman" w:hAnsi="Times New Roman" w:cs="Times New Roman"/>
        </w:rPr>
        <w:t xml:space="preserve">Ihrig </w:t>
      </w:r>
      <w:r>
        <w:rPr>
          <w:rFonts w:ascii="Times New Roman" w:hAnsi="Times New Roman" w:cs="Times New Roman"/>
        </w:rPr>
        <w:t>,</w:t>
      </w:r>
      <w:proofErr w:type="gramEnd"/>
      <w:r>
        <w:rPr>
          <w:rFonts w:ascii="Times New Roman" w:hAnsi="Times New Roman" w:cs="Times New Roman"/>
        </w:rPr>
        <w:t xml:space="preserve"> </w:t>
      </w:r>
      <w:r w:rsidRPr="00020CD2">
        <w:rPr>
          <w:rFonts w:ascii="Times New Roman" w:hAnsi="Times New Roman" w:cs="Times New Roman"/>
        </w:rPr>
        <w:t xml:space="preserve">2001) reported that depreciation of dollar can generate positive impact on multinational corporations via </w:t>
      </w:r>
      <w:r w:rsidRPr="00020CD2">
        <w:rPr>
          <w:rFonts w:ascii="Times New Roman" w:hAnsi="Times New Roman" w:cs="Times New Roman"/>
        </w:rPr>
        <w:lastRenderedPageBreak/>
        <w:t>foreign sales; however, it produces a negative effect through foreign production. This means that the impact of currency movements cannot automatically be seen as positive or negative. The effect depends on the geographic and operational characteristics of different businesses.</w:t>
      </w:r>
    </w:p>
    <w:p w14:paraId="2C0B3276" w14:textId="5D91BB1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Risk management is the second major theme in the literature. According to </w:t>
      </w:r>
      <w:r>
        <w:rPr>
          <w:rFonts w:ascii="Times New Roman" w:hAnsi="Times New Roman" w:cs="Times New Roman"/>
        </w:rPr>
        <w:t>(</w:t>
      </w:r>
      <w:r w:rsidRPr="00020CD2">
        <w:rPr>
          <w:rFonts w:ascii="Times New Roman" w:hAnsi="Times New Roman" w:cs="Times New Roman"/>
        </w:rPr>
        <w:t xml:space="preserve">Bartram, Brown and </w:t>
      </w:r>
      <w:r w:rsidRPr="00020CD2">
        <w:rPr>
          <w:rFonts w:ascii="Times New Roman" w:hAnsi="Times New Roman" w:cs="Times New Roman"/>
        </w:rPr>
        <w:t>Minton,</w:t>
      </w:r>
      <w:r>
        <w:rPr>
          <w:rFonts w:ascii="Times New Roman" w:hAnsi="Times New Roman" w:cs="Times New Roman"/>
        </w:rPr>
        <w:t xml:space="preserve"> </w:t>
      </w:r>
      <w:r w:rsidRPr="00020CD2">
        <w:rPr>
          <w:rFonts w:ascii="Times New Roman" w:hAnsi="Times New Roman" w:cs="Times New Roman"/>
        </w:rPr>
        <w:t xml:space="preserve">2010), operational and financial hedging reduce corporate firm foreign exchange </w:t>
      </w:r>
      <w:r w:rsidRPr="00020CD2">
        <w:rPr>
          <w:rFonts w:ascii="Times New Roman" w:hAnsi="Times New Roman" w:cs="Times New Roman"/>
        </w:rPr>
        <w:t>exposure,</w:t>
      </w:r>
      <w:r w:rsidRPr="00020CD2">
        <w:rPr>
          <w:rFonts w:ascii="Times New Roman" w:hAnsi="Times New Roman" w:cs="Times New Roman"/>
        </w:rPr>
        <w:t xml:space="preserve"> and the role of foreign debt and foreign currency derivatives is important. Crabb (2002) likewise found that MNCs can reduce exchange rate exposure with use of foreign currency derivatives. </w:t>
      </w:r>
      <w:r>
        <w:rPr>
          <w:rFonts w:ascii="Times New Roman" w:hAnsi="Times New Roman" w:cs="Times New Roman"/>
        </w:rPr>
        <w:t>(</w:t>
      </w:r>
      <w:proofErr w:type="spellStart"/>
      <w:r w:rsidRPr="00020CD2">
        <w:rPr>
          <w:rFonts w:ascii="Times New Roman" w:hAnsi="Times New Roman" w:cs="Times New Roman"/>
        </w:rPr>
        <w:t>Nookhwun</w:t>
      </w:r>
      <w:proofErr w:type="spellEnd"/>
      <w:r w:rsidRPr="00020CD2">
        <w:rPr>
          <w:rFonts w:ascii="Times New Roman" w:hAnsi="Times New Roman" w:cs="Times New Roman"/>
        </w:rPr>
        <w:t xml:space="preserve">, </w:t>
      </w:r>
      <w:proofErr w:type="spellStart"/>
      <w:r w:rsidRPr="00020CD2">
        <w:rPr>
          <w:rFonts w:ascii="Times New Roman" w:hAnsi="Times New Roman" w:cs="Times New Roman"/>
        </w:rPr>
        <w:t>Pattararangrong</w:t>
      </w:r>
      <w:proofErr w:type="spellEnd"/>
      <w:r w:rsidRPr="00020CD2">
        <w:rPr>
          <w:rFonts w:ascii="Times New Roman" w:hAnsi="Times New Roman" w:cs="Times New Roman"/>
        </w:rPr>
        <w:t xml:space="preserve"> and </w:t>
      </w:r>
      <w:proofErr w:type="spellStart"/>
      <w:proofErr w:type="gramStart"/>
      <w:r w:rsidRPr="00020CD2">
        <w:rPr>
          <w:rFonts w:ascii="Times New Roman" w:hAnsi="Times New Roman" w:cs="Times New Roman"/>
        </w:rPr>
        <w:t>Rungcharoenkitkul</w:t>
      </w:r>
      <w:proofErr w:type="spellEnd"/>
      <w:r w:rsidRPr="00020CD2">
        <w:rPr>
          <w:rFonts w:ascii="Times New Roman" w:hAnsi="Times New Roman" w:cs="Times New Roman"/>
        </w:rPr>
        <w:t xml:space="preserve"> </w:t>
      </w:r>
      <w:r>
        <w:rPr>
          <w:rFonts w:ascii="Times New Roman" w:hAnsi="Times New Roman" w:cs="Times New Roman"/>
        </w:rPr>
        <w:t>,</w:t>
      </w:r>
      <w:proofErr w:type="gramEnd"/>
      <w:r>
        <w:rPr>
          <w:rFonts w:ascii="Times New Roman" w:hAnsi="Times New Roman" w:cs="Times New Roman"/>
        </w:rPr>
        <w:t xml:space="preserve"> </w:t>
      </w:r>
      <w:r w:rsidRPr="00020CD2">
        <w:rPr>
          <w:rFonts w:ascii="Times New Roman" w:hAnsi="Times New Roman" w:cs="Times New Roman"/>
        </w:rPr>
        <w:t>2025) have done more recent work showing that changes in exchange rates can significantly affect the profits, liquidity, investment and employment of firms, and that financial hedging only cushions the impact, though it does not provide complete protection.</w:t>
      </w:r>
    </w:p>
    <w:p w14:paraId="22ADE0E9"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The literature shows an important link between exchange rates and business outcome, but there is also considerable variation according to firm size, foreign sales, production structure, currency exposure and hedging behaviour. Further research synthesising evidence on how these factors affect performance will be warranted.</w:t>
      </w:r>
    </w:p>
    <w:p w14:paraId="5FDD663C" w14:textId="6E8381AE" w:rsidR="003B03FA" w:rsidRPr="00020CD2" w:rsidRDefault="003B03FA" w:rsidP="00020CD2">
      <w:pPr>
        <w:pStyle w:val="Heading2"/>
      </w:pPr>
      <w:r w:rsidRPr="00020CD2">
        <w:t xml:space="preserve"> </w:t>
      </w:r>
      <w:bookmarkStart w:id="3" w:name="_Toc241861861"/>
      <w:r w:rsidRPr="00020CD2">
        <w:t>Methodology</w:t>
      </w:r>
      <w:bookmarkEnd w:id="3"/>
    </w:p>
    <w:p w14:paraId="6DBACFB9"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This research will use secondary research with quantitative and comparative approaches.</w:t>
      </w:r>
    </w:p>
    <w:p w14:paraId="32BFE9A3"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 We will not collect primary data. The researcher will collect secondary data from published company annual reports, financial databases, World Bank data base, International Monetary Fund’s (IMF) data base, central-bank exchange rate statistics, and credible peer-reviewed studies.</w:t>
      </w:r>
    </w:p>
    <w:p w14:paraId="0772EEC1"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The study will restrict itself to the publicly listed multinational companies with considerable global operations. Indicators such as revenue growth and return on assets (ROA), return on equity (ROE), and operating profit margin and net profit will assess financial performance. The shifts in the rate of exchange of the major currencies, relevant to the chosen companies, will be compared with shifts into the financial indicators for a particular period such as, 2019-2025.</w:t>
      </w:r>
    </w:p>
    <w:p w14:paraId="5F3E221A"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 xml:space="preserve">To investigate the correlation between exchange rate changes and financial performance, descriptive statistics, correlation analysis, and regression analysis will be performed on overwhelming secondary observations.  Documentary analysis of annual reports will also identify firms’ reporting of foreign exchange exposure and hedging. By comparing the </w:t>
      </w:r>
      <w:r w:rsidRPr="00020CD2">
        <w:rPr>
          <w:rFonts w:ascii="Times New Roman" w:hAnsi="Times New Roman" w:cs="Times New Roman"/>
        </w:rPr>
        <w:lastRenderedPageBreak/>
        <w:t>companies and the periods, the study will assess whether differences in international exposure and risk-management practices are associated with differences in profitability.</w:t>
      </w:r>
    </w:p>
    <w:p w14:paraId="6DAF1DED" w14:textId="77777777" w:rsidR="00020CD2" w:rsidRPr="00020CD2" w:rsidRDefault="00020CD2" w:rsidP="00020CD2">
      <w:pPr>
        <w:spacing w:line="360" w:lineRule="auto"/>
        <w:jc w:val="both"/>
        <w:rPr>
          <w:rFonts w:ascii="Times New Roman" w:hAnsi="Times New Roman" w:cs="Times New Roman"/>
        </w:rPr>
      </w:pPr>
      <w:r w:rsidRPr="00020CD2">
        <w:rPr>
          <w:rFonts w:ascii="Times New Roman" w:hAnsi="Times New Roman" w:cs="Times New Roman"/>
        </w:rPr>
        <w:t>The secondary research method is appropriate because trustworthy historical financial and exchange rate data are publicly available and useful for longitudinal research. It is less costly and time-consuming than primary research. Nonetheless, the differences in corporate reporting practices, the difficulty in isolating exchange rates from other macroeconomic factors and the fact that the same relationships may not hold in the future, can limit the effectiveness of this approach.</w:t>
      </w:r>
    </w:p>
    <w:p w14:paraId="6507EE48" w14:textId="77777777" w:rsidR="003B03FA" w:rsidRPr="00020CD2" w:rsidRDefault="003B03FA" w:rsidP="00020CD2">
      <w:pPr>
        <w:spacing w:line="360" w:lineRule="auto"/>
        <w:jc w:val="both"/>
        <w:rPr>
          <w:rFonts w:ascii="Times New Roman" w:hAnsi="Times New Roman" w:cs="Times New Roman"/>
        </w:rPr>
      </w:pPr>
    </w:p>
    <w:p w14:paraId="3A90B31C" w14:textId="77777777" w:rsidR="005747BD" w:rsidRPr="00020CD2" w:rsidRDefault="005747BD" w:rsidP="00020CD2">
      <w:pPr>
        <w:spacing w:line="360" w:lineRule="auto"/>
        <w:jc w:val="both"/>
        <w:rPr>
          <w:rFonts w:ascii="Times New Roman" w:hAnsi="Times New Roman" w:cs="Times New Roman"/>
        </w:rPr>
      </w:pPr>
    </w:p>
    <w:p w14:paraId="5531A71B" w14:textId="77777777" w:rsidR="005747BD" w:rsidRPr="00020CD2" w:rsidRDefault="005747BD" w:rsidP="00020CD2">
      <w:pPr>
        <w:spacing w:line="360" w:lineRule="auto"/>
        <w:jc w:val="both"/>
        <w:rPr>
          <w:rFonts w:ascii="Times New Roman" w:hAnsi="Times New Roman" w:cs="Times New Roman"/>
        </w:rPr>
      </w:pPr>
    </w:p>
    <w:p w14:paraId="184039F6" w14:textId="77777777" w:rsidR="005747BD" w:rsidRPr="00020CD2" w:rsidRDefault="005747BD" w:rsidP="00020CD2">
      <w:pPr>
        <w:spacing w:line="360" w:lineRule="auto"/>
        <w:jc w:val="both"/>
        <w:rPr>
          <w:rFonts w:ascii="Times New Roman" w:hAnsi="Times New Roman" w:cs="Times New Roman"/>
        </w:rPr>
      </w:pPr>
    </w:p>
    <w:p w14:paraId="54F32B6A" w14:textId="77777777" w:rsidR="005747BD" w:rsidRPr="00020CD2" w:rsidRDefault="005747BD" w:rsidP="00020CD2">
      <w:pPr>
        <w:spacing w:line="360" w:lineRule="auto"/>
        <w:jc w:val="both"/>
        <w:rPr>
          <w:rFonts w:ascii="Times New Roman" w:hAnsi="Times New Roman" w:cs="Times New Roman"/>
        </w:rPr>
      </w:pPr>
    </w:p>
    <w:p w14:paraId="06CDBAA1" w14:textId="77777777" w:rsidR="005747BD" w:rsidRPr="00020CD2" w:rsidRDefault="005747BD" w:rsidP="00020CD2">
      <w:pPr>
        <w:spacing w:line="360" w:lineRule="auto"/>
        <w:jc w:val="both"/>
        <w:rPr>
          <w:rFonts w:ascii="Times New Roman" w:hAnsi="Times New Roman" w:cs="Times New Roman"/>
        </w:rPr>
      </w:pPr>
    </w:p>
    <w:p w14:paraId="6EB7C6A9" w14:textId="77777777" w:rsidR="005747BD" w:rsidRPr="00020CD2" w:rsidRDefault="005747BD" w:rsidP="00020CD2">
      <w:pPr>
        <w:spacing w:line="360" w:lineRule="auto"/>
        <w:jc w:val="both"/>
        <w:rPr>
          <w:rFonts w:ascii="Times New Roman" w:hAnsi="Times New Roman" w:cs="Times New Roman"/>
        </w:rPr>
      </w:pPr>
    </w:p>
    <w:p w14:paraId="79459117" w14:textId="77777777" w:rsidR="005747BD" w:rsidRPr="00020CD2" w:rsidRDefault="005747BD" w:rsidP="00020CD2">
      <w:pPr>
        <w:spacing w:line="360" w:lineRule="auto"/>
        <w:jc w:val="both"/>
        <w:rPr>
          <w:rFonts w:ascii="Times New Roman" w:hAnsi="Times New Roman" w:cs="Times New Roman"/>
        </w:rPr>
      </w:pPr>
    </w:p>
    <w:p w14:paraId="23B0A2E7" w14:textId="77777777" w:rsidR="005747BD" w:rsidRPr="00020CD2" w:rsidRDefault="005747BD" w:rsidP="00020CD2">
      <w:pPr>
        <w:spacing w:line="360" w:lineRule="auto"/>
        <w:jc w:val="both"/>
        <w:rPr>
          <w:rFonts w:ascii="Times New Roman" w:hAnsi="Times New Roman" w:cs="Times New Roman"/>
        </w:rPr>
      </w:pPr>
    </w:p>
    <w:p w14:paraId="4F41F4D7" w14:textId="77777777" w:rsidR="005747BD" w:rsidRPr="00020CD2" w:rsidRDefault="005747BD" w:rsidP="00020CD2">
      <w:pPr>
        <w:spacing w:line="360" w:lineRule="auto"/>
        <w:jc w:val="both"/>
        <w:rPr>
          <w:rFonts w:ascii="Times New Roman" w:hAnsi="Times New Roman" w:cs="Times New Roman"/>
        </w:rPr>
      </w:pPr>
    </w:p>
    <w:p w14:paraId="26ABEC6D" w14:textId="77777777" w:rsidR="005747BD" w:rsidRPr="00020CD2" w:rsidRDefault="005747BD" w:rsidP="00020CD2">
      <w:pPr>
        <w:spacing w:line="360" w:lineRule="auto"/>
        <w:jc w:val="both"/>
        <w:rPr>
          <w:rFonts w:ascii="Times New Roman" w:hAnsi="Times New Roman" w:cs="Times New Roman"/>
        </w:rPr>
      </w:pPr>
    </w:p>
    <w:p w14:paraId="27BBFB6E" w14:textId="77777777" w:rsidR="005747BD" w:rsidRPr="00020CD2" w:rsidRDefault="005747BD" w:rsidP="00020CD2">
      <w:pPr>
        <w:spacing w:line="360" w:lineRule="auto"/>
        <w:jc w:val="both"/>
        <w:rPr>
          <w:rFonts w:ascii="Times New Roman" w:hAnsi="Times New Roman" w:cs="Times New Roman"/>
        </w:rPr>
      </w:pPr>
    </w:p>
    <w:p w14:paraId="0DA9518C" w14:textId="77777777" w:rsidR="005747BD" w:rsidRPr="00020CD2" w:rsidRDefault="005747BD" w:rsidP="00020CD2">
      <w:pPr>
        <w:spacing w:line="360" w:lineRule="auto"/>
        <w:jc w:val="both"/>
        <w:rPr>
          <w:rFonts w:ascii="Times New Roman" w:hAnsi="Times New Roman" w:cs="Times New Roman"/>
        </w:rPr>
      </w:pPr>
    </w:p>
    <w:p w14:paraId="207CFD31" w14:textId="77777777" w:rsidR="005747BD" w:rsidRPr="00020CD2" w:rsidRDefault="005747BD" w:rsidP="00020CD2">
      <w:pPr>
        <w:spacing w:line="360" w:lineRule="auto"/>
        <w:jc w:val="both"/>
        <w:rPr>
          <w:rFonts w:ascii="Times New Roman" w:hAnsi="Times New Roman" w:cs="Times New Roman"/>
        </w:rPr>
      </w:pPr>
    </w:p>
    <w:p w14:paraId="793D3ED2" w14:textId="77777777" w:rsidR="005747BD" w:rsidRPr="00020CD2" w:rsidRDefault="005747BD" w:rsidP="00020CD2">
      <w:pPr>
        <w:spacing w:line="360" w:lineRule="auto"/>
        <w:jc w:val="both"/>
        <w:rPr>
          <w:rFonts w:ascii="Times New Roman" w:hAnsi="Times New Roman" w:cs="Times New Roman"/>
        </w:rPr>
      </w:pPr>
    </w:p>
    <w:p w14:paraId="3D2402D5" w14:textId="77777777" w:rsidR="005747BD" w:rsidRPr="00020CD2" w:rsidRDefault="005747BD" w:rsidP="00020CD2">
      <w:pPr>
        <w:spacing w:line="360" w:lineRule="auto"/>
        <w:jc w:val="both"/>
        <w:rPr>
          <w:rFonts w:ascii="Times New Roman" w:hAnsi="Times New Roman" w:cs="Times New Roman"/>
        </w:rPr>
      </w:pPr>
    </w:p>
    <w:p w14:paraId="33C97F5B" w14:textId="77777777" w:rsidR="005747BD" w:rsidRPr="00020CD2" w:rsidRDefault="005747BD" w:rsidP="00020CD2">
      <w:pPr>
        <w:spacing w:line="360" w:lineRule="auto"/>
        <w:jc w:val="both"/>
        <w:rPr>
          <w:rFonts w:ascii="Times New Roman" w:hAnsi="Times New Roman" w:cs="Times New Roman"/>
        </w:rPr>
      </w:pPr>
    </w:p>
    <w:p w14:paraId="38AB8CD0" w14:textId="77777777" w:rsidR="003B03FA" w:rsidRPr="00020CD2" w:rsidRDefault="003B03FA" w:rsidP="00020CD2">
      <w:pPr>
        <w:spacing w:line="360" w:lineRule="auto"/>
        <w:jc w:val="both"/>
        <w:rPr>
          <w:rFonts w:ascii="Times New Roman" w:hAnsi="Times New Roman" w:cs="Times New Roman"/>
        </w:rPr>
      </w:pPr>
    </w:p>
    <w:p w14:paraId="4B71C8F1" w14:textId="6237DB1A" w:rsidR="003B03FA" w:rsidRDefault="003B03FA" w:rsidP="00020CD2">
      <w:pPr>
        <w:pStyle w:val="Heading2"/>
      </w:pPr>
      <w:r w:rsidRPr="00020CD2">
        <w:lastRenderedPageBreak/>
        <w:t xml:space="preserve"> </w:t>
      </w:r>
      <w:bookmarkStart w:id="4" w:name="_Toc241861862"/>
      <w:r w:rsidRPr="00020CD2">
        <w:t>References</w:t>
      </w:r>
      <w:r w:rsidR="00020CD2">
        <w:t>:</w:t>
      </w:r>
      <w:bookmarkEnd w:id="4"/>
    </w:p>
    <w:p w14:paraId="2FF68B51" w14:textId="77777777" w:rsidR="00020CD2" w:rsidRPr="00020CD2" w:rsidRDefault="00020CD2" w:rsidP="00020CD2"/>
    <w:p w14:paraId="6736A89B" w14:textId="77777777" w:rsidR="003B03FA" w:rsidRPr="00020CD2" w:rsidRDefault="003B03FA" w:rsidP="00020CD2">
      <w:pPr>
        <w:spacing w:line="360" w:lineRule="auto"/>
        <w:jc w:val="both"/>
        <w:rPr>
          <w:rFonts w:ascii="Times New Roman" w:hAnsi="Times New Roman" w:cs="Times New Roman"/>
        </w:rPr>
      </w:pPr>
      <w:proofErr w:type="spellStart"/>
      <w:r w:rsidRPr="00020CD2">
        <w:rPr>
          <w:rFonts w:ascii="Times New Roman" w:hAnsi="Times New Roman" w:cs="Times New Roman"/>
        </w:rPr>
        <w:t>Allayannis</w:t>
      </w:r>
      <w:proofErr w:type="spellEnd"/>
      <w:r w:rsidRPr="00020CD2">
        <w:rPr>
          <w:rFonts w:ascii="Times New Roman" w:hAnsi="Times New Roman" w:cs="Times New Roman"/>
        </w:rPr>
        <w:t xml:space="preserve">, G. and Ihrig, J. (2001) ‘Exposure and markups’, </w:t>
      </w:r>
      <w:r w:rsidRPr="00020CD2">
        <w:rPr>
          <w:rFonts w:ascii="Times New Roman" w:hAnsi="Times New Roman" w:cs="Times New Roman"/>
          <w:i/>
          <w:iCs/>
        </w:rPr>
        <w:t>Review of Financial Studies</w:t>
      </w:r>
      <w:r w:rsidRPr="00020CD2">
        <w:rPr>
          <w:rFonts w:ascii="Times New Roman" w:hAnsi="Times New Roman" w:cs="Times New Roman"/>
        </w:rPr>
        <w:t>, 14(3), pp. 805–835.</w:t>
      </w:r>
    </w:p>
    <w:p w14:paraId="36EF2118"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 xml:space="preserve">Bartram, S.M., Brown, G.W. and Minton, B.A. (2010) ‘Resolving the exposure puzzle: The many facets of exchange rate exposure’, </w:t>
      </w:r>
      <w:r w:rsidRPr="00020CD2">
        <w:rPr>
          <w:rFonts w:ascii="Times New Roman" w:hAnsi="Times New Roman" w:cs="Times New Roman"/>
          <w:i/>
          <w:iCs/>
        </w:rPr>
        <w:t>Journal of Financial Economics</w:t>
      </w:r>
      <w:r w:rsidRPr="00020CD2">
        <w:rPr>
          <w:rFonts w:ascii="Times New Roman" w:hAnsi="Times New Roman" w:cs="Times New Roman"/>
        </w:rPr>
        <w:t>, 95(2), pp. 148–173.</w:t>
      </w:r>
    </w:p>
    <w:p w14:paraId="0ED566F2"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 xml:space="preserve">Chou, D.W., Lin, L., Hung, P.H. and Lin, C.H. (2017) ‘A revisit to economic exposure of U.S. multinational corporations’, </w:t>
      </w:r>
      <w:r w:rsidRPr="00020CD2">
        <w:rPr>
          <w:rFonts w:ascii="Times New Roman" w:hAnsi="Times New Roman" w:cs="Times New Roman"/>
          <w:i/>
          <w:iCs/>
        </w:rPr>
        <w:t>The North American Journal of Economics and Finance</w:t>
      </w:r>
      <w:r w:rsidRPr="00020CD2">
        <w:rPr>
          <w:rFonts w:ascii="Times New Roman" w:hAnsi="Times New Roman" w:cs="Times New Roman"/>
        </w:rPr>
        <w:t>, 39, pp. 273–287.</w:t>
      </w:r>
    </w:p>
    <w:p w14:paraId="2BDB017F"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 xml:space="preserve">Crabb, P.R. (2002) ‘Multinational corporations and hedging exchange rate exposure’, </w:t>
      </w:r>
      <w:r w:rsidRPr="00020CD2">
        <w:rPr>
          <w:rFonts w:ascii="Times New Roman" w:hAnsi="Times New Roman" w:cs="Times New Roman"/>
          <w:i/>
          <w:iCs/>
        </w:rPr>
        <w:t>International Review of Economics &amp; Finance</w:t>
      </w:r>
      <w:r w:rsidRPr="00020CD2">
        <w:rPr>
          <w:rFonts w:ascii="Times New Roman" w:hAnsi="Times New Roman" w:cs="Times New Roman"/>
        </w:rPr>
        <w:t>, 11(3), pp. 299–314.</w:t>
      </w:r>
    </w:p>
    <w:p w14:paraId="0BD525BA"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 xml:space="preserve">Doidge, C., Griffin, J. and Williamson, R. (2006) ‘Measuring the economic importance of exchange rate exposure’, </w:t>
      </w:r>
      <w:r w:rsidRPr="00020CD2">
        <w:rPr>
          <w:rFonts w:ascii="Times New Roman" w:hAnsi="Times New Roman" w:cs="Times New Roman"/>
          <w:i/>
          <w:iCs/>
        </w:rPr>
        <w:t>Journal of Empirical Finance</w:t>
      </w:r>
      <w:r w:rsidRPr="00020CD2">
        <w:rPr>
          <w:rFonts w:ascii="Times New Roman" w:hAnsi="Times New Roman" w:cs="Times New Roman"/>
        </w:rPr>
        <w:t>, 13(4–5), pp. 550–576.</w:t>
      </w:r>
    </w:p>
    <w:p w14:paraId="0B151A14"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 xml:space="preserve">Dominguez, K.M.E. and Tesar, L.L. (2006) ‘Exchange rate exposure’, </w:t>
      </w:r>
      <w:r w:rsidRPr="00020CD2">
        <w:rPr>
          <w:rFonts w:ascii="Times New Roman" w:hAnsi="Times New Roman" w:cs="Times New Roman"/>
          <w:i/>
          <w:iCs/>
        </w:rPr>
        <w:t>Journal of International Economics</w:t>
      </w:r>
      <w:r w:rsidRPr="00020CD2">
        <w:rPr>
          <w:rFonts w:ascii="Times New Roman" w:hAnsi="Times New Roman" w:cs="Times New Roman"/>
        </w:rPr>
        <w:t>, 68(1), pp. 188–218.</w:t>
      </w:r>
    </w:p>
    <w:p w14:paraId="43962C02"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 xml:space="preserve">Fraser, S.P. and </w:t>
      </w:r>
      <w:proofErr w:type="spellStart"/>
      <w:r w:rsidRPr="00020CD2">
        <w:rPr>
          <w:rFonts w:ascii="Times New Roman" w:hAnsi="Times New Roman" w:cs="Times New Roman"/>
        </w:rPr>
        <w:t>Pantzalis</w:t>
      </w:r>
      <w:proofErr w:type="spellEnd"/>
      <w:r w:rsidRPr="00020CD2">
        <w:rPr>
          <w:rFonts w:ascii="Times New Roman" w:hAnsi="Times New Roman" w:cs="Times New Roman"/>
        </w:rPr>
        <w:t xml:space="preserve">, C. (2004) ‘Foreign exchange rate exposure of US multinational corporations: A firm-specific approach’, </w:t>
      </w:r>
      <w:r w:rsidRPr="00020CD2">
        <w:rPr>
          <w:rFonts w:ascii="Times New Roman" w:hAnsi="Times New Roman" w:cs="Times New Roman"/>
          <w:i/>
          <w:iCs/>
        </w:rPr>
        <w:t>Journal of Multinational Financial Management</w:t>
      </w:r>
      <w:r w:rsidRPr="00020CD2">
        <w:rPr>
          <w:rFonts w:ascii="Times New Roman" w:hAnsi="Times New Roman" w:cs="Times New Roman"/>
        </w:rPr>
        <w:t>, 14(3), pp. 261–281.</w:t>
      </w:r>
    </w:p>
    <w:p w14:paraId="73233226" w14:textId="77777777" w:rsidR="003B03FA" w:rsidRPr="00020CD2" w:rsidRDefault="003B03FA" w:rsidP="00020CD2">
      <w:pPr>
        <w:spacing w:line="360" w:lineRule="auto"/>
        <w:jc w:val="both"/>
        <w:rPr>
          <w:rFonts w:ascii="Times New Roman" w:hAnsi="Times New Roman" w:cs="Times New Roman"/>
        </w:rPr>
      </w:pPr>
      <w:r w:rsidRPr="00020CD2">
        <w:rPr>
          <w:rFonts w:ascii="Times New Roman" w:hAnsi="Times New Roman" w:cs="Times New Roman"/>
        </w:rPr>
        <w:t xml:space="preserve">Nookhwun, N., </w:t>
      </w:r>
      <w:proofErr w:type="spellStart"/>
      <w:r w:rsidRPr="00020CD2">
        <w:rPr>
          <w:rFonts w:ascii="Times New Roman" w:hAnsi="Times New Roman" w:cs="Times New Roman"/>
        </w:rPr>
        <w:t>Pattararangrong</w:t>
      </w:r>
      <w:proofErr w:type="spellEnd"/>
      <w:r w:rsidRPr="00020CD2">
        <w:rPr>
          <w:rFonts w:ascii="Times New Roman" w:hAnsi="Times New Roman" w:cs="Times New Roman"/>
        </w:rPr>
        <w:t xml:space="preserve">, J. and </w:t>
      </w:r>
      <w:proofErr w:type="spellStart"/>
      <w:r w:rsidRPr="00020CD2">
        <w:rPr>
          <w:rFonts w:ascii="Times New Roman" w:hAnsi="Times New Roman" w:cs="Times New Roman"/>
        </w:rPr>
        <w:t>Rungcharoenkitkul</w:t>
      </w:r>
      <w:proofErr w:type="spellEnd"/>
      <w:r w:rsidRPr="00020CD2">
        <w:rPr>
          <w:rFonts w:ascii="Times New Roman" w:hAnsi="Times New Roman" w:cs="Times New Roman"/>
        </w:rPr>
        <w:t xml:space="preserve">, P. (2025) ‘Exchange rate effects on firm performance: A NICER approach’, </w:t>
      </w:r>
      <w:r w:rsidRPr="00020CD2">
        <w:rPr>
          <w:rFonts w:ascii="Times New Roman" w:hAnsi="Times New Roman" w:cs="Times New Roman"/>
          <w:i/>
          <w:iCs/>
        </w:rPr>
        <w:t>BIS Working Papers</w:t>
      </w:r>
      <w:r w:rsidRPr="00020CD2">
        <w:rPr>
          <w:rFonts w:ascii="Times New Roman" w:hAnsi="Times New Roman" w:cs="Times New Roman"/>
        </w:rPr>
        <w:t>, No. 1266.</w:t>
      </w:r>
    </w:p>
    <w:p w14:paraId="167B5133" w14:textId="77777777" w:rsidR="003B03FA" w:rsidRPr="00020CD2" w:rsidRDefault="003B03FA" w:rsidP="00020CD2">
      <w:pPr>
        <w:spacing w:line="360" w:lineRule="auto"/>
        <w:jc w:val="both"/>
        <w:rPr>
          <w:rFonts w:ascii="Times New Roman" w:hAnsi="Times New Roman" w:cs="Times New Roman"/>
        </w:rPr>
      </w:pPr>
    </w:p>
    <w:p w14:paraId="28F3CECB" w14:textId="77777777" w:rsidR="003B03FA" w:rsidRPr="00020CD2" w:rsidRDefault="003B03FA" w:rsidP="00020CD2">
      <w:pPr>
        <w:spacing w:line="360" w:lineRule="auto"/>
        <w:jc w:val="both"/>
        <w:rPr>
          <w:rFonts w:ascii="Times New Roman" w:hAnsi="Times New Roman" w:cs="Times New Roman"/>
        </w:rPr>
      </w:pPr>
    </w:p>
    <w:p w14:paraId="24306E19" w14:textId="77777777" w:rsidR="00A070A0" w:rsidRPr="00020CD2" w:rsidRDefault="00A070A0" w:rsidP="00020CD2">
      <w:pPr>
        <w:spacing w:line="360" w:lineRule="auto"/>
        <w:jc w:val="both"/>
        <w:rPr>
          <w:rFonts w:ascii="Times New Roman" w:hAnsi="Times New Roman" w:cs="Times New Roman"/>
        </w:rPr>
      </w:pPr>
    </w:p>
    <w:p w14:paraId="4532EEF2" w14:textId="77777777" w:rsidR="003B03FA" w:rsidRPr="00020CD2" w:rsidRDefault="003B03FA" w:rsidP="00020CD2">
      <w:pPr>
        <w:spacing w:line="360" w:lineRule="auto"/>
        <w:jc w:val="both"/>
        <w:rPr>
          <w:rFonts w:ascii="Times New Roman" w:hAnsi="Times New Roman" w:cs="Times New Roman"/>
        </w:rPr>
      </w:pPr>
    </w:p>
    <w:p w14:paraId="1F675F1A" w14:textId="77777777" w:rsidR="003B03FA" w:rsidRPr="00020CD2" w:rsidRDefault="003B03FA" w:rsidP="00020CD2">
      <w:pPr>
        <w:spacing w:line="360" w:lineRule="auto"/>
        <w:jc w:val="both"/>
        <w:rPr>
          <w:rFonts w:ascii="Times New Roman" w:hAnsi="Times New Roman" w:cs="Times New Roman"/>
        </w:rPr>
      </w:pPr>
    </w:p>
    <w:p w14:paraId="25DE8694" w14:textId="77777777" w:rsidR="00A070A0" w:rsidRPr="00020CD2" w:rsidRDefault="00A070A0" w:rsidP="00020CD2">
      <w:pPr>
        <w:spacing w:line="360" w:lineRule="auto"/>
        <w:jc w:val="both"/>
        <w:rPr>
          <w:rFonts w:ascii="Times New Roman" w:hAnsi="Times New Roman" w:cs="Times New Roman"/>
        </w:rPr>
      </w:pPr>
    </w:p>
    <w:sectPr w:rsidR="00A070A0" w:rsidRPr="00020C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93059"/>
    <w:multiLevelType w:val="multilevel"/>
    <w:tmpl w:val="FB2C8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B6397B"/>
    <w:multiLevelType w:val="hybridMultilevel"/>
    <w:tmpl w:val="932A4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04531E"/>
    <w:multiLevelType w:val="hybridMultilevel"/>
    <w:tmpl w:val="273CA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C018FD"/>
    <w:multiLevelType w:val="multilevel"/>
    <w:tmpl w:val="C2E44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4230578">
    <w:abstractNumId w:val="0"/>
  </w:num>
  <w:num w:numId="2" w16cid:durableId="1035041107">
    <w:abstractNumId w:val="3"/>
  </w:num>
  <w:num w:numId="3" w16cid:durableId="1789205075">
    <w:abstractNumId w:val="2"/>
  </w:num>
  <w:num w:numId="4" w16cid:durableId="19217148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0A0"/>
    <w:rsid w:val="00020CD2"/>
    <w:rsid w:val="003B03FA"/>
    <w:rsid w:val="005747BD"/>
    <w:rsid w:val="0076735E"/>
    <w:rsid w:val="00951857"/>
    <w:rsid w:val="00951C09"/>
    <w:rsid w:val="00A070A0"/>
    <w:rsid w:val="00A92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55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TOCHeading">
    <w:name w:val="TOC Heading"/>
    <w:basedOn w:val="Heading1"/>
    <w:next w:val="Normal"/>
    <w:uiPriority w:val="39"/>
    <w:unhideWhenUsed/>
    <w:qFormat/>
    <w:rsid w:val="00020CD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20CD2"/>
    <w:pPr>
      <w:spacing w:after="100"/>
    </w:pPr>
  </w:style>
  <w:style w:type="paragraph" w:styleId="TOC2">
    <w:name w:val="toc 2"/>
    <w:basedOn w:val="Normal"/>
    <w:next w:val="Normal"/>
    <w:autoRedefine/>
    <w:uiPriority w:val="39"/>
    <w:unhideWhenUsed/>
    <w:rsid w:val="00020CD2"/>
    <w:pPr>
      <w:spacing w:after="100"/>
      <w:ind w:left="240"/>
    </w:pPr>
  </w:style>
  <w:style w:type="character" w:styleId="Hyperlink">
    <w:name w:val="Hyperlink"/>
    <w:basedOn w:val="DefaultParagraphFont"/>
    <w:uiPriority w:val="99"/>
    <w:unhideWhenUsed/>
    <w:rsid w:val="00020CD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F7B69-FFA8-4766-B9F3-02F67A54E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1368</Words>
  <Characters>7801</Characters>
  <Application>Microsoft Office Word</Application>
  <DocSecurity>0</DocSecurity>
  <Lines>65</Lines>
  <Paragraphs>18</Paragraphs>
  <ScaleCrop>false</ScaleCrop>
  <Company/>
  <LinksUpToDate>false</LinksUpToDate>
  <CharactersWithSpaces>9151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2026-10-02T18:31:00Z</dcterms:created>
  <dcterms:modified xsi:type="dcterms:W3CDTF">2026-10-02T18:31:00Z</dcterms:modified>
</cp:coreProperties>
</file>