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F11F91" w14:textId="08D7C941" w:rsidR="009C17CA" w:rsidRDefault="00850462">
      <w:r>
        <w:t>Childe had</w:t>
      </w:r>
      <w:r w:rsidR="00E45221">
        <w:t xml:space="preserve"> created </w:t>
      </w:r>
      <w:proofErr w:type="gramStart"/>
      <w:r w:rsidR="00E45221">
        <w:t>a</w:t>
      </w:r>
      <w:r>
        <w:t xml:space="preserve"> </w:t>
      </w:r>
      <w:r w:rsidR="003E4D55">
        <w:t>ten-point criteria of characteristics</w:t>
      </w:r>
      <w:proofErr w:type="gramEnd"/>
      <w:r>
        <w:t xml:space="preserve"> </w:t>
      </w:r>
      <w:r w:rsidR="003E4D55">
        <w:t>of complex societies that was listed within Trigger 2007. Points included: large urban centres, primary producers paying surpluses to a deity or divine ruler, monumental architecture, a ruling class exempt from manual labour and systems for recording information.</w:t>
      </w:r>
      <w:r w:rsidR="003E4D55">
        <w:rPr>
          <w:rStyle w:val="FootnoteReference"/>
        </w:rPr>
        <w:footnoteReference w:id="1"/>
      </w:r>
      <w:r w:rsidR="00E45221">
        <w:t xml:space="preserve"> The Roman Empire fits most of the ten points, if not all, over the due course of its existence; whether at the very start while run by a monarchy or at the very end of the Empire when Constantinople fell to the Ottoman Empire.</w:t>
      </w:r>
    </w:p>
    <w:p w14:paraId="595067A0" w14:textId="2698402B" w:rsidR="00E45221" w:rsidRDefault="00E45221">
      <w:r>
        <w:tab/>
        <w:t xml:space="preserve">To start off with, the Roman Empire had lots of large urban centres. Some of the most well-known ones would be Rome, Alexandria, </w:t>
      </w:r>
      <w:r w:rsidR="00875EDB">
        <w:t>Carthage,</w:t>
      </w:r>
      <w:r>
        <w:t xml:space="preserve"> and Constantinople, each of which being a capital city of an Empire or country. Rome and Constantinople were both capital cities of the Roman Empire, while Alexandria was the </w:t>
      </w:r>
      <w:r w:rsidR="00875EDB">
        <w:t xml:space="preserve">Macedonian city founded in Egypt by Alexander the Great that came to become the capital of Egypt, then taken over by Augustus after defeating Cleopatra VII and Antony, leading to their suicides. Carthage was the capital of the country Africa (now known as Tunisia) which </w:t>
      </w:r>
      <w:proofErr w:type="gramStart"/>
      <w:r w:rsidR="00875EDB">
        <w:t>was taken</w:t>
      </w:r>
      <w:proofErr w:type="gramEnd"/>
      <w:r w:rsidR="00875EDB">
        <w:t xml:space="preserve"> over by Rome around the Second and Third Punic Wars.</w:t>
      </w:r>
      <w:r>
        <w:t xml:space="preserve"> Other notable cities within the Roman Empire </w:t>
      </w:r>
      <w:r w:rsidR="007F3A6E">
        <w:t>c</w:t>
      </w:r>
      <w:r>
        <w:t xml:space="preserve">ould include </w:t>
      </w:r>
      <w:r w:rsidR="007F3A6E">
        <w:t xml:space="preserve">Capua, </w:t>
      </w:r>
      <w:r>
        <w:t>Tarentum, Ephesus, and Antioch</w:t>
      </w:r>
      <w:r w:rsidR="007F3A6E">
        <w:t>, as they were important for reasons like farming and trade. Therefore, the Roman Empire would meet Childe’s criteria for that characteristic for Rome being a complex society.</w:t>
      </w:r>
    </w:p>
    <w:p w14:paraId="39E2894A" w14:textId="3ED4CA42" w:rsidR="007F3A6E" w:rsidRDefault="007F3A6E">
      <w:r>
        <w:tab/>
      </w:r>
      <w:r w:rsidR="0029429F">
        <w:t xml:space="preserve"> </w:t>
      </w:r>
      <w:r w:rsidR="005E4F37">
        <w:t>The Roman Empire also had a lot of monumental architecture; for example, the Col</w:t>
      </w:r>
      <w:r w:rsidR="007B2766">
        <w:t>os</w:t>
      </w:r>
      <w:r w:rsidR="005E4F37">
        <w:t xml:space="preserve">seum, the Ara </w:t>
      </w:r>
      <w:proofErr w:type="spellStart"/>
      <w:r w:rsidR="005E4F37">
        <w:t>Pacis</w:t>
      </w:r>
      <w:proofErr w:type="spellEnd"/>
      <w:r w:rsidR="005E4F37">
        <w:t xml:space="preserve"> </w:t>
      </w:r>
      <w:proofErr w:type="spellStart"/>
      <w:r w:rsidR="005E4F37">
        <w:t>Augustae</w:t>
      </w:r>
      <w:proofErr w:type="spellEnd"/>
      <w:r w:rsidR="005E4F37">
        <w:t>, and the Hagia Sophia.</w:t>
      </w:r>
      <w:r w:rsidR="00DA6567">
        <w:t xml:space="preserve"> The Hagia Sophia </w:t>
      </w:r>
      <w:proofErr w:type="gramStart"/>
      <w:r w:rsidR="00DA6567">
        <w:t>was considered</w:t>
      </w:r>
      <w:proofErr w:type="gramEnd"/>
      <w:r w:rsidR="00CD3A23">
        <w:t xml:space="preserve"> once</w:t>
      </w:r>
      <w:r w:rsidR="00DA6567">
        <w:t xml:space="preserve"> to be the largest structure in the world, and it started off as a Greek Orthodox Christian cathedral which was then turned into a mosque when the Ottoman Empire took control over it.</w:t>
      </w:r>
      <w:r w:rsidR="00DA6567">
        <w:rPr>
          <w:rStyle w:val="FootnoteReference"/>
        </w:rPr>
        <w:footnoteReference w:id="2"/>
      </w:r>
      <w:r w:rsidR="00DA6567">
        <w:t xml:space="preserve"> </w:t>
      </w:r>
      <w:r w:rsidR="005E4F37">
        <w:t xml:space="preserve"> </w:t>
      </w:r>
      <w:r w:rsidR="007B2766">
        <w:t xml:space="preserve">The Colosseum is quite possibly the most well-known Roman architecture, aside from baths and aqueducts which are Roman architectural inventions still used today. Like the Naumachia, it </w:t>
      </w:r>
      <w:proofErr w:type="gramStart"/>
      <w:r w:rsidR="007B2766">
        <w:t>was used</w:t>
      </w:r>
      <w:proofErr w:type="gramEnd"/>
      <w:r w:rsidR="007B2766">
        <w:t xml:space="preserve"> for competitions. However, while the Naumachia </w:t>
      </w:r>
      <w:proofErr w:type="gramStart"/>
      <w:r w:rsidR="007B2766">
        <w:t>was used</w:t>
      </w:r>
      <w:proofErr w:type="gramEnd"/>
      <w:r w:rsidR="007B2766">
        <w:t xml:space="preserve"> for naval competitions, the Colosseum was used for gladiators to fight. Contradictorily, the Ara </w:t>
      </w:r>
      <w:proofErr w:type="spellStart"/>
      <w:r w:rsidR="007B2766">
        <w:t>Pacis</w:t>
      </w:r>
      <w:proofErr w:type="spellEnd"/>
      <w:r w:rsidR="007B2766">
        <w:t xml:space="preserve"> </w:t>
      </w:r>
      <w:proofErr w:type="spellStart"/>
      <w:r w:rsidR="007B2766">
        <w:t>Augustae</w:t>
      </w:r>
      <w:proofErr w:type="spellEnd"/>
      <w:r w:rsidR="007B2766">
        <w:t xml:space="preserve"> </w:t>
      </w:r>
      <w:proofErr w:type="gramStart"/>
      <w:r w:rsidR="007B2766">
        <w:t>was built</w:t>
      </w:r>
      <w:proofErr w:type="gramEnd"/>
      <w:r w:rsidR="007B2766">
        <w:t xml:space="preserve"> due to the peace Augustus brought to Rome and dedicated to the goddess of peace, Pax; it literally means the Temple of Augustan Peace.</w:t>
      </w:r>
      <w:r w:rsidR="007B2766">
        <w:rPr>
          <w:rStyle w:val="FootnoteReference"/>
        </w:rPr>
        <w:footnoteReference w:id="3"/>
      </w:r>
      <w:r w:rsidR="00F60D27">
        <w:t xml:space="preserve"> It was voted for by the Senate in 13 B.C. and was completed in 9 BC, for Augustus’ campaigns in Gaul and Spain.</w:t>
      </w:r>
      <w:r w:rsidR="00F60D27">
        <w:rPr>
          <w:rStyle w:val="FootnoteReference"/>
        </w:rPr>
        <w:footnoteReference w:id="4"/>
      </w:r>
      <w:r w:rsidR="005D67D6">
        <w:t xml:space="preserve"> </w:t>
      </w:r>
      <w:r w:rsidR="00877B92">
        <w:t xml:space="preserve">Concurrently, there was also monumental art within the civilization of Rome; the sculptures on buildings like the Hagia Sophia and the Ara </w:t>
      </w:r>
      <w:proofErr w:type="spellStart"/>
      <w:r w:rsidR="00877B92">
        <w:t>Pacis</w:t>
      </w:r>
      <w:proofErr w:type="spellEnd"/>
      <w:r w:rsidR="00877B92">
        <w:t xml:space="preserve"> were incredibly detailed and would have needed high-levelled craftsmen for them to be completed. In addition, there were even statues like the Prima Porta statue created, of which the breastplate </w:t>
      </w:r>
      <w:proofErr w:type="gramStart"/>
      <w:r w:rsidR="00877B92">
        <w:t>is covered</w:t>
      </w:r>
      <w:proofErr w:type="gramEnd"/>
      <w:r w:rsidR="00877B92">
        <w:t xml:space="preserve"> with several intricate carvings of different achievements or deities related to Augustus. From these, the civilization of Rome fills in two more of the ten characteristics Childe lists as advice for deciding which civilizations and societies are complex or not.</w:t>
      </w:r>
    </w:p>
    <w:p w14:paraId="046008D1" w14:textId="4DC2C94C" w:rsidR="00877B92" w:rsidRDefault="00877B92">
      <w:r>
        <w:tab/>
      </w:r>
      <w:r w:rsidR="00906E8B">
        <w:t xml:space="preserve">A third point of why Rome could </w:t>
      </w:r>
      <w:proofErr w:type="gramStart"/>
      <w:r w:rsidR="00906E8B">
        <w:t>be</w:t>
      </w:r>
      <w:r w:rsidR="001E5E12">
        <w:t xml:space="preserve"> considered</w:t>
      </w:r>
      <w:proofErr w:type="gramEnd"/>
      <w:r w:rsidR="001E5E12">
        <w:t xml:space="preserve"> a complex society or civilization is the fact that the primary producers pay their surplus to a deity or a divine ruler, like in festivals and sacrifices to a god (or to the Pharaoh in Egypt, which the Roman Emperors were also known as solely in Egypt from Augustus to around Decius).</w:t>
      </w:r>
      <w:r w:rsidR="008218F5">
        <w:t xml:space="preserve"> Rome regularly held festivals and sacrifices for their gods, as there were so many of them due to the syncretisation of the religions that took place whenever Rome conquered a place. There were main events, like the Bona </w:t>
      </w:r>
      <w:proofErr w:type="spellStart"/>
      <w:r w:rsidR="008218F5">
        <w:t>Dea</w:t>
      </w:r>
      <w:proofErr w:type="spellEnd"/>
      <w:r w:rsidR="008218F5">
        <w:t>, which was only for women of status</w:t>
      </w:r>
      <w:r w:rsidR="0002052E">
        <w:t>, presided by a Vestal Virgin,</w:t>
      </w:r>
      <w:r w:rsidR="00390399">
        <w:rPr>
          <w:rStyle w:val="FootnoteReference"/>
        </w:rPr>
        <w:footnoteReference w:id="5"/>
      </w:r>
      <w:r w:rsidR="008218F5">
        <w:t xml:space="preserve"> and they had to meet at night in the house of the wife of an official with no men present, as well as festivals for Bacchus and the rest of the Roman Twelve Olympians.</w:t>
      </w:r>
      <w:r w:rsidR="00BD182F">
        <w:t xml:space="preserve"> In </w:t>
      </w:r>
      <w:r w:rsidR="00BD182F">
        <w:lastRenderedPageBreak/>
        <w:t>addition, some of the highest religious personnel would rely on contributions by others for most of their life (e.g. the Vestal Virgins who held their positions for around thirty years,</w:t>
      </w:r>
      <w:r w:rsidR="00BD182F">
        <w:rPr>
          <w:rStyle w:val="FootnoteReference"/>
        </w:rPr>
        <w:footnoteReference w:id="6"/>
      </w:r>
      <w:r w:rsidR="00BD182F">
        <w:t xml:space="preserve"> unless they </w:t>
      </w:r>
      <w:proofErr w:type="gramStart"/>
      <w:r w:rsidR="00BD182F">
        <w:t>were buried</w:t>
      </w:r>
      <w:proofErr w:type="gramEnd"/>
      <w:r w:rsidR="00BD182F">
        <w:t xml:space="preserve"> alive for losing their virginity like</w:t>
      </w:r>
      <w:r w:rsidR="00390399">
        <w:t xml:space="preserve"> </w:t>
      </w:r>
      <w:proofErr w:type="spellStart"/>
      <w:r w:rsidR="00390399">
        <w:t>Opimia</w:t>
      </w:r>
      <w:proofErr w:type="spellEnd"/>
      <w:r w:rsidR="00390399">
        <w:t>,</w:t>
      </w:r>
      <w:r w:rsidR="00390399">
        <w:rPr>
          <w:rStyle w:val="FootnoteReference"/>
        </w:rPr>
        <w:footnoteReference w:id="7"/>
      </w:r>
      <w:r w:rsidR="00BD182F">
        <w:t xml:space="preserve"> and could be chosen for their position as young as six)</w:t>
      </w:r>
      <w:r w:rsidR="00BD182F">
        <w:rPr>
          <w:rStyle w:val="FootnoteReference"/>
        </w:rPr>
        <w:footnoteReference w:id="8"/>
      </w:r>
      <w:r w:rsidR="00BD182F">
        <w:t xml:space="preserve">. However, families would also sacrifice food to their </w:t>
      </w:r>
      <w:proofErr w:type="spellStart"/>
      <w:r w:rsidR="00BD182F">
        <w:t>lares</w:t>
      </w:r>
      <w:proofErr w:type="spellEnd"/>
      <w:r w:rsidR="00BD182F">
        <w:t xml:space="preserve"> and genius loci</w:t>
      </w:r>
      <w:r w:rsidR="003238F8">
        <w:t xml:space="preserve"> at dinnertimes</w:t>
      </w:r>
      <w:r w:rsidR="00BD182F">
        <w:t xml:space="preserve">, household deities that would protect the family and the household with everyday sacrifices of a little bit of food. </w:t>
      </w:r>
      <w:r w:rsidR="001934FA">
        <w:t>Therefore, this is another of Childe’s characteristics of a complex society that Rome fits into.</w:t>
      </w:r>
    </w:p>
    <w:p w14:paraId="65DF5652" w14:textId="2BA25A86" w:rsidR="001934FA" w:rsidRDefault="00807D8A">
      <w:r>
        <w:tab/>
        <w:t xml:space="preserve">In conclusion, </w:t>
      </w:r>
      <w:r w:rsidR="00F736DA">
        <w:t xml:space="preserve">from these three to four characteristics of Childe’s criteria of complex societies, and there being more characteristics that have not </w:t>
      </w:r>
      <w:proofErr w:type="gramStart"/>
      <w:r w:rsidR="00F736DA">
        <w:t>been covered</w:t>
      </w:r>
      <w:proofErr w:type="gramEnd"/>
      <w:r w:rsidR="00F736DA">
        <w:t>, Rome can be classed as a complex society or civilization.</w:t>
      </w:r>
    </w:p>
    <w:p w14:paraId="4DC53031" w14:textId="20D69667" w:rsidR="00993F9A" w:rsidRDefault="00993F9A"/>
    <w:p w14:paraId="6354B5A6" w14:textId="7968CBDC" w:rsidR="00993F9A" w:rsidRDefault="00993F9A" w:rsidP="00993F9A">
      <w:pPr>
        <w:pStyle w:val="Heading1"/>
      </w:pPr>
      <w:r>
        <w:t>Bibliography</w:t>
      </w:r>
    </w:p>
    <w:p w14:paraId="7003A31A" w14:textId="77777777" w:rsidR="00993F9A" w:rsidRDefault="00993F9A" w:rsidP="00993F9A">
      <w:pPr>
        <w:pStyle w:val="ListParagraph"/>
        <w:numPr>
          <w:ilvl w:val="0"/>
          <w:numId w:val="1"/>
        </w:numPr>
      </w:pPr>
      <w:proofErr w:type="spellStart"/>
      <w:r>
        <w:t>Cancik-Lindemaier</w:t>
      </w:r>
      <w:proofErr w:type="spellEnd"/>
      <w:r>
        <w:t xml:space="preserve">, H., (2006) </w:t>
      </w:r>
      <w:r>
        <w:rPr>
          <w:i/>
        </w:rPr>
        <w:t>Vestals</w:t>
      </w:r>
      <w:r>
        <w:t xml:space="preserve">, found at </w:t>
      </w:r>
      <w:hyperlink r:id="rId8" w:history="1">
        <w:r w:rsidRPr="0083471D">
          <w:rPr>
            <w:rStyle w:val="Hyperlink"/>
          </w:rPr>
          <w:t>https://referenceworks.brillonline.com/entries/brill-s-new-pauly/vestals-e12202410?s.num=0&amp;s.f.s2_parent=s.f.book.brill-s-new-pauly&amp;s.q=vestals</w:t>
        </w:r>
      </w:hyperlink>
      <w:r>
        <w:t xml:space="preserve"> (accessed 24/01/2019)</w:t>
      </w:r>
    </w:p>
    <w:p w14:paraId="56950B30" w14:textId="77777777" w:rsidR="00993F9A" w:rsidRDefault="00993F9A" w:rsidP="00993F9A">
      <w:pPr>
        <w:pStyle w:val="ListParagraph"/>
        <w:numPr>
          <w:ilvl w:val="0"/>
          <w:numId w:val="1"/>
        </w:numPr>
      </w:pPr>
      <w:r>
        <w:t xml:space="preserve">Cartwright, M., (2013), </w:t>
      </w:r>
      <w:r>
        <w:rPr>
          <w:i/>
        </w:rPr>
        <w:t xml:space="preserve">Ara </w:t>
      </w:r>
      <w:proofErr w:type="spellStart"/>
      <w:r>
        <w:rPr>
          <w:i/>
        </w:rPr>
        <w:t>Pacis</w:t>
      </w:r>
      <w:proofErr w:type="spellEnd"/>
      <w:r>
        <w:rPr>
          <w:i/>
        </w:rPr>
        <w:t xml:space="preserve"> </w:t>
      </w:r>
      <w:proofErr w:type="spellStart"/>
      <w:r>
        <w:rPr>
          <w:i/>
        </w:rPr>
        <w:t>Augustae</w:t>
      </w:r>
      <w:proofErr w:type="spellEnd"/>
      <w:r>
        <w:rPr>
          <w:i/>
        </w:rPr>
        <w:t xml:space="preserve">, </w:t>
      </w:r>
      <w:r>
        <w:t xml:space="preserve">found at </w:t>
      </w:r>
      <w:hyperlink r:id="rId9" w:history="1">
        <w:r w:rsidRPr="0083471D">
          <w:rPr>
            <w:rStyle w:val="Hyperlink"/>
          </w:rPr>
          <w:t>https://www.ancient.eu/article/618/ara-pacis-augustae/</w:t>
        </w:r>
      </w:hyperlink>
      <w:r>
        <w:t xml:space="preserve"> (accessed 23/01/2019)</w:t>
      </w:r>
    </w:p>
    <w:p w14:paraId="2EDB1C43" w14:textId="77777777" w:rsidR="00993F9A" w:rsidRDefault="00993F9A" w:rsidP="00993F9A">
      <w:pPr>
        <w:pStyle w:val="ListParagraph"/>
        <w:numPr>
          <w:ilvl w:val="0"/>
          <w:numId w:val="1"/>
        </w:numPr>
      </w:pPr>
      <w:r>
        <w:t xml:space="preserve">Childe, G., (1950), </w:t>
      </w:r>
      <w:r>
        <w:rPr>
          <w:i/>
        </w:rPr>
        <w:t>The Urban Revolution</w:t>
      </w:r>
      <w:r>
        <w:t>, Liverpool: Liverpool University Press</w:t>
      </w:r>
    </w:p>
    <w:p w14:paraId="26D7F86E" w14:textId="77777777" w:rsidR="00993F9A" w:rsidRDefault="00993F9A" w:rsidP="00993F9A">
      <w:pPr>
        <w:pStyle w:val="ListParagraph"/>
        <w:numPr>
          <w:ilvl w:val="0"/>
          <w:numId w:val="1"/>
        </w:numPr>
      </w:pPr>
      <w:r>
        <w:t xml:space="preserve">Matthews, A., (2018), </w:t>
      </w:r>
      <w:r>
        <w:rPr>
          <w:i/>
        </w:rPr>
        <w:t>Roman History Timeline</w:t>
      </w:r>
    </w:p>
    <w:p w14:paraId="46624F61" w14:textId="77777777" w:rsidR="00993F9A" w:rsidRDefault="00993F9A" w:rsidP="00993F9A">
      <w:pPr>
        <w:pStyle w:val="ListParagraph"/>
        <w:numPr>
          <w:ilvl w:val="0"/>
          <w:numId w:val="1"/>
        </w:numPr>
      </w:pPr>
      <w:bookmarkStart w:id="0" w:name="_Hlk536195840"/>
      <w:r>
        <w:t>M</w:t>
      </w:r>
      <w:r w:rsidRPr="00220CE7">
        <w:t>üll</w:t>
      </w:r>
      <w:r>
        <w:t>er</w:t>
      </w:r>
      <w:bookmarkEnd w:id="0"/>
      <w:r>
        <w:t xml:space="preserve">, C., (2006) </w:t>
      </w:r>
      <w:proofErr w:type="spellStart"/>
      <w:r>
        <w:rPr>
          <w:i/>
        </w:rPr>
        <w:t>Opimia</w:t>
      </w:r>
      <w:proofErr w:type="spellEnd"/>
      <w:r>
        <w:t xml:space="preserve">, found at </w:t>
      </w:r>
      <w:hyperlink r:id="rId10" w:history="1">
        <w:r w:rsidRPr="0083471D">
          <w:rPr>
            <w:rStyle w:val="Hyperlink"/>
          </w:rPr>
          <w:t>https://referenceworks.brillonline.com/entries/brill-s-new-pauly/opimia-e832120?s.num=0&amp;s.f.s2_parent=s.f.book.brill-s-new-pauly&amp;s.q=vestal+virgin</w:t>
        </w:r>
      </w:hyperlink>
      <w:r>
        <w:t xml:space="preserve"> (accessed 24/01/2019)</w:t>
      </w:r>
    </w:p>
    <w:p w14:paraId="448C17A7" w14:textId="77777777" w:rsidR="00993F9A" w:rsidRPr="00125C30" w:rsidRDefault="00993F9A" w:rsidP="00993F9A">
      <w:pPr>
        <w:pStyle w:val="ListParagraph"/>
        <w:numPr>
          <w:ilvl w:val="0"/>
          <w:numId w:val="1"/>
        </w:numPr>
        <w:rPr>
          <w:rFonts w:cstheme="minorHAnsi"/>
        </w:rPr>
      </w:pPr>
      <w:r w:rsidRPr="00125C30">
        <w:rPr>
          <w:rFonts w:cstheme="minorHAnsi"/>
        </w:rPr>
        <w:t xml:space="preserve">Runciman, S., (2012), </w:t>
      </w:r>
      <w:r w:rsidRPr="00125C30">
        <w:rPr>
          <w:rFonts w:cstheme="minorHAnsi"/>
          <w:i/>
        </w:rPr>
        <w:t>The Fall of Constantinople 1453</w:t>
      </w:r>
      <w:r w:rsidRPr="00125C30">
        <w:rPr>
          <w:rFonts w:cstheme="minorHAnsi"/>
        </w:rPr>
        <w:t>, Cambridge: Cambridge University Press</w:t>
      </w:r>
    </w:p>
    <w:p w14:paraId="4D742C39" w14:textId="77777777" w:rsidR="00993F9A" w:rsidRPr="00B80C89" w:rsidRDefault="00993F9A" w:rsidP="00993F9A">
      <w:pPr>
        <w:pStyle w:val="ListParagraph"/>
        <w:numPr>
          <w:ilvl w:val="0"/>
          <w:numId w:val="1"/>
        </w:numPr>
        <w:rPr>
          <w:rFonts w:cstheme="minorHAnsi"/>
        </w:rPr>
      </w:pPr>
      <w:proofErr w:type="spellStart"/>
      <w:r w:rsidRPr="00125C30">
        <w:rPr>
          <w:rFonts w:cstheme="minorHAnsi"/>
        </w:rPr>
        <w:t>Savignac</w:t>
      </w:r>
      <w:proofErr w:type="spellEnd"/>
      <w:r w:rsidRPr="00125C30">
        <w:rPr>
          <w:rFonts w:cstheme="minorHAnsi"/>
        </w:rPr>
        <w:t xml:space="preserve">, D., </w:t>
      </w:r>
      <w:r w:rsidRPr="00125C30">
        <w:rPr>
          <w:rFonts w:cstheme="minorHAnsi"/>
          <w:i/>
        </w:rPr>
        <w:t>The Medieval Russian Account of the Fourth Crusade – A New Annotated Translation</w:t>
      </w:r>
      <w:r w:rsidRPr="00125C30">
        <w:rPr>
          <w:rFonts w:cstheme="minorHAnsi"/>
        </w:rPr>
        <w:t>, found at</w:t>
      </w:r>
      <w:r w:rsidRPr="00B80C89">
        <w:rPr>
          <w:rFonts w:cstheme="minorHAnsi"/>
        </w:rPr>
        <w:t xml:space="preserve"> </w:t>
      </w:r>
      <w:hyperlink r:id="rId11" w:history="1">
        <w:r w:rsidRPr="00B80C89">
          <w:rPr>
            <w:rStyle w:val="Hyperlink"/>
            <w:rFonts w:cstheme="minorHAnsi"/>
          </w:rPr>
          <w:t>https://www.academia.edu/31064036/</w:t>
        </w:r>
        <w:r w:rsidRPr="00B80C89">
          <w:rPr>
            <w:rStyle w:val="Hyperlink"/>
            <w:rFonts w:cstheme="minorHAnsi"/>
          </w:rPr>
          <w:t>T</w:t>
        </w:r>
        <w:r w:rsidRPr="00B80C89">
          <w:rPr>
            <w:rStyle w:val="Hyperlink"/>
            <w:rFonts w:cstheme="minorHAnsi"/>
          </w:rPr>
          <w:t>he_Medieval_Russian_Account_of_the_Fourth_Crusade_-_A_New_Annotated_Translation.docx</w:t>
        </w:r>
      </w:hyperlink>
      <w:r w:rsidRPr="00B80C89">
        <w:rPr>
          <w:rFonts w:cstheme="minorHAnsi"/>
        </w:rPr>
        <w:t xml:space="preserve"> (accessed </w:t>
      </w:r>
      <w:r>
        <w:rPr>
          <w:rFonts w:cstheme="minorHAnsi"/>
        </w:rPr>
        <w:t>24</w:t>
      </w:r>
      <w:r w:rsidRPr="00B80C89">
        <w:rPr>
          <w:rFonts w:cstheme="minorHAnsi"/>
        </w:rPr>
        <w:t>/</w:t>
      </w:r>
      <w:r>
        <w:rPr>
          <w:rFonts w:cstheme="minorHAnsi"/>
        </w:rPr>
        <w:t>01</w:t>
      </w:r>
      <w:r w:rsidRPr="00B80C89">
        <w:rPr>
          <w:rFonts w:cstheme="minorHAnsi"/>
        </w:rPr>
        <w:t>/201</w:t>
      </w:r>
      <w:r>
        <w:rPr>
          <w:rFonts w:cstheme="minorHAnsi"/>
        </w:rPr>
        <w:t>9</w:t>
      </w:r>
      <w:r w:rsidRPr="00B80C89">
        <w:rPr>
          <w:rFonts w:cstheme="minorHAnsi"/>
        </w:rPr>
        <w:t>)</w:t>
      </w:r>
    </w:p>
    <w:p w14:paraId="7CD15647" w14:textId="77777777" w:rsidR="00993F9A" w:rsidRDefault="00993F9A" w:rsidP="00993F9A">
      <w:pPr>
        <w:pStyle w:val="ListParagraph"/>
        <w:numPr>
          <w:ilvl w:val="0"/>
          <w:numId w:val="1"/>
        </w:numPr>
      </w:pPr>
      <w:r>
        <w:t xml:space="preserve">Trigger, B., (2012), </w:t>
      </w:r>
      <w:r>
        <w:rPr>
          <w:i/>
        </w:rPr>
        <w:t>Understanding Early Civilizations: A Comparative Study</w:t>
      </w:r>
      <w:r>
        <w:t>, Cambridge: Cambridge University Press</w:t>
      </w:r>
    </w:p>
    <w:p w14:paraId="44619E53" w14:textId="77777777" w:rsidR="00993F9A" w:rsidRPr="00993F9A" w:rsidRDefault="00993F9A" w:rsidP="00993F9A">
      <w:bookmarkStart w:id="1" w:name="_GoBack"/>
      <w:bookmarkEnd w:id="1"/>
    </w:p>
    <w:sectPr w:rsidR="00993F9A" w:rsidRPr="00993F9A" w:rsidSect="009C17CA">
      <w:headerReference w:type="default" r:id="rId12"/>
      <w:pgSz w:w="11906" w:h="16838"/>
      <w:pgMar w:top="1440" w:right="1440" w:bottom="1440" w:left="1440" w:header="283"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42F831" w14:textId="77777777" w:rsidR="0020522A" w:rsidRDefault="0020522A" w:rsidP="009C17CA">
      <w:pPr>
        <w:spacing w:after="0" w:line="240" w:lineRule="auto"/>
      </w:pPr>
      <w:r>
        <w:separator/>
      </w:r>
    </w:p>
  </w:endnote>
  <w:endnote w:type="continuationSeparator" w:id="0">
    <w:p w14:paraId="5D975902" w14:textId="77777777" w:rsidR="0020522A" w:rsidRDefault="0020522A" w:rsidP="009C17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F28FE1" w14:textId="77777777" w:rsidR="0020522A" w:rsidRDefault="0020522A" w:rsidP="009C17CA">
      <w:pPr>
        <w:spacing w:after="0" w:line="240" w:lineRule="auto"/>
      </w:pPr>
      <w:r>
        <w:separator/>
      </w:r>
    </w:p>
  </w:footnote>
  <w:footnote w:type="continuationSeparator" w:id="0">
    <w:p w14:paraId="5BCC8599" w14:textId="77777777" w:rsidR="0020522A" w:rsidRDefault="0020522A" w:rsidP="009C17CA">
      <w:pPr>
        <w:spacing w:after="0" w:line="240" w:lineRule="auto"/>
      </w:pPr>
      <w:r>
        <w:continuationSeparator/>
      </w:r>
    </w:p>
  </w:footnote>
  <w:footnote w:id="1">
    <w:p w14:paraId="5A310241" w14:textId="4CCA4CC3" w:rsidR="003E4D55" w:rsidRDefault="003E4D55">
      <w:pPr>
        <w:pStyle w:val="FootnoteText"/>
      </w:pPr>
      <w:r>
        <w:rPr>
          <w:rStyle w:val="FootnoteReference"/>
        </w:rPr>
        <w:footnoteRef/>
      </w:r>
      <w:r>
        <w:t xml:space="preserve"> Trigger (2007)</w:t>
      </w:r>
    </w:p>
  </w:footnote>
  <w:footnote w:id="2">
    <w:p w14:paraId="03AB4535" w14:textId="44A64CA6" w:rsidR="00DA6567" w:rsidRDefault="00DA6567">
      <w:pPr>
        <w:pStyle w:val="FootnoteText"/>
      </w:pPr>
      <w:r>
        <w:rPr>
          <w:rStyle w:val="FootnoteReference"/>
        </w:rPr>
        <w:footnoteRef/>
      </w:r>
      <w:r>
        <w:t xml:space="preserve"> Runciman (2012), Matthews (2018), </w:t>
      </w:r>
      <w:proofErr w:type="spellStart"/>
      <w:r>
        <w:t>Savignac</w:t>
      </w:r>
      <w:proofErr w:type="spellEnd"/>
    </w:p>
  </w:footnote>
  <w:footnote w:id="3">
    <w:p w14:paraId="18168720" w14:textId="7713F914" w:rsidR="007B2766" w:rsidRDefault="007B2766">
      <w:pPr>
        <w:pStyle w:val="FootnoteText"/>
      </w:pPr>
      <w:r>
        <w:rPr>
          <w:rStyle w:val="FootnoteReference"/>
        </w:rPr>
        <w:footnoteRef/>
      </w:r>
      <w:r>
        <w:t xml:space="preserve"> Cartwright (2013)</w:t>
      </w:r>
    </w:p>
  </w:footnote>
  <w:footnote w:id="4">
    <w:p w14:paraId="19F9E563" w14:textId="370F1ED1" w:rsidR="00F60D27" w:rsidRDefault="00F60D27">
      <w:pPr>
        <w:pStyle w:val="FootnoteText"/>
      </w:pPr>
      <w:r>
        <w:rPr>
          <w:rStyle w:val="FootnoteReference"/>
        </w:rPr>
        <w:footnoteRef/>
      </w:r>
      <w:r>
        <w:t xml:space="preserve"> Cartwright (2013)</w:t>
      </w:r>
    </w:p>
  </w:footnote>
  <w:footnote w:id="5">
    <w:p w14:paraId="2C4A27A6" w14:textId="2CB04C8E" w:rsidR="00390399" w:rsidRDefault="00390399">
      <w:pPr>
        <w:pStyle w:val="FootnoteText"/>
      </w:pPr>
      <w:r>
        <w:rPr>
          <w:rStyle w:val="FootnoteReference"/>
        </w:rPr>
        <w:footnoteRef/>
      </w:r>
      <w:r>
        <w:t xml:space="preserve"> </w:t>
      </w:r>
      <w:proofErr w:type="spellStart"/>
      <w:r>
        <w:t>Cancik-Lindemaier</w:t>
      </w:r>
      <w:proofErr w:type="spellEnd"/>
      <w:r>
        <w:t xml:space="preserve"> (2006)</w:t>
      </w:r>
    </w:p>
  </w:footnote>
  <w:footnote w:id="6">
    <w:p w14:paraId="4250389C" w14:textId="052239CA" w:rsidR="00BD182F" w:rsidRDefault="00BD182F">
      <w:pPr>
        <w:pStyle w:val="FootnoteText"/>
      </w:pPr>
      <w:r>
        <w:rPr>
          <w:rStyle w:val="FootnoteReference"/>
        </w:rPr>
        <w:footnoteRef/>
      </w:r>
      <w:r>
        <w:t xml:space="preserve"> </w:t>
      </w:r>
      <w:proofErr w:type="spellStart"/>
      <w:r w:rsidR="00390399">
        <w:t>Cancik-Lindemaier</w:t>
      </w:r>
      <w:proofErr w:type="spellEnd"/>
      <w:r w:rsidR="00390399">
        <w:t xml:space="preserve"> (2006</w:t>
      </w:r>
      <w:r w:rsidR="00390399">
        <w:t>)</w:t>
      </w:r>
    </w:p>
  </w:footnote>
  <w:footnote w:id="7">
    <w:p w14:paraId="0FBD2609" w14:textId="58554EED" w:rsidR="00390399" w:rsidRDefault="00390399">
      <w:pPr>
        <w:pStyle w:val="FootnoteText"/>
      </w:pPr>
      <w:r>
        <w:rPr>
          <w:rStyle w:val="FootnoteReference"/>
        </w:rPr>
        <w:footnoteRef/>
      </w:r>
      <w:r>
        <w:t xml:space="preserve"> </w:t>
      </w:r>
      <w:proofErr w:type="spellStart"/>
      <w:r>
        <w:t>Cancik-Lindemaier</w:t>
      </w:r>
      <w:proofErr w:type="spellEnd"/>
      <w:r>
        <w:t xml:space="preserve"> (2006</w:t>
      </w:r>
      <w:r>
        <w:t xml:space="preserve">), </w:t>
      </w:r>
      <w:r w:rsidR="00E60218">
        <w:t>M</w:t>
      </w:r>
      <w:r w:rsidR="00E60218" w:rsidRPr="00220CE7">
        <w:t>üll</w:t>
      </w:r>
      <w:r w:rsidR="00E60218">
        <w:t>er</w:t>
      </w:r>
      <w:r>
        <w:t xml:space="preserve"> (2006)</w:t>
      </w:r>
    </w:p>
  </w:footnote>
  <w:footnote w:id="8">
    <w:p w14:paraId="59B9F373" w14:textId="141CA028" w:rsidR="00BD182F" w:rsidRDefault="00BD182F">
      <w:pPr>
        <w:pStyle w:val="FootnoteText"/>
      </w:pPr>
      <w:r>
        <w:rPr>
          <w:rStyle w:val="FootnoteReference"/>
        </w:rPr>
        <w:footnoteRef/>
      </w:r>
      <w:r>
        <w:t xml:space="preserve"> </w:t>
      </w:r>
      <w:proofErr w:type="spellStart"/>
      <w:r w:rsidR="00390399">
        <w:t>Cancik-Lindemaier</w:t>
      </w:r>
      <w:proofErr w:type="spellEnd"/>
      <w:r w:rsidR="00390399">
        <w:t xml:space="preserve"> (</w:t>
      </w:r>
      <w:proofErr w:type="gramStart"/>
      <w:r w:rsidR="00390399">
        <w:t>2006</w:t>
      </w:r>
      <w:r w:rsidR="00390399">
        <w:t>)</w:t>
      </w:r>
      <w:proofErr w:type="gramEnd"/>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A59F31" w14:textId="34CFEF10" w:rsidR="009C17CA" w:rsidRPr="009C17CA" w:rsidRDefault="009C17CA" w:rsidP="009C17CA">
    <w:pPr>
      <w:pStyle w:val="Title"/>
      <w:jc w:val="center"/>
      <w:rPr>
        <w:b/>
        <w:i/>
        <w:sz w:val="96"/>
        <w:szCs w:val="96"/>
        <w:u w:val="single"/>
      </w:rPr>
    </w:pPr>
    <w:r w:rsidRPr="009C17CA">
      <w:rPr>
        <w:b/>
        <w:i/>
        <w:sz w:val="96"/>
        <w:szCs w:val="96"/>
        <w:u w:val="single"/>
      </w:rPr>
      <w:t>Assessment Three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8D486C"/>
    <w:multiLevelType w:val="hybridMultilevel"/>
    <w:tmpl w:val="4184CB12"/>
    <w:lvl w:ilvl="0" w:tplc="BDF85AC2">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LIwMjEHAQNTIzNjJR2l4NTi4sz8PJACw1oArSqA+SwAAAA="/>
  </w:docVars>
  <w:rsids>
    <w:rsidRoot w:val="009C17CA"/>
    <w:rsid w:val="0002052E"/>
    <w:rsid w:val="001934FA"/>
    <w:rsid w:val="001E5E12"/>
    <w:rsid w:val="0020522A"/>
    <w:rsid w:val="00242F98"/>
    <w:rsid w:val="0029429F"/>
    <w:rsid w:val="003238F8"/>
    <w:rsid w:val="00390399"/>
    <w:rsid w:val="003E4D55"/>
    <w:rsid w:val="0053783E"/>
    <w:rsid w:val="005D67D6"/>
    <w:rsid w:val="005E4F37"/>
    <w:rsid w:val="00702CBF"/>
    <w:rsid w:val="007B2766"/>
    <w:rsid w:val="007F3A6E"/>
    <w:rsid w:val="00807D8A"/>
    <w:rsid w:val="008218F5"/>
    <w:rsid w:val="00850462"/>
    <w:rsid w:val="00875EDB"/>
    <w:rsid w:val="00877B92"/>
    <w:rsid w:val="00906E8B"/>
    <w:rsid w:val="00993F9A"/>
    <w:rsid w:val="009C17CA"/>
    <w:rsid w:val="00BD182F"/>
    <w:rsid w:val="00CD3A23"/>
    <w:rsid w:val="00DA6567"/>
    <w:rsid w:val="00E45221"/>
    <w:rsid w:val="00E60218"/>
    <w:rsid w:val="00F60D27"/>
    <w:rsid w:val="00F73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33110"/>
  <w15:chartTrackingRefBased/>
  <w15:docId w15:val="{EA6E8016-D10F-4126-A0D2-B6EF6E0F7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3F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17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7CA"/>
  </w:style>
  <w:style w:type="paragraph" w:styleId="Footer">
    <w:name w:val="footer"/>
    <w:basedOn w:val="Normal"/>
    <w:link w:val="FooterChar"/>
    <w:uiPriority w:val="99"/>
    <w:unhideWhenUsed/>
    <w:rsid w:val="009C17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7CA"/>
  </w:style>
  <w:style w:type="paragraph" w:styleId="Title">
    <w:name w:val="Title"/>
    <w:basedOn w:val="Normal"/>
    <w:next w:val="Normal"/>
    <w:link w:val="TitleChar"/>
    <w:uiPriority w:val="10"/>
    <w:qFormat/>
    <w:rsid w:val="009C17C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17CA"/>
    <w:rPr>
      <w:rFonts w:asciiTheme="majorHAnsi" w:eastAsiaTheme="majorEastAsia" w:hAnsiTheme="majorHAnsi" w:cstheme="majorBidi"/>
      <w:spacing w:val="-10"/>
      <w:kern w:val="28"/>
      <w:sz w:val="56"/>
      <w:szCs w:val="56"/>
    </w:rPr>
  </w:style>
  <w:style w:type="paragraph" w:styleId="FootnoteText">
    <w:name w:val="footnote text"/>
    <w:basedOn w:val="Normal"/>
    <w:link w:val="FootnoteTextChar"/>
    <w:uiPriority w:val="99"/>
    <w:semiHidden/>
    <w:unhideWhenUsed/>
    <w:rsid w:val="003E4D5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E4D55"/>
    <w:rPr>
      <w:sz w:val="20"/>
      <w:szCs w:val="20"/>
    </w:rPr>
  </w:style>
  <w:style w:type="character" w:styleId="FootnoteReference">
    <w:name w:val="footnote reference"/>
    <w:basedOn w:val="DefaultParagraphFont"/>
    <w:uiPriority w:val="99"/>
    <w:semiHidden/>
    <w:unhideWhenUsed/>
    <w:rsid w:val="003E4D55"/>
    <w:rPr>
      <w:vertAlign w:val="superscript"/>
    </w:rPr>
  </w:style>
  <w:style w:type="character" w:customStyle="1" w:styleId="Heading1Char">
    <w:name w:val="Heading 1 Char"/>
    <w:basedOn w:val="DefaultParagraphFont"/>
    <w:link w:val="Heading1"/>
    <w:uiPriority w:val="9"/>
    <w:rsid w:val="00993F9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93F9A"/>
    <w:pPr>
      <w:ind w:left="720"/>
      <w:contextualSpacing/>
    </w:pPr>
    <w:rPr>
      <w:rFonts w:eastAsia="SimSun"/>
    </w:rPr>
  </w:style>
  <w:style w:type="character" w:styleId="Hyperlink">
    <w:name w:val="Hyperlink"/>
    <w:basedOn w:val="DefaultParagraphFont"/>
    <w:uiPriority w:val="99"/>
    <w:unhideWhenUsed/>
    <w:rsid w:val="00993F9A"/>
    <w:rPr>
      <w:color w:val="0563C1" w:themeColor="hyperlink"/>
      <w:u w:val="single"/>
    </w:rPr>
  </w:style>
  <w:style w:type="character" w:styleId="FollowedHyperlink">
    <w:name w:val="FollowedHyperlink"/>
    <w:basedOn w:val="DefaultParagraphFont"/>
    <w:uiPriority w:val="99"/>
    <w:semiHidden/>
    <w:unhideWhenUsed/>
    <w:rsid w:val="00993F9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ferenceworks.brillonline.com/entries/brill-s-new-pauly/vestals-e12202410?s.num=0&amp;s.f.s2_parent=s.f.book.brill-s-new-pauly&amp;s.q=vestal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demia.edu/31064036/The_Medieval_Russian_Account_of_the_Fourth_Crusade_-_A_New_Annotated_Translation.docx" TargetMode="External"/><Relationship Id="rId5" Type="http://schemas.openxmlformats.org/officeDocument/2006/relationships/webSettings" Target="webSettings.xml"/><Relationship Id="rId10" Type="http://schemas.openxmlformats.org/officeDocument/2006/relationships/hyperlink" Target="https://referenceworks.brillonline.com/entries/brill-s-new-pauly/opimia-e832120?s.num=0&amp;s.f.s2_parent=s.f.book.brill-s-new-pauly&amp;s.q=vestal+virgin" TargetMode="External"/><Relationship Id="rId4" Type="http://schemas.openxmlformats.org/officeDocument/2006/relationships/settings" Target="settings.xml"/><Relationship Id="rId9" Type="http://schemas.openxmlformats.org/officeDocument/2006/relationships/hyperlink" Target="https://www.ancient.eu/article/618/ara-pacis-augusta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CD3D71-B6A8-4588-846B-FFF42DB86A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951</Words>
  <Characters>5426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Matthews (1802690)</dc:creator>
  <cp:keywords/>
  <dc:description/>
  <cp:lastModifiedBy>Anna Matthews (1802690)</cp:lastModifiedBy>
  <cp:revision>4</cp:revision>
  <dcterms:created xsi:type="dcterms:W3CDTF">2019-01-24T17:32:00Z</dcterms:created>
  <dcterms:modified xsi:type="dcterms:W3CDTF">2019-01-25T16:21:00Z</dcterms:modified>
</cp:coreProperties>
</file>