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23757" w14:textId="474DE01E" w:rsidR="0083704D" w:rsidRPr="006D474B" w:rsidRDefault="006B1819" w:rsidP="006D474B">
      <w:pPr>
        <w:pStyle w:val="Title"/>
        <w:rPr>
          <w:rFonts w:cs="Times New Roman"/>
          <w:lang w:val="cy-GB"/>
        </w:rPr>
      </w:pPr>
      <w:r w:rsidRPr="0061543E">
        <w:rPr>
          <w:rFonts w:cs="Times New Roman"/>
          <w:lang w:val="cy-GB"/>
        </w:rPr>
        <w:t>Gwerthusiad beirniadol o astudiaeth</w:t>
      </w:r>
      <w:r w:rsidR="00183CCE">
        <w:rPr>
          <w:rFonts w:cs="Times New Roman"/>
          <w:lang w:val="cy-GB"/>
        </w:rPr>
        <w:t xml:space="preserve"> achos</w:t>
      </w:r>
      <w:r w:rsidRPr="0061543E">
        <w:rPr>
          <w:rFonts w:cs="Times New Roman"/>
          <w:lang w:val="cy-GB"/>
        </w:rPr>
        <w:t>, yn seiliedig ar ddigwyddiad critigol a arsylwyd, gan nodi’r camau addysgu a dysgu nesaf.</w:t>
      </w:r>
    </w:p>
    <w:p w14:paraId="5E19D938" w14:textId="2DFB956B" w:rsidR="00183CCE" w:rsidRDefault="00183CCE" w:rsidP="00183CCE">
      <w:pPr>
        <w:pStyle w:val="Heading1"/>
        <w:rPr>
          <w:lang w:val="cy-GB"/>
        </w:rPr>
      </w:pPr>
      <w:r>
        <w:rPr>
          <w:lang w:val="cy-GB"/>
        </w:rPr>
        <w:t>Cyflwyniad</w:t>
      </w:r>
    </w:p>
    <w:p w14:paraId="25FEE37F" w14:textId="73802CAD" w:rsidR="00183CCE" w:rsidRDefault="006A1A40" w:rsidP="00183CCE">
      <w:pPr>
        <w:rPr>
          <w:lang w:val="cy-GB"/>
        </w:rPr>
      </w:pPr>
      <w:r>
        <w:rPr>
          <w:rFonts w:cs="Century Schoolbook"/>
          <w:lang w:val="cy-GB"/>
        </w:rPr>
        <w:t xml:space="preserve">Bydd y traethawd hwn yn gyntaf yn archwilio i astudiaeth achos am grŵp o ddysgwyr, wedi’i selio ar ddigwyddiad critigol a arsylwyd, a’i drafod yn feirniadol. Bydd y traethawd yma hefyd yn gwerthuso’n feirniadol ymchwil a damcaniaethau allweddol sydd yn sail i ddatblygiad cyfannol plant a phobl ifanc, gyda ffocws ar bedwar diben y cwricwlwm ar gyfer Cymru er mwyn pennu camau addysgu a dysgu nesaf. Disgrifiodd </w:t>
      </w:r>
      <w:proofErr w:type="spellStart"/>
      <w:r>
        <w:rPr>
          <w:rFonts w:cs="Century Schoolbook"/>
          <w:lang w:val="cy-GB"/>
        </w:rPr>
        <w:t>Flanagan</w:t>
      </w:r>
      <w:proofErr w:type="spellEnd"/>
      <w:r>
        <w:rPr>
          <w:rFonts w:cs="Century Schoolbook"/>
          <w:lang w:val="cy-GB"/>
        </w:rPr>
        <w:t xml:space="preserve"> (1954) y dechneg Digwyddiad Critigol fel set o weithdrefnau ar gyfer casglu arsylwadau uniongyrchol o ymddygiad dynol mewn ffordd sydd yn hwyluso eu defnyddioldeb posibl wrth ddatrys problemau ymarferol ac sydd yn datblygu egwyddorion seicolegol eang. Yn unol â hyn ac yn fwy diweddar, dywed </w:t>
      </w:r>
      <w:proofErr w:type="spellStart"/>
      <w:r>
        <w:rPr>
          <w:rFonts w:cs="Century Schoolbook"/>
          <w:lang w:val="cy-GB"/>
        </w:rPr>
        <w:t>Serrat</w:t>
      </w:r>
      <w:proofErr w:type="spellEnd"/>
      <w:r>
        <w:rPr>
          <w:rFonts w:cs="Century Schoolbook"/>
          <w:lang w:val="cy-GB"/>
        </w:rPr>
        <w:t xml:space="preserve"> (2017), mae’r dechneg Digwyddiad Critigol yn rhoi man cychwyn a phroses ar gyfer hyrwyddo datblygiad trwy brofiadau dysgu. Mae’n helpu i astudio beth mae pobl yn ei wneud</w:t>
      </w:r>
      <w:r w:rsidR="00765777">
        <w:rPr>
          <w:rFonts w:cs="Century Schoolbook"/>
          <w:lang w:val="cy-GB"/>
        </w:rPr>
        <w:t>,</w:t>
      </w:r>
      <w:r>
        <w:rPr>
          <w:rFonts w:cs="Century Schoolbook"/>
          <w:lang w:val="cy-GB"/>
        </w:rPr>
        <w:t xml:space="preserve"> mewn amrywiaeth o sefyllfaoedd. Nid oes raid i ddigwyddiad critigol fod yn ysblennydd</w:t>
      </w:r>
      <w:r w:rsidR="00D26F44">
        <w:rPr>
          <w:rFonts w:cs="Century Schoolbook"/>
          <w:lang w:val="cy-GB"/>
        </w:rPr>
        <w:t>,</w:t>
      </w:r>
      <w:r>
        <w:rPr>
          <w:rFonts w:cs="Century Schoolbook"/>
          <w:lang w:val="cy-GB"/>
        </w:rPr>
        <w:t xml:space="preserve"> mae’n ddigonol ei fod ag arwyddocâd. Yn hynny, ar lefel unigol, gall fod yn ddigwyddiadau neu’n amgylchiadau a barodd i un stopio a meddwl ac efallai ailedrych ar ragdybiaethau.</w:t>
      </w:r>
    </w:p>
    <w:p w14:paraId="12E18C37" w14:textId="5EAA3CC6" w:rsidR="00ED6750" w:rsidRDefault="006A1A40" w:rsidP="00183CCE">
      <w:pPr>
        <w:rPr>
          <w:lang w:val="cy-GB"/>
        </w:rPr>
      </w:pPr>
      <w:r>
        <w:rPr>
          <w:rFonts w:cs="Century Schoolbook"/>
          <w:lang w:val="cy-GB"/>
        </w:rPr>
        <w:t>Mae ymarfer myfyriol yn helpu athrawon dan hyfforddiant i feddwl am yr hyn a ddigwyddodd, pam y digwyddodd, a beth arall y gellid fod wedi’i wneud i gyrraedd eu nodau (</w:t>
      </w:r>
      <w:proofErr w:type="spellStart"/>
      <w:r>
        <w:rPr>
          <w:rFonts w:cs="Century Schoolbook"/>
          <w:lang w:val="cy-GB"/>
        </w:rPr>
        <w:t>Cruickshank</w:t>
      </w:r>
      <w:proofErr w:type="spellEnd"/>
      <w:r>
        <w:rPr>
          <w:rFonts w:cs="Century Schoolbook"/>
          <w:lang w:val="cy-GB"/>
        </w:rPr>
        <w:t xml:space="preserve"> </w:t>
      </w:r>
      <w:proofErr w:type="spellStart"/>
      <w:r>
        <w:rPr>
          <w:rFonts w:cs="Century Schoolbook"/>
          <w:lang w:val="cy-GB"/>
        </w:rPr>
        <w:t>and</w:t>
      </w:r>
      <w:proofErr w:type="spellEnd"/>
      <w:r>
        <w:rPr>
          <w:rFonts w:cs="Century Schoolbook"/>
          <w:lang w:val="cy-GB"/>
        </w:rPr>
        <w:t xml:space="preserve"> </w:t>
      </w:r>
      <w:proofErr w:type="spellStart"/>
      <w:r>
        <w:rPr>
          <w:rFonts w:cs="Century Schoolbook"/>
          <w:lang w:val="cy-GB"/>
        </w:rPr>
        <w:t>Applegate</w:t>
      </w:r>
      <w:proofErr w:type="spellEnd"/>
      <w:r>
        <w:rPr>
          <w:rFonts w:cs="Century Schoolbook"/>
          <w:lang w:val="cy-GB"/>
        </w:rPr>
        <w:t xml:space="preserve">, 1981; Freeman, 1993; </w:t>
      </w:r>
      <w:proofErr w:type="spellStart"/>
      <w:r>
        <w:rPr>
          <w:rFonts w:cs="Century Schoolbook"/>
          <w:lang w:val="cy-GB"/>
        </w:rPr>
        <w:t>Jaeger</w:t>
      </w:r>
      <w:proofErr w:type="spellEnd"/>
      <w:r>
        <w:rPr>
          <w:rFonts w:cs="Century Schoolbook"/>
          <w:lang w:val="cy-GB"/>
        </w:rPr>
        <w:t>, 2013). Un dull o annog athrawon dan hyfforddiant i fyfyrio ar eu haddysgu yw eu cael i ddadansoddi digwyddiadau critigol sydd yn digwydd wrth iddynt addysgu (</w:t>
      </w:r>
      <w:proofErr w:type="spellStart"/>
      <w:r>
        <w:rPr>
          <w:rFonts w:cs="Century Schoolbook"/>
          <w:lang w:val="cy-GB"/>
        </w:rPr>
        <w:t>Brennon</w:t>
      </w:r>
      <w:proofErr w:type="spellEnd"/>
      <w:r>
        <w:rPr>
          <w:rFonts w:cs="Century Schoolbook"/>
          <w:lang w:val="cy-GB"/>
        </w:rPr>
        <w:t xml:space="preserve"> </w:t>
      </w:r>
      <w:proofErr w:type="spellStart"/>
      <w:r>
        <w:rPr>
          <w:rFonts w:cs="Century Schoolbook"/>
          <w:lang w:val="cy-GB"/>
        </w:rPr>
        <w:t>and</w:t>
      </w:r>
      <w:proofErr w:type="spellEnd"/>
      <w:r>
        <w:rPr>
          <w:rFonts w:cs="Century Schoolbook"/>
          <w:lang w:val="cy-GB"/>
        </w:rPr>
        <w:t xml:space="preserve"> Green, 1993; </w:t>
      </w:r>
      <w:proofErr w:type="spellStart"/>
      <w:r>
        <w:rPr>
          <w:rFonts w:cs="Century Schoolbook"/>
          <w:lang w:val="cy-GB"/>
        </w:rPr>
        <w:t>Farrell</w:t>
      </w:r>
      <w:proofErr w:type="spellEnd"/>
      <w:r>
        <w:rPr>
          <w:rFonts w:cs="Century Schoolbook"/>
          <w:lang w:val="cy-GB"/>
        </w:rPr>
        <w:t>, 2004). Gallai ymarfer myfyriol trwy ddadansoddi digwyddiadau critigol fod yn ddefnyddiol ar gyfer dysgu athrawon os yw’r adlewyrchiad hwn yn mynd y tu hwnt i ddim ond disgrifio profiad y digwyddiad critigol ei hun (</w:t>
      </w:r>
      <w:proofErr w:type="spellStart"/>
      <w:r>
        <w:rPr>
          <w:rFonts w:cs="Century Schoolbook"/>
          <w:lang w:val="cy-GB"/>
        </w:rPr>
        <w:t>Calandra</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sidR="008903AF">
        <w:rPr>
          <w:rFonts w:cs="Century Schoolbook"/>
          <w:lang w:val="cy-GB"/>
        </w:rPr>
        <w:t>.</w:t>
      </w:r>
      <w:r>
        <w:rPr>
          <w:rFonts w:cs="Century Schoolbook"/>
          <w:lang w:val="cy-GB"/>
        </w:rPr>
        <w:t xml:space="preserve"> 2009; Griffin, 2003; </w:t>
      </w:r>
      <w:proofErr w:type="spellStart"/>
      <w:r>
        <w:rPr>
          <w:rFonts w:cs="Century Schoolbook"/>
          <w:lang w:val="cy-GB"/>
        </w:rPr>
        <w:t>Naidu</w:t>
      </w:r>
      <w:proofErr w:type="spellEnd"/>
      <w:r>
        <w:rPr>
          <w:rFonts w:cs="Century Schoolbook"/>
          <w:lang w:val="cy-GB"/>
        </w:rPr>
        <w:t xml:space="preserve"> ac Oliver, 1999). Mae myfyrio ffurfiol ar ddigwyddiadau critigol yn cynnwys cam disgrifio/cynhyrchu ac yna cam egluro (Tripp, 1993).</w:t>
      </w:r>
    </w:p>
    <w:p w14:paraId="0F043618" w14:textId="2F23676D" w:rsidR="00183CCE" w:rsidRDefault="00613906" w:rsidP="00183CCE">
      <w:pPr>
        <w:pStyle w:val="Heading1"/>
        <w:rPr>
          <w:lang w:val="cy-GB"/>
        </w:rPr>
      </w:pPr>
      <w:r>
        <w:rPr>
          <w:rFonts w:cs="Century Schoolbook"/>
          <w:lang w:val="cy-GB"/>
        </w:rPr>
        <w:t>Rôl Adfyfyrio Feirniadol</w:t>
      </w:r>
    </w:p>
    <w:p w14:paraId="33C0FC43" w14:textId="312A89B7" w:rsidR="00143756" w:rsidRDefault="00E959EB" w:rsidP="00183CCE">
      <w:pPr>
        <w:rPr>
          <w:lang w:val="cy-GB"/>
        </w:rPr>
      </w:pPr>
      <w:r>
        <w:rPr>
          <w:rFonts w:cs="Century Schoolbook"/>
          <w:lang w:val="cy-GB"/>
        </w:rPr>
        <w:t xml:space="preserve">Mae myfyrio wedi’i nodi fel proses ddysgu bwysig i athrawon o leiaf ers </w:t>
      </w:r>
      <w:r>
        <w:rPr>
          <w:rFonts w:cs="Century Schoolbook"/>
        </w:rPr>
        <w:t>How We Think</w:t>
      </w:r>
      <w:r>
        <w:rPr>
          <w:rFonts w:cs="Century Schoolbook"/>
          <w:lang w:val="cy-GB"/>
        </w:rPr>
        <w:t xml:space="preserve"> gan </w:t>
      </w:r>
      <w:proofErr w:type="spellStart"/>
      <w:r>
        <w:rPr>
          <w:rFonts w:cs="Century Schoolbook"/>
          <w:lang w:val="cy-GB"/>
        </w:rPr>
        <w:t>Dewey</w:t>
      </w:r>
      <w:proofErr w:type="spellEnd"/>
      <w:r>
        <w:rPr>
          <w:rFonts w:cs="Century Schoolbook"/>
          <w:lang w:val="cy-GB"/>
        </w:rPr>
        <w:t xml:space="preserve"> (1933) a chyflymodd y twf diweddar mewn arwyddocâd ymarfer myfyriol ar ôl llyfr cyntaf </w:t>
      </w:r>
      <w:proofErr w:type="spellStart"/>
      <w:r>
        <w:rPr>
          <w:rFonts w:cs="Century Schoolbook"/>
          <w:lang w:val="cy-GB"/>
        </w:rPr>
        <w:t>Schön</w:t>
      </w:r>
      <w:proofErr w:type="spellEnd"/>
      <w:r>
        <w:rPr>
          <w:rFonts w:cs="Century Schoolbook"/>
          <w:lang w:val="cy-GB"/>
        </w:rPr>
        <w:t xml:space="preserve"> ar ymarfer myfyriol: </w:t>
      </w:r>
      <w:r>
        <w:rPr>
          <w:rFonts w:cs="Century Schoolbook"/>
        </w:rPr>
        <w:t>Theory in Practice: Increasing Professional Effectiveness</w:t>
      </w:r>
      <w:r>
        <w:rPr>
          <w:rFonts w:cs="Century Schoolbook"/>
          <w:lang w:val="cy-GB"/>
        </w:rPr>
        <w:t xml:space="preserve"> (</w:t>
      </w:r>
      <w:proofErr w:type="spellStart"/>
      <w:r>
        <w:rPr>
          <w:rFonts w:cs="Century Schoolbook"/>
          <w:lang w:val="cy-GB"/>
        </w:rPr>
        <w:t>Schön</w:t>
      </w:r>
      <w:proofErr w:type="spellEnd"/>
      <w:r>
        <w:rPr>
          <w:rFonts w:cs="Century Schoolbook"/>
          <w:lang w:val="cy-GB"/>
        </w:rPr>
        <w:t xml:space="preserve"> </w:t>
      </w:r>
      <w:proofErr w:type="spellStart"/>
      <w:r>
        <w:rPr>
          <w:rFonts w:cs="Century Schoolbook"/>
          <w:lang w:val="cy-GB"/>
        </w:rPr>
        <w:t>and</w:t>
      </w:r>
      <w:proofErr w:type="spellEnd"/>
      <w:r>
        <w:rPr>
          <w:rFonts w:cs="Century Schoolbook"/>
          <w:lang w:val="cy-GB"/>
        </w:rPr>
        <w:t xml:space="preserve"> </w:t>
      </w:r>
      <w:proofErr w:type="spellStart"/>
      <w:r>
        <w:rPr>
          <w:rFonts w:cs="Century Schoolbook"/>
          <w:lang w:val="cy-GB"/>
        </w:rPr>
        <w:t>Argyris</w:t>
      </w:r>
      <w:proofErr w:type="spellEnd"/>
      <w:r>
        <w:rPr>
          <w:rFonts w:cs="Century Schoolbook"/>
          <w:lang w:val="cy-GB"/>
        </w:rPr>
        <w:t xml:space="preserve">, 1974), a pharhaodd ag ysgrifau dilynol. Bathodd </w:t>
      </w:r>
      <w:proofErr w:type="spellStart"/>
      <w:r>
        <w:rPr>
          <w:rFonts w:cs="Century Schoolbook"/>
          <w:lang w:val="cy-GB"/>
        </w:rPr>
        <w:lastRenderedPageBreak/>
        <w:t>Schön</w:t>
      </w:r>
      <w:proofErr w:type="spellEnd"/>
      <w:r>
        <w:rPr>
          <w:rFonts w:cs="Century Schoolbook"/>
          <w:lang w:val="cy-GB"/>
        </w:rPr>
        <w:t xml:space="preserve"> dri math o ddull technegol o fyfyrio, ‘</w:t>
      </w:r>
      <w:r>
        <w:rPr>
          <w:rFonts w:cs="Century Schoolbook"/>
        </w:rPr>
        <w:t>knowing-in-action’, ‘reflection-in-action’, a ‘reflection-on-action’</w:t>
      </w:r>
      <w:r>
        <w:rPr>
          <w:rFonts w:cs="Century Schoolbook"/>
          <w:lang w:val="cy-GB"/>
        </w:rPr>
        <w:t>, i gyd yn digwydd ar wahanol adegau a lefelau cydwybodolrwydd yn ystod y digwyddiad (</w:t>
      </w:r>
      <w:proofErr w:type="spellStart"/>
      <w:r>
        <w:rPr>
          <w:rFonts w:cs="Century Schoolbook"/>
          <w:lang w:val="cy-GB"/>
        </w:rPr>
        <w:t>Schön</w:t>
      </w:r>
      <w:proofErr w:type="spellEnd"/>
      <w:r>
        <w:rPr>
          <w:rFonts w:cs="Century Schoolbook"/>
          <w:lang w:val="cy-GB"/>
        </w:rPr>
        <w:t xml:space="preserve">, 1983; </w:t>
      </w:r>
      <w:proofErr w:type="spellStart"/>
      <w:r>
        <w:rPr>
          <w:rFonts w:cs="Century Schoolbook"/>
          <w:lang w:val="cy-GB"/>
        </w:rPr>
        <w:t>Schön</w:t>
      </w:r>
      <w:proofErr w:type="spellEnd"/>
      <w:r>
        <w:rPr>
          <w:rFonts w:cs="Century Schoolbook"/>
          <w:lang w:val="cy-GB"/>
        </w:rPr>
        <w:t xml:space="preserve">, 1987). Mae dull technegol </w:t>
      </w:r>
      <w:proofErr w:type="spellStart"/>
      <w:r>
        <w:rPr>
          <w:rFonts w:cs="Century Schoolbook"/>
          <w:lang w:val="cy-GB"/>
        </w:rPr>
        <w:t>Schön</w:t>
      </w:r>
      <w:proofErr w:type="spellEnd"/>
      <w:r>
        <w:rPr>
          <w:rFonts w:cs="Century Schoolbook"/>
          <w:lang w:val="cy-GB"/>
        </w:rPr>
        <w:t xml:space="preserve"> o fyfyrio wedi’i gwestiynu gan Reynolds (1998) sydd yn eiriol dros ddefnyddio ymarfer myfyriol beirniadol. Unwaith eto, nid yw’r term hwn heb her, gan fod dehongliadau yn amrywio o fyfyrio ar yr amgylchedd cymdeithasol i ddehongliadau mwy mewnblyg o gymryd rhan mewn myfyrio personol. Mae myfyrio beirniadol yn annog myfyrdodau ar brofiadau’r ymarferydd yn y gorffennol, credoau ideolegol, a’r cyd-destun cymdeithasol y mae’n gweithredu ynddo (</w:t>
      </w:r>
      <w:proofErr w:type="spellStart"/>
      <w:r>
        <w:rPr>
          <w:rFonts w:cs="Century Schoolbook"/>
          <w:lang w:val="cy-GB"/>
        </w:rPr>
        <w:t>Zeichner</w:t>
      </w:r>
      <w:proofErr w:type="spellEnd"/>
      <w:r>
        <w:rPr>
          <w:rFonts w:cs="Century Schoolbook"/>
          <w:lang w:val="cy-GB"/>
        </w:rPr>
        <w:t xml:space="preserve">, 1996). Mae’r diffiniad hwn yn fwy cyfannol ac yn symud i ffwrdd o’r arfer myfyriol technegol a hyrwyddwyd gan </w:t>
      </w:r>
      <w:proofErr w:type="spellStart"/>
      <w:r>
        <w:rPr>
          <w:rFonts w:cs="Century Schoolbook"/>
          <w:lang w:val="cy-GB"/>
        </w:rPr>
        <w:t>Schön</w:t>
      </w:r>
      <w:proofErr w:type="spellEnd"/>
      <w:r>
        <w:rPr>
          <w:rFonts w:cs="Century Schoolbook"/>
          <w:lang w:val="cy-GB"/>
        </w:rPr>
        <w:t xml:space="preserve"> (1987). Mae ymarfer myfyriol Gibbs (1988) yn awgrymu bod unigolion yn datblygu dadansoddiad o deimladau, gwerthuso profiad ac ati, tra cysylltodd </w:t>
      </w:r>
      <w:proofErr w:type="spellStart"/>
      <w:r>
        <w:rPr>
          <w:rFonts w:cs="Century Schoolbook"/>
          <w:lang w:val="cy-GB"/>
        </w:rPr>
        <w:t>Jasper</w:t>
      </w:r>
      <w:proofErr w:type="spellEnd"/>
      <w:r>
        <w:rPr>
          <w:rFonts w:cs="Century Schoolbook"/>
          <w:lang w:val="cy-GB"/>
        </w:rPr>
        <w:t xml:space="preserve"> (2003) ymarfer addysgu myfyriol â dysgu gydol oes gan arwain at ddatblygu gweithwyr proffesiynol, ymreolaethol, cymwys, a hunangyfeiried. Er gwaethaf y gwahanol ddulliau a diffiniadau, y thema gyffredin yw bod cymryd rhan mewn ymarfer myfyriol yn gysylltiedig â gwella ansawdd gofal, ysgogi twf personol a phroffesiynol, a chau’r bwlch rhwng theori ac ymarfer.</w:t>
      </w:r>
    </w:p>
    <w:p w14:paraId="6E21EFEA" w14:textId="6114DD08" w:rsidR="00183CCE" w:rsidRDefault="00613906" w:rsidP="00183CCE">
      <w:pPr>
        <w:rPr>
          <w:lang w:val="cy-GB"/>
        </w:rPr>
      </w:pPr>
      <w:r>
        <w:rPr>
          <w:rFonts w:cs="Century Schoolbook"/>
          <w:lang w:val="cy-GB"/>
        </w:rPr>
        <w:t>Mabwysiadwyd yr arfer o fyfyrio mewn addysg athrawon</w:t>
      </w:r>
      <w:r w:rsidR="006E793D">
        <w:rPr>
          <w:rFonts w:cs="Century Schoolbook"/>
          <w:lang w:val="cy-GB"/>
        </w:rPr>
        <w:t>,</w:t>
      </w:r>
      <w:r>
        <w:rPr>
          <w:rFonts w:cs="Century Schoolbook"/>
          <w:lang w:val="cy-GB"/>
        </w:rPr>
        <w:t xml:space="preserve"> ac mae bellach wedi dod yn nodwedd ddiffiniol o broffesiynoldeb athrawon (</w:t>
      </w:r>
      <w:proofErr w:type="spellStart"/>
      <w:r>
        <w:rPr>
          <w:rFonts w:cs="Century Schoolbook"/>
          <w:lang w:val="cy-GB"/>
        </w:rPr>
        <w:t>Mierdirk</w:t>
      </w:r>
      <w:proofErr w:type="spellEnd"/>
      <w:r>
        <w:rPr>
          <w:rFonts w:cs="Century Schoolbook"/>
          <w:lang w:val="cy-GB"/>
        </w:rPr>
        <w:t xml:space="preserve">, 2016). Yn ystod y degawdau diwethaf, mae arfer myfyriol wedi ymgorffori fwyfwy mewn </w:t>
      </w:r>
      <w:r w:rsidR="00320E26">
        <w:rPr>
          <w:rFonts w:cs="Century Schoolbook"/>
          <w:lang w:val="cy-GB"/>
        </w:rPr>
        <w:t>trafodaethau</w:t>
      </w:r>
      <w:r>
        <w:rPr>
          <w:rFonts w:cs="Century Schoolbook"/>
          <w:lang w:val="cy-GB"/>
        </w:rPr>
        <w:t xml:space="preserve"> sydd yn ymwneud â datblygiad proffesiynol athrawon, yn enwedig mewn perthynas â chodi safonau addysgol, rheoli perfformiad</w:t>
      </w:r>
      <w:r w:rsidR="006E793D">
        <w:rPr>
          <w:rFonts w:cs="Century Schoolbook"/>
          <w:lang w:val="cy-GB"/>
        </w:rPr>
        <w:t>,</w:t>
      </w:r>
      <w:r>
        <w:rPr>
          <w:rFonts w:cs="Century Schoolbook"/>
          <w:lang w:val="cy-GB"/>
        </w:rPr>
        <w:t xml:space="preserve"> a chynllunio gwella ysgol gyfan. Mae ymarfer myfyriol yn offeryn pwysig i gynorthwyo dysgu o brofiadau proffesiynol, yn hytrach nag o ddysgu ffurfiol neu drosglwyddo gwybodaeth. Dywed </w:t>
      </w:r>
      <w:proofErr w:type="spellStart"/>
      <w:r>
        <w:rPr>
          <w:rFonts w:cs="Century Schoolbook"/>
          <w:lang w:val="cy-GB"/>
        </w:rPr>
        <w:t>Ur</w:t>
      </w:r>
      <w:proofErr w:type="spellEnd"/>
      <w:r>
        <w:rPr>
          <w:rFonts w:cs="Century Schoolbook"/>
          <w:lang w:val="cy-GB"/>
        </w:rPr>
        <w:t xml:space="preserve"> (1999) mai’r sail gyntaf a phwysicaf ar gyfer cynnydd proffesiynol yn syml yw myfyrdod yr athrawon eu hunain ar ddigwyddiadau dyddiol yn yr ystafell ddosbarth. Mewn cytundeb efo hyn, ac yn fwy diweddar, yn ôl Mathew et al. (2017), dyma ffynhonnell bwysicaf datblygiad a gwelliant proffesiynol personol</w:t>
      </w:r>
      <w:r w:rsidR="00AB070D">
        <w:rPr>
          <w:rFonts w:cs="Century Schoolbook"/>
          <w:lang w:val="cy-GB"/>
        </w:rPr>
        <w:t>,</w:t>
      </w:r>
      <w:r>
        <w:rPr>
          <w:rFonts w:cs="Century Schoolbook"/>
          <w:lang w:val="cy-GB"/>
        </w:rPr>
        <w:t xml:space="preserve"> a'i bod hefyd yn ffordd bwysig o ddod â theori ac ymarfer ynghyd. Mae athrawon sydd yn gofyn cwestiynau treiddgar am ymarfer addysgol</w:t>
      </w:r>
      <w:r w:rsidR="00E2650F">
        <w:rPr>
          <w:rFonts w:cs="Century Schoolbook"/>
          <w:lang w:val="cy-GB"/>
        </w:rPr>
        <w:t>,</w:t>
      </w:r>
      <w:r>
        <w:rPr>
          <w:rFonts w:cs="Century Schoolbook"/>
          <w:lang w:val="cy-GB"/>
        </w:rPr>
        <w:t xml:space="preserve"> sydd yn codi o’u cyd-destunau eu hunain a phryderon proffesiynol</w:t>
      </w:r>
      <w:r w:rsidR="00E2650F">
        <w:rPr>
          <w:rFonts w:cs="Century Schoolbook"/>
          <w:lang w:val="cy-GB"/>
        </w:rPr>
        <w:t>,</w:t>
      </w:r>
      <w:r>
        <w:rPr>
          <w:rFonts w:cs="Century Schoolbook"/>
          <w:lang w:val="cy-GB"/>
        </w:rPr>
        <w:t xml:space="preserve"> yn dangos ymrwymiad i ddysgu parhaus trwy geisio syniadau newydd, gwerthuso a myfyrio ar eu heffaith, a rhoi cynnig ar ffy</w:t>
      </w:r>
      <w:r w:rsidR="008B650F">
        <w:rPr>
          <w:rFonts w:cs="Century Schoolbook"/>
          <w:lang w:val="cy-GB"/>
        </w:rPr>
        <w:t>r</w:t>
      </w:r>
      <w:r>
        <w:rPr>
          <w:rFonts w:cs="Century Schoolbook"/>
          <w:lang w:val="cy-GB"/>
        </w:rPr>
        <w:t>dd newydd o weithio i wella eu heffeithiolrwydd (</w:t>
      </w:r>
      <w:proofErr w:type="spellStart"/>
      <w:r>
        <w:rPr>
          <w:rFonts w:cs="Century Schoolbook"/>
          <w:lang w:val="cy-GB"/>
        </w:rPr>
        <w:t>Slade</w:t>
      </w:r>
      <w:proofErr w:type="spellEnd"/>
      <w:r>
        <w:rPr>
          <w:rFonts w:cs="Century Schoolbook"/>
          <w:lang w:val="cy-GB"/>
        </w:rPr>
        <w:t xml:space="preserve"> et </w:t>
      </w:r>
      <w:proofErr w:type="spellStart"/>
      <w:r>
        <w:rPr>
          <w:rFonts w:cs="Century Schoolbook"/>
          <w:lang w:val="cy-GB"/>
        </w:rPr>
        <w:t>al</w:t>
      </w:r>
      <w:proofErr w:type="spellEnd"/>
      <w:r>
        <w:rPr>
          <w:rFonts w:cs="Century Schoolbook"/>
          <w:lang w:val="cy-GB"/>
        </w:rPr>
        <w:t xml:space="preserve">. 2019; </w:t>
      </w:r>
      <w:proofErr w:type="spellStart"/>
      <w:r>
        <w:rPr>
          <w:rFonts w:cs="Century Schoolbook"/>
          <w:lang w:val="cy-GB"/>
        </w:rPr>
        <w:t>Zwozdiak-Myers</w:t>
      </w:r>
      <w:proofErr w:type="spellEnd"/>
      <w:r>
        <w:rPr>
          <w:rFonts w:cs="Century Schoolbook"/>
          <w:lang w:val="cy-GB"/>
        </w:rPr>
        <w:t xml:space="preserve">, 2012).  </w:t>
      </w:r>
    </w:p>
    <w:p w14:paraId="6DD609DF" w14:textId="47764B35" w:rsidR="00284AD3" w:rsidRDefault="00EA2B25" w:rsidP="00183CCE">
      <w:pPr>
        <w:rPr>
          <w:lang w:val="cy-GB"/>
        </w:rPr>
      </w:pPr>
      <w:r>
        <w:rPr>
          <w:rFonts w:cs="Century Schoolbook"/>
          <w:lang w:val="cy-GB"/>
        </w:rPr>
        <w:lastRenderedPageBreak/>
        <w:t xml:space="preserve">Ar y llaw arall, dadl </w:t>
      </w:r>
      <w:proofErr w:type="spellStart"/>
      <w:r>
        <w:rPr>
          <w:rFonts w:cs="Century Schoolbook"/>
          <w:lang w:val="cy-GB"/>
        </w:rPr>
        <w:t>Hobbs</w:t>
      </w:r>
      <w:proofErr w:type="spellEnd"/>
      <w:r>
        <w:rPr>
          <w:rFonts w:cs="Century Schoolbook"/>
          <w:lang w:val="cy-GB"/>
        </w:rPr>
        <w:t xml:space="preserve"> (2007) yw bod athrawon dan hyfforddiant yn ei chael hi’n anodd myfyrio’n feirniadol pan mae ganddynt ddim ond dealltwriaeth ganfydded o sut y dylai ystafell ddosbarth weithredu. Mae ysgrifenwyr eraill, megis Roberts (1998), yn nodi efallai na fydd athrawon dan hyfforddiant yn barod nac yn gallu myfyrio gan nad ydynt eto wedi meistroli gofynion proffesiynoldeb. Os na fydd athro dan hyfforddiant yn dysgu’r damcaniaethau sydd yn darlunio arfer amgen, yna dim ond un ymarfer neu brofiad y gellir ei adlewyrchu arno, gan leihau canlyniad ymarfer myfyriol (</w:t>
      </w:r>
      <w:proofErr w:type="spellStart"/>
      <w:r>
        <w:rPr>
          <w:rFonts w:cs="Century Schoolbook"/>
          <w:lang w:val="cy-GB"/>
        </w:rPr>
        <w:t>Mierdirk</w:t>
      </w:r>
      <w:proofErr w:type="spellEnd"/>
      <w:r>
        <w:rPr>
          <w:rFonts w:cs="Century Schoolbook"/>
          <w:lang w:val="cy-GB"/>
        </w:rPr>
        <w:t>, 2016). Felly, mae yna angen ar gydbwysedd rhwng cael y sgiliau proffesiynol a gallu eisoes i fyfyrio’n feirniadol, ac yna defnyddio’r myfyrio beirniadol hwnnw i ddatblygu’r sgiliau hyn, mae’n gylchred cyson.</w:t>
      </w:r>
    </w:p>
    <w:p w14:paraId="2468BD8D" w14:textId="77777777" w:rsidR="00183CCE" w:rsidRDefault="00183CCE" w:rsidP="00183CCE">
      <w:pPr>
        <w:pStyle w:val="Heading1"/>
        <w:rPr>
          <w:lang w:val="cy-GB"/>
        </w:rPr>
      </w:pPr>
      <w:r>
        <w:rPr>
          <w:lang w:val="cy-GB"/>
        </w:rPr>
        <w:t xml:space="preserve">Arsylwi </w:t>
      </w:r>
    </w:p>
    <w:p w14:paraId="759BB830" w14:textId="6566071B" w:rsidR="00183CCE" w:rsidRDefault="00183CCE" w:rsidP="00183CCE">
      <w:pPr>
        <w:pStyle w:val="Heading2"/>
        <w:rPr>
          <w:lang w:val="cy-GB"/>
        </w:rPr>
      </w:pPr>
      <w:r>
        <w:rPr>
          <w:lang w:val="cy-GB"/>
        </w:rPr>
        <w:t>Cyd-destun yr Ysgol a’r Ystafell Dosbarth</w:t>
      </w:r>
    </w:p>
    <w:p w14:paraId="0172B55C" w14:textId="00473C43" w:rsidR="00973049" w:rsidRDefault="00863FBF" w:rsidP="00973049">
      <w:pPr>
        <w:rPr>
          <w:lang w:val="cy-GB"/>
        </w:rPr>
      </w:pPr>
      <w:r>
        <w:rPr>
          <w:lang w:val="cy-GB"/>
        </w:rPr>
        <w:t xml:space="preserve">Yn ôl </w:t>
      </w:r>
      <w:r w:rsidR="00AE0F79" w:rsidRPr="00F91E8B">
        <w:t>The British Educational Research Association</w:t>
      </w:r>
      <w:r w:rsidR="00AE0F79">
        <w:rPr>
          <w:lang w:val="cy-GB"/>
        </w:rPr>
        <w:t xml:space="preserve"> (BERA)</w:t>
      </w:r>
      <w:r w:rsidR="007265EB">
        <w:rPr>
          <w:lang w:val="cy-GB"/>
        </w:rPr>
        <w:t xml:space="preserve"> (2018)</w:t>
      </w:r>
      <w:r w:rsidR="00AE0F79">
        <w:rPr>
          <w:lang w:val="cy-GB"/>
        </w:rPr>
        <w:t>, ystyrir bod triniaeth gyfrinachol ac anhysbys o ddata cyfranogwyr yn norm ar gyfer cynnal ymchwil,</w:t>
      </w:r>
      <w:r w:rsidR="00071807">
        <w:rPr>
          <w:lang w:val="cy-GB"/>
        </w:rPr>
        <w:t xml:space="preserve"> </w:t>
      </w:r>
      <w:r w:rsidR="00401A1A">
        <w:rPr>
          <w:lang w:val="cy-GB"/>
        </w:rPr>
        <w:t>fel y cyfryw, yn adrannau canlynol y traethawd hwn, gwneir pob ymdrech i gyd-fynd a</w:t>
      </w:r>
      <w:r w:rsidR="009F3E1E">
        <w:rPr>
          <w:lang w:val="cy-GB"/>
        </w:rPr>
        <w:t xml:space="preserve"> hawliau’r ysgol, y myfyrwyr, a’r staff i gyfrinach</w:t>
      </w:r>
      <w:r w:rsidR="00AE74D6">
        <w:rPr>
          <w:lang w:val="cy-GB"/>
        </w:rPr>
        <w:t xml:space="preserve">edd ac anhysbysrwydd. </w:t>
      </w:r>
    </w:p>
    <w:p w14:paraId="47DF816C" w14:textId="624CFD26" w:rsidR="007265EB" w:rsidRDefault="005B0CA7" w:rsidP="00973049">
      <w:pPr>
        <w:rPr>
          <w:lang w:val="cy-GB"/>
        </w:rPr>
      </w:pPr>
      <w:r>
        <w:rPr>
          <w:rFonts w:cs="Century Schoolbook"/>
          <w:lang w:val="cy-GB"/>
        </w:rPr>
        <w:t>Digwyddodd yr arsylwi mewn ysgol uwchradd Gymraeg o ryw gymysg yn Ne Cymru. Er mwyn cadw anhysbysrwydd, De Cymru yw’r lleoliad mwyaf manwl sydd ar gael i’w roi. Yn 2019, roedd cyfanswm o 882 o ddisgyblion ym mlynyddoedd 7-13. Trefnir disgyblion blwyddyn 7 mewn dosbarthiadau gallu cymysg, trefnir myfyrwyr blwyddyn 8-11 mewn dosbarthiadau yn ôl eu gallu ar gyfer pynciau craidd, gan ychwanegu Ieithoedd Tramor Modern i’r dosbarthiadau wedi’u grwpio yn ôl gallu ym mlwyddyn 9 (Estyn, 2019). O ganlyniad i effeithiau Covid-19, mae’r ysgol wedi penderfynu cadw dosbarthiadau blwyddyn 8 fel dosbarthiadau gallu cymysg ar gyfer y flwyddyn ysgol gyfredol (2021-2022). Mae’r ysgol wedi nodi bod 39% o ddisgyblion yn dod o gartrefi Cymraeg. Mae’r ysgol hefyd wedi nodi bod gan 13% o ddisgyblion anghenion dysgu ychwanegol, ac mae’r ganran sydd â datganiad o anghenion addysgol arbennig yn is na 1%, gyda’r ddau ffigur yn is na’r cyfartaledd cenedlaethol (Estyn, 2019). Ar hyn o bryd, mae’r ysgol yn ysgol arloesol ac yn gweithio gyda Llywodraeth Cymru ac ysgolion eraill i fwrw ymlaen â datblygiad mewn perthynas â’r cwricwlwm ym Maes Dysgu a Phrofiad Gwyddoniaeth a Thechnoleg, a dysgu proffesiynol (Estyn, 2019).</w:t>
      </w:r>
    </w:p>
    <w:p w14:paraId="6351B5CF" w14:textId="50E212D1" w:rsidR="00A45D39" w:rsidRPr="001B067B" w:rsidRDefault="00613906" w:rsidP="00973049">
      <w:pPr>
        <w:rPr>
          <w:color w:val="FF0000"/>
          <w:lang w:val="cy-GB"/>
        </w:rPr>
      </w:pPr>
      <w:r>
        <w:rPr>
          <w:rFonts w:cs="Century Schoolbook"/>
          <w:lang w:val="cy-GB"/>
        </w:rPr>
        <w:t xml:space="preserve">Digwyddodd y digwyddiad a arsylwyd mewn dosbarth o fyfyrwyr blwyddyn 7 </w:t>
      </w:r>
      <w:r w:rsidR="00687102">
        <w:rPr>
          <w:rFonts w:cs="Century Schoolbook"/>
          <w:lang w:val="cy-GB"/>
        </w:rPr>
        <w:t>yn ystod</w:t>
      </w:r>
      <w:r>
        <w:rPr>
          <w:rFonts w:cs="Century Schoolbook"/>
          <w:lang w:val="cy-GB"/>
        </w:rPr>
        <w:t xml:space="preserve"> gwers gelf. Roedd 8 myfyriwr yn y wers a nododd yr athro fod y myfyrwyr hyn yn rhan o’r hyn y cyfeiriodd yr ysgol ato fel ‘dosbarth sgiliau’, gan olygu eu bod o allu academaidd </w:t>
      </w:r>
      <w:r>
        <w:rPr>
          <w:rFonts w:cs="Century Schoolbook"/>
          <w:lang w:val="cy-GB"/>
        </w:rPr>
        <w:lastRenderedPageBreak/>
        <w:t>isel iawn. Dyma’r unig ddosbarthiadau wedi’i grwpio yn ôl gallu ym mlwyddyn 7 yn yr ysgol. Roedd yna hefyd rhai myfyrwyr ag anhwylder sbectrwm awtistiaeth yn y dosbarth. Roedd pob un o’r myfyrwyr yn yr ystafell ddosbarth yn eistedd ar bwys byrddau ar wahân, gyda phob un yn wynebu tu blaen yr ystafell ddosbarth.</w:t>
      </w:r>
      <w:r w:rsidR="00CD4AFE">
        <w:rPr>
          <w:rFonts w:cs="Century Schoolbook"/>
          <w:lang w:val="cy-GB"/>
        </w:rPr>
        <w:t xml:space="preserve"> </w:t>
      </w:r>
    </w:p>
    <w:p w14:paraId="1038B757" w14:textId="73C0B12D" w:rsidR="00183CCE" w:rsidRDefault="00183CCE" w:rsidP="00183CCE">
      <w:pPr>
        <w:pStyle w:val="Heading2"/>
        <w:rPr>
          <w:lang w:val="cy-GB"/>
        </w:rPr>
      </w:pPr>
      <w:r>
        <w:rPr>
          <w:lang w:val="cy-GB"/>
        </w:rPr>
        <w:t>Digwyddiad Critigol</w:t>
      </w:r>
    </w:p>
    <w:p w14:paraId="04494081" w14:textId="61B0543A" w:rsidR="00927C62" w:rsidRDefault="00713763" w:rsidP="00183CCE">
      <w:pPr>
        <w:rPr>
          <w:lang w:val="cy-GB"/>
        </w:rPr>
      </w:pPr>
      <w:r>
        <w:rPr>
          <w:lang w:val="cy-GB"/>
        </w:rPr>
        <w:t>O gychwyn y wers, roedd yna un myfyr</w:t>
      </w:r>
      <w:r w:rsidR="007C2A5B">
        <w:rPr>
          <w:lang w:val="cy-GB"/>
        </w:rPr>
        <w:t>iw</w:t>
      </w:r>
      <w:r>
        <w:rPr>
          <w:lang w:val="cy-GB"/>
        </w:rPr>
        <w:t xml:space="preserve">r nad oedd ganddo unrhyw diddordeb yn y wers o gwbl a dim bwriad o gymryd rhan. Roedd yn </w:t>
      </w:r>
      <w:r w:rsidR="007C2A5B">
        <w:rPr>
          <w:lang w:val="cy-GB"/>
        </w:rPr>
        <w:t>trosi rhwng</w:t>
      </w:r>
      <w:r>
        <w:rPr>
          <w:lang w:val="cy-GB"/>
        </w:rPr>
        <w:t xml:space="preserve"> chwarae efo</w:t>
      </w:r>
      <w:r w:rsidR="008A6130">
        <w:rPr>
          <w:lang w:val="cy-GB"/>
        </w:rPr>
        <w:t xml:space="preserve">’i gas bensil </w:t>
      </w:r>
      <w:r w:rsidR="007C2A5B">
        <w:rPr>
          <w:lang w:val="cy-GB"/>
        </w:rPr>
        <w:t>a chwarae efo’i</w:t>
      </w:r>
      <w:r w:rsidR="008A6130">
        <w:rPr>
          <w:lang w:val="cy-GB"/>
        </w:rPr>
        <w:t xml:space="preserve"> oriawr, neu yn gorwedd ei ben ar y ddesg ac yn cau ei lygaid.</w:t>
      </w:r>
      <w:r w:rsidR="00E33EE5">
        <w:rPr>
          <w:lang w:val="cy-GB"/>
        </w:rPr>
        <w:t xml:space="preserve"> Nid oedd y myfyri</w:t>
      </w:r>
      <w:r w:rsidR="000E0F28">
        <w:rPr>
          <w:lang w:val="cy-GB"/>
        </w:rPr>
        <w:t xml:space="preserve">wr ychwaith yn cyfathrebu ar lafar, dim ond yn ysgwyd ei ben neu ei ysgwyddau. Ar  </w:t>
      </w:r>
      <w:r w:rsidR="00305B2D">
        <w:rPr>
          <w:lang w:val="cy-GB"/>
        </w:rPr>
        <w:t>d</w:t>
      </w:r>
      <w:r w:rsidR="000E0F28">
        <w:rPr>
          <w:lang w:val="cy-GB"/>
        </w:rPr>
        <w:t>dechrau</w:t>
      </w:r>
      <w:r w:rsidR="00305B2D">
        <w:rPr>
          <w:lang w:val="cy-GB"/>
        </w:rPr>
        <w:t>’r wers</w:t>
      </w:r>
      <w:r w:rsidR="000E0F28">
        <w:rPr>
          <w:lang w:val="cy-GB"/>
        </w:rPr>
        <w:t xml:space="preserve"> dywedodd yr athrawes y byddai’n ei gwneud yn hapus pe bai’r myf</w:t>
      </w:r>
      <w:r w:rsidR="000D5C41">
        <w:rPr>
          <w:lang w:val="cy-GB"/>
        </w:rPr>
        <w:t xml:space="preserve">yriwr yn dechrau ar ei waith, ni chafodd hyn unrhyw effaith. Gofynnodd unwaith eto mewn ffordd bositif i’r myfyriwr cymryd rhan yn y gwers, ac eto, nid oedd unrhyw </w:t>
      </w:r>
      <w:r w:rsidR="0053364A">
        <w:rPr>
          <w:lang w:val="cy-GB"/>
        </w:rPr>
        <w:t xml:space="preserve">ymateb. Pob tro ar ôl hyn yr oedd yr athrawes yn gofyn y myfyriwr i wneud ei waith neu cymryd rhan, </w:t>
      </w:r>
      <w:r w:rsidR="00F40247">
        <w:rPr>
          <w:lang w:val="cy-GB"/>
        </w:rPr>
        <w:t>dywedodd ei bod yn ei gwneud hi’n drist nad yw’n gwneud</w:t>
      </w:r>
      <w:r w:rsidR="004D6E39">
        <w:rPr>
          <w:lang w:val="cy-GB"/>
        </w:rPr>
        <w:t xml:space="preserve"> eu waith. Ailadroddodd yr athrawes </w:t>
      </w:r>
      <w:r w:rsidR="00593D47">
        <w:rPr>
          <w:lang w:val="cy-GB"/>
        </w:rPr>
        <w:t xml:space="preserve">ei bod yn </w:t>
      </w:r>
      <w:r w:rsidR="004D6E39">
        <w:rPr>
          <w:lang w:val="cy-GB"/>
        </w:rPr>
        <w:t xml:space="preserve">‘trist’ pob gwaith siaradodd hi i’r disgybl ar ôl hyn. Nid oedd hyn yn cael unrhyw effaith neu ymateb chwaith. </w:t>
      </w:r>
      <w:r w:rsidR="00380DE0">
        <w:rPr>
          <w:lang w:val="cy-GB"/>
        </w:rPr>
        <w:t xml:space="preserve">Roedd yn ymddangos nad oedd y myfyriwr </w:t>
      </w:r>
      <w:r w:rsidR="0015089A">
        <w:rPr>
          <w:lang w:val="cy-GB"/>
        </w:rPr>
        <w:t>yn</w:t>
      </w:r>
      <w:r w:rsidR="00380DE0">
        <w:rPr>
          <w:lang w:val="cy-GB"/>
        </w:rPr>
        <w:t xml:space="preserve"> trafferthu </w:t>
      </w:r>
      <w:r w:rsidR="004F5A63">
        <w:rPr>
          <w:lang w:val="cy-GB"/>
        </w:rPr>
        <w:t>efo</w:t>
      </w:r>
      <w:r w:rsidR="0015089A">
        <w:rPr>
          <w:lang w:val="cy-GB"/>
        </w:rPr>
        <w:t xml:space="preserve"> sut y gwnaeth i’r athrawes deimlo, p’un a oedd yn hapus neu’n drist,</w:t>
      </w:r>
      <w:r w:rsidR="006B3AE8">
        <w:rPr>
          <w:lang w:val="cy-GB"/>
        </w:rPr>
        <w:t xml:space="preserve"> yr roedd yn bendant am beidio â chymryd rhan. </w:t>
      </w:r>
      <w:r w:rsidR="00156CDA">
        <w:rPr>
          <w:lang w:val="cy-GB"/>
        </w:rPr>
        <w:t>Tua pymtheg munud cyn diwedd y wers</w:t>
      </w:r>
      <w:r w:rsidR="00565888">
        <w:rPr>
          <w:lang w:val="cy-GB"/>
        </w:rPr>
        <w:t xml:space="preserve"> daith cynorthwyydd cymorth dysgu (CCD) i eistedd gyda’r disgybl ac o fewn munudau roedd gan y disgybl gwên ar ei wyneb ac roedd yn cyfathrebu ar lafar. Esboniodd yr athro fod y CCD hwn yn un cyson i’r myfyriwr hwn,</w:t>
      </w:r>
      <w:r w:rsidR="00637759">
        <w:rPr>
          <w:lang w:val="cy-GB"/>
        </w:rPr>
        <w:t xml:space="preserve"> a’i bod yn mynd gyda’r myfyriwr yn ôl ac ymlaen i’w holl wersi.</w:t>
      </w:r>
      <w:r w:rsidR="00565888">
        <w:rPr>
          <w:lang w:val="cy-GB"/>
        </w:rPr>
        <w:t xml:space="preserve"> </w:t>
      </w:r>
    </w:p>
    <w:p w14:paraId="2868AB1F" w14:textId="327B2E70" w:rsidR="00681F98" w:rsidRDefault="00D94CFD" w:rsidP="00183CCE">
      <w:pPr>
        <w:rPr>
          <w:lang w:val="cy-GB"/>
        </w:rPr>
      </w:pPr>
      <w:r>
        <w:rPr>
          <w:rFonts w:cs="Century Schoolbook"/>
          <w:lang w:val="cy-GB"/>
        </w:rPr>
        <w:t xml:space="preserve">Ar ôl y wers, trafododd yr athrawes gyda mi pam ei bod yn credu bod y myfyriwr hwn yn arddangos yr ymddygiad hwn a pham ymatebodd yn well i’r CCD. Dywed yr athrawes fod y myfyriwr penodol hwn wedi cael amser caled iawn yn ystod y broses bontio o’r cynradd i’r uwchradd ac ers hynny mae wedi cael amser anodd iawn wrth drosglwyddo i’r ysgol uwchradd. Fe wnaeth yr athro fy hysbysu bod amharodrwydd y myfyriwr i gymryd rhan yn aml yn ymestyn i wrthod yn llwyr fynd i mewn i’r ystafelloedd dosbarth, a bod hyn yn gyson dros amrywiaeth o wersi. Nid yw celf yn bwnc craidd ac oherwydd hyn dim ond un wers yr wythnos yr ydy’r myfyrwyr yn ei chael. Dyma’r rheswm mae’r athrawes yn credu na allai wneud gwahaniaeth yn ymddygiad y myfyriwr hwn. Mae hi’n teimlo nad yw un wers yr wythnos yn ddigon o amser i adeiladu perthnasoedd gyda’i myfyrwyr nac i ddechrau deall pa ddulliau addysgu a disgyblaeth </w:t>
      </w:r>
      <w:r>
        <w:rPr>
          <w:rFonts w:cs="Century Schoolbook"/>
          <w:lang w:val="cy-GB"/>
        </w:rPr>
        <w:lastRenderedPageBreak/>
        <w:t>sydd yn gweithio iddynt. O ganlyniad i’r holl elfennau hyn, nid yw’r myfyriwr hwn yn ymddwyn i safon yr ysgol ym mron pob gwers.</w:t>
      </w:r>
    </w:p>
    <w:p w14:paraId="38DED67A" w14:textId="678B18FB" w:rsidR="00D1342E" w:rsidRDefault="00F764EA" w:rsidP="00183CCE">
      <w:pPr>
        <w:rPr>
          <w:lang w:val="cy-GB"/>
        </w:rPr>
      </w:pPr>
      <w:r>
        <w:rPr>
          <w:lang w:val="cy-GB"/>
        </w:rPr>
        <w:t>O ganlyniad i’r digwyddiad critigol arsylwais, p</w:t>
      </w:r>
      <w:r w:rsidR="00446325">
        <w:rPr>
          <w:lang w:val="cy-GB"/>
        </w:rPr>
        <w:t>wrpas a nodwedd y cwricwlwm y byddaf yn canolbwyntio arno ar gyfer y traethawd hwn yw creu unigolion iach, hyderus (</w:t>
      </w:r>
      <w:r w:rsidR="00F40309">
        <w:rPr>
          <w:lang w:val="cy-GB"/>
        </w:rPr>
        <w:t>Donaldson, 2015</w:t>
      </w:r>
      <w:r w:rsidR="00446325">
        <w:rPr>
          <w:lang w:val="cy-GB"/>
        </w:rPr>
        <w:t xml:space="preserve">). </w:t>
      </w:r>
      <w:r w:rsidR="00D1342E">
        <w:rPr>
          <w:lang w:val="cy-GB"/>
        </w:rPr>
        <w:t>Gan ganolbwyntio</w:t>
      </w:r>
      <w:r w:rsidR="004A64C4">
        <w:rPr>
          <w:lang w:val="cy-GB"/>
        </w:rPr>
        <w:t xml:space="preserve"> yn </w:t>
      </w:r>
      <w:r w:rsidR="00882E63">
        <w:rPr>
          <w:lang w:val="cy-GB"/>
        </w:rPr>
        <w:t>b</w:t>
      </w:r>
      <w:r w:rsidR="004A64C4">
        <w:rPr>
          <w:lang w:val="cy-GB"/>
        </w:rPr>
        <w:t>enodol</w:t>
      </w:r>
      <w:r w:rsidR="000B7963">
        <w:rPr>
          <w:lang w:val="cy-GB"/>
        </w:rPr>
        <w:t xml:space="preserve"> ar y cysylltiad rhwng y </w:t>
      </w:r>
      <w:r w:rsidR="00EE2124">
        <w:rPr>
          <w:lang w:val="cy-GB"/>
        </w:rPr>
        <w:t>pontio</w:t>
      </w:r>
      <w:r w:rsidR="000B7963">
        <w:rPr>
          <w:lang w:val="cy-GB"/>
        </w:rPr>
        <w:t xml:space="preserve"> o’r ysgol gynradd i’r ysgol uwchradd ac ‘</w:t>
      </w:r>
      <w:r w:rsidR="00F6005B">
        <w:rPr>
          <w:lang w:val="cy-GB"/>
        </w:rPr>
        <w:t>adeiladu lles meddyliol ac emosiynol</w:t>
      </w:r>
      <w:r w:rsidR="000B7963">
        <w:rPr>
          <w:lang w:val="cy-GB"/>
        </w:rPr>
        <w:t>’ a ‘</w:t>
      </w:r>
      <w:r w:rsidR="009F13E0">
        <w:rPr>
          <w:lang w:val="cy-GB"/>
        </w:rPr>
        <w:t xml:space="preserve">ffurfio perthnasau </w:t>
      </w:r>
      <w:r w:rsidR="00563FA0">
        <w:rPr>
          <w:lang w:val="cy-GB"/>
        </w:rPr>
        <w:t>positif</w:t>
      </w:r>
      <w:r w:rsidR="004A64C4">
        <w:rPr>
          <w:lang w:val="cy-GB"/>
        </w:rPr>
        <w:t>’</w:t>
      </w:r>
      <w:r w:rsidR="00563FA0">
        <w:rPr>
          <w:lang w:val="cy-GB"/>
        </w:rPr>
        <w:t>.</w:t>
      </w:r>
    </w:p>
    <w:p w14:paraId="058EC774" w14:textId="11500E2B" w:rsidR="00183CCE" w:rsidRDefault="00183CCE" w:rsidP="00183CCE">
      <w:pPr>
        <w:pStyle w:val="Heading1"/>
        <w:rPr>
          <w:lang w:val="cy-GB"/>
        </w:rPr>
      </w:pPr>
      <w:r>
        <w:rPr>
          <w:lang w:val="cy-GB"/>
        </w:rPr>
        <w:t>Adolygiad Llenyddiaeth</w:t>
      </w:r>
    </w:p>
    <w:p w14:paraId="01C08D1A" w14:textId="371CD6E1" w:rsidR="00FE7241" w:rsidRDefault="005166C3" w:rsidP="00D85BB9">
      <w:pPr>
        <w:rPr>
          <w:lang w:val="cy-GB"/>
        </w:rPr>
      </w:pPr>
      <w:r>
        <w:rPr>
          <w:rFonts w:cs="Century Schoolbook"/>
          <w:lang w:val="cy-GB"/>
        </w:rPr>
        <w:t>Bydd yr adolygiad canlynol yn canolbwyntio ar ymchwil yn seiliedig ar y trawsnewid y mae myfyrwyr yn mynd drwyddo wrth symud o’r ysgol gynradd i’r ysgol uwchradd, gan gysylltu â’r elfen adeiladu lles meddyliol ac emosiynol a’r elfen ffurfio perthnasau positif yr unigolyn iach a hyderus (Donaldson, 2015). Mae’r newid o’r ysgol gynradd i’r ysgol uwchradd wedi’i gydnabod ers amser maith fel amser hanfodol ac arwyddocaol i fyfyrwyr ifanc yn eu harddegau, ac mae’r pwnc trosglwyddo wedi bod yn faes pryder i addysgwyr ers nifer o flynyddoedd (</w:t>
      </w:r>
      <w:proofErr w:type="spellStart"/>
      <w:r>
        <w:rPr>
          <w:rFonts w:cs="Century Schoolbook"/>
          <w:lang w:val="cy-GB"/>
        </w:rPr>
        <w:t>Akos</w:t>
      </w:r>
      <w:proofErr w:type="spellEnd"/>
      <w:r>
        <w:rPr>
          <w:rFonts w:cs="Century Schoolbook"/>
          <w:lang w:val="cy-GB"/>
        </w:rPr>
        <w:t xml:space="preserve"> &amp; </w:t>
      </w:r>
      <w:proofErr w:type="spellStart"/>
      <w:r>
        <w:rPr>
          <w:rFonts w:cs="Century Schoolbook"/>
          <w:lang w:val="cy-GB"/>
        </w:rPr>
        <w:t>Galassi</w:t>
      </w:r>
      <w:proofErr w:type="spellEnd"/>
      <w:r>
        <w:rPr>
          <w:rFonts w:cs="Century Schoolbook"/>
          <w:lang w:val="cy-GB"/>
        </w:rPr>
        <w:t xml:space="preserve">, 2004; </w:t>
      </w:r>
      <w:proofErr w:type="spellStart"/>
      <w:r>
        <w:rPr>
          <w:rFonts w:cs="Century Schoolbook"/>
          <w:lang w:val="cy-GB"/>
        </w:rPr>
        <w:t>Galton</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1999; </w:t>
      </w:r>
      <w:proofErr w:type="spellStart"/>
      <w:r>
        <w:rPr>
          <w:rFonts w:cs="Century Schoolbook"/>
          <w:lang w:val="cy-GB"/>
        </w:rPr>
        <w:t>Hopwood</w:t>
      </w:r>
      <w:proofErr w:type="spellEnd"/>
      <w:r>
        <w:rPr>
          <w:rFonts w:cs="Century Schoolbook"/>
          <w:lang w:val="cy-GB"/>
        </w:rPr>
        <w:t xml:space="preserve"> et </w:t>
      </w:r>
      <w:proofErr w:type="spellStart"/>
      <w:r>
        <w:rPr>
          <w:rFonts w:cs="Century Schoolbook"/>
          <w:lang w:val="cy-GB"/>
        </w:rPr>
        <w:t>al</w:t>
      </w:r>
      <w:proofErr w:type="spellEnd"/>
      <w:r>
        <w:rPr>
          <w:rFonts w:cs="Century Schoolbook"/>
          <w:lang w:val="cy-GB"/>
        </w:rPr>
        <w:t xml:space="preserve">. 2014; </w:t>
      </w:r>
      <w:proofErr w:type="spellStart"/>
      <w:r>
        <w:rPr>
          <w:rFonts w:cs="Century Schoolbook"/>
          <w:lang w:val="cy-GB"/>
        </w:rPr>
        <w:t>Mizelle</w:t>
      </w:r>
      <w:proofErr w:type="spellEnd"/>
      <w:r>
        <w:rPr>
          <w:rFonts w:cs="Century Schoolbook"/>
          <w:lang w:val="cy-GB"/>
        </w:rPr>
        <w:t xml:space="preserve"> &amp; </w:t>
      </w:r>
      <w:proofErr w:type="spellStart"/>
      <w:r>
        <w:rPr>
          <w:rFonts w:cs="Century Schoolbook"/>
          <w:lang w:val="cy-GB"/>
        </w:rPr>
        <w:t>Irvin</w:t>
      </w:r>
      <w:proofErr w:type="spellEnd"/>
      <w:r>
        <w:rPr>
          <w:rFonts w:cs="Century Schoolbook"/>
          <w:lang w:val="cy-GB"/>
        </w:rPr>
        <w:t xml:space="preserve">, 2000; </w:t>
      </w:r>
      <w:proofErr w:type="spellStart"/>
      <w:r>
        <w:rPr>
          <w:rFonts w:cs="Century Schoolbook"/>
          <w:lang w:val="cy-GB"/>
        </w:rPr>
        <w:t>Rice</w:t>
      </w:r>
      <w:proofErr w:type="spellEnd"/>
      <w:r>
        <w:rPr>
          <w:rFonts w:cs="Century Schoolbook"/>
          <w:lang w:val="cy-GB"/>
        </w:rPr>
        <w:t xml:space="preserve">, 2001; West </w:t>
      </w:r>
      <w:proofErr w:type="spellStart"/>
      <w:r>
        <w:rPr>
          <w:rFonts w:cs="Century Schoolbook"/>
          <w:lang w:val="cy-GB"/>
        </w:rPr>
        <w:t>et</w:t>
      </w:r>
      <w:proofErr w:type="spellEnd"/>
      <w:r>
        <w:rPr>
          <w:rFonts w:cs="Century Schoolbook"/>
          <w:lang w:val="cy-GB"/>
        </w:rPr>
        <w:t xml:space="preserve"> al. 2010). Ar y cyfan, mae ysgolion uwchradd yn sylweddol fwy yn gorfforol nag ysgolion cynradd ac mae angen datblygu lefelau newydd o drefniadaeth yn gyflym i reoli’r gofynion amserlen hyn. Gall y trosglwyddo rhwng yr amgylcheddau ysgol wahanol iawn hyn gael ei nodweddu gan ddiffyg parhad mewn lleoliad corfforol, dieithrio oddi wrth grwpiau cymheiriaid ac ansicrwydd mewn perthnasoedd efo athrawon (</w:t>
      </w:r>
      <w:proofErr w:type="spellStart"/>
      <w:r>
        <w:rPr>
          <w:rFonts w:cs="Century Schoolbook"/>
          <w:lang w:val="cy-GB"/>
        </w:rPr>
        <w:t>Ashton</w:t>
      </w:r>
      <w:proofErr w:type="spellEnd"/>
      <w:r>
        <w:rPr>
          <w:rFonts w:cs="Century Schoolbook"/>
          <w:lang w:val="cy-GB"/>
        </w:rPr>
        <w:t>, 2008). Mae’r cyfnod pontio hwn yn gweld dirywiad yng nghanfyddiad myfyrwyr o’r gefnogaeth emosiynol a gânt gan eu hathrawon, a gostyngiad yn eu hymdeimlad o berthyn yn eu hystafelloedd dosbarth (</w:t>
      </w:r>
      <w:proofErr w:type="spellStart"/>
      <w:r>
        <w:rPr>
          <w:rFonts w:cs="Century Schoolbook"/>
          <w:lang w:val="cy-GB"/>
        </w:rPr>
        <w:t>Eccles</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1991; </w:t>
      </w:r>
      <w:proofErr w:type="spellStart"/>
      <w:r>
        <w:rPr>
          <w:rFonts w:cs="Century Schoolbook"/>
          <w:lang w:val="cy-GB"/>
        </w:rPr>
        <w:t>Engles</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2016; </w:t>
      </w:r>
      <w:proofErr w:type="spellStart"/>
      <w:r>
        <w:rPr>
          <w:rFonts w:cs="Century Schoolbook"/>
          <w:lang w:val="cy-GB"/>
        </w:rPr>
        <w:t>Roeser</w:t>
      </w:r>
      <w:proofErr w:type="spellEnd"/>
      <w:r>
        <w:rPr>
          <w:rFonts w:cs="Century Schoolbook"/>
          <w:lang w:val="cy-GB"/>
        </w:rPr>
        <w:t xml:space="preserve"> &amp; </w:t>
      </w:r>
      <w:proofErr w:type="spellStart"/>
      <w:r>
        <w:rPr>
          <w:rFonts w:cs="Century Schoolbook"/>
          <w:lang w:val="cy-GB"/>
        </w:rPr>
        <w:t>Eccles</w:t>
      </w:r>
      <w:proofErr w:type="spellEnd"/>
      <w:r>
        <w:rPr>
          <w:rFonts w:cs="Century Schoolbook"/>
          <w:lang w:val="cy-GB"/>
        </w:rPr>
        <w:t xml:space="preserve">, 1998; </w:t>
      </w:r>
      <w:proofErr w:type="spellStart"/>
      <w:r>
        <w:rPr>
          <w:rFonts w:cs="Century Schoolbook"/>
          <w:lang w:val="cy-GB"/>
        </w:rPr>
        <w:t>Salmela-Aro</w:t>
      </w:r>
      <w:proofErr w:type="spellEnd"/>
      <w:r>
        <w:rPr>
          <w:rFonts w:cs="Century Schoolbook"/>
          <w:lang w:val="cy-GB"/>
        </w:rPr>
        <w:t xml:space="preserve">, 2017), yn ogystal â risg uwch o adael yr ysgol, sydd yn gwneud trosglwyddiadau o’r fath yn gyfnod datblygiadol hanfodol ar gyfer canfod arwyddion cynnar o gamweinyddu emosiynol (Skinner et al. 2008; </w:t>
      </w:r>
      <w:proofErr w:type="spellStart"/>
      <w:r>
        <w:rPr>
          <w:rFonts w:cs="Century Schoolbook"/>
          <w:lang w:val="cy-GB"/>
        </w:rPr>
        <w:t>Virtanen</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2016).</w:t>
      </w:r>
    </w:p>
    <w:p w14:paraId="4998E827" w14:textId="4E3A7098" w:rsidR="00FE7241" w:rsidRDefault="00FE7241" w:rsidP="00D85BB9">
      <w:pPr>
        <w:rPr>
          <w:lang w:val="cy-GB"/>
        </w:rPr>
      </w:pPr>
      <w:r>
        <w:rPr>
          <w:lang w:val="cy-GB"/>
        </w:rPr>
        <w:t xml:space="preserve">Wnaeth astudiaeth gan </w:t>
      </w:r>
      <w:proofErr w:type="spellStart"/>
      <w:r>
        <w:rPr>
          <w:lang w:val="cy-GB"/>
        </w:rPr>
        <w:t>Engels</w:t>
      </w:r>
      <w:proofErr w:type="spellEnd"/>
      <w:r>
        <w:rPr>
          <w:lang w:val="cy-GB"/>
        </w:rPr>
        <w:t xml:space="preserve"> </w:t>
      </w:r>
      <w:proofErr w:type="spellStart"/>
      <w:r>
        <w:rPr>
          <w:lang w:val="cy-GB"/>
        </w:rPr>
        <w:t>et</w:t>
      </w:r>
      <w:proofErr w:type="spellEnd"/>
      <w:r>
        <w:rPr>
          <w:lang w:val="cy-GB"/>
        </w:rPr>
        <w:t xml:space="preserve"> </w:t>
      </w:r>
      <w:proofErr w:type="spellStart"/>
      <w:r>
        <w:rPr>
          <w:lang w:val="cy-GB"/>
        </w:rPr>
        <w:t>al</w:t>
      </w:r>
      <w:proofErr w:type="spellEnd"/>
      <w:r>
        <w:rPr>
          <w:lang w:val="cy-GB"/>
        </w:rPr>
        <w:t xml:space="preserve">. (2019) ymchwilio i sawl dangosydd o addasiad academaidd ac emosiynol myfyrwyr yn ystod y cyfnod pontio o’r ysgol gynradd i’r ysgol uwchradd. Mae’r papur yn ceisio taflu goleuni ar sut mae ymgysylltiad, cyflawniad, gorweithio, a gwrthdaro rhwng athrawon a myfyrwyr yn esblygu gyda’i gilydd yn ystod y cyfnod pontio o’r cynradd (h.y., gradd 6) a’r ysgol uwchradd is (h.y., gradd 7), yn y Ffindir. </w:t>
      </w:r>
      <w:r w:rsidR="00B66B51">
        <w:rPr>
          <w:lang w:val="cy-GB"/>
        </w:rPr>
        <w:t>Cafodd</w:t>
      </w:r>
      <w:r w:rsidRPr="00331CB2">
        <w:rPr>
          <w:lang w:val="cy-GB"/>
        </w:rPr>
        <w:t xml:space="preserve"> y sampl</w:t>
      </w:r>
      <w:r w:rsidR="00320225">
        <w:rPr>
          <w:lang w:val="cy-GB"/>
        </w:rPr>
        <w:t xml:space="preserve">, </w:t>
      </w:r>
      <w:r w:rsidRPr="00331CB2">
        <w:rPr>
          <w:lang w:val="cy-GB"/>
        </w:rPr>
        <w:t>1810</w:t>
      </w:r>
      <w:r w:rsidR="00320225">
        <w:rPr>
          <w:lang w:val="cy-GB"/>
        </w:rPr>
        <w:t xml:space="preserve"> o fyfyrwyr,</w:t>
      </w:r>
      <w:r w:rsidRPr="00331CB2">
        <w:rPr>
          <w:lang w:val="cy-GB"/>
        </w:rPr>
        <w:t xml:space="preserve"> </w:t>
      </w:r>
      <w:r w:rsidR="00B66B51">
        <w:rPr>
          <w:lang w:val="cy-GB"/>
        </w:rPr>
        <w:t xml:space="preserve">ei recriwtio </w:t>
      </w:r>
      <w:r w:rsidRPr="00331CB2">
        <w:rPr>
          <w:lang w:val="cy-GB"/>
        </w:rPr>
        <w:t xml:space="preserve">o bedair bwrdeistref yn y Ffindir. </w:t>
      </w:r>
      <w:r>
        <w:rPr>
          <w:lang w:val="cy-GB"/>
        </w:rPr>
        <w:t xml:space="preserve">Yn gryno, datgelodd yr astudiaeth hon fod addasiad academaidd ac emosiynol myfyrwyr </w:t>
      </w:r>
      <w:r>
        <w:rPr>
          <w:lang w:val="cy-GB"/>
        </w:rPr>
        <w:lastRenderedPageBreak/>
        <w:t xml:space="preserve">yn ystod eu </w:t>
      </w:r>
      <w:r w:rsidR="00031527">
        <w:rPr>
          <w:lang w:val="cy-GB"/>
        </w:rPr>
        <w:t>trosglwyddo</w:t>
      </w:r>
      <w:r>
        <w:rPr>
          <w:lang w:val="cy-GB"/>
        </w:rPr>
        <w:t xml:space="preserve"> o’r ysgol gynradd i’r ysgol uwchradd yn cael ei yrru’n bennaf gan eu perthynas athro-myfyriwr, yn unol efo gwaith </w:t>
      </w:r>
      <w:proofErr w:type="spellStart"/>
      <w:r>
        <w:rPr>
          <w:lang w:val="cy-GB"/>
        </w:rPr>
        <w:t>Longobardi</w:t>
      </w:r>
      <w:proofErr w:type="spellEnd"/>
      <w:r>
        <w:rPr>
          <w:lang w:val="cy-GB"/>
        </w:rPr>
        <w:t xml:space="preserve"> </w:t>
      </w:r>
      <w:proofErr w:type="spellStart"/>
      <w:r>
        <w:rPr>
          <w:lang w:val="cy-GB"/>
        </w:rPr>
        <w:t>et</w:t>
      </w:r>
      <w:proofErr w:type="spellEnd"/>
      <w:r>
        <w:rPr>
          <w:lang w:val="cy-GB"/>
        </w:rPr>
        <w:t xml:space="preserve"> </w:t>
      </w:r>
      <w:proofErr w:type="spellStart"/>
      <w:r>
        <w:rPr>
          <w:lang w:val="cy-GB"/>
        </w:rPr>
        <w:t>al</w:t>
      </w:r>
      <w:proofErr w:type="spellEnd"/>
      <w:r>
        <w:rPr>
          <w:lang w:val="cy-GB"/>
        </w:rPr>
        <w:t xml:space="preserve">. (2016), a’u cyflawniad yn yr ysgol, yn unol efo gwaith </w:t>
      </w:r>
      <w:proofErr w:type="spellStart"/>
      <w:r>
        <w:rPr>
          <w:lang w:val="cy-GB"/>
        </w:rPr>
        <w:t>Guskey</w:t>
      </w:r>
      <w:proofErr w:type="spellEnd"/>
      <w:r>
        <w:rPr>
          <w:lang w:val="cy-GB"/>
        </w:rPr>
        <w:t xml:space="preserve"> (2013). At hynny, nodwyd bod cyflawniad myfyrwyr yn cael effaith fawr ar faint yr oeddent yn credu bod yr ysgol yn bwysig ac yn berthnasol i’w nodau personol a’u dyheadau ar gyfer y dyfodol.</w:t>
      </w:r>
      <w:r w:rsidR="00CD76D4">
        <w:rPr>
          <w:lang w:val="cy-GB"/>
        </w:rPr>
        <w:t xml:space="preserve"> Mae </w:t>
      </w:r>
      <w:r w:rsidR="00416EF5">
        <w:rPr>
          <w:lang w:val="cy-GB"/>
        </w:rPr>
        <w:t xml:space="preserve">yna </w:t>
      </w:r>
      <w:r w:rsidR="00CD76D4">
        <w:rPr>
          <w:lang w:val="cy-GB"/>
        </w:rPr>
        <w:t xml:space="preserve">cyfyngiadau y mae’n rhaid eu hystyried wrth ddehongli’r canfyddiadau hyn. Yn gyntaf, cynhaliwyd yr astudiaeth hon yn y Ffindir, sydd â system a chyd-destun addysgol sydd yn wahanol i rai mwyafrif o wledydd eraill. Er enghraifft, nid yw ysgolion uwchradd is yn </w:t>
      </w:r>
      <w:r w:rsidR="007A4D43">
        <w:rPr>
          <w:lang w:val="cy-GB"/>
        </w:rPr>
        <w:t xml:space="preserve">cael eu </w:t>
      </w:r>
      <w:r w:rsidR="00CD76D4">
        <w:rPr>
          <w:lang w:val="cy-GB"/>
        </w:rPr>
        <w:t xml:space="preserve">nodweddu gan olrhain academaidd (Cappella &amp; </w:t>
      </w:r>
      <w:proofErr w:type="spellStart"/>
      <w:r w:rsidR="00CD76D4">
        <w:rPr>
          <w:lang w:val="cy-GB"/>
        </w:rPr>
        <w:t>Weinstein</w:t>
      </w:r>
      <w:proofErr w:type="spellEnd"/>
      <w:r w:rsidR="00CD76D4">
        <w:rPr>
          <w:lang w:val="cy-GB"/>
        </w:rPr>
        <w:t xml:space="preserve">, 2001; </w:t>
      </w:r>
      <w:proofErr w:type="spellStart"/>
      <w:r w:rsidR="00CD76D4">
        <w:rPr>
          <w:lang w:val="cy-GB"/>
        </w:rPr>
        <w:t>Werblow</w:t>
      </w:r>
      <w:proofErr w:type="spellEnd"/>
      <w:r w:rsidR="00CD76D4">
        <w:rPr>
          <w:lang w:val="cy-GB"/>
        </w:rPr>
        <w:t xml:space="preserve"> </w:t>
      </w:r>
      <w:proofErr w:type="spellStart"/>
      <w:r w:rsidR="00CD76D4">
        <w:rPr>
          <w:lang w:val="cy-GB"/>
        </w:rPr>
        <w:t>et</w:t>
      </w:r>
      <w:proofErr w:type="spellEnd"/>
      <w:r w:rsidR="00CD76D4">
        <w:rPr>
          <w:lang w:val="cy-GB"/>
        </w:rPr>
        <w:t xml:space="preserve"> al. 2013). Yn ail, roedd y sampl a ddefnyddiwyd yn yr astudiaeth hon yn cynnwys dim ond ychydig o fyfyrwyr o bob ystafell ddosbarth a dderbyniodd raddfeydd gwrthdaro gan athr</w:t>
      </w:r>
      <w:r w:rsidR="004505C7">
        <w:rPr>
          <w:lang w:val="cy-GB"/>
        </w:rPr>
        <w:t>a</w:t>
      </w:r>
      <w:r w:rsidR="00CD76D4">
        <w:rPr>
          <w:lang w:val="cy-GB"/>
        </w:rPr>
        <w:t>won, ac felly y gellid eu dehongli fel sampl rhagfarnllyd. Yn drydydd, roedd mwyafrif yr athrawon yn y sampl yn fenywod. Mae ymchwil yn dangos y gallai fod gan fyfyrwyr wahanol berthnasoedd ag athrawon benywaidd o gymharu ag athrawon gwrywaidd (</w:t>
      </w:r>
      <w:proofErr w:type="spellStart"/>
      <w:r w:rsidR="00CD76D4">
        <w:rPr>
          <w:lang w:val="cy-GB"/>
        </w:rPr>
        <w:t>Spilt</w:t>
      </w:r>
      <w:proofErr w:type="spellEnd"/>
      <w:r w:rsidR="00CD76D4">
        <w:rPr>
          <w:lang w:val="cy-GB"/>
        </w:rPr>
        <w:t xml:space="preserve"> </w:t>
      </w:r>
      <w:proofErr w:type="spellStart"/>
      <w:r w:rsidR="00CD76D4">
        <w:rPr>
          <w:lang w:val="cy-GB"/>
        </w:rPr>
        <w:t>et</w:t>
      </w:r>
      <w:proofErr w:type="spellEnd"/>
      <w:r w:rsidR="00CD76D4">
        <w:rPr>
          <w:lang w:val="cy-GB"/>
        </w:rPr>
        <w:t xml:space="preserve"> </w:t>
      </w:r>
      <w:proofErr w:type="spellStart"/>
      <w:r w:rsidR="00CD76D4">
        <w:rPr>
          <w:lang w:val="cy-GB"/>
        </w:rPr>
        <w:t>al</w:t>
      </w:r>
      <w:proofErr w:type="spellEnd"/>
      <w:r w:rsidR="00CD76D4">
        <w:rPr>
          <w:lang w:val="cy-GB"/>
        </w:rPr>
        <w:t xml:space="preserve">. 2012), felly gallai hyn fod wedi effeithio ar y canlyniadau. </w:t>
      </w:r>
      <w:r w:rsidR="0080452E">
        <w:rPr>
          <w:lang w:val="cy-GB"/>
        </w:rPr>
        <w:t xml:space="preserve">Ar y cyfan, mae’r ymchwil yn rhoi mewnwelediad da i addasiad academaidd ac emosiynol myfyrwyr yn ystod y cyfnod pontio a sut mae’r ffactorau’n cydblethu ac yn esblygu, ond mae’r cyfyngiadau’n annog ymchwil bellach ar y pwnc. </w:t>
      </w:r>
    </w:p>
    <w:p w14:paraId="340B081B" w14:textId="560282E5" w:rsidR="00F62183" w:rsidRDefault="005166C3" w:rsidP="00D85BB9">
      <w:pPr>
        <w:rPr>
          <w:lang w:val="cy-GB"/>
        </w:rPr>
      </w:pPr>
      <w:r>
        <w:rPr>
          <w:rFonts w:cs="Century Schoolbook"/>
          <w:lang w:val="cy-GB"/>
        </w:rPr>
        <w:t xml:space="preserve">Archwiliodd </w:t>
      </w:r>
      <w:proofErr w:type="spellStart"/>
      <w:r>
        <w:rPr>
          <w:rFonts w:cs="Century Schoolbook"/>
          <w:lang w:val="cy-GB"/>
        </w:rPr>
        <w:t>Nielsen</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(2017) i ddylanwad trosglwyddo o ysgolion cynradd i ysgolion uwchradd yn Awstralia yn erbyn dim trosglwyddo yn </w:t>
      </w:r>
      <w:proofErr w:type="spellStart"/>
      <w:r>
        <w:rPr>
          <w:rFonts w:cs="Century Schoolbook"/>
          <w:lang w:val="cy-GB"/>
        </w:rPr>
        <w:t>Nenmarc</w:t>
      </w:r>
      <w:proofErr w:type="spellEnd"/>
      <w:r>
        <w:rPr>
          <w:rFonts w:cs="Century Schoolbook"/>
          <w:lang w:val="cy-GB"/>
        </w:rPr>
        <w:t xml:space="preserve">, gyda mewnwelediad i’r tueddiadau mewn cysylltedd ysgolion, symptomau emosiynol, a phroblemau ymddygiad myfyrwyr. Defnyddiwyd data arolwg gan 5067 o fyfyrwyr yn Awstralia a Denmarc i gymharu pobl ifanc 11-12 (cyn trosglwyddo yn Awstralia), 13-14 (yn ystod y cyfnod pontio), a 15 oed (ar ôl trosglwyddo) ym mhob gwlad. Cymerwyd data a sampl Awstralia o’r astudiaeth drawstoriadol </w:t>
      </w:r>
      <w:proofErr w:type="spellStart"/>
      <w:r>
        <w:rPr>
          <w:rFonts w:cs="Century Schoolbook"/>
          <w:lang w:val="cy-GB"/>
        </w:rPr>
        <w:t>Australian</w:t>
      </w:r>
      <w:proofErr w:type="spellEnd"/>
      <w:r>
        <w:rPr>
          <w:rFonts w:cs="Century Schoolbook"/>
          <w:lang w:val="cy-GB"/>
        </w:rPr>
        <w:t xml:space="preserve"> </w:t>
      </w:r>
      <w:proofErr w:type="spellStart"/>
      <w:r>
        <w:rPr>
          <w:rFonts w:cs="Century Schoolbook"/>
          <w:lang w:val="cy-GB"/>
        </w:rPr>
        <w:t>Covert</w:t>
      </w:r>
      <w:proofErr w:type="spellEnd"/>
      <w:r>
        <w:rPr>
          <w:rFonts w:cs="Century Schoolbook"/>
          <w:lang w:val="cy-GB"/>
        </w:rPr>
        <w:t xml:space="preserve"> </w:t>
      </w:r>
      <w:proofErr w:type="spellStart"/>
      <w:r>
        <w:rPr>
          <w:rFonts w:cs="Century Schoolbook"/>
          <w:lang w:val="cy-GB"/>
        </w:rPr>
        <w:t>Bullying</w:t>
      </w:r>
      <w:proofErr w:type="spellEnd"/>
      <w:r>
        <w:rPr>
          <w:rFonts w:cs="Century Schoolbook"/>
          <w:lang w:val="cy-GB"/>
        </w:rPr>
        <w:t xml:space="preserve"> </w:t>
      </w:r>
      <w:proofErr w:type="spellStart"/>
      <w:r>
        <w:rPr>
          <w:rFonts w:cs="Century Schoolbook"/>
          <w:lang w:val="cy-GB"/>
        </w:rPr>
        <w:t>Prevalence</w:t>
      </w:r>
      <w:proofErr w:type="spellEnd"/>
      <w:r>
        <w:rPr>
          <w:rFonts w:cs="Century Schoolbook"/>
          <w:lang w:val="cy-GB"/>
        </w:rPr>
        <w:t xml:space="preserve"> </w:t>
      </w:r>
      <w:proofErr w:type="spellStart"/>
      <w:r>
        <w:rPr>
          <w:rFonts w:cs="Century Schoolbook"/>
          <w:lang w:val="cy-GB"/>
        </w:rPr>
        <w:t>Study</w:t>
      </w:r>
      <w:proofErr w:type="spellEnd"/>
      <w:r>
        <w:rPr>
          <w:rFonts w:cs="Century Schoolbook"/>
          <w:lang w:val="cy-GB"/>
        </w:rPr>
        <w:t xml:space="preserve"> (ACBPS) a gynhaliwyd yn 2007 (ACBPS, 2009). Gweinyddwyd yr arolygon hunan-adrodd yn nhymor olaf y flwyddyn ysgol gan staff yr ysgol a ddarparwyd protocol ar lafar, gweithdrefnol llym. Mae data o sampl Denmarc yn deillio o’r </w:t>
      </w:r>
      <w:proofErr w:type="spellStart"/>
      <w:r>
        <w:rPr>
          <w:rFonts w:cs="Century Schoolbook"/>
          <w:lang w:val="cy-GB"/>
        </w:rPr>
        <w:t>Health</w:t>
      </w:r>
      <w:proofErr w:type="spellEnd"/>
      <w:r>
        <w:rPr>
          <w:rFonts w:cs="Century Schoolbook"/>
          <w:lang w:val="cy-GB"/>
        </w:rPr>
        <w:t xml:space="preserve"> </w:t>
      </w:r>
      <w:proofErr w:type="spellStart"/>
      <w:r>
        <w:rPr>
          <w:rFonts w:cs="Century Schoolbook"/>
          <w:lang w:val="cy-GB"/>
        </w:rPr>
        <w:t>Behaviour</w:t>
      </w:r>
      <w:proofErr w:type="spellEnd"/>
      <w:r>
        <w:rPr>
          <w:rFonts w:cs="Century Schoolbook"/>
          <w:lang w:val="cy-GB"/>
        </w:rPr>
        <w:t xml:space="preserve"> </w:t>
      </w:r>
      <w:proofErr w:type="spellStart"/>
      <w:r>
        <w:rPr>
          <w:rFonts w:cs="Century Schoolbook"/>
          <w:lang w:val="cy-GB"/>
        </w:rPr>
        <w:t>in</w:t>
      </w:r>
      <w:proofErr w:type="spellEnd"/>
      <w:r>
        <w:rPr>
          <w:rFonts w:cs="Century Schoolbook"/>
          <w:lang w:val="cy-GB"/>
        </w:rPr>
        <w:t xml:space="preserve"> </w:t>
      </w:r>
      <w:proofErr w:type="spellStart"/>
      <w:r>
        <w:rPr>
          <w:rFonts w:cs="Century Schoolbook"/>
          <w:lang w:val="cy-GB"/>
        </w:rPr>
        <w:t>School-aged</w:t>
      </w:r>
      <w:proofErr w:type="spellEnd"/>
      <w:r>
        <w:rPr>
          <w:rFonts w:cs="Century Schoolbook"/>
          <w:lang w:val="cy-GB"/>
        </w:rPr>
        <w:t xml:space="preserve"> </w:t>
      </w:r>
      <w:proofErr w:type="spellStart"/>
      <w:r>
        <w:rPr>
          <w:rFonts w:cs="Century Schoolbook"/>
          <w:lang w:val="cy-GB"/>
        </w:rPr>
        <w:t>Children</w:t>
      </w:r>
      <w:proofErr w:type="spellEnd"/>
      <w:r>
        <w:rPr>
          <w:rFonts w:cs="Century Schoolbook"/>
          <w:lang w:val="cy-GB"/>
        </w:rPr>
        <w:t xml:space="preserve"> (</w:t>
      </w:r>
      <w:proofErr w:type="spellStart"/>
      <w:r>
        <w:rPr>
          <w:rFonts w:cs="Century Schoolbook"/>
          <w:lang w:val="cy-GB"/>
        </w:rPr>
        <w:t>Currie</w:t>
      </w:r>
      <w:proofErr w:type="spellEnd"/>
      <w:r>
        <w:rPr>
          <w:rFonts w:cs="Century Schoolbook"/>
          <w:lang w:val="cy-GB"/>
        </w:rPr>
        <w:t xml:space="preserve"> at </w:t>
      </w:r>
      <w:proofErr w:type="spellStart"/>
      <w:r>
        <w:rPr>
          <w:rFonts w:cs="Century Schoolbook"/>
          <w:lang w:val="cy-GB"/>
        </w:rPr>
        <w:t>al</w:t>
      </w:r>
      <w:proofErr w:type="spellEnd"/>
      <w:r>
        <w:rPr>
          <w:rFonts w:cs="Century Schoolbook"/>
          <w:lang w:val="cy-GB"/>
        </w:rPr>
        <w:t>. 2009). Cwblhawyd holiaduron hunan-adrodd gan y myfyrwyr yn yr ystafell ddosbarth yn ystod darlith, yn dilyn cyflwyniad safonol gan yr athro. Er gwaethaf i’r papur gael ei gyhoeddi yn 2017, mae’r data a ddefnyddiwyd yn dod o 2007-2009, ac felly gallai fod wedi dyddio. Mae cymaint o ddylanwadau newydd ar fyfyrwyr, megis cyfryngau cymdeithasol, a allai hefyd chwarae rhan, mewn cydweithrediad â phontio, i iechyd meddwl myfyrwyr a’r gallu i gynnal neu wneud perthnasoedd newydd. Mae’r astudiaeth hon hefyd yn dibynnu ar ddata hunan-</w:t>
      </w:r>
      <w:r>
        <w:rPr>
          <w:rFonts w:cs="Century Schoolbook"/>
          <w:lang w:val="cy-GB"/>
        </w:rPr>
        <w:lastRenderedPageBreak/>
        <w:t>gofnodedig yn unig, gall amryw o ragfarnau effeithio ar ganlyniadau data hunan-gofnodedig, ond ystyrir hefyd ei fod yn dal y wybodaeth fwyaf dilys wrth astudio teimladau goddrychol fel iechyd meddwl pobl ifanc (</w:t>
      </w:r>
      <w:proofErr w:type="spellStart"/>
      <w:r>
        <w:rPr>
          <w:rFonts w:cs="Century Schoolbook"/>
          <w:lang w:val="cy-GB"/>
        </w:rPr>
        <w:t>Nielsen</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2017). Yn groes i astudiaethau eraill ar iechyd meddwl a phontio (</w:t>
      </w:r>
      <w:proofErr w:type="spellStart"/>
      <w:r>
        <w:rPr>
          <w:rFonts w:cs="Century Schoolbook"/>
          <w:lang w:val="cy-GB"/>
        </w:rPr>
        <w:t>Guskey</w:t>
      </w:r>
      <w:proofErr w:type="spellEnd"/>
      <w:r>
        <w:rPr>
          <w:rFonts w:cs="Century Schoolbook"/>
          <w:lang w:val="cy-GB"/>
        </w:rPr>
        <w:t xml:space="preserve">, 2013; </w:t>
      </w:r>
      <w:proofErr w:type="spellStart"/>
      <w:r>
        <w:rPr>
          <w:rFonts w:cs="Century Schoolbook"/>
          <w:lang w:val="cy-GB"/>
        </w:rPr>
        <w:t>Salmela-Aro</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al. 2008; Skinner, 2016), nid oedd yr astudiaeth hon yn cefnogi’r rhagdybiaethau y byddai myfyrwyr Awstralia, mewn cyferbyniad â myfyrwyr yn </w:t>
      </w:r>
      <w:proofErr w:type="spellStart"/>
      <w:r>
        <w:rPr>
          <w:rFonts w:cs="Century Schoolbook"/>
          <w:lang w:val="cy-GB"/>
        </w:rPr>
        <w:t>Nenmarc</w:t>
      </w:r>
      <w:proofErr w:type="spellEnd"/>
      <w:r>
        <w:rPr>
          <w:rFonts w:cs="Century Schoolbook"/>
          <w:lang w:val="cy-GB"/>
        </w:rPr>
        <w:t xml:space="preserve"> sydd yn aros yn bennaf mewn dosbarthiadau ysgol gyfan tan 15 oed heb unrhyw drosglwyddo i ysgolion newydd, yn profi canlyniadau iechyd meddwl hynod yn waeth yn dilyn trosglwyddo i ysgolion fwy. Yn yr un modd, nid oedd y canfyddiadau’n cefnogi’r rhagdybiaeth y byddai teimladau o gysylltiadau â’r ysgol yn sampl Awstralia yn sylweddol is yn dilyn trosglwyddo.</w:t>
      </w:r>
    </w:p>
    <w:p w14:paraId="38DD0EBF" w14:textId="0E767E21" w:rsidR="00A625C7" w:rsidRDefault="005166C3" w:rsidP="00D85BB9">
      <w:pPr>
        <w:rPr>
          <w:lang w:val="cy-GB"/>
        </w:rPr>
      </w:pPr>
      <w:r>
        <w:rPr>
          <w:rFonts w:cs="Century Schoolbook"/>
          <w:lang w:val="cy-GB"/>
        </w:rPr>
        <w:t xml:space="preserve">Mae yna astudiaeth hydredol yn Awstralia o’r enw </w:t>
      </w:r>
      <w:r>
        <w:rPr>
          <w:rFonts w:cs="Century Schoolbook"/>
        </w:rPr>
        <w:t>The Creating Meaningful Connections Project</w:t>
      </w:r>
      <w:r>
        <w:rPr>
          <w:rFonts w:cs="Century Schoolbook"/>
          <w:lang w:val="cy-GB"/>
        </w:rPr>
        <w:t>, fe ddeilliodd o bartneriaeth rhwng academyddion gwaith cymdeithasol ym Mhrifysgol Newcastle ac addysgwyr mewn ysgol uwchradd ranbarthol yn New South Wales (</w:t>
      </w:r>
      <w:proofErr w:type="spellStart"/>
      <w:r>
        <w:rPr>
          <w:rFonts w:cs="Century Schoolbook"/>
          <w:lang w:val="cy-GB"/>
        </w:rPr>
        <w:t>Heinsch</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2020). Mae’n ceisio deall yn well y berthynas rhwng cysylltedd ysgol ac iechyd meddwl pobl ifanc. Yng ngham 1, cynhaliwyd grwpiau ffocws gyda 99 o fyfyrwyr 9 mis ar ôl iddynt drosglwyddo i’r ysgol uwchradd. Dechreuodd Cam 1 yr ymchwil yn 2016 gyda charfan o fyfyrwyr blwyddyn 7. Cynhaliwyd grwpiau ffocws ym mid Medi 2016 gan fyfyrwyr gwaith cymdeithasol a oedd yn eu 3</w:t>
      </w:r>
      <w:r>
        <w:rPr>
          <w:rFonts w:cs="Century Schoolbook"/>
          <w:vertAlign w:val="superscript"/>
          <w:lang w:val="cy-GB"/>
        </w:rPr>
        <w:t xml:space="preserve">ydd </w:t>
      </w:r>
      <w:r>
        <w:rPr>
          <w:rFonts w:cs="Century Schoolbook"/>
          <w:lang w:val="cy-GB"/>
        </w:rPr>
        <w:t xml:space="preserve">flwyddyn o gwrs ymchwil gwaith cymdeithasol. Gofynnwyd ystod o gwestiynau i’r myfyrwyr yn ymwneud â chysylltiad ysgol gan gynnwys y pethau roeddent yn eu mwynhau yn yr ysgol; eu trosglwyddiad i’r ysgol uwchradd; y rhinweddau yr oeddent yn cysylltu efo cyfeillgarwch a newidiadau mewn cyfeillgarwch; eu canfyddiadau o ddiogelwch, ymddiriedaeth a pharch yn yr ysgol ac o fewn eu perthnasoedd ysgol; a’r amodau dysgu gorau. Yn gyffredinol, gall grwpiau ffocws gael eu cyfyngu gan oruchafiaeth bosibl rhai aelodau ac agendâu, yn ogystal â’r posibilrwydd na fydd rhai pynciau sensitif yn cael eu trafod yn agored. O ystyried cam datblygiadol y bobl ifanc, efallai bu rhywfaint o hunan-geryddu neu or-ddweud materion a godwyd. Er gwaethaf y cyfyngiadau posib hyn, canfu’r astudiaeth fod myfyrwyr yn teimlo ei bod yn bwysig cael ffrindiau i siarad efo ac roedd yn ymddangos bod hyn yn lliniaru unigrwydd neu ddiflastod posibl yn amgylchedd newydd yr ysgol. Mewn sawl ffordd, roedd yn ymddangos bod cyfeillgarwch yn clustogi straen yr ysgol, er enghraifft, cyfeiriodd un myfyriwr at ei hamser gyda ffrindiau ar yr iard chwarae fel “egwyl o’r wythnos ysgol”, tra dywedodd un arall fod ei ffrindiau’n ei gwneud yn “llai gwallgof”. Wrth gael eu holi am yr amodau a oedd yn eu cynorthwyo i deimlo’n ddiogel a bod croeso iddynt yn yr ysgol, tra bod oedolion, gan gynnwys rhieni ac </w:t>
      </w:r>
      <w:r>
        <w:rPr>
          <w:rFonts w:cs="Century Schoolbook"/>
          <w:lang w:val="cy-GB"/>
        </w:rPr>
        <w:lastRenderedPageBreak/>
        <w:t>athrawon, weithiai’n cael eu cynnwys yn y trafodaethau hyn, roedd y myfyrwyr yn bendant mai cyfeillgarwch oedd y berthynas bwysicaf wrth eu cadw’n ddiogel. Roedd yr astudiaeth hon yn cynnig mewnwelediad gwerthfawr i’r ffyrdd y mae myfyrwyr yn disgrifio, deall, a blaenoriaethu eu perthnasoedd, a sut y gallai’r perthnasoedd hyn ddylanwadu ar eu canfyddiadau o’r ysgol, a’u cysylltiadau â’r ysgol.</w:t>
      </w:r>
    </w:p>
    <w:p w14:paraId="1204A8B5" w14:textId="1118D2F9" w:rsidR="00216907" w:rsidRDefault="005166C3" w:rsidP="00D85BB9">
      <w:pPr>
        <w:rPr>
          <w:lang w:val="cy-GB"/>
        </w:rPr>
      </w:pPr>
      <w:r>
        <w:rPr>
          <w:rFonts w:cs="Century Schoolbook"/>
          <w:lang w:val="cy-GB"/>
        </w:rPr>
        <w:t xml:space="preserve">Yn debyg i’r </w:t>
      </w:r>
      <w:proofErr w:type="spellStart"/>
      <w:r>
        <w:rPr>
          <w:rFonts w:cs="Century Schoolbook"/>
          <w:lang w:val="cy-GB"/>
        </w:rPr>
        <w:t>Creating</w:t>
      </w:r>
      <w:proofErr w:type="spellEnd"/>
      <w:r>
        <w:rPr>
          <w:rFonts w:cs="Century Schoolbook"/>
          <w:lang w:val="cy-GB"/>
        </w:rPr>
        <w:t xml:space="preserve"> </w:t>
      </w:r>
      <w:proofErr w:type="spellStart"/>
      <w:r>
        <w:rPr>
          <w:rFonts w:cs="Century Schoolbook"/>
          <w:lang w:val="cy-GB"/>
        </w:rPr>
        <w:t>Meaningful</w:t>
      </w:r>
      <w:proofErr w:type="spellEnd"/>
      <w:r>
        <w:rPr>
          <w:rFonts w:cs="Century Schoolbook"/>
          <w:lang w:val="cy-GB"/>
        </w:rPr>
        <w:t xml:space="preserve"> </w:t>
      </w:r>
      <w:proofErr w:type="spellStart"/>
      <w:r>
        <w:rPr>
          <w:rFonts w:cs="Century Schoolbook"/>
          <w:lang w:val="cy-GB"/>
        </w:rPr>
        <w:t>Connections</w:t>
      </w:r>
      <w:proofErr w:type="spellEnd"/>
      <w:r>
        <w:rPr>
          <w:rFonts w:cs="Century Schoolbook"/>
          <w:lang w:val="cy-GB"/>
        </w:rPr>
        <w:t xml:space="preserve"> Project, ymchwiliodd astudiaeth gan </w:t>
      </w:r>
      <w:proofErr w:type="spellStart"/>
      <w:r>
        <w:rPr>
          <w:rFonts w:cs="Century Schoolbook"/>
          <w:lang w:val="cy-GB"/>
        </w:rPr>
        <w:t>Chouinard</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(2017) i berthnasoedd myfyrwyr yng nghyd-destun trosglwyddo i’r ysgol uwchradd, ond gyda ffocws ar y cysylltiad rhwng perthnasoedd ag athrawon a chymhelliant cyflawniad. Y cyfranogwyr oedd 232 o fyfyrwyr Ffrangeg eu hiaith, o amrywiaeth o ysgolion cyhoeddus yn Nhalaith </w:t>
      </w:r>
      <w:proofErr w:type="spellStart"/>
      <w:r>
        <w:rPr>
          <w:rFonts w:cs="Century Schoolbook"/>
          <w:lang w:val="cy-GB"/>
        </w:rPr>
        <w:t>Quebec</w:t>
      </w:r>
      <w:proofErr w:type="spellEnd"/>
      <w:r>
        <w:rPr>
          <w:rFonts w:cs="Century Schoolbook"/>
          <w:lang w:val="cy-GB"/>
        </w:rPr>
        <w:t xml:space="preserve">, Canada. Mae’r defnydd o sampl cyfleustra yn golygu bod y cyfranogwyr a drosglwyddodd i ysgolion uwchradd preifat wedi’i cholli, sydd yn cyfyngu ar gyffredinedd y canfyddiadau. Yn groes i’r </w:t>
      </w:r>
      <w:proofErr w:type="spellStart"/>
      <w:r>
        <w:rPr>
          <w:rFonts w:cs="Century Schoolbook"/>
          <w:lang w:val="cy-GB"/>
        </w:rPr>
        <w:t>Creating</w:t>
      </w:r>
      <w:proofErr w:type="spellEnd"/>
      <w:r>
        <w:rPr>
          <w:rFonts w:cs="Century Schoolbook"/>
          <w:lang w:val="cy-GB"/>
        </w:rPr>
        <w:t xml:space="preserve"> </w:t>
      </w:r>
      <w:proofErr w:type="spellStart"/>
      <w:r>
        <w:rPr>
          <w:rFonts w:cs="Century Schoolbook"/>
          <w:lang w:val="cy-GB"/>
        </w:rPr>
        <w:t>Meaningful</w:t>
      </w:r>
      <w:proofErr w:type="spellEnd"/>
      <w:r>
        <w:rPr>
          <w:rFonts w:cs="Century Schoolbook"/>
          <w:lang w:val="cy-GB"/>
        </w:rPr>
        <w:t xml:space="preserve"> </w:t>
      </w:r>
      <w:proofErr w:type="spellStart"/>
      <w:r>
        <w:rPr>
          <w:rFonts w:cs="Century Schoolbook"/>
          <w:lang w:val="cy-GB"/>
        </w:rPr>
        <w:t>Connections</w:t>
      </w:r>
      <w:proofErr w:type="spellEnd"/>
      <w:r>
        <w:rPr>
          <w:rFonts w:cs="Century Schoolbook"/>
          <w:lang w:val="cy-GB"/>
        </w:rPr>
        <w:t xml:space="preserve"> Project, defnyddiwyd holiadur fel prif ddull casglu data. Roedd yr holiadur hunan-gofnodedig yn mesur gwerthfawrogiad myfyrwyr o’u perthnasoedd ag athrawon, ynghyd â’u credoau cymhwysedd a’u targedau diddordeb a chyflawni, ac fe’i gweinyddwyd i’r cyfranogwyr yn union cyn ac ar ôl eu trosglwyddo i’r ysgol uwchradd. Mae’r canlyniadau’r astudiaeth yn dangos bod perthnasoedd ag athrawon yn cyd-amrywio cyn ac ar ôl trosglwyddo i’r ysgol uwchradd a bod y newidynnau hyn yn dirywio’n gyffredinol yn dilyn y cyfnod pontio. Mae’r canfyddiadau hyn yn cyd-fynd â rhai ymchwilwyr eraill sydd wedi honni bod myfyrwyr yn tueddu i ail-werthuso eu disgwyliad academaidd, eu gwerth, a’u nodau ar ôl trosglwyddo i’r ysgol uwchradd (</w:t>
      </w:r>
      <w:proofErr w:type="spellStart"/>
      <w:r>
        <w:rPr>
          <w:rFonts w:cs="Century Schoolbook"/>
          <w:lang w:val="cy-GB"/>
        </w:rPr>
        <w:t>Bouffard</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2001; </w:t>
      </w:r>
      <w:proofErr w:type="spellStart"/>
      <w:r>
        <w:rPr>
          <w:rFonts w:cs="Century Schoolbook"/>
          <w:lang w:val="cy-GB"/>
        </w:rPr>
        <w:t>Fischer</w:t>
      </w:r>
      <w:proofErr w:type="spellEnd"/>
      <w:r>
        <w:rPr>
          <w:rFonts w:cs="Century Schoolbook"/>
          <w:lang w:val="cy-GB"/>
        </w:rPr>
        <w:t xml:space="preserve"> &amp; Theis, 2014; </w:t>
      </w:r>
      <w:proofErr w:type="spellStart"/>
      <w:r>
        <w:rPr>
          <w:rFonts w:cs="Century Schoolbook"/>
          <w:lang w:val="cy-GB"/>
        </w:rPr>
        <w:t>Paulick</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2013; Shim et al. 2008; </w:t>
      </w:r>
      <w:proofErr w:type="spellStart"/>
      <w:r>
        <w:rPr>
          <w:rFonts w:cs="Century Schoolbook"/>
          <w:lang w:val="cy-GB"/>
        </w:rPr>
        <w:t>Tobbell</w:t>
      </w:r>
      <w:proofErr w:type="spellEnd"/>
      <w:r>
        <w:rPr>
          <w:rFonts w:cs="Century Schoolbook"/>
          <w:lang w:val="cy-GB"/>
        </w:rPr>
        <w:t>, 2003).</w:t>
      </w:r>
    </w:p>
    <w:p w14:paraId="3EE3A70C" w14:textId="7759C149" w:rsidR="005C4EBA" w:rsidRPr="00031527" w:rsidRDefault="005B642E" w:rsidP="00D85BB9">
      <w:pPr>
        <w:rPr>
          <w:lang w:val="cy-GB"/>
        </w:rPr>
      </w:pPr>
      <w:r>
        <w:rPr>
          <w:lang w:val="cy-GB"/>
        </w:rPr>
        <w:t>Y consensws cyffredinol o ran effaith trosglwyddo o’r ysgol gynradd i’r ysgol uwchradd ar iechyd meddwl myfyrwyr yw ei fod yn cael effeithiau negyddol, yn benodol ar gysylltedd â’r ysgol a chymhelliant personol. Er</w:t>
      </w:r>
      <w:r w:rsidR="008C16DC">
        <w:rPr>
          <w:lang w:val="cy-GB"/>
        </w:rPr>
        <w:t xml:space="preserve">, mae astudiaethau wedi canfod nad yw’r effeithiau y mae’r cyfnod trosglwyddo yn eu cael yn llawer mwy nag y mae myfyrwyr mewn ysgolion nad ydynt yn pontio yn eu cael. Gallai hyn awgrymu bod yr effeithiau hyn </w:t>
      </w:r>
      <w:r w:rsidR="00161A33">
        <w:rPr>
          <w:lang w:val="cy-GB"/>
        </w:rPr>
        <w:t>yn ganlyniad o’r</w:t>
      </w:r>
      <w:r w:rsidR="008C16DC">
        <w:rPr>
          <w:lang w:val="cy-GB"/>
        </w:rPr>
        <w:t xml:space="preserve"> newidiadau di</w:t>
      </w:r>
      <w:r w:rsidR="00511A43">
        <w:rPr>
          <w:lang w:val="cy-GB"/>
        </w:rPr>
        <w:t xml:space="preserve">rifedi y mae pobl ifanc yn mynd drwyddynt wrth iddynt heneiddio. </w:t>
      </w:r>
      <w:r w:rsidR="00E57060">
        <w:rPr>
          <w:lang w:val="cy-GB"/>
        </w:rPr>
        <w:t xml:space="preserve">O ran yr effaith ar berthnasoedd yn ystod y cyfnod trosglwyddo, mae yna farn amrywiol ar ba berthnasoedd sydd yn bwysicaf (athrawon, ffrindiau, rhieni ac ati), ond mae’r ymchwil yn dangos bod y myfyrwyr eu hunain nid yn unig yn deall pwysigrwydd perthnasoedd cryf, ond maent hefyd yn cydnabod eu hunain y rhesymau y </w:t>
      </w:r>
      <w:r w:rsidR="00E57060">
        <w:rPr>
          <w:lang w:val="cy-GB"/>
        </w:rPr>
        <w:lastRenderedPageBreak/>
        <w:t xml:space="preserve">tŷ ôl i’r perthnasoedd hyn a sut maent wedi eu helpu yn ystod y cyfnod pontio a thu hwnt. </w:t>
      </w:r>
    </w:p>
    <w:p w14:paraId="600254F1" w14:textId="61856D13" w:rsidR="00183CCE" w:rsidRDefault="00183CCE" w:rsidP="00183CCE">
      <w:pPr>
        <w:pStyle w:val="Heading1"/>
        <w:rPr>
          <w:lang w:val="cy-GB"/>
        </w:rPr>
      </w:pPr>
      <w:r>
        <w:rPr>
          <w:lang w:val="cy-GB"/>
        </w:rPr>
        <w:t>Adfyfyrio a’r Camau Nesaf</w:t>
      </w:r>
    </w:p>
    <w:p w14:paraId="504E55DA" w14:textId="1F9E169B" w:rsidR="00760CA3" w:rsidRDefault="00390BF2" w:rsidP="00183CCE">
      <w:pPr>
        <w:rPr>
          <w:lang w:val="cy-GB"/>
        </w:rPr>
      </w:pPr>
      <w:r>
        <w:rPr>
          <w:lang w:val="cy-GB"/>
        </w:rPr>
        <w:t>Bydd adran nesaf y traethawd yn adlewyrchiad a gwerthusiad o’r digwyddiad critigol arsylwais a bydd yn nodi’r camau nesaf ar gyfer dysgu ac addysgu. Y dull a ddefnyddir ar gyfer yr adran hon fydd Cylchred Myfyriol Gibbs (19</w:t>
      </w:r>
      <w:r w:rsidR="00F419E7">
        <w:rPr>
          <w:lang w:val="cy-GB"/>
        </w:rPr>
        <w:t xml:space="preserve">88). Datblygwyd y cylchred myfyriol gan Graham Gibbs ym 1988 i roi strwythur i ddysgu o brofiadau. </w:t>
      </w:r>
      <w:r w:rsidR="005D0CE7">
        <w:rPr>
          <w:lang w:val="cy-GB"/>
        </w:rPr>
        <w:t>Mae’n cynnwys 6 cham: disgrifiad, teimladau, gwerthuso, dadansoddi, casgliad, a chynllun gweithredu.</w:t>
      </w:r>
      <w:r w:rsidR="00844E48">
        <w:rPr>
          <w:lang w:val="cy-GB"/>
        </w:rPr>
        <w:t xml:space="preserve"> Gan fy mod eisoes wedi disgrifio’r digwyddiad critigol arsylwyd, byddaf yn dechrau gydag adran Teimladau’r cylchred myfyriol.</w:t>
      </w:r>
      <w:r w:rsidR="00017201">
        <w:rPr>
          <w:lang w:val="cy-GB"/>
        </w:rPr>
        <w:t xml:space="preserve"> </w:t>
      </w:r>
    </w:p>
    <w:p w14:paraId="13692170" w14:textId="7001C638" w:rsidR="00760CA3" w:rsidRDefault="00760CA3" w:rsidP="00760CA3">
      <w:pPr>
        <w:pStyle w:val="Heading2"/>
        <w:rPr>
          <w:lang w:val="cy-GB"/>
        </w:rPr>
      </w:pPr>
      <w:r w:rsidRPr="00F21B3D">
        <w:rPr>
          <w:lang w:val="cy-GB"/>
        </w:rPr>
        <w:t>Teimladau</w:t>
      </w:r>
    </w:p>
    <w:p w14:paraId="50E8B440" w14:textId="6D26F47C" w:rsidR="00B80D20" w:rsidRDefault="00FA66D0" w:rsidP="00183CCE">
      <w:pPr>
        <w:rPr>
          <w:lang w:val="cy-GB"/>
        </w:rPr>
      </w:pPr>
      <w:r>
        <w:rPr>
          <w:lang w:val="cy-GB"/>
        </w:rPr>
        <w:t>Cyn mynd i mewn i’r</w:t>
      </w:r>
      <w:r w:rsidR="00F93D88">
        <w:rPr>
          <w:lang w:val="cy-GB"/>
        </w:rPr>
        <w:t xml:space="preserve"> ystafell ddosbarth, roeddwn i wedi astudio 4 diben y cwricwlwm ac roeddwn i’n gwybod fy mod i eisiau canolbwyntio ar yr elfen ‘creu unigolion iach a hyderus’. </w:t>
      </w:r>
      <w:r w:rsidR="006143A0">
        <w:rPr>
          <w:lang w:val="cy-GB"/>
        </w:rPr>
        <w:t xml:space="preserve">O ystyried y wybodaeth gefndir sydd gennyf ar ddatblygiad plant, roeddwn i’n teimlo’n hyderus wrth arsylwi ar y myfyrwyr dosbarth ‘sgiliau’, gan fy mod i’n gwybod bod rheswm i bob myfyriwr unigol fod yn y dosbarth hwnnw. </w:t>
      </w:r>
      <w:r w:rsidR="00E14B3D">
        <w:rPr>
          <w:lang w:val="cy-GB"/>
        </w:rPr>
        <w:t>Roeddwn yn teimlo bron yn drist wrth arsylwi ar y myfyriwr penodol a wnes i, oherwydd roeddwn i’n gwybod nad oedd yn cael y profiad ysgol llawn fel yr oedd myfyrwyr eraill, ac nad ei fai ef oedd ei fod yn teimlo’r f</w:t>
      </w:r>
      <w:r w:rsidR="006B66CD">
        <w:rPr>
          <w:lang w:val="cy-GB"/>
        </w:rPr>
        <w:t>fordd y gwnaeth.</w:t>
      </w:r>
      <w:r w:rsidR="009C335F">
        <w:rPr>
          <w:lang w:val="cy-GB"/>
        </w:rPr>
        <w:t xml:space="preserve"> Ni wellodd fy nheimladau ar ôl trafod gyda’r athro ar ôl y wers a darganfod ei fod yn ymddwyn fel hyn ym mron pob un o’i wersi ac nad oedd hwn yn brofiad prin. </w:t>
      </w:r>
    </w:p>
    <w:p w14:paraId="77761793" w14:textId="197F948A" w:rsidR="00102174" w:rsidRDefault="00102174" w:rsidP="00F21B3D">
      <w:pPr>
        <w:pStyle w:val="Heading2"/>
        <w:rPr>
          <w:rStyle w:val="SubtleEmphasis"/>
          <w:i/>
          <w:iCs w:val="0"/>
          <w:color w:val="auto"/>
          <w:lang w:val="cy-GB"/>
        </w:rPr>
      </w:pPr>
      <w:r w:rsidRPr="00F21B3D">
        <w:rPr>
          <w:rStyle w:val="SubtleEmphasis"/>
          <w:i/>
          <w:iCs w:val="0"/>
          <w:color w:val="auto"/>
          <w:lang w:val="cy-GB"/>
        </w:rPr>
        <w:t>Gwerthuso</w:t>
      </w:r>
    </w:p>
    <w:p w14:paraId="276CDDBD" w14:textId="20CB2E73" w:rsidR="00760CA3" w:rsidRPr="00760CA3" w:rsidRDefault="00760CA3" w:rsidP="00760CA3">
      <w:pPr>
        <w:rPr>
          <w:lang w:val="cy-GB"/>
        </w:rPr>
      </w:pPr>
      <w:r>
        <w:rPr>
          <w:lang w:val="cy-GB"/>
        </w:rPr>
        <w:t>Un o’r pethau a oedd yn dda am y profiad oedd fy mod wedi gallu gweld o lygad</w:t>
      </w:r>
      <w:r w:rsidR="006A24BD">
        <w:rPr>
          <w:lang w:val="cy-GB"/>
        </w:rPr>
        <w:t xml:space="preserve"> y ffynnon sut mae’r trosglwyddo o’r ysgol gynradd i’r ysgol uwchradd yn effeithio ar fyfyrwyr. Peth arall a oedd yn dda am y profiad oedd fy mod wedi gallu arsylwi dosbarth o fyfyrwyr na fyddwn fel arall wedi cael profiad o addysgu yn ystod fy mhrofiad addysgu proffesiynol. </w:t>
      </w:r>
      <w:r w:rsidR="00CA5825">
        <w:rPr>
          <w:lang w:val="cy-GB"/>
        </w:rPr>
        <w:t>Rhywbeth na aeth cystal oedd gwybod y rhesymau y tu ôl i ymddygiad ac agwedd y myfyriwr.</w:t>
      </w:r>
    </w:p>
    <w:p w14:paraId="1767AA4F" w14:textId="5025CD1A" w:rsidR="00102174" w:rsidRDefault="00102174" w:rsidP="00F21B3D">
      <w:pPr>
        <w:pStyle w:val="Heading2"/>
        <w:rPr>
          <w:rStyle w:val="SubtleEmphasis"/>
          <w:i/>
          <w:iCs w:val="0"/>
          <w:color w:val="auto"/>
          <w:lang w:val="cy-GB"/>
        </w:rPr>
      </w:pPr>
      <w:r w:rsidRPr="00F21B3D">
        <w:rPr>
          <w:rStyle w:val="SubtleEmphasis"/>
          <w:i/>
          <w:iCs w:val="0"/>
          <w:color w:val="auto"/>
          <w:lang w:val="cy-GB"/>
        </w:rPr>
        <w:t>D</w:t>
      </w:r>
      <w:r w:rsidR="00E62BBC" w:rsidRPr="00F21B3D">
        <w:rPr>
          <w:rStyle w:val="SubtleEmphasis"/>
          <w:i/>
          <w:iCs w:val="0"/>
          <w:color w:val="auto"/>
          <w:lang w:val="cy-GB"/>
        </w:rPr>
        <w:t>adansoddi</w:t>
      </w:r>
    </w:p>
    <w:p w14:paraId="03F4C0DF" w14:textId="30C482C9" w:rsidR="0003794B" w:rsidRPr="0003794B" w:rsidRDefault="00FF3D1E" w:rsidP="0003794B">
      <w:pPr>
        <w:rPr>
          <w:lang w:val="cy-GB"/>
        </w:rPr>
      </w:pPr>
      <w:r>
        <w:rPr>
          <w:rFonts w:cs="Century Schoolbook"/>
          <w:lang w:val="cy-GB"/>
        </w:rPr>
        <w:t xml:space="preserve">Credaf fod y cyfnod arsylwi wedi mynd yn dda oherwydd es i mewn iddo gyda syniad cryf o’r hyn yr oeddwn am ei gael ohono, roeddwn i’n gwybod fy mod eisiau canolbwyntio ar iechyd a lles, ac felly roeddwn i’n gwybod yn union beth i edrych amdano. Y rheswm pam nad oedd yr arsylwi’n berffaith oedd y diffyg gwybodaeth gefndir am y myfyrwyr eu </w:t>
      </w:r>
      <w:r>
        <w:rPr>
          <w:rFonts w:cs="Century Schoolbook"/>
          <w:lang w:val="cy-GB"/>
        </w:rPr>
        <w:lastRenderedPageBreak/>
        <w:t>hunain, rwy’n hyderus, o ran addysgu, y byddaf yn gallu gwneud mwy o synnwyr o sefyllfaoedd gan y byddaf wedi meithrin perthnasoedd gyda fy myfyrwyr. Mae’r llenyddiaeth yn dangos yn union pa mor bwysig yw perthnasoedd cryf yn ystod y cyfnod trosglwyddo (</w:t>
      </w:r>
      <w:proofErr w:type="spellStart"/>
      <w:r>
        <w:rPr>
          <w:rFonts w:cs="Century Schoolbook"/>
          <w:lang w:val="cy-GB"/>
        </w:rPr>
        <w:t>Ashton</w:t>
      </w:r>
      <w:proofErr w:type="spellEnd"/>
      <w:r>
        <w:rPr>
          <w:rFonts w:cs="Century Schoolbook"/>
          <w:lang w:val="cy-GB"/>
        </w:rPr>
        <w:t xml:space="preserve">, 2008; </w:t>
      </w:r>
      <w:proofErr w:type="spellStart"/>
      <w:r>
        <w:rPr>
          <w:rFonts w:cs="Century Schoolbook"/>
          <w:lang w:val="cy-GB"/>
        </w:rPr>
        <w:t>Chouinard</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al. 2017; </w:t>
      </w:r>
      <w:proofErr w:type="spellStart"/>
      <w:r>
        <w:rPr>
          <w:rFonts w:cs="Century Schoolbook"/>
          <w:lang w:val="cy-GB"/>
        </w:rPr>
        <w:t>Longobardi</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2016), ond mae hyn hefyd yn ymestyn i daith addysgol gyfan fyfyrwyr. Roedd y llenyddiaeth yr ymchwiliwyd iddi hefyd yn cefnogi fy rhagdybiaeth mai’r achos dros anfodlonrwydd tuag at yr amgylchedd yr ystafell dosbarth a thynnu’n ôl y myfyrwyr oedd brwydr gyda’r trosglwyddiad o’r ysgol gynradd i’r ysgol uwchradd (</w:t>
      </w:r>
      <w:proofErr w:type="spellStart"/>
      <w:r>
        <w:rPr>
          <w:rFonts w:cs="Century Schoolbook"/>
          <w:lang w:val="cy-GB"/>
        </w:rPr>
        <w:t>Engles</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w:t>
      </w:r>
      <w:proofErr w:type="spellStart"/>
      <w:r>
        <w:rPr>
          <w:rFonts w:cs="Century Schoolbook"/>
          <w:lang w:val="cy-GB"/>
        </w:rPr>
        <w:t>al</w:t>
      </w:r>
      <w:proofErr w:type="spellEnd"/>
      <w:r>
        <w:rPr>
          <w:rFonts w:cs="Century Schoolbook"/>
          <w:lang w:val="cy-GB"/>
        </w:rPr>
        <w:t xml:space="preserve">. 2016; </w:t>
      </w:r>
      <w:proofErr w:type="spellStart"/>
      <w:r>
        <w:rPr>
          <w:rFonts w:cs="Century Schoolbook"/>
          <w:lang w:val="cy-GB"/>
        </w:rPr>
        <w:t>Fischer</w:t>
      </w:r>
      <w:proofErr w:type="spellEnd"/>
      <w:r>
        <w:rPr>
          <w:rFonts w:cs="Century Schoolbook"/>
          <w:lang w:val="cy-GB"/>
        </w:rPr>
        <w:t xml:space="preserve"> &amp; Theis, 2014; </w:t>
      </w:r>
      <w:proofErr w:type="spellStart"/>
      <w:r>
        <w:rPr>
          <w:rFonts w:cs="Century Schoolbook"/>
          <w:lang w:val="cy-GB"/>
        </w:rPr>
        <w:t>Guskey</w:t>
      </w:r>
      <w:proofErr w:type="spellEnd"/>
      <w:r>
        <w:rPr>
          <w:rFonts w:cs="Century Schoolbook"/>
          <w:lang w:val="cy-GB"/>
        </w:rPr>
        <w:t xml:space="preserve">, 2013; </w:t>
      </w:r>
      <w:proofErr w:type="spellStart"/>
      <w:r>
        <w:rPr>
          <w:rFonts w:cs="Century Schoolbook"/>
          <w:lang w:val="cy-GB"/>
        </w:rPr>
        <w:t>Paulick</w:t>
      </w:r>
      <w:proofErr w:type="spellEnd"/>
      <w:r>
        <w:rPr>
          <w:rFonts w:cs="Century Schoolbook"/>
          <w:lang w:val="cy-GB"/>
        </w:rPr>
        <w:t xml:space="preserve"> </w:t>
      </w:r>
      <w:proofErr w:type="spellStart"/>
      <w:r>
        <w:rPr>
          <w:rFonts w:cs="Century Schoolbook"/>
          <w:lang w:val="cy-GB"/>
        </w:rPr>
        <w:t>et</w:t>
      </w:r>
      <w:proofErr w:type="spellEnd"/>
      <w:r>
        <w:rPr>
          <w:rFonts w:cs="Century Schoolbook"/>
          <w:lang w:val="cy-GB"/>
        </w:rPr>
        <w:t xml:space="preserve"> al. 2013; </w:t>
      </w:r>
      <w:proofErr w:type="spellStart"/>
      <w:r>
        <w:rPr>
          <w:rFonts w:cs="Century Schoolbook"/>
          <w:lang w:val="cy-GB"/>
        </w:rPr>
        <w:t>Salmela-Aro</w:t>
      </w:r>
      <w:proofErr w:type="spellEnd"/>
      <w:r>
        <w:rPr>
          <w:rFonts w:cs="Century Schoolbook"/>
          <w:lang w:val="cy-GB"/>
        </w:rPr>
        <w:t>, 2017; Skinner, 2016).</w:t>
      </w:r>
    </w:p>
    <w:p w14:paraId="509B679B" w14:textId="35491D4C" w:rsidR="00E62BBC" w:rsidRDefault="00BF5006" w:rsidP="00F21B3D">
      <w:pPr>
        <w:pStyle w:val="Heading2"/>
        <w:rPr>
          <w:lang w:val="cy-GB"/>
        </w:rPr>
      </w:pPr>
      <w:r w:rsidRPr="00F21B3D">
        <w:rPr>
          <w:lang w:val="cy-GB"/>
        </w:rPr>
        <w:t>Casgliad</w:t>
      </w:r>
    </w:p>
    <w:p w14:paraId="2060BDEB" w14:textId="36E62E64" w:rsidR="002F494B" w:rsidRPr="002F494B" w:rsidRDefault="00E815D0" w:rsidP="002F494B">
      <w:pPr>
        <w:rPr>
          <w:lang w:val="cy-GB"/>
        </w:rPr>
      </w:pPr>
      <w:r>
        <w:rPr>
          <w:rFonts w:cs="Century Schoolbook"/>
          <w:lang w:val="cy-GB"/>
        </w:rPr>
        <w:t xml:space="preserve">Dysgais o’r profiad hwn fod gwastad rhesymau y tu ôl i fyfyrwyr ymddwyn mewn ffyrdd nad ydynt nhw o reidrwydd yn normal neu i safon yr ysgol, o broblemau gartref, i faterion iechyd meddwl, i anghenion dysgu ychwanegol. O ganlyniad i hyn, mae gwybodaeth gefndirol am y myfyrwyr a pherthnasoedd cryf â’r myfyrwyr yn allweddol wrth fod yn athrawes lwyddiannus.  </w:t>
      </w:r>
    </w:p>
    <w:p w14:paraId="13FB4BE1" w14:textId="7D4CD828" w:rsidR="00BF5006" w:rsidRDefault="005164E3" w:rsidP="00F21B3D">
      <w:pPr>
        <w:pStyle w:val="Heading2"/>
        <w:rPr>
          <w:lang w:val="cy-GB"/>
        </w:rPr>
      </w:pPr>
      <w:r>
        <w:rPr>
          <w:lang w:val="cy-GB"/>
        </w:rPr>
        <w:t>Camau Nesaf</w:t>
      </w:r>
    </w:p>
    <w:p w14:paraId="7CCDA8E6" w14:textId="41C72C28" w:rsidR="00CC3CDD" w:rsidRPr="00CC3CDD" w:rsidRDefault="00BC717D" w:rsidP="00CC3CDD">
      <w:pPr>
        <w:rPr>
          <w:lang w:val="cy-GB"/>
        </w:rPr>
      </w:pPr>
      <w:r>
        <w:rPr>
          <w:lang w:val="cy-GB"/>
        </w:rPr>
        <w:t xml:space="preserve">Mae’r profiad o arsylwi ar y sefyllfaoedd hyn ac yna ymchwilio i lenyddiaeth ynglŷn </w:t>
      </w:r>
      <w:r w:rsidR="00EC1250">
        <w:rPr>
          <w:lang w:val="cy-GB"/>
        </w:rPr>
        <w:t>â</w:t>
      </w:r>
      <w:r w:rsidR="002A7FA1">
        <w:rPr>
          <w:lang w:val="cy-GB"/>
        </w:rPr>
        <w:t>’r arsylwadau yma wedi arwain at ddealltwriaeth lawer dyfnach o bwysigrwydd perthnasoedd efo myfyrwyr, a sut mae’r perthnasoedd hyn yn effeithio ar gynifer o wahanol bethau, nad y</w:t>
      </w:r>
      <w:r w:rsidR="00076BD0">
        <w:rPr>
          <w:lang w:val="cy-GB"/>
        </w:rPr>
        <w:t>dynt bob amser yn amlwg. Byddaf yn cyflwyno’r wybodaeth newydd hon yn fy arferion addysgu fy hun. Gallai perthynas myfyriwr â’u hathro o bosibl fod yr unig berthynas gadarnhaol sydd gan y myfyriwr hwnnw, a fy nghyfrifoldeb i yw meithrin y berthynas honno hyd eithaf fy ngallu.</w:t>
      </w:r>
    </w:p>
    <w:p w14:paraId="769A327E" w14:textId="04B771F2" w:rsidR="00183CCE" w:rsidRDefault="00183CCE" w:rsidP="00183CCE">
      <w:pPr>
        <w:pStyle w:val="Heading1"/>
        <w:rPr>
          <w:lang w:val="cy-GB"/>
        </w:rPr>
      </w:pPr>
      <w:r>
        <w:rPr>
          <w:lang w:val="cy-GB"/>
        </w:rPr>
        <w:t>Casgliad</w:t>
      </w:r>
    </w:p>
    <w:p w14:paraId="198FAF1F" w14:textId="08C4CC54" w:rsidR="00183CCE" w:rsidRDefault="00583D0A" w:rsidP="00183CCE">
      <w:pPr>
        <w:rPr>
          <w:lang w:val="cy-GB"/>
        </w:rPr>
      </w:pPr>
      <w:r>
        <w:rPr>
          <w:rFonts w:cs="Century Schoolbook"/>
          <w:lang w:val="cy-GB"/>
        </w:rPr>
        <w:t>Y rheswm y defnyddiwyd Cylchred Myfyriol Gibbs oedd gan ei fod yn cynnig fframwaith ar gyfer archwilio profiadau, ac o ystyried ei natur gylchol, mae’n addas iawn i brofiadau mynych, fel addysgu a bod yn yr ystafell ddosbarth. Fe wnes i ei ddefnyddio i helpu i wneud synnwyr o’r sefyllfaoedd y gwnes i arsylwi arnynt a sut maent yn cysylltu â llenyddiaeth gyfredol, er mwyn i mi allu deall beth wnes i yn dda a beth allwn i'w wneud yn well yn y dyfodol, ac yn bwysicach fyth, sut y gallaf gymhwyso’r hyn yr wyf wedi’i ddysgu mewn ymarfer addysgu yn y dyfodol.</w:t>
      </w:r>
    </w:p>
    <w:p w14:paraId="1752282C" w14:textId="2673BD97" w:rsidR="002239A8" w:rsidRDefault="00583D0A" w:rsidP="00183CCE">
      <w:pPr>
        <w:rPr>
          <w:lang w:val="cy-GB"/>
        </w:rPr>
      </w:pPr>
      <w:r>
        <w:rPr>
          <w:rFonts w:cs="Century Schoolbook"/>
          <w:lang w:val="cy-GB"/>
        </w:rPr>
        <w:t xml:space="preserve">Mae’r holl brofiad o bontio, ymchwilio i lenyddiaeth, a myfyrio’n feirniadol ar fy mhrofiadau yn cysylltu’n fawr â’r Safonau Proffesiynol newydd ar gyfer Addysgu ac </w:t>
      </w:r>
      <w:r>
        <w:rPr>
          <w:rFonts w:cs="Century Schoolbook"/>
          <w:lang w:val="cy-GB"/>
        </w:rPr>
        <w:lastRenderedPageBreak/>
        <w:t>Arweinyddiaeth. Mae’r profiad pontio ei hun wedi arwain at fanteisio ar ddisgyblaethau pwnc mewn meysydd dysgu, a gwell dealltwriaeth o’r pedwar diben i ddysgwyr, ynghyd â gweithio gyda chydweithwyr yn yr ysgol. Mae’r ymchwil i lenyddiaeth wedi arwain at ddod yn fwyfwy hyderus wrth ddeall ymchwil am addysgeg a datblygiad dynol. Mae myfyrio’n feirniadol ar fy mhrofiad wedi arwain at ddatblygu technegau newydd. Yn gyffredinol, mae’r profiad hwn wedi bod yn hynod fuddiol wrth fy helpu i ddeall pa fath o athro rydw i eisiau bod, a sut i weithredu’r hyn rwyf wedi dysgu er mwyn cyflawni’r nod hwn.</w:t>
      </w:r>
    </w:p>
    <w:p w14:paraId="3B0814A5" w14:textId="2801B9F5" w:rsidR="00183CCE" w:rsidRDefault="00183CCE" w:rsidP="00183CCE">
      <w:pPr>
        <w:pStyle w:val="Heading1"/>
        <w:rPr>
          <w:lang w:val="cy-GB"/>
        </w:rPr>
      </w:pPr>
      <w:r>
        <w:rPr>
          <w:lang w:val="cy-GB"/>
        </w:rPr>
        <w:t>A</w:t>
      </w:r>
      <w:bookmarkStart w:id="0" w:name="cysill"/>
      <w:bookmarkEnd w:id="0"/>
      <w:r>
        <w:rPr>
          <w:lang w:val="cy-GB"/>
        </w:rPr>
        <w:t>todiadau</w:t>
      </w:r>
    </w:p>
    <w:p w14:paraId="6547C637" w14:textId="76FC3C0D" w:rsidR="00911930" w:rsidRPr="00911930" w:rsidRDefault="00C23229" w:rsidP="00C23229">
      <w:pPr>
        <w:pStyle w:val="Heading2"/>
        <w:rPr>
          <w:lang w:val="cy-GB"/>
        </w:rPr>
      </w:pPr>
      <w:r>
        <w:rPr>
          <w:lang w:val="cy-GB"/>
        </w:rPr>
        <w:t xml:space="preserve">Cofnod 1: </w:t>
      </w:r>
    </w:p>
    <w:tbl>
      <w:tblPr>
        <w:tblStyle w:val="TableGrid"/>
        <w:tblW w:w="0" w:type="auto"/>
        <w:tblLook w:val="04A0" w:firstRow="1" w:lastRow="0" w:firstColumn="1" w:lastColumn="0" w:noHBand="0" w:noVBand="1"/>
      </w:tblPr>
      <w:tblGrid>
        <w:gridCol w:w="8926"/>
      </w:tblGrid>
      <w:tr w:rsidR="00911930" w:rsidRPr="00C23229" w14:paraId="7FD3F552" w14:textId="77777777" w:rsidTr="002920E4">
        <w:tc>
          <w:tcPr>
            <w:tcW w:w="8926" w:type="dxa"/>
          </w:tcPr>
          <w:p w14:paraId="18DAAAF0" w14:textId="77777777" w:rsidR="00911930" w:rsidRPr="00C23229" w:rsidRDefault="00911930" w:rsidP="002920E4">
            <w:pPr>
              <w:rPr>
                <w:rFonts w:asciiTheme="minorHAnsi" w:hAnsiTheme="minorHAnsi"/>
                <w:lang w:val="cy-GB"/>
              </w:rPr>
            </w:pPr>
            <w:r w:rsidRPr="00C23229">
              <w:rPr>
                <w:rFonts w:asciiTheme="minorHAnsi" w:hAnsiTheme="minorHAnsi"/>
                <w:lang w:val="cy-GB"/>
              </w:rPr>
              <w:t>Dyddiad ac amser, gr</w:t>
            </w:r>
            <w:r w:rsidRPr="00C23229">
              <w:rPr>
                <w:rFonts w:ascii="Calibri" w:hAnsi="Calibri" w:cs="Calibri"/>
                <w:lang w:val="cy-GB"/>
              </w:rPr>
              <w:t>ŵ</w:t>
            </w:r>
            <w:r w:rsidRPr="00C23229">
              <w:rPr>
                <w:rFonts w:asciiTheme="minorHAnsi" w:hAnsiTheme="minorHAnsi"/>
                <w:lang w:val="cy-GB"/>
              </w:rPr>
              <w:t xml:space="preserve">p blwyddyn: 22/10/2021, 11:05am, </w:t>
            </w:r>
            <w:proofErr w:type="spellStart"/>
            <w:r w:rsidRPr="00C23229">
              <w:rPr>
                <w:rFonts w:asciiTheme="minorHAnsi" w:hAnsiTheme="minorHAnsi"/>
                <w:lang w:val="cy-GB"/>
              </w:rPr>
              <w:t>Bl</w:t>
            </w:r>
            <w:proofErr w:type="spellEnd"/>
            <w:r w:rsidRPr="00C23229">
              <w:rPr>
                <w:rFonts w:asciiTheme="minorHAnsi" w:hAnsiTheme="minorHAnsi"/>
                <w:lang w:val="cy-GB"/>
              </w:rPr>
              <w:t>. 7</w:t>
            </w:r>
          </w:p>
          <w:p w14:paraId="17DC7728" w14:textId="77777777" w:rsidR="00911930" w:rsidRPr="00C23229" w:rsidRDefault="00911930" w:rsidP="002920E4">
            <w:pPr>
              <w:rPr>
                <w:rFonts w:asciiTheme="minorHAnsi" w:hAnsiTheme="minorHAnsi"/>
                <w:lang w:val="cy-GB"/>
              </w:rPr>
            </w:pPr>
          </w:p>
        </w:tc>
      </w:tr>
      <w:tr w:rsidR="00911930" w:rsidRPr="00C23229" w14:paraId="5ED63F39" w14:textId="77777777" w:rsidTr="002920E4">
        <w:tc>
          <w:tcPr>
            <w:tcW w:w="8926" w:type="dxa"/>
          </w:tcPr>
          <w:p w14:paraId="583A0762" w14:textId="3DA89845" w:rsidR="00911930" w:rsidRPr="00C23229" w:rsidRDefault="00911930" w:rsidP="002920E4">
            <w:pPr>
              <w:rPr>
                <w:rFonts w:asciiTheme="minorHAnsi" w:hAnsiTheme="minorHAnsi"/>
                <w:b/>
                <w:bCs/>
                <w:lang w:val="cy-GB"/>
              </w:rPr>
            </w:pPr>
            <w:r w:rsidRPr="00C23229">
              <w:rPr>
                <w:rFonts w:asciiTheme="minorHAnsi" w:hAnsiTheme="minorHAnsi"/>
                <w:b/>
                <w:bCs/>
                <w:lang w:val="cy-GB"/>
              </w:rPr>
              <w:t xml:space="preserve">Ble a phryd : </w:t>
            </w:r>
            <w:r w:rsidRPr="00C23229">
              <w:rPr>
                <w:rFonts w:asciiTheme="minorHAnsi" w:hAnsiTheme="minorHAnsi"/>
                <w:lang w:val="cy-GB"/>
              </w:rPr>
              <w:t>Cyd-destun y digwyddiad – pwnc/</w:t>
            </w:r>
            <w:proofErr w:type="spellStart"/>
            <w:r w:rsidRPr="00C23229">
              <w:rPr>
                <w:rFonts w:asciiTheme="minorHAnsi" w:hAnsiTheme="minorHAnsi"/>
                <w:lang w:val="cy-GB"/>
              </w:rPr>
              <w:t>MDaPh</w:t>
            </w:r>
            <w:proofErr w:type="spellEnd"/>
            <w:r w:rsidRPr="00C23229">
              <w:rPr>
                <w:rFonts w:asciiTheme="minorHAnsi" w:hAnsiTheme="minorHAnsi"/>
                <w:lang w:val="cy-GB"/>
              </w:rPr>
              <w:t>, cyd-destun cyffredinol y dosbarth</w:t>
            </w:r>
          </w:p>
          <w:p w14:paraId="453A1305" w14:textId="77777777" w:rsidR="00911930" w:rsidRPr="00C23229" w:rsidRDefault="00911930" w:rsidP="002920E4">
            <w:pPr>
              <w:rPr>
                <w:rFonts w:asciiTheme="minorHAnsi" w:hAnsiTheme="minorHAnsi"/>
                <w:lang w:val="cy-GB"/>
              </w:rPr>
            </w:pPr>
            <w:r w:rsidRPr="00C23229">
              <w:rPr>
                <w:rFonts w:asciiTheme="minorHAnsi" w:hAnsiTheme="minorHAnsi"/>
                <w:lang w:val="cy-GB"/>
              </w:rPr>
              <w:t>Pwnc: Saesneg</w:t>
            </w:r>
          </w:p>
          <w:p w14:paraId="5952F6E3" w14:textId="023A0230" w:rsidR="00911930" w:rsidRPr="00C23229" w:rsidRDefault="00911930" w:rsidP="002920E4">
            <w:pPr>
              <w:rPr>
                <w:rFonts w:asciiTheme="minorHAnsi" w:hAnsiTheme="minorHAnsi"/>
                <w:lang w:val="cy-GB"/>
              </w:rPr>
            </w:pPr>
            <w:r w:rsidRPr="00C23229">
              <w:rPr>
                <w:rFonts w:asciiTheme="minorHAnsi" w:hAnsiTheme="minorHAnsi"/>
                <w:lang w:val="cy-GB"/>
              </w:rPr>
              <w:t>Gallu: gallu cymysg</w:t>
            </w:r>
          </w:p>
        </w:tc>
      </w:tr>
      <w:tr w:rsidR="00911930" w:rsidRPr="00C23229" w14:paraId="07573172" w14:textId="77777777" w:rsidTr="002920E4">
        <w:tc>
          <w:tcPr>
            <w:tcW w:w="8926" w:type="dxa"/>
          </w:tcPr>
          <w:p w14:paraId="5C4468F6" w14:textId="77777777" w:rsidR="00911930" w:rsidRPr="00C23229" w:rsidRDefault="00911930" w:rsidP="002920E4">
            <w:pPr>
              <w:spacing w:before="240"/>
              <w:rPr>
                <w:rFonts w:asciiTheme="minorHAnsi" w:hAnsiTheme="minorHAnsi"/>
                <w:lang w:val="cy-GB"/>
              </w:rPr>
            </w:pPr>
            <w:r w:rsidRPr="00C23229">
              <w:rPr>
                <w:rFonts w:asciiTheme="minorHAnsi" w:hAnsiTheme="minorHAnsi"/>
                <w:b/>
                <w:bCs/>
                <w:lang w:val="cy-GB"/>
              </w:rPr>
              <w:t xml:space="preserve">Beth ddigwyddodd – </w:t>
            </w:r>
            <w:r w:rsidRPr="00C23229">
              <w:rPr>
                <w:rFonts w:asciiTheme="minorHAnsi" w:hAnsiTheme="minorHAnsi"/>
                <w:lang w:val="cy-GB"/>
              </w:rPr>
              <w:t>disgrifiad manwl (gorau po fwyaf y manylion er mwyn cyfeirio atynt yn ddiweddarach yn eich gwaith)</w:t>
            </w:r>
          </w:p>
          <w:p w14:paraId="477B9DDA"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Dechrau efo mynd dros gwers diwethaf</w:t>
            </w:r>
          </w:p>
          <w:p w14:paraId="6C639107"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Gofyn am ddwylo lan er mwyn ateb cwestiwn</w:t>
            </w:r>
          </w:p>
          <w:p w14:paraId="42BFBBC5"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 xml:space="preserve">Ailadrodd cyfarwyddiadau </w:t>
            </w:r>
            <w:proofErr w:type="spellStart"/>
            <w:r w:rsidRPr="00C23229">
              <w:rPr>
                <w:rFonts w:asciiTheme="minorHAnsi" w:hAnsiTheme="minorHAnsi"/>
                <w:lang w:val="cy-GB"/>
              </w:rPr>
              <w:t>tasgiau</w:t>
            </w:r>
            <w:proofErr w:type="spellEnd"/>
          </w:p>
          <w:p w14:paraId="509342B7"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Cynorthwyydd dosbarth yn helpu efo grŵp bach o ddisgyblion</w:t>
            </w:r>
          </w:p>
          <w:p w14:paraId="3C7351A1"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Annog defnydd thesawrws a geiriadur</w:t>
            </w:r>
          </w:p>
          <w:p w14:paraId="2F0F5D97"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Athrawes yn galw ar ddisgyblion sydd ddim yn gwrando</w:t>
            </w:r>
          </w:p>
          <w:p w14:paraId="7B8623FF"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Llawer o gwestiynau o’r disgyblion</w:t>
            </w:r>
          </w:p>
          <w:p w14:paraId="641FEC0A"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Atgoffa’r disgyblion o reolau atalnodi</w:t>
            </w:r>
          </w:p>
          <w:p w14:paraId="37AF25F5"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Athrawes yn siarad i’r dosbarth cyfan os nad yw un disgybl yn deall</w:t>
            </w:r>
          </w:p>
          <w:p w14:paraId="554FF82D"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Llawer o ddisgyblion yn dryslyd</w:t>
            </w:r>
          </w:p>
          <w:p w14:paraId="77F0BDD2"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Dim digon o amser i wneud popeth yr oedd yr athrawes wedi cynllunio</w:t>
            </w:r>
          </w:p>
          <w:p w14:paraId="69AF1B92" w14:textId="77777777" w:rsidR="00911930" w:rsidRPr="00C23229" w:rsidRDefault="00911930" w:rsidP="00911930">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C23229">
              <w:rPr>
                <w:rFonts w:asciiTheme="minorHAnsi" w:hAnsiTheme="minorHAnsi"/>
                <w:lang w:val="cy-GB"/>
              </w:rPr>
              <w:t>Gorffen y gwers efo gofyn os oedd y disgyblion wedi mwynhau</w:t>
            </w:r>
          </w:p>
          <w:p w14:paraId="7DC19AA9" w14:textId="77777777" w:rsidR="00911930" w:rsidRPr="00C23229" w:rsidRDefault="00911930" w:rsidP="002920E4">
            <w:pPr>
              <w:ind w:left="720"/>
              <w:rPr>
                <w:rFonts w:asciiTheme="minorHAnsi" w:hAnsiTheme="minorHAnsi"/>
                <w:lang w:val="cy-GB"/>
              </w:rPr>
            </w:pPr>
          </w:p>
        </w:tc>
      </w:tr>
      <w:tr w:rsidR="00911930" w:rsidRPr="00C23229" w14:paraId="610F208E" w14:textId="77777777" w:rsidTr="002920E4">
        <w:tc>
          <w:tcPr>
            <w:tcW w:w="8926" w:type="dxa"/>
          </w:tcPr>
          <w:p w14:paraId="11EBA229" w14:textId="3FA6E253" w:rsidR="00911930" w:rsidRPr="00C23229" w:rsidRDefault="00911930" w:rsidP="002920E4">
            <w:pPr>
              <w:rPr>
                <w:rFonts w:asciiTheme="minorHAnsi" w:hAnsiTheme="minorHAnsi"/>
                <w:lang w:val="cy-GB"/>
              </w:rPr>
            </w:pPr>
            <w:r w:rsidRPr="00C23229">
              <w:rPr>
                <w:rFonts w:asciiTheme="minorHAnsi" w:hAnsiTheme="minorHAnsi"/>
                <w:b/>
                <w:bCs/>
                <w:lang w:val="cy-GB"/>
              </w:rPr>
              <w:t>Meysydd y gellir eu harchwilio</w:t>
            </w:r>
            <w:r w:rsidRPr="00C23229">
              <w:rPr>
                <w:rFonts w:asciiTheme="minorHAnsi" w:hAnsiTheme="minorHAnsi"/>
                <w:lang w:val="cy-GB"/>
              </w:rPr>
              <w:t xml:space="preserve"> – yr hyn rydych chi’n meddwl allai fod “o dan y bonet” yn y digwyddiadau hyn</w:t>
            </w:r>
          </w:p>
          <w:p w14:paraId="17B8ACD4" w14:textId="77777777" w:rsidR="00911930" w:rsidRPr="00C23229" w:rsidRDefault="00911930" w:rsidP="00911930">
            <w:pPr>
              <w:pStyle w:val="ListParagraph"/>
              <w:widowControl w:val="0"/>
              <w:numPr>
                <w:ilvl w:val="0"/>
                <w:numId w:val="2"/>
              </w:numPr>
              <w:autoSpaceDE w:val="0"/>
              <w:autoSpaceDN w:val="0"/>
              <w:adjustRightInd w:val="0"/>
              <w:spacing w:line="240" w:lineRule="auto"/>
              <w:rPr>
                <w:rFonts w:asciiTheme="minorHAnsi" w:hAnsiTheme="minorHAnsi"/>
                <w:lang w:val="cy-GB"/>
              </w:rPr>
            </w:pPr>
            <w:r w:rsidRPr="00C23229">
              <w:rPr>
                <w:rFonts w:asciiTheme="minorHAnsi" w:hAnsiTheme="minorHAnsi"/>
                <w:lang w:val="cy-GB"/>
              </w:rPr>
              <w:t>Sut mae geirfa gwahanol a defnyddiwyd gan athrawon yn arwain at dealltwriaeth neu camddealltwriaeth tasg/cyfarwyddiadau</w:t>
            </w:r>
          </w:p>
          <w:p w14:paraId="22CB01C1" w14:textId="77777777" w:rsidR="00911930" w:rsidRPr="00C23229" w:rsidRDefault="00911930" w:rsidP="002920E4">
            <w:pPr>
              <w:rPr>
                <w:rFonts w:asciiTheme="minorHAnsi" w:hAnsiTheme="minorHAnsi"/>
                <w:lang w:val="cy-GB"/>
              </w:rPr>
            </w:pPr>
          </w:p>
        </w:tc>
      </w:tr>
      <w:tr w:rsidR="00911930" w:rsidRPr="00C23229" w14:paraId="28DFAD22" w14:textId="77777777" w:rsidTr="002920E4">
        <w:tc>
          <w:tcPr>
            <w:tcW w:w="8926" w:type="dxa"/>
          </w:tcPr>
          <w:p w14:paraId="46C3E5F3" w14:textId="1321955D" w:rsidR="00911930" w:rsidRPr="00C23229" w:rsidRDefault="00911930" w:rsidP="002920E4">
            <w:pPr>
              <w:rPr>
                <w:rFonts w:asciiTheme="minorHAnsi" w:hAnsiTheme="minorHAnsi"/>
                <w:bCs/>
                <w:lang w:val="cy-GB"/>
              </w:rPr>
            </w:pPr>
            <w:r w:rsidRPr="00C23229">
              <w:rPr>
                <w:rFonts w:asciiTheme="minorHAnsi" w:hAnsiTheme="minorHAnsi"/>
                <w:b/>
                <w:lang w:val="cy-GB"/>
              </w:rPr>
              <w:t>Nodiadau</w:t>
            </w:r>
            <w:r w:rsidRPr="00C23229">
              <w:rPr>
                <w:rFonts w:asciiTheme="minorHAnsi" w:hAnsiTheme="minorHAnsi"/>
                <w:bCs/>
                <w:lang w:val="cy-GB"/>
              </w:rPr>
              <w:t xml:space="preserve"> – unrhyw fanylion y gallwch eu nodi (ydy </w:t>
            </w:r>
            <w:proofErr w:type="spellStart"/>
            <w:r w:rsidRPr="00C23229">
              <w:rPr>
                <w:rFonts w:asciiTheme="minorHAnsi" w:hAnsiTheme="minorHAnsi"/>
                <w:bCs/>
                <w:lang w:val="cy-GB"/>
              </w:rPr>
              <w:t>e’n</w:t>
            </w:r>
            <w:proofErr w:type="spellEnd"/>
            <w:r w:rsidRPr="00C23229">
              <w:rPr>
                <w:rFonts w:asciiTheme="minorHAnsi" w:hAnsiTheme="minorHAnsi"/>
                <w:bCs/>
                <w:lang w:val="cy-GB"/>
              </w:rPr>
              <w:t xml:space="preserve"> amgylchedd prysur, ydy e ar ôl cinio, oes yna lawer o wrthdyniadau, ydy cyfarwyddiadau’n glir – gorau po fwyaf y gallwch gyfeirio ato)</w:t>
            </w:r>
          </w:p>
          <w:p w14:paraId="645983E0" w14:textId="77777777" w:rsidR="00911930" w:rsidRPr="00C23229" w:rsidRDefault="00911930" w:rsidP="00911930">
            <w:pPr>
              <w:pStyle w:val="ListParagraph"/>
              <w:widowControl w:val="0"/>
              <w:numPr>
                <w:ilvl w:val="0"/>
                <w:numId w:val="2"/>
              </w:numPr>
              <w:autoSpaceDE w:val="0"/>
              <w:autoSpaceDN w:val="0"/>
              <w:adjustRightInd w:val="0"/>
              <w:spacing w:line="240" w:lineRule="auto"/>
              <w:rPr>
                <w:rFonts w:asciiTheme="minorHAnsi" w:hAnsiTheme="minorHAnsi"/>
                <w:lang w:val="cy-GB"/>
              </w:rPr>
            </w:pPr>
            <w:r w:rsidRPr="00C23229">
              <w:rPr>
                <w:rFonts w:asciiTheme="minorHAnsi" w:hAnsiTheme="minorHAnsi"/>
                <w:lang w:val="cy-GB"/>
              </w:rPr>
              <w:lastRenderedPageBreak/>
              <w:t>Gwers cyntaf ar ôl amser egwyl ac felly disgyblion wedi cynhyrfu</w:t>
            </w:r>
          </w:p>
          <w:p w14:paraId="59251818" w14:textId="77777777" w:rsidR="00911930" w:rsidRPr="00C23229" w:rsidRDefault="00911930" w:rsidP="00911930">
            <w:pPr>
              <w:pStyle w:val="ListParagraph"/>
              <w:widowControl w:val="0"/>
              <w:numPr>
                <w:ilvl w:val="0"/>
                <w:numId w:val="2"/>
              </w:numPr>
              <w:autoSpaceDE w:val="0"/>
              <w:autoSpaceDN w:val="0"/>
              <w:adjustRightInd w:val="0"/>
              <w:spacing w:line="240" w:lineRule="auto"/>
              <w:rPr>
                <w:rFonts w:asciiTheme="minorHAnsi" w:hAnsiTheme="minorHAnsi"/>
                <w:lang w:val="cy-GB"/>
              </w:rPr>
            </w:pPr>
            <w:r w:rsidRPr="00C23229">
              <w:rPr>
                <w:rFonts w:asciiTheme="minorHAnsi" w:hAnsiTheme="minorHAnsi"/>
                <w:lang w:val="cy-GB"/>
              </w:rPr>
              <w:t xml:space="preserve">Cyfarwyddiadau bach yn cymhleth ar gyfer </w:t>
            </w:r>
            <w:proofErr w:type="spellStart"/>
            <w:r w:rsidRPr="00C23229">
              <w:rPr>
                <w:rFonts w:asciiTheme="minorHAnsi" w:hAnsiTheme="minorHAnsi"/>
                <w:lang w:val="cy-GB"/>
              </w:rPr>
              <w:t>Bl</w:t>
            </w:r>
            <w:proofErr w:type="spellEnd"/>
            <w:r w:rsidRPr="00C23229">
              <w:rPr>
                <w:rFonts w:asciiTheme="minorHAnsi" w:hAnsiTheme="minorHAnsi"/>
                <w:lang w:val="cy-GB"/>
              </w:rPr>
              <w:t>. 7</w:t>
            </w:r>
          </w:p>
          <w:p w14:paraId="7F1A23E3" w14:textId="77777777" w:rsidR="00911930" w:rsidRPr="00C23229" w:rsidRDefault="00911930" w:rsidP="002920E4">
            <w:pPr>
              <w:rPr>
                <w:rFonts w:asciiTheme="minorHAnsi" w:hAnsiTheme="minorHAnsi"/>
                <w:lang w:val="cy-GB"/>
              </w:rPr>
            </w:pPr>
          </w:p>
        </w:tc>
      </w:tr>
    </w:tbl>
    <w:p w14:paraId="7E08700A" w14:textId="7B6A9506" w:rsidR="00911930" w:rsidRDefault="00911930" w:rsidP="00911930">
      <w:pPr>
        <w:rPr>
          <w:lang w:val="cy-GB"/>
        </w:rPr>
      </w:pPr>
    </w:p>
    <w:p w14:paraId="42E40B6E" w14:textId="73C087DF" w:rsidR="00ED2C4A" w:rsidRDefault="00ED2C4A" w:rsidP="00ED2C4A">
      <w:pPr>
        <w:pStyle w:val="Heading2"/>
        <w:rPr>
          <w:lang w:val="cy-GB"/>
        </w:rPr>
      </w:pPr>
      <w:r>
        <w:rPr>
          <w:lang w:val="cy-GB"/>
        </w:rPr>
        <w:t xml:space="preserve">Cofnod 2: </w:t>
      </w:r>
    </w:p>
    <w:tbl>
      <w:tblPr>
        <w:tblStyle w:val="TableGrid"/>
        <w:tblW w:w="0" w:type="auto"/>
        <w:tblLook w:val="04A0" w:firstRow="1" w:lastRow="0" w:firstColumn="1" w:lastColumn="0" w:noHBand="0" w:noVBand="1"/>
      </w:tblPr>
      <w:tblGrid>
        <w:gridCol w:w="8926"/>
      </w:tblGrid>
      <w:tr w:rsidR="00ED2C4A" w:rsidRPr="001D0D41" w14:paraId="316394DA" w14:textId="77777777" w:rsidTr="002920E4">
        <w:tc>
          <w:tcPr>
            <w:tcW w:w="8926" w:type="dxa"/>
          </w:tcPr>
          <w:p w14:paraId="1E75049F" w14:textId="77777777" w:rsidR="00ED2C4A" w:rsidRPr="001D0D41" w:rsidRDefault="00ED2C4A" w:rsidP="002920E4">
            <w:pPr>
              <w:rPr>
                <w:rFonts w:asciiTheme="minorHAnsi" w:hAnsiTheme="minorHAnsi"/>
                <w:lang w:val="cy-GB"/>
              </w:rPr>
            </w:pPr>
            <w:r w:rsidRPr="001D0D41">
              <w:rPr>
                <w:rFonts w:asciiTheme="minorHAnsi" w:hAnsiTheme="minorHAnsi"/>
                <w:lang w:val="cy-GB"/>
              </w:rPr>
              <w:t>Dyddiad ac amser, gr</w:t>
            </w:r>
            <w:r w:rsidRPr="001D0D41">
              <w:rPr>
                <w:rFonts w:ascii="Calibri" w:hAnsi="Calibri" w:cs="Calibri"/>
                <w:lang w:val="cy-GB"/>
              </w:rPr>
              <w:t>ŵ</w:t>
            </w:r>
            <w:r w:rsidRPr="001D0D41">
              <w:rPr>
                <w:rFonts w:asciiTheme="minorHAnsi" w:hAnsiTheme="minorHAnsi"/>
                <w:lang w:val="cy-GB"/>
              </w:rPr>
              <w:t xml:space="preserve">p blwyddyn: 22/10/2021, 12:05am, </w:t>
            </w:r>
            <w:proofErr w:type="spellStart"/>
            <w:r w:rsidRPr="001D0D41">
              <w:rPr>
                <w:rFonts w:asciiTheme="minorHAnsi" w:hAnsiTheme="minorHAnsi"/>
                <w:lang w:val="cy-GB"/>
              </w:rPr>
              <w:t>Bl</w:t>
            </w:r>
            <w:proofErr w:type="spellEnd"/>
            <w:r w:rsidRPr="001D0D41">
              <w:rPr>
                <w:rFonts w:asciiTheme="minorHAnsi" w:hAnsiTheme="minorHAnsi"/>
                <w:lang w:val="cy-GB"/>
              </w:rPr>
              <w:t>. 7</w:t>
            </w:r>
          </w:p>
          <w:p w14:paraId="0A3F170A" w14:textId="77777777" w:rsidR="00ED2C4A" w:rsidRPr="001D0D41" w:rsidRDefault="00ED2C4A" w:rsidP="002920E4">
            <w:pPr>
              <w:rPr>
                <w:rFonts w:asciiTheme="minorHAnsi" w:hAnsiTheme="minorHAnsi"/>
                <w:lang w:val="cy-GB"/>
              </w:rPr>
            </w:pPr>
          </w:p>
        </w:tc>
      </w:tr>
      <w:tr w:rsidR="00ED2C4A" w:rsidRPr="001D0D41" w14:paraId="28670AAA" w14:textId="77777777" w:rsidTr="002920E4">
        <w:tc>
          <w:tcPr>
            <w:tcW w:w="8926" w:type="dxa"/>
          </w:tcPr>
          <w:p w14:paraId="748F0704" w14:textId="63E5F4EE" w:rsidR="00ED2C4A" w:rsidRPr="001D0D41" w:rsidRDefault="00ED2C4A" w:rsidP="002920E4">
            <w:pPr>
              <w:rPr>
                <w:rFonts w:asciiTheme="minorHAnsi" w:hAnsiTheme="minorHAnsi"/>
                <w:b/>
                <w:bCs/>
                <w:lang w:val="cy-GB"/>
              </w:rPr>
            </w:pPr>
            <w:r w:rsidRPr="001D0D41">
              <w:rPr>
                <w:rFonts w:asciiTheme="minorHAnsi" w:hAnsiTheme="minorHAnsi"/>
                <w:b/>
                <w:bCs/>
                <w:lang w:val="cy-GB"/>
              </w:rPr>
              <w:t xml:space="preserve">Ble a phryd : </w:t>
            </w:r>
            <w:r w:rsidRPr="001D0D41">
              <w:rPr>
                <w:rFonts w:asciiTheme="minorHAnsi" w:hAnsiTheme="minorHAnsi"/>
                <w:lang w:val="cy-GB"/>
              </w:rPr>
              <w:t>Cyd-destun y digwyddiad – pwnc/</w:t>
            </w:r>
            <w:proofErr w:type="spellStart"/>
            <w:r w:rsidRPr="001D0D41">
              <w:rPr>
                <w:rFonts w:asciiTheme="minorHAnsi" w:hAnsiTheme="minorHAnsi"/>
                <w:lang w:val="cy-GB"/>
              </w:rPr>
              <w:t>MDaPh</w:t>
            </w:r>
            <w:proofErr w:type="spellEnd"/>
            <w:r w:rsidRPr="001D0D41">
              <w:rPr>
                <w:rFonts w:asciiTheme="minorHAnsi" w:hAnsiTheme="minorHAnsi"/>
                <w:lang w:val="cy-GB"/>
              </w:rPr>
              <w:t>, cyd-destun cyffredinol y dosbarth</w:t>
            </w:r>
          </w:p>
          <w:p w14:paraId="2E0D1466" w14:textId="77777777" w:rsidR="00ED2C4A" w:rsidRPr="001D0D41" w:rsidRDefault="00ED2C4A" w:rsidP="002920E4">
            <w:pPr>
              <w:rPr>
                <w:rFonts w:asciiTheme="minorHAnsi" w:hAnsiTheme="minorHAnsi"/>
                <w:lang w:val="cy-GB"/>
              </w:rPr>
            </w:pPr>
            <w:r w:rsidRPr="001D0D41">
              <w:rPr>
                <w:rFonts w:asciiTheme="minorHAnsi" w:hAnsiTheme="minorHAnsi"/>
                <w:lang w:val="cy-GB"/>
              </w:rPr>
              <w:t>Pwnc: Addysg Gorfforol</w:t>
            </w:r>
          </w:p>
          <w:p w14:paraId="59E45A3F" w14:textId="72BF996A" w:rsidR="00ED2C4A" w:rsidRPr="001D0D41" w:rsidRDefault="00ED2C4A" w:rsidP="002920E4">
            <w:pPr>
              <w:rPr>
                <w:rFonts w:asciiTheme="minorHAnsi" w:hAnsiTheme="minorHAnsi"/>
                <w:lang w:val="cy-GB"/>
              </w:rPr>
            </w:pPr>
            <w:r w:rsidRPr="001D0D41">
              <w:rPr>
                <w:rFonts w:asciiTheme="minorHAnsi" w:hAnsiTheme="minorHAnsi"/>
                <w:lang w:val="cy-GB"/>
              </w:rPr>
              <w:t>Gallu: gallu cymysg</w:t>
            </w:r>
          </w:p>
        </w:tc>
      </w:tr>
      <w:tr w:rsidR="00ED2C4A" w:rsidRPr="001D0D41" w14:paraId="1E853080" w14:textId="77777777" w:rsidTr="002920E4">
        <w:tc>
          <w:tcPr>
            <w:tcW w:w="8926" w:type="dxa"/>
          </w:tcPr>
          <w:p w14:paraId="1410E531" w14:textId="77777777" w:rsidR="00ED2C4A" w:rsidRPr="001D0D41" w:rsidRDefault="00ED2C4A" w:rsidP="002920E4">
            <w:pPr>
              <w:spacing w:before="240"/>
              <w:rPr>
                <w:rFonts w:asciiTheme="minorHAnsi" w:hAnsiTheme="minorHAnsi"/>
                <w:lang w:val="cy-GB"/>
              </w:rPr>
            </w:pPr>
            <w:r w:rsidRPr="001D0D41">
              <w:rPr>
                <w:rFonts w:asciiTheme="minorHAnsi" w:hAnsiTheme="minorHAnsi"/>
                <w:b/>
                <w:bCs/>
                <w:lang w:val="cy-GB"/>
              </w:rPr>
              <w:t xml:space="preserve">Beth ddigwyddodd – </w:t>
            </w:r>
            <w:r w:rsidRPr="001D0D41">
              <w:rPr>
                <w:rFonts w:asciiTheme="minorHAnsi" w:hAnsiTheme="minorHAnsi"/>
                <w:lang w:val="cy-GB"/>
              </w:rPr>
              <w:t>disgrifiad manwl (gorau po fwyaf y manylion er mwyn cyfeirio atynt yn ddiweddarach yn eich gwaith)</w:t>
            </w:r>
          </w:p>
          <w:p w14:paraId="67353C93"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Dechrau efo mynd dros y gwisg cywir ar gyfer gwersi addysg gorfforol</w:t>
            </w:r>
          </w:p>
          <w:p w14:paraId="0061C0F4"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Llawer o gwestiynu gan yr athrawes</w:t>
            </w:r>
          </w:p>
          <w:p w14:paraId="4133F32F" w14:textId="77777777" w:rsidR="00ED2C4A" w:rsidRPr="001D0D41" w:rsidRDefault="00ED2C4A" w:rsidP="00ED2C4A">
            <w:pPr>
              <w:pStyle w:val="ListParagraph"/>
              <w:widowControl w:val="0"/>
              <w:numPr>
                <w:ilvl w:val="1"/>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Sut ydynt yn twymo i fyny?</w:t>
            </w:r>
          </w:p>
          <w:p w14:paraId="010521CE" w14:textId="77777777" w:rsidR="00ED2C4A" w:rsidRPr="001D0D41" w:rsidRDefault="00ED2C4A" w:rsidP="00ED2C4A">
            <w:pPr>
              <w:pStyle w:val="ListParagraph"/>
              <w:widowControl w:val="0"/>
              <w:numPr>
                <w:ilvl w:val="1"/>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Pam ydynt yn twymo i fyny?</w:t>
            </w:r>
          </w:p>
          <w:p w14:paraId="3CEE8186" w14:textId="77777777" w:rsidR="00ED2C4A" w:rsidRPr="001D0D41" w:rsidRDefault="00ED2C4A" w:rsidP="00ED2C4A">
            <w:pPr>
              <w:pStyle w:val="ListParagraph"/>
              <w:widowControl w:val="0"/>
              <w:numPr>
                <w:ilvl w:val="1"/>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 xml:space="preserve">Cwestiynau ynglŷn </w:t>
            </w:r>
            <w:r w:rsidRPr="001D0D41">
              <w:rPr>
                <w:rFonts w:asciiTheme="minorHAnsi" w:hAnsiTheme="minorHAnsi" w:cstheme="minorHAnsi"/>
                <w:lang w:val="cy-GB"/>
              </w:rPr>
              <w:t>â</w:t>
            </w:r>
            <w:r w:rsidRPr="001D0D41">
              <w:rPr>
                <w:rFonts w:asciiTheme="minorHAnsi" w:hAnsiTheme="minorHAnsi"/>
                <w:lang w:val="cy-GB"/>
              </w:rPr>
              <w:t xml:space="preserve"> anatomi </w:t>
            </w:r>
          </w:p>
          <w:p w14:paraId="24EBD989" w14:textId="77777777" w:rsidR="00ED2C4A" w:rsidRPr="001D0D41" w:rsidRDefault="00ED2C4A" w:rsidP="00ED2C4A">
            <w:pPr>
              <w:pStyle w:val="ListParagraph"/>
              <w:widowControl w:val="0"/>
              <w:numPr>
                <w:ilvl w:val="1"/>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Gofyn ystyr geiriau gwahanol</w:t>
            </w:r>
          </w:p>
          <w:p w14:paraId="07051246"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Gwneud amrywiaeth o ymarferion twymo i fyny (rhedeg o gwmpas y gampfa)</w:t>
            </w:r>
          </w:p>
          <w:p w14:paraId="689AAF11"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Rhai disgyblion penodol yn taflu eu hunain ar y llawr yn bwrpasol</w:t>
            </w:r>
          </w:p>
          <w:p w14:paraId="113AFC64"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casglu’r disgyblion i gyd at ei gilydd er mwyn gwneud arddangosiad o symudiadau gwahanol ar gyfer g</w:t>
            </w:r>
            <w:r w:rsidRPr="001D0D41">
              <w:rPr>
                <w:rFonts w:ascii="Calibri" w:hAnsi="Calibri" w:cs="Calibri"/>
                <w:lang w:val="cy-GB"/>
              </w:rPr>
              <w:t>ê</w:t>
            </w:r>
            <w:r w:rsidRPr="001D0D41">
              <w:rPr>
                <w:rFonts w:asciiTheme="minorHAnsi" w:hAnsiTheme="minorHAnsi"/>
                <w:lang w:val="cy-GB"/>
              </w:rPr>
              <w:t>m pêl rwyd</w:t>
            </w:r>
          </w:p>
          <w:p w14:paraId="1EF13A4F"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Disgyblion yn gweithio mewn parau i ymarfer y symudiadau newydd maent wedi dysgu</w:t>
            </w:r>
          </w:p>
          <w:p w14:paraId="2756A219"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Disgyblion penodol yn parhau i chwarae dwli a gwneud y symudiadau yn anghywir yn bwrpasol</w:t>
            </w:r>
          </w:p>
          <w:p w14:paraId="419551CE" w14:textId="77777777" w:rsidR="00ED2C4A" w:rsidRPr="001D0D41" w:rsidRDefault="00ED2C4A" w:rsidP="00ED2C4A">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Er mwyn gorffen, athrawes yn ail-gofyn y cwestiynau a ofynnodd ar ddechrau’r gwers er mwyn sicrhau dealltwriaeth</w:t>
            </w:r>
          </w:p>
          <w:p w14:paraId="18701292" w14:textId="77777777" w:rsidR="00ED2C4A" w:rsidRPr="001D0D41" w:rsidRDefault="00ED2C4A" w:rsidP="002920E4">
            <w:pPr>
              <w:ind w:left="720"/>
              <w:rPr>
                <w:rFonts w:asciiTheme="minorHAnsi" w:hAnsiTheme="minorHAnsi"/>
                <w:lang w:val="cy-GB"/>
              </w:rPr>
            </w:pPr>
          </w:p>
        </w:tc>
      </w:tr>
      <w:tr w:rsidR="00ED2C4A" w:rsidRPr="001D0D41" w14:paraId="70DF48A4" w14:textId="77777777" w:rsidTr="002920E4">
        <w:tc>
          <w:tcPr>
            <w:tcW w:w="8926" w:type="dxa"/>
          </w:tcPr>
          <w:p w14:paraId="4E603C46" w14:textId="5ADCF1B6" w:rsidR="00ED2C4A" w:rsidRPr="001D0D41" w:rsidRDefault="00ED2C4A" w:rsidP="002920E4">
            <w:pPr>
              <w:rPr>
                <w:rFonts w:asciiTheme="minorHAnsi" w:hAnsiTheme="minorHAnsi"/>
                <w:lang w:val="cy-GB"/>
              </w:rPr>
            </w:pPr>
            <w:r w:rsidRPr="001D0D41">
              <w:rPr>
                <w:rFonts w:asciiTheme="minorHAnsi" w:hAnsiTheme="minorHAnsi"/>
                <w:b/>
                <w:bCs/>
                <w:lang w:val="cy-GB"/>
              </w:rPr>
              <w:t>Meysydd y gellir eu harchwilio</w:t>
            </w:r>
            <w:r w:rsidRPr="001D0D41">
              <w:rPr>
                <w:rFonts w:asciiTheme="minorHAnsi" w:hAnsiTheme="minorHAnsi"/>
                <w:lang w:val="cy-GB"/>
              </w:rPr>
              <w:t xml:space="preserve"> – yr hyn rydych chi’n meddwl allai fod “o dan y bonet” yn y digwyddiadau hyn</w:t>
            </w:r>
          </w:p>
          <w:p w14:paraId="5CF524EA" w14:textId="77777777" w:rsidR="00ED2C4A" w:rsidRPr="001D0D41" w:rsidRDefault="00ED2C4A" w:rsidP="00ED2C4A">
            <w:pPr>
              <w:pStyle w:val="ListParagraph"/>
              <w:widowControl w:val="0"/>
              <w:numPr>
                <w:ilvl w:val="0"/>
                <w:numId w:val="2"/>
              </w:numPr>
              <w:autoSpaceDE w:val="0"/>
              <w:autoSpaceDN w:val="0"/>
              <w:adjustRightInd w:val="0"/>
              <w:spacing w:line="240" w:lineRule="auto"/>
              <w:rPr>
                <w:rFonts w:asciiTheme="minorHAnsi" w:hAnsiTheme="minorHAnsi"/>
                <w:lang w:val="cy-GB"/>
              </w:rPr>
            </w:pPr>
            <w:r w:rsidRPr="001D0D41">
              <w:rPr>
                <w:rFonts w:asciiTheme="minorHAnsi" w:hAnsiTheme="minorHAnsi"/>
                <w:lang w:val="cy-GB"/>
              </w:rPr>
              <w:t>Pam ydy disgyblion yn ceisio tynnu sylw eraill?</w:t>
            </w:r>
          </w:p>
          <w:p w14:paraId="43961CE5" w14:textId="77777777" w:rsidR="00ED2C4A" w:rsidRPr="001D0D41" w:rsidRDefault="00ED2C4A" w:rsidP="002920E4">
            <w:pPr>
              <w:rPr>
                <w:rFonts w:asciiTheme="minorHAnsi" w:hAnsiTheme="minorHAnsi"/>
                <w:lang w:val="cy-GB"/>
              </w:rPr>
            </w:pPr>
          </w:p>
        </w:tc>
      </w:tr>
      <w:tr w:rsidR="00ED2C4A" w:rsidRPr="001D0D41" w14:paraId="7D32991B" w14:textId="77777777" w:rsidTr="002920E4">
        <w:tc>
          <w:tcPr>
            <w:tcW w:w="8926" w:type="dxa"/>
          </w:tcPr>
          <w:p w14:paraId="3A995F4C" w14:textId="18160EB5" w:rsidR="00ED2C4A" w:rsidRPr="001D0D41" w:rsidRDefault="00ED2C4A" w:rsidP="002920E4">
            <w:pPr>
              <w:rPr>
                <w:rFonts w:asciiTheme="minorHAnsi" w:hAnsiTheme="minorHAnsi"/>
                <w:bCs/>
                <w:lang w:val="cy-GB"/>
              </w:rPr>
            </w:pPr>
            <w:r w:rsidRPr="001D0D41">
              <w:rPr>
                <w:rFonts w:asciiTheme="minorHAnsi" w:hAnsiTheme="minorHAnsi"/>
                <w:b/>
                <w:lang w:val="cy-GB"/>
              </w:rPr>
              <w:t>Nodiadau</w:t>
            </w:r>
            <w:r w:rsidRPr="001D0D41">
              <w:rPr>
                <w:rFonts w:asciiTheme="minorHAnsi" w:hAnsiTheme="minorHAnsi"/>
                <w:bCs/>
                <w:lang w:val="cy-GB"/>
              </w:rPr>
              <w:t xml:space="preserve"> – unrhyw fanylion y gallwch eu nodi (ydy </w:t>
            </w:r>
            <w:proofErr w:type="spellStart"/>
            <w:r w:rsidRPr="001D0D41">
              <w:rPr>
                <w:rFonts w:asciiTheme="minorHAnsi" w:hAnsiTheme="minorHAnsi"/>
                <w:bCs/>
                <w:lang w:val="cy-GB"/>
              </w:rPr>
              <w:t>e’n</w:t>
            </w:r>
            <w:proofErr w:type="spellEnd"/>
            <w:r w:rsidRPr="001D0D41">
              <w:rPr>
                <w:rFonts w:asciiTheme="minorHAnsi" w:hAnsiTheme="minorHAnsi"/>
                <w:bCs/>
                <w:lang w:val="cy-GB"/>
              </w:rPr>
              <w:t xml:space="preserve"> amgylchedd prysur, ydy e ar ôl cinio, oes yna lawer o wrthdyniadau, ydy cyfarwyddiadau’n glir – gorau po fwyaf y gallwch gyfeirio ato)</w:t>
            </w:r>
          </w:p>
          <w:p w14:paraId="28E9C791" w14:textId="77777777" w:rsidR="00ED2C4A" w:rsidRPr="001D0D41" w:rsidRDefault="00ED2C4A" w:rsidP="00ED2C4A">
            <w:pPr>
              <w:pStyle w:val="ListParagraph"/>
              <w:widowControl w:val="0"/>
              <w:numPr>
                <w:ilvl w:val="0"/>
                <w:numId w:val="2"/>
              </w:numPr>
              <w:autoSpaceDE w:val="0"/>
              <w:autoSpaceDN w:val="0"/>
              <w:adjustRightInd w:val="0"/>
              <w:spacing w:line="240" w:lineRule="auto"/>
              <w:rPr>
                <w:rFonts w:asciiTheme="minorHAnsi" w:hAnsiTheme="minorHAnsi"/>
                <w:lang w:val="cy-GB"/>
              </w:rPr>
            </w:pPr>
            <w:r w:rsidRPr="001D0D41">
              <w:rPr>
                <w:rFonts w:asciiTheme="minorHAnsi" w:hAnsiTheme="minorHAnsi"/>
                <w:lang w:val="cy-GB"/>
              </w:rPr>
              <w:t xml:space="preserve">Merched a bechgyn ar wahân </w:t>
            </w:r>
          </w:p>
          <w:p w14:paraId="2B99E12A" w14:textId="213EF12D" w:rsidR="00ED2C4A" w:rsidRPr="001D0D41" w:rsidRDefault="00ED2C4A" w:rsidP="00ED2C4A">
            <w:pPr>
              <w:pStyle w:val="ListParagraph"/>
              <w:widowControl w:val="0"/>
              <w:numPr>
                <w:ilvl w:val="0"/>
                <w:numId w:val="2"/>
              </w:numPr>
              <w:autoSpaceDE w:val="0"/>
              <w:autoSpaceDN w:val="0"/>
              <w:adjustRightInd w:val="0"/>
              <w:spacing w:line="240" w:lineRule="auto"/>
              <w:rPr>
                <w:rFonts w:asciiTheme="minorHAnsi" w:hAnsiTheme="minorHAnsi"/>
                <w:lang w:val="cy-GB"/>
              </w:rPr>
            </w:pPr>
            <w:r w:rsidRPr="001D0D41">
              <w:rPr>
                <w:rFonts w:asciiTheme="minorHAnsi" w:hAnsiTheme="minorHAnsi"/>
                <w:lang w:val="cy-GB"/>
              </w:rPr>
              <w:t>Disgyblion wedi gwneud cystadleuaeth traws</w:t>
            </w:r>
            <w:r w:rsidR="00476937">
              <w:rPr>
                <w:rFonts w:asciiTheme="minorHAnsi" w:hAnsiTheme="minorHAnsi"/>
                <w:lang w:val="cy-GB"/>
              </w:rPr>
              <w:t>-</w:t>
            </w:r>
            <w:r w:rsidRPr="001D0D41">
              <w:rPr>
                <w:rFonts w:asciiTheme="minorHAnsi" w:hAnsiTheme="minorHAnsi"/>
                <w:lang w:val="cy-GB"/>
              </w:rPr>
              <w:t>gwlad diwrnod cyn</w:t>
            </w:r>
          </w:p>
          <w:p w14:paraId="495FD9C8" w14:textId="77777777" w:rsidR="00ED2C4A" w:rsidRPr="001D0D41" w:rsidRDefault="00ED2C4A" w:rsidP="002920E4">
            <w:pPr>
              <w:rPr>
                <w:rFonts w:asciiTheme="minorHAnsi" w:hAnsiTheme="minorHAnsi"/>
                <w:lang w:val="cy-GB"/>
              </w:rPr>
            </w:pPr>
          </w:p>
        </w:tc>
      </w:tr>
    </w:tbl>
    <w:p w14:paraId="3C297B89" w14:textId="7A3838CA" w:rsidR="00ED2C4A" w:rsidRDefault="00ED2C4A" w:rsidP="00ED2C4A">
      <w:pPr>
        <w:rPr>
          <w:lang w:val="cy-GB"/>
        </w:rPr>
      </w:pPr>
    </w:p>
    <w:p w14:paraId="59E7A72D" w14:textId="1FD09CA0" w:rsidR="001D0D41" w:rsidRDefault="001D0D41" w:rsidP="001D0D41">
      <w:pPr>
        <w:pStyle w:val="Heading2"/>
        <w:rPr>
          <w:lang w:val="cy-GB"/>
        </w:rPr>
      </w:pPr>
      <w:r>
        <w:rPr>
          <w:lang w:val="cy-GB"/>
        </w:rPr>
        <w:lastRenderedPageBreak/>
        <w:t>Cofnod 3:</w:t>
      </w:r>
    </w:p>
    <w:tbl>
      <w:tblPr>
        <w:tblStyle w:val="TableGrid"/>
        <w:tblW w:w="0" w:type="auto"/>
        <w:tblLook w:val="04A0" w:firstRow="1" w:lastRow="0" w:firstColumn="1" w:lastColumn="0" w:noHBand="0" w:noVBand="1"/>
      </w:tblPr>
      <w:tblGrid>
        <w:gridCol w:w="8926"/>
      </w:tblGrid>
      <w:tr w:rsidR="001D0D41" w:rsidRPr="001D0D41" w14:paraId="7437D6F6" w14:textId="77777777" w:rsidTr="002920E4">
        <w:tc>
          <w:tcPr>
            <w:tcW w:w="8926" w:type="dxa"/>
          </w:tcPr>
          <w:p w14:paraId="4BBC3360" w14:textId="77777777" w:rsidR="001D0D41" w:rsidRPr="001D0D41" w:rsidRDefault="001D0D41" w:rsidP="002920E4">
            <w:pPr>
              <w:rPr>
                <w:rFonts w:asciiTheme="minorHAnsi" w:hAnsiTheme="minorHAnsi"/>
                <w:lang w:val="cy-GB"/>
              </w:rPr>
            </w:pPr>
            <w:r w:rsidRPr="001D0D41">
              <w:rPr>
                <w:rFonts w:asciiTheme="minorHAnsi" w:hAnsiTheme="minorHAnsi"/>
                <w:lang w:val="cy-GB"/>
              </w:rPr>
              <w:t>Dyddiad ac amser, gr</w:t>
            </w:r>
            <w:r w:rsidRPr="001D0D41">
              <w:rPr>
                <w:rFonts w:ascii="Calibri" w:hAnsi="Calibri" w:cs="Calibri"/>
                <w:lang w:val="cy-GB"/>
              </w:rPr>
              <w:t>ŵ</w:t>
            </w:r>
            <w:r w:rsidRPr="001D0D41">
              <w:rPr>
                <w:rFonts w:asciiTheme="minorHAnsi" w:hAnsiTheme="minorHAnsi"/>
                <w:lang w:val="cy-GB"/>
              </w:rPr>
              <w:t xml:space="preserve">p blwyddyn: 23/10/2021, 9:50am, </w:t>
            </w:r>
            <w:proofErr w:type="spellStart"/>
            <w:r w:rsidRPr="001D0D41">
              <w:rPr>
                <w:rFonts w:asciiTheme="minorHAnsi" w:hAnsiTheme="minorHAnsi"/>
                <w:lang w:val="cy-GB"/>
              </w:rPr>
              <w:t>Bl</w:t>
            </w:r>
            <w:proofErr w:type="spellEnd"/>
            <w:r w:rsidRPr="001D0D41">
              <w:rPr>
                <w:rFonts w:asciiTheme="minorHAnsi" w:hAnsiTheme="minorHAnsi"/>
                <w:lang w:val="cy-GB"/>
              </w:rPr>
              <w:t>. 7</w:t>
            </w:r>
          </w:p>
          <w:p w14:paraId="0E0BC2AB" w14:textId="77777777" w:rsidR="001D0D41" w:rsidRPr="001D0D41" w:rsidRDefault="001D0D41" w:rsidP="002920E4">
            <w:pPr>
              <w:rPr>
                <w:rFonts w:asciiTheme="minorHAnsi" w:hAnsiTheme="minorHAnsi"/>
                <w:lang w:val="cy-GB"/>
              </w:rPr>
            </w:pPr>
          </w:p>
        </w:tc>
      </w:tr>
      <w:tr w:rsidR="001D0D41" w:rsidRPr="001D0D41" w14:paraId="3C048F3C" w14:textId="77777777" w:rsidTr="002920E4">
        <w:tc>
          <w:tcPr>
            <w:tcW w:w="8926" w:type="dxa"/>
          </w:tcPr>
          <w:p w14:paraId="1D3E8817" w14:textId="77777777" w:rsidR="001D0D41" w:rsidRPr="001D0D41" w:rsidRDefault="001D0D41" w:rsidP="002920E4">
            <w:pPr>
              <w:rPr>
                <w:rFonts w:asciiTheme="minorHAnsi" w:hAnsiTheme="minorHAnsi"/>
                <w:b/>
                <w:bCs/>
                <w:lang w:val="cy-GB"/>
              </w:rPr>
            </w:pPr>
            <w:r w:rsidRPr="001D0D41">
              <w:rPr>
                <w:rFonts w:asciiTheme="minorHAnsi" w:hAnsiTheme="minorHAnsi"/>
                <w:b/>
                <w:bCs/>
                <w:lang w:val="cy-GB"/>
              </w:rPr>
              <w:t xml:space="preserve">Ble a phryd : </w:t>
            </w:r>
            <w:r w:rsidRPr="001D0D41">
              <w:rPr>
                <w:rFonts w:asciiTheme="minorHAnsi" w:hAnsiTheme="minorHAnsi"/>
                <w:lang w:val="cy-GB"/>
              </w:rPr>
              <w:t>Cyd-destun y digwyddiad – pwnc/</w:t>
            </w:r>
            <w:proofErr w:type="spellStart"/>
            <w:r w:rsidRPr="001D0D41">
              <w:rPr>
                <w:rFonts w:asciiTheme="minorHAnsi" w:hAnsiTheme="minorHAnsi"/>
                <w:lang w:val="cy-GB"/>
              </w:rPr>
              <w:t>MDaPh</w:t>
            </w:r>
            <w:proofErr w:type="spellEnd"/>
            <w:r w:rsidRPr="001D0D41">
              <w:rPr>
                <w:rFonts w:asciiTheme="minorHAnsi" w:hAnsiTheme="minorHAnsi"/>
                <w:lang w:val="cy-GB"/>
              </w:rPr>
              <w:t>, cyd-destun cyffredinol y dosbarth</w:t>
            </w:r>
          </w:p>
          <w:p w14:paraId="02F7A36A" w14:textId="77777777" w:rsidR="001D0D41" w:rsidRPr="001D0D41" w:rsidRDefault="001D0D41" w:rsidP="002920E4">
            <w:pPr>
              <w:rPr>
                <w:rFonts w:asciiTheme="minorHAnsi" w:hAnsiTheme="minorHAnsi"/>
                <w:lang w:val="cy-GB"/>
              </w:rPr>
            </w:pPr>
          </w:p>
          <w:p w14:paraId="7144D0CD" w14:textId="77777777" w:rsidR="001D0D41" w:rsidRPr="001D0D41" w:rsidRDefault="001D0D41" w:rsidP="002920E4">
            <w:pPr>
              <w:rPr>
                <w:rFonts w:asciiTheme="minorHAnsi" w:hAnsiTheme="minorHAnsi"/>
                <w:lang w:val="cy-GB"/>
              </w:rPr>
            </w:pPr>
            <w:r w:rsidRPr="001D0D41">
              <w:rPr>
                <w:rFonts w:asciiTheme="minorHAnsi" w:hAnsiTheme="minorHAnsi"/>
                <w:lang w:val="cy-GB"/>
              </w:rPr>
              <w:t>Pwnc: Celf</w:t>
            </w:r>
          </w:p>
          <w:p w14:paraId="780B4A9F" w14:textId="77777777" w:rsidR="001D0D41" w:rsidRPr="001D0D41" w:rsidRDefault="001D0D41" w:rsidP="002920E4">
            <w:pPr>
              <w:rPr>
                <w:rFonts w:asciiTheme="minorHAnsi" w:hAnsiTheme="minorHAnsi"/>
                <w:lang w:val="cy-GB"/>
              </w:rPr>
            </w:pPr>
            <w:r w:rsidRPr="001D0D41">
              <w:rPr>
                <w:rFonts w:asciiTheme="minorHAnsi" w:hAnsiTheme="minorHAnsi"/>
                <w:lang w:val="cy-GB"/>
              </w:rPr>
              <w:t>Gallu: Dosbarth Sgiliau (gallu isel iawn)</w:t>
            </w:r>
          </w:p>
          <w:p w14:paraId="643ABA28" w14:textId="77777777" w:rsidR="001D0D41" w:rsidRPr="001D0D41" w:rsidRDefault="001D0D41" w:rsidP="002920E4">
            <w:pPr>
              <w:rPr>
                <w:rFonts w:asciiTheme="minorHAnsi" w:hAnsiTheme="minorHAnsi"/>
                <w:lang w:val="cy-GB"/>
              </w:rPr>
            </w:pPr>
          </w:p>
        </w:tc>
      </w:tr>
      <w:tr w:rsidR="001D0D41" w:rsidRPr="001D0D41" w14:paraId="3517376C" w14:textId="77777777" w:rsidTr="002920E4">
        <w:tc>
          <w:tcPr>
            <w:tcW w:w="8926" w:type="dxa"/>
          </w:tcPr>
          <w:p w14:paraId="15F7D08F" w14:textId="77777777" w:rsidR="001D0D41" w:rsidRPr="001D0D41" w:rsidRDefault="001D0D41" w:rsidP="002920E4">
            <w:pPr>
              <w:spacing w:before="240"/>
              <w:rPr>
                <w:rFonts w:asciiTheme="minorHAnsi" w:hAnsiTheme="minorHAnsi"/>
                <w:lang w:val="cy-GB"/>
              </w:rPr>
            </w:pPr>
            <w:r w:rsidRPr="001D0D41">
              <w:rPr>
                <w:rFonts w:asciiTheme="minorHAnsi" w:hAnsiTheme="minorHAnsi"/>
                <w:b/>
                <w:bCs/>
                <w:lang w:val="cy-GB"/>
              </w:rPr>
              <w:t xml:space="preserve">Beth ddigwyddodd – </w:t>
            </w:r>
            <w:r w:rsidRPr="001D0D41">
              <w:rPr>
                <w:rFonts w:asciiTheme="minorHAnsi" w:hAnsiTheme="minorHAnsi"/>
                <w:lang w:val="cy-GB"/>
              </w:rPr>
              <w:t>disgrifiad manwl (gorau po fwyaf y manylion er mwyn cyfeirio atynt yn ddiweddarach yn eich gwaith)</w:t>
            </w:r>
          </w:p>
          <w:p w14:paraId="5F08B6AB"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dechrau trwy ofyn os yw’r disgyblion yn iawn ac yn cael sgwrs am ei atebion</w:t>
            </w:r>
          </w:p>
          <w:p w14:paraId="6C54AB37"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Llawer o’r disgyblion yn symud yn ei gadeiriau neu’n chwarae efo offer</w:t>
            </w:r>
          </w:p>
          <w:p w14:paraId="073948CE"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 yn gofyn ‘beth sy’n digwydd’ pam mae’r athrawes yn cael galwad ff</w:t>
            </w:r>
            <w:r w:rsidRPr="001D0D41">
              <w:rPr>
                <w:rFonts w:ascii="Calibri" w:hAnsi="Calibri" w:cs="Calibri"/>
                <w:lang w:val="cy-GB"/>
              </w:rPr>
              <w:t>ô</w:t>
            </w:r>
            <w:r w:rsidRPr="001D0D41">
              <w:rPr>
                <w:rFonts w:asciiTheme="minorHAnsi" w:hAnsiTheme="minorHAnsi"/>
                <w:lang w:val="cy-GB"/>
              </w:rPr>
              <w:t>n</w:t>
            </w:r>
          </w:p>
          <w:p w14:paraId="3BAAC900"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Mae sylw’r disgyblion i gyd yn cael ei tynnu’n hawdd iawn</w:t>
            </w:r>
          </w:p>
          <w:p w14:paraId="21EDC763"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Un disgybl yn benodol yn gwrthod gwneud unrhyw gwaith o gwbl</w:t>
            </w:r>
          </w:p>
          <w:p w14:paraId="3A06F842"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ceisio cael y disgybl i wneud ei waith</w:t>
            </w:r>
          </w:p>
          <w:p w14:paraId="386EC6E8"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 yn gorwedd ei phen ar y ddesg</w:t>
            </w:r>
          </w:p>
          <w:p w14:paraId="0CD17E56"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rhoi cymorth ychwanegol i’r disgyblion sydd ei hangen</w:t>
            </w:r>
          </w:p>
          <w:p w14:paraId="5BE86ABA"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gofyn i’r disgybl penodol i godi ei phen 3 gwaith ond nid ydyw’n gwrando</w:t>
            </w:r>
          </w:p>
          <w:p w14:paraId="7E535854"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mynd o gwmpas y dosbarth ac yn ailadrodd cyfarwyddiadau i ddisgyblion yn unigol os oes angen</w:t>
            </w:r>
          </w:p>
          <w:p w14:paraId="5E708AE5"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 benodol yn rhoi ei ben yn ei dwylo ac yn cau ei llygaid</w:t>
            </w:r>
          </w:p>
          <w:p w14:paraId="1E8D611D"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dweud wrthyf bod y disgybl penodol yn aml yn gwrthod hyd yn oed do i mewn i’r ystafell dosbarth</w:t>
            </w:r>
          </w:p>
          <w:p w14:paraId="30D35AEC"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Athrawes yn gofyn i gwpl o’r ddisgyblion i stopio chwarae efo pethau ar ei ddesgiau</w:t>
            </w:r>
          </w:p>
          <w:p w14:paraId="3753CADB"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Cynorthwyydd dysgu yn dod i mewn i’r dosbarth ac yn eistedd efo’r disgybl penodol</w:t>
            </w:r>
          </w:p>
          <w:p w14:paraId="2499F31A" w14:textId="77777777" w:rsidR="001D0D41" w:rsidRPr="001D0D41" w:rsidRDefault="001D0D41" w:rsidP="001D0D41">
            <w:pPr>
              <w:pStyle w:val="ListParagraph"/>
              <w:widowControl w:val="0"/>
              <w:numPr>
                <w:ilvl w:val="1"/>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 yn newid ei ymddygiad ac agwedd yn syth</w:t>
            </w:r>
          </w:p>
          <w:p w14:paraId="410FE11F" w14:textId="77777777" w:rsidR="001D0D41" w:rsidRPr="001D0D41" w:rsidRDefault="001D0D41" w:rsidP="001D0D41">
            <w:pPr>
              <w:pStyle w:val="ListParagraph"/>
              <w:widowControl w:val="0"/>
              <w:numPr>
                <w:ilvl w:val="0"/>
                <w:numId w:val="2"/>
              </w:numPr>
              <w:autoSpaceDE w:val="0"/>
              <w:autoSpaceDN w:val="0"/>
              <w:adjustRightInd w:val="0"/>
              <w:spacing w:before="240" w:line="240" w:lineRule="auto"/>
              <w:rPr>
                <w:rFonts w:asciiTheme="minorHAnsi" w:hAnsiTheme="minorHAnsi"/>
                <w:lang w:val="cy-GB"/>
              </w:rPr>
            </w:pPr>
            <w:r w:rsidRPr="001D0D41">
              <w:rPr>
                <w:rFonts w:asciiTheme="minorHAnsi" w:hAnsiTheme="minorHAnsi"/>
                <w:lang w:val="cy-GB"/>
              </w:rPr>
              <w:t>Disgyblion i gyd yn symud i sefyll o gwmpas un bwrdd a edrych ar gwaith eu gilydd ac yn dweud beth sydd yn llwyddiannus am gwaith eu cyfoedion</w:t>
            </w:r>
          </w:p>
          <w:p w14:paraId="193C3057" w14:textId="77777777" w:rsidR="001D0D41" w:rsidRPr="001D0D41" w:rsidRDefault="001D0D41" w:rsidP="002920E4">
            <w:pPr>
              <w:spacing w:before="240"/>
              <w:ind w:left="1080"/>
              <w:rPr>
                <w:rFonts w:asciiTheme="minorHAnsi" w:hAnsiTheme="minorHAnsi"/>
                <w:lang w:val="cy-GB"/>
              </w:rPr>
            </w:pPr>
          </w:p>
        </w:tc>
      </w:tr>
      <w:tr w:rsidR="001D0D41" w:rsidRPr="001D0D41" w14:paraId="09522E8A" w14:textId="77777777" w:rsidTr="002920E4">
        <w:tc>
          <w:tcPr>
            <w:tcW w:w="8926" w:type="dxa"/>
          </w:tcPr>
          <w:p w14:paraId="1EEF8847" w14:textId="524986D2" w:rsidR="001D0D41" w:rsidRPr="001D0D41" w:rsidRDefault="001D0D41" w:rsidP="002920E4">
            <w:pPr>
              <w:rPr>
                <w:rFonts w:asciiTheme="minorHAnsi" w:hAnsiTheme="minorHAnsi"/>
                <w:lang w:val="cy-GB"/>
              </w:rPr>
            </w:pPr>
            <w:r w:rsidRPr="001D0D41">
              <w:rPr>
                <w:rFonts w:asciiTheme="minorHAnsi" w:hAnsiTheme="minorHAnsi"/>
                <w:b/>
                <w:bCs/>
                <w:lang w:val="cy-GB"/>
              </w:rPr>
              <w:t>Meysydd y gellir eu harchwilio</w:t>
            </w:r>
            <w:r w:rsidRPr="001D0D41">
              <w:rPr>
                <w:rFonts w:asciiTheme="minorHAnsi" w:hAnsiTheme="minorHAnsi"/>
                <w:lang w:val="cy-GB"/>
              </w:rPr>
              <w:t xml:space="preserve"> – yr hyn rydych chi’n meddwl allai fod “o dan y bonet” yn y digwyddiadau hyn</w:t>
            </w:r>
          </w:p>
          <w:p w14:paraId="664BC0FD" w14:textId="77777777" w:rsidR="001D0D41" w:rsidRPr="001D0D41" w:rsidRDefault="001D0D41" w:rsidP="001D0D41">
            <w:pPr>
              <w:pStyle w:val="ListParagraph"/>
              <w:widowControl w:val="0"/>
              <w:numPr>
                <w:ilvl w:val="0"/>
                <w:numId w:val="2"/>
              </w:numPr>
              <w:autoSpaceDE w:val="0"/>
              <w:autoSpaceDN w:val="0"/>
              <w:adjustRightInd w:val="0"/>
              <w:spacing w:line="240" w:lineRule="auto"/>
              <w:rPr>
                <w:rFonts w:asciiTheme="minorHAnsi" w:hAnsiTheme="minorHAnsi"/>
                <w:lang w:val="cy-GB"/>
              </w:rPr>
            </w:pPr>
            <w:r w:rsidRPr="001D0D41">
              <w:rPr>
                <w:rFonts w:asciiTheme="minorHAnsi" w:hAnsiTheme="minorHAnsi"/>
                <w:lang w:val="cy-GB"/>
              </w:rPr>
              <w:t>Sut ydy trosglwyddo o’r ysgol cynradd i’r ysgol uwchradd yn effeithio ar ddisgyblion</w:t>
            </w:r>
          </w:p>
          <w:p w14:paraId="0337A8C5" w14:textId="77777777" w:rsidR="001D0D41" w:rsidRPr="001D0D41" w:rsidRDefault="001D0D41" w:rsidP="002920E4">
            <w:pPr>
              <w:rPr>
                <w:rFonts w:asciiTheme="minorHAnsi" w:hAnsiTheme="minorHAnsi"/>
                <w:lang w:val="cy-GB"/>
              </w:rPr>
            </w:pPr>
          </w:p>
        </w:tc>
      </w:tr>
      <w:tr w:rsidR="001D0D41" w:rsidRPr="001D0D41" w14:paraId="3DFA93B2" w14:textId="77777777" w:rsidTr="002920E4">
        <w:tc>
          <w:tcPr>
            <w:tcW w:w="8926" w:type="dxa"/>
          </w:tcPr>
          <w:p w14:paraId="39B3A983" w14:textId="3DF11786" w:rsidR="001D0D41" w:rsidRPr="001D0D41" w:rsidRDefault="001D0D41" w:rsidP="002920E4">
            <w:pPr>
              <w:rPr>
                <w:rFonts w:asciiTheme="minorHAnsi" w:hAnsiTheme="minorHAnsi"/>
                <w:bCs/>
                <w:lang w:val="cy-GB"/>
              </w:rPr>
            </w:pPr>
            <w:r w:rsidRPr="001D0D41">
              <w:rPr>
                <w:rFonts w:asciiTheme="minorHAnsi" w:hAnsiTheme="minorHAnsi"/>
                <w:b/>
                <w:lang w:val="cy-GB"/>
              </w:rPr>
              <w:t>Nodiadau</w:t>
            </w:r>
            <w:r w:rsidRPr="001D0D41">
              <w:rPr>
                <w:rFonts w:asciiTheme="minorHAnsi" w:hAnsiTheme="minorHAnsi"/>
                <w:bCs/>
                <w:lang w:val="cy-GB"/>
              </w:rPr>
              <w:t xml:space="preserve"> – unrhyw fanylion y gallwch eu nodi (ydy </w:t>
            </w:r>
            <w:proofErr w:type="spellStart"/>
            <w:r w:rsidRPr="001D0D41">
              <w:rPr>
                <w:rFonts w:asciiTheme="minorHAnsi" w:hAnsiTheme="minorHAnsi"/>
                <w:bCs/>
                <w:lang w:val="cy-GB"/>
              </w:rPr>
              <w:t>e’n</w:t>
            </w:r>
            <w:proofErr w:type="spellEnd"/>
            <w:r w:rsidRPr="001D0D41">
              <w:rPr>
                <w:rFonts w:asciiTheme="minorHAnsi" w:hAnsiTheme="minorHAnsi"/>
                <w:bCs/>
                <w:lang w:val="cy-GB"/>
              </w:rPr>
              <w:t xml:space="preserve"> amgylchedd prysur, ydy e ar ôl cinio, oes yna lawer o wrthdyniadau, ydy cyfarwyddiadau’n glir – gorau po fwyaf y gallwch gyfeirio ato)</w:t>
            </w:r>
          </w:p>
          <w:p w14:paraId="3C7AD30E" w14:textId="77777777" w:rsidR="001D0D41" w:rsidRPr="001D0D41" w:rsidRDefault="001D0D41" w:rsidP="001D0D41">
            <w:pPr>
              <w:pStyle w:val="ListParagraph"/>
              <w:widowControl w:val="0"/>
              <w:numPr>
                <w:ilvl w:val="0"/>
                <w:numId w:val="2"/>
              </w:numPr>
              <w:autoSpaceDE w:val="0"/>
              <w:autoSpaceDN w:val="0"/>
              <w:adjustRightInd w:val="0"/>
              <w:spacing w:line="240" w:lineRule="auto"/>
              <w:rPr>
                <w:rFonts w:asciiTheme="minorHAnsi" w:hAnsiTheme="minorHAnsi"/>
                <w:lang w:val="cy-GB"/>
              </w:rPr>
            </w:pPr>
            <w:r w:rsidRPr="001D0D41">
              <w:rPr>
                <w:rFonts w:asciiTheme="minorHAnsi" w:hAnsiTheme="minorHAnsi"/>
                <w:lang w:val="cy-GB"/>
              </w:rPr>
              <w:t>Rhai disgyblion yn cael Anghenion Dysgu Ychwanegol</w:t>
            </w:r>
          </w:p>
          <w:p w14:paraId="4EFF94C1" w14:textId="77777777" w:rsidR="001D0D41" w:rsidRPr="001D0D41" w:rsidRDefault="001D0D41" w:rsidP="002920E4">
            <w:pPr>
              <w:rPr>
                <w:rFonts w:asciiTheme="minorHAnsi" w:hAnsiTheme="minorHAnsi"/>
                <w:lang w:val="cy-GB"/>
              </w:rPr>
            </w:pPr>
          </w:p>
        </w:tc>
      </w:tr>
    </w:tbl>
    <w:p w14:paraId="6CB81AB7" w14:textId="0C9AFFE6" w:rsidR="00183CCE" w:rsidRDefault="00183CCE">
      <w:pPr>
        <w:rPr>
          <w:rFonts w:eastAsiaTheme="majorEastAsia" w:cstheme="majorBidi"/>
          <w:b/>
          <w:szCs w:val="32"/>
          <w:lang w:val="cy-GB"/>
        </w:rPr>
      </w:pPr>
    </w:p>
    <w:p w14:paraId="55634527" w14:textId="6A8E35F0" w:rsidR="00183CCE" w:rsidRPr="00183CCE" w:rsidRDefault="00183CCE" w:rsidP="00183CCE">
      <w:pPr>
        <w:pStyle w:val="Heading1"/>
        <w:rPr>
          <w:lang w:val="cy-GB"/>
        </w:rPr>
      </w:pPr>
      <w:r>
        <w:rPr>
          <w:lang w:val="cy-GB"/>
        </w:rPr>
        <w:lastRenderedPageBreak/>
        <w:t>Rhestr Cyfeirio</w:t>
      </w:r>
    </w:p>
    <w:p w14:paraId="67E68CE4" w14:textId="77777777" w:rsidR="00E843F6" w:rsidRDefault="00E843F6" w:rsidP="00E843F6">
      <w:pPr>
        <w:ind w:left="360"/>
      </w:pPr>
      <w:r>
        <w:t xml:space="preserve">ACBPS. (2009) </w:t>
      </w:r>
      <w:r w:rsidRPr="00E843F6">
        <w:rPr>
          <w:i/>
          <w:iCs/>
        </w:rPr>
        <w:t>Australian Covert Bullying Prevalence Study</w:t>
      </w:r>
      <w:r>
        <w:t xml:space="preserve">. Available at: </w:t>
      </w:r>
      <w:hyperlink r:id="rId10" w:history="1">
        <w:r w:rsidRPr="001915EA">
          <w:rPr>
            <w:rStyle w:val="Hyperlink"/>
          </w:rPr>
          <w:t>https://core.ac.uk/download/pdf/45830411.pdf</w:t>
        </w:r>
      </w:hyperlink>
      <w:r>
        <w:t xml:space="preserve"> (Accessed: 20 October 2021).</w:t>
      </w:r>
    </w:p>
    <w:p w14:paraId="12B80157" w14:textId="77777777" w:rsidR="00E843F6" w:rsidRDefault="00E843F6" w:rsidP="00E843F6">
      <w:pPr>
        <w:ind w:left="360"/>
      </w:pPr>
      <w:proofErr w:type="spellStart"/>
      <w:r>
        <w:t>Akos</w:t>
      </w:r>
      <w:proofErr w:type="spellEnd"/>
      <w:r>
        <w:t xml:space="preserve">, P. and </w:t>
      </w:r>
      <w:proofErr w:type="spellStart"/>
      <w:r>
        <w:t>Galassi</w:t>
      </w:r>
      <w:proofErr w:type="spellEnd"/>
      <w:r>
        <w:t xml:space="preserve">, J. (2004) ‘Middle and high school transitions as viewed by students, parents and teachers’, </w:t>
      </w:r>
      <w:r w:rsidRPr="00E843F6">
        <w:rPr>
          <w:i/>
          <w:iCs/>
        </w:rPr>
        <w:t xml:space="preserve">American School Counsellors Association, </w:t>
      </w:r>
      <w:r>
        <w:t>7(4), pp. 212-220.</w:t>
      </w:r>
    </w:p>
    <w:p w14:paraId="38181968" w14:textId="77777777" w:rsidR="00E843F6" w:rsidRPr="00331CB2" w:rsidRDefault="00E843F6" w:rsidP="00E843F6">
      <w:pPr>
        <w:ind w:left="360"/>
      </w:pPr>
      <w:r w:rsidRPr="00331CB2">
        <w:t xml:space="preserve">Ashton, R. (2008) ‘Improving the transfer to secondary school: How every child’s voice can matter’, </w:t>
      </w:r>
      <w:r w:rsidRPr="00E843F6">
        <w:rPr>
          <w:i/>
          <w:iCs/>
        </w:rPr>
        <w:t>Support for Learning</w:t>
      </w:r>
      <w:r w:rsidRPr="00331CB2">
        <w:t>, 23(4), pp. 176-182.</w:t>
      </w:r>
    </w:p>
    <w:p w14:paraId="0F938A78" w14:textId="77777777" w:rsidR="00E843F6" w:rsidRDefault="00E843F6" w:rsidP="00E843F6">
      <w:pPr>
        <w:ind w:left="360"/>
      </w:pPr>
      <w:r>
        <w:t xml:space="preserve">Bouffard, T., Boileau, L. and </w:t>
      </w:r>
      <w:proofErr w:type="spellStart"/>
      <w:r>
        <w:t>Vezeau</w:t>
      </w:r>
      <w:proofErr w:type="spellEnd"/>
      <w:r>
        <w:t xml:space="preserve">, C. (2001) ‘Students’ transition from elementary to high school and changes of the relationship between motivation and academic performance’, </w:t>
      </w:r>
      <w:r w:rsidRPr="00E843F6">
        <w:rPr>
          <w:i/>
          <w:iCs/>
        </w:rPr>
        <w:t>European Journal of Psychology of Education</w:t>
      </w:r>
      <w:r>
        <w:t>, 16(4), pp. 589-604.</w:t>
      </w:r>
    </w:p>
    <w:p w14:paraId="2A33CF59" w14:textId="77777777" w:rsidR="00E843F6" w:rsidRDefault="00E843F6" w:rsidP="00E843F6">
      <w:pPr>
        <w:ind w:left="360"/>
      </w:pPr>
      <w:r>
        <w:t xml:space="preserve">Brennon, M. and Green, B. (1993) </w:t>
      </w:r>
      <w:r w:rsidRPr="00E843F6">
        <w:rPr>
          <w:i/>
          <w:iCs/>
        </w:rPr>
        <w:t>Critical Reflective Writing</w:t>
      </w:r>
      <w:r>
        <w:t>. Geelong: Deakin University.</w:t>
      </w:r>
    </w:p>
    <w:p w14:paraId="20A65430" w14:textId="77777777" w:rsidR="00E843F6" w:rsidRDefault="00E843F6" w:rsidP="00E843F6">
      <w:pPr>
        <w:ind w:left="360"/>
      </w:pPr>
      <w:r w:rsidRPr="00AF2AAE">
        <w:t xml:space="preserve">British Educational Research Association. (2018) </w:t>
      </w:r>
      <w:r w:rsidRPr="00E843F6">
        <w:rPr>
          <w:i/>
          <w:iCs/>
        </w:rPr>
        <w:t>Ethical Guidelines for Educational Research</w:t>
      </w:r>
      <w:r w:rsidRPr="00AF2AAE">
        <w:t>. London: British Educational Research Association</w:t>
      </w:r>
      <w:r>
        <w:t>.</w:t>
      </w:r>
    </w:p>
    <w:p w14:paraId="27F87A86" w14:textId="77777777" w:rsidR="00E843F6" w:rsidRDefault="00E843F6" w:rsidP="00E843F6">
      <w:pPr>
        <w:ind w:left="360"/>
      </w:pPr>
      <w:r>
        <w:t xml:space="preserve">Calandra, B., Brantley-Dias, L., Lee, J. and Fox, D. (2009) ‘Using Video Editing to Cultivate Novice Teachers’ Practice’, </w:t>
      </w:r>
      <w:r w:rsidRPr="00E843F6">
        <w:rPr>
          <w:i/>
          <w:iCs/>
        </w:rPr>
        <w:t>Journal of Research on Technology in Education</w:t>
      </w:r>
      <w:r>
        <w:t>, 42(1), pp. 73-94.</w:t>
      </w:r>
    </w:p>
    <w:p w14:paraId="02812C4B" w14:textId="77777777" w:rsidR="00E843F6" w:rsidRDefault="00E843F6" w:rsidP="00E843F6">
      <w:pPr>
        <w:ind w:left="360"/>
      </w:pPr>
      <w:r>
        <w:t xml:space="preserve">Cappella, S. and Weinstein, R. (2001) ‘Turning around reading achievement: Predictors of high school students’ academic resilience’, </w:t>
      </w:r>
      <w:r w:rsidRPr="00E843F6">
        <w:rPr>
          <w:i/>
          <w:iCs/>
        </w:rPr>
        <w:t>Journal of Educational Psychology</w:t>
      </w:r>
      <w:r>
        <w:t>, 93(4), pp. 758</w:t>
      </w:r>
    </w:p>
    <w:p w14:paraId="308CE2E8" w14:textId="77777777" w:rsidR="00E843F6" w:rsidRDefault="00E843F6" w:rsidP="00E843F6">
      <w:pPr>
        <w:ind w:left="360"/>
      </w:pPr>
      <w:r>
        <w:t xml:space="preserve">Chouinard, R., Roy, N., Archambault, I. and Smith, J. (2017) ‘Relationships with Teachers and Achievement Motivation in the Context of the Transition to Secondary School’, </w:t>
      </w:r>
      <w:r w:rsidRPr="00E843F6">
        <w:rPr>
          <w:i/>
          <w:iCs/>
        </w:rPr>
        <w:t>Interdisciplinary Education and Psychology</w:t>
      </w:r>
      <w:r>
        <w:t>, 2(1), pp. 1-15.</w:t>
      </w:r>
    </w:p>
    <w:p w14:paraId="27E9B7D3" w14:textId="77777777" w:rsidR="00E843F6" w:rsidRPr="00E843F6" w:rsidRDefault="00E843F6" w:rsidP="00E843F6">
      <w:pPr>
        <w:ind w:left="360"/>
        <w:rPr>
          <w:i/>
          <w:iCs/>
        </w:rPr>
      </w:pPr>
      <w:r>
        <w:t xml:space="preserve">Cruickshank, D. and Applegate, J. (1981) ‘Reflective teaching as a strategy for teacher growth’, </w:t>
      </w:r>
      <w:r w:rsidRPr="00E843F6">
        <w:rPr>
          <w:i/>
          <w:iCs/>
        </w:rPr>
        <w:t>Educational Leadership</w:t>
      </w:r>
      <w:r w:rsidRPr="005A69F2">
        <w:t>, 38(7), pp. 553-554</w:t>
      </w:r>
      <w:r w:rsidRPr="00E843F6">
        <w:rPr>
          <w:i/>
          <w:iCs/>
        </w:rPr>
        <w:t>.</w:t>
      </w:r>
    </w:p>
    <w:p w14:paraId="4C3DE674" w14:textId="77777777" w:rsidR="00E843F6" w:rsidRPr="00E11AC0" w:rsidRDefault="00E843F6" w:rsidP="00E843F6">
      <w:pPr>
        <w:ind w:left="360"/>
      </w:pPr>
      <w:r w:rsidRPr="00E11AC0">
        <w:t xml:space="preserve">Dewey, J. (1933) </w:t>
      </w:r>
      <w:r w:rsidRPr="00E843F6">
        <w:rPr>
          <w:i/>
          <w:iCs/>
        </w:rPr>
        <w:t>How We Think: A restatement of the relation of reflective thinking to the educative process</w:t>
      </w:r>
      <w:r w:rsidRPr="00E11AC0">
        <w:t>. Chicago: Henry Regnery.</w:t>
      </w:r>
    </w:p>
    <w:p w14:paraId="7DBED0F2" w14:textId="77777777" w:rsidR="00E843F6" w:rsidRDefault="00E843F6" w:rsidP="00E843F6">
      <w:pPr>
        <w:ind w:left="360"/>
      </w:pPr>
      <w:r>
        <w:t xml:space="preserve">Donaldson, G. (2015) </w:t>
      </w:r>
      <w:r w:rsidRPr="00E843F6">
        <w:rPr>
          <w:i/>
          <w:iCs/>
        </w:rPr>
        <w:t xml:space="preserve">Successful Futures Independent Review of Curriculum and Assessment Arrangements in Wales. </w:t>
      </w:r>
      <w:r>
        <w:t xml:space="preserve">Available at: </w:t>
      </w:r>
      <w:hyperlink r:id="rId11" w:history="1">
        <w:r w:rsidRPr="00944566">
          <w:rPr>
            <w:rStyle w:val="Hyperlink"/>
          </w:rPr>
          <w:t>https://gov.wales/sites/default/files/publications/2018-03/successful-futures.pdf</w:t>
        </w:r>
      </w:hyperlink>
      <w:r>
        <w:t xml:space="preserve"> (Accessed: 3 October 2021).</w:t>
      </w:r>
    </w:p>
    <w:p w14:paraId="1C62C7D5" w14:textId="77777777" w:rsidR="00E843F6" w:rsidRDefault="00E843F6" w:rsidP="00E843F6">
      <w:pPr>
        <w:ind w:left="360"/>
      </w:pPr>
      <w:r>
        <w:t xml:space="preserve">Eccles, J., Lord, S. and Midgley, C. (1991) ‘What are we doing to early adolescents? The impact of educational contexts on early adolescents’, </w:t>
      </w:r>
      <w:r w:rsidRPr="00E843F6">
        <w:rPr>
          <w:i/>
          <w:iCs/>
        </w:rPr>
        <w:t>American Journal of Education</w:t>
      </w:r>
      <w:r>
        <w:t>, 99(4), pp. 521-542.</w:t>
      </w:r>
    </w:p>
    <w:p w14:paraId="1498E9DC" w14:textId="77777777" w:rsidR="00E843F6" w:rsidRDefault="00E843F6" w:rsidP="00E843F6">
      <w:pPr>
        <w:ind w:left="360"/>
      </w:pPr>
      <w:r>
        <w:t xml:space="preserve">Engels, M., </w:t>
      </w:r>
      <w:proofErr w:type="spellStart"/>
      <w:r>
        <w:t>Colpin</w:t>
      </w:r>
      <w:proofErr w:type="spellEnd"/>
      <w:r>
        <w:t xml:space="preserve">, H., Van Leeuwen, K., </w:t>
      </w:r>
      <w:proofErr w:type="spellStart"/>
      <w:r>
        <w:t>Bijttebier</w:t>
      </w:r>
      <w:proofErr w:type="spellEnd"/>
      <w:r>
        <w:t xml:space="preserve">, P., Van Den </w:t>
      </w:r>
      <w:proofErr w:type="spellStart"/>
      <w:r>
        <w:t>Noortgate</w:t>
      </w:r>
      <w:proofErr w:type="spellEnd"/>
      <w:r>
        <w:t xml:space="preserve">, W., Claes, S., </w:t>
      </w:r>
      <w:proofErr w:type="spellStart"/>
      <w:r>
        <w:t>Goossens</w:t>
      </w:r>
      <w:proofErr w:type="spellEnd"/>
      <w:r>
        <w:t xml:space="preserve">, L. and </w:t>
      </w:r>
      <w:proofErr w:type="spellStart"/>
      <w:r>
        <w:t>Verschueren</w:t>
      </w:r>
      <w:proofErr w:type="spellEnd"/>
      <w:r>
        <w:t xml:space="preserve">, K. (2016) ‘Behavioural Engagement, Peer Status, and Teacher-Student Relationships in Adolescence: A Longitudinal Study on Reciprocal Influences’, </w:t>
      </w:r>
      <w:r w:rsidRPr="00E843F6">
        <w:rPr>
          <w:i/>
          <w:iCs/>
        </w:rPr>
        <w:t>Journal of Youth and Adolescence</w:t>
      </w:r>
      <w:r>
        <w:t>, 45(6), pp. 1192-1207.</w:t>
      </w:r>
    </w:p>
    <w:p w14:paraId="4950483B" w14:textId="77777777" w:rsidR="00E843F6" w:rsidRPr="00D965D1" w:rsidRDefault="00E843F6" w:rsidP="00E843F6">
      <w:pPr>
        <w:ind w:left="360"/>
      </w:pPr>
      <w:r>
        <w:t xml:space="preserve">Engels, M., </w:t>
      </w:r>
      <w:proofErr w:type="spellStart"/>
      <w:r>
        <w:t>Pakarinen</w:t>
      </w:r>
      <w:proofErr w:type="spellEnd"/>
      <w:r>
        <w:t xml:space="preserve">, E., </w:t>
      </w:r>
      <w:proofErr w:type="spellStart"/>
      <w:r>
        <w:t>Lerkkanen</w:t>
      </w:r>
      <w:proofErr w:type="spellEnd"/>
      <w:r>
        <w:t xml:space="preserve">, M. and </w:t>
      </w:r>
      <w:proofErr w:type="spellStart"/>
      <w:r>
        <w:t>Verschueren</w:t>
      </w:r>
      <w:proofErr w:type="spellEnd"/>
      <w:r>
        <w:t xml:space="preserve">, K. (2019) ‘Students’ academic and emotional adjustment during the transition from primary to secondary school: A cross-lagged study’, </w:t>
      </w:r>
      <w:r w:rsidRPr="00E843F6">
        <w:rPr>
          <w:i/>
          <w:iCs/>
        </w:rPr>
        <w:t>Journal of School Psychology</w:t>
      </w:r>
      <w:r>
        <w:t>, 76(1), pp. 140-158.</w:t>
      </w:r>
    </w:p>
    <w:p w14:paraId="27EFD8D3" w14:textId="77777777" w:rsidR="00E843F6" w:rsidRDefault="00E843F6" w:rsidP="00E843F6">
      <w:pPr>
        <w:ind w:left="360"/>
      </w:pPr>
      <w:r>
        <w:t xml:space="preserve">Estyn (2019) </w:t>
      </w:r>
      <w:r w:rsidRPr="00E843F6">
        <w:rPr>
          <w:i/>
          <w:iCs/>
        </w:rPr>
        <w:t xml:space="preserve">A report on </w:t>
      </w:r>
      <w:r w:rsidRPr="00E843F6">
        <w:rPr>
          <w:i/>
          <w:iCs/>
          <w:highlight w:val="black"/>
        </w:rPr>
        <w:t xml:space="preserve">Ysgol </w:t>
      </w:r>
      <w:proofErr w:type="spellStart"/>
      <w:r w:rsidRPr="00E843F6">
        <w:rPr>
          <w:i/>
          <w:iCs/>
          <w:highlight w:val="black"/>
        </w:rPr>
        <w:t>Gymraeg</w:t>
      </w:r>
      <w:proofErr w:type="spellEnd"/>
      <w:r w:rsidRPr="00E843F6">
        <w:rPr>
          <w:i/>
          <w:iCs/>
          <w:highlight w:val="black"/>
        </w:rPr>
        <w:t xml:space="preserve"> Bro Morgannwg</w:t>
      </w:r>
      <w:r w:rsidRPr="00E843F6">
        <w:rPr>
          <w:i/>
          <w:iCs/>
        </w:rPr>
        <w:t>.</w:t>
      </w:r>
      <w:r>
        <w:t xml:space="preserve"> Available at: </w:t>
      </w:r>
      <w:r w:rsidRPr="00D51E2B">
        <w:t>https://www.estyn.gov.wales/system/files/2021-08/Inspection%20report%</w:t>
      </w:r>
      <w:r w:rsidRPr="00E843F6">
        <w:rPr>
          <w:highlight w:val="black"/>
        </w:rPr>
        <w:t>20Ysgol%20Gymraeg%20Bro%20Morgannwg</w:t>
      </w:r>
      <w:r w:rsidRPr="00D51E2B">
        <w:t xml:space="preserve">%202019.pdf </w:t>
      </w:r>
      <w:r>
        <w:t xml:space="preserve">(Accessed: 28 September 2021). </w:t>
      </w:r>
    </w:p>
    <w:p w14:paraId="375DE4E1" w14:textId="77777777" w:rsidR="00E843F6" w:rsidRDefault="00E843F6" w:rsidP="00E843F6">
      <w:pPr>
        <w:ind w:left="360"/>
      </w:pPr>
      <w:r>
        <w:t xml:space="preserve">Farrell, T. (2004) </w:t>
      </w:r>
      <w:r w:rsidRPr="00E843F6">
        <w:rPr>
          <w:i/>
          <w:iCs/>
        </w:rPr>
        <w:t>Reflective practice in action: 80 reflection breaks for busy teachers</w:t>
      </w:r>
      <w:r>
        <w:t>. California: Corwin Press.</w:t>
      </w:r>
    </w:p>
    <w:p w14:paraId="2822577E" w14:textId="77777777" w:rsidR="00E843F6" w:rsidRDefault="00E843F6" w:rsidP="00E843F6">
      <w:pPr>
        <w:ind w:left="360"/>
      </w:pPr>
      <w:r>
        <w:t xml:space="preserve">Fischer, N. and Theis, D. (2014) ‘Extracurricular participation and the development of school attachment and learning goal orientation: The impact of school quality’, </w:t>
      </w:r>
      <w:r w:rsidRPr="00E843F6">
        <w:rPr>
          <w:i/>
          <w:iCs/>
        </w:rPr>
        <w:t xml:space="preserve">Developmental Psychology, </w:t>
      </w:r>
      <w:r>
        <w:t>50(6), pp. 1788-1793.</w:t>
      </w:r>
    </w:p>
    <w:p w14:paraId="488348C0" w14:textId="77777777" w:rsidR="00E843F6" w:rsidRDefault="00E843F6" w:rsidP="00E843F6">
      <w:pPr>
        <w:ind w:left="360"/>
      </w:pPr>
      <w:r>
        <w:t xml:space="preserve">Flanagan, J. (1954) ‘The critical incident technique’, </w:t>
      </w:r>
      <w:r w:rsidRPr="00E843F6">
        <w:rPr>
          <w:i/>
          <w:iCs/>
        </w:rPr>
        <w:t xml:space="preserve">Psychological Bulletin, </w:t>
      </w:r>
      <w:r>
        <w:t>51(4), pp. 327-358.</w:t>
      </w:r>
    </w:p>
    <w:p w14:paraId="6F8ACEA1" w14:textId="77777777" w:rsidR="00E843F6" w:rsidRDefault="00E843F6" w:rsidP="00E843F6">
      <w:pPr>
        <w:ind w:left="360"/>
      </w:pPr>
      <w:r>
        <w:t xml:space="preserve">Freeman, D. (1993) ‘Renaming Experience/Reconstructing Practice: Developing New Understanding of Teaching’, </w:t>
      </w:r>
      <w:r w:rsidRPr="00E843F6">
        <w:rPr>
          <w:i/>
          <w:iCs/>
        </w:rPr>
        <w:t>Teaching and Teacher Education,</w:t>
      </w:r>
      <w:r>
        <w:t xml:space="preserve"> 9(5), pp. 485-497.</w:t>
      </w:r>
    </w:p>
    <w:p w14:paraId="3B25F15F" w14:textId="77777777" w:rsidR="00E843F6" w:rsidRDefault="00E843F6" w:rsidP="00E843F6">
      <w:pPr>
        <w:ind w:left="360"/>
      </w:pPr>
      <w:r>
        <w:t xml:space="preserve">Galton, M., Gray, J. and Ruddock, J. (1999) </w:t>
      </w:r>
      <w:r w:rsidRPr="00E843F6">
        <w:rPr>
          <w:i/>
          <w:iCs/>
        </w:rPr>
        <w:t xml:space="preserve">The impact of school transition and transfers on pupil progress and attainment. </w:t>
      </w:r>
      <w:r>
        <w:t>Cambridge: Homerton College.</w:t>
      </w:r>
    </w:p>
    <w:p w14:paraId="39A99F28" w14:textId="77777777" w:rsidR="00E843F6" w:rsidRDefault="00E843F6" w:rsidP="00E843F6">
      <w:pPr>
        <w:ind w:left="360"/>
      </w:pPr>
      <w:r>
        <w:t xml:space="preserve">Gibbs, G. (1988) </w:t>
      </w:r>
      <w:r w:rsidRPr="00E843F6">
        <w:rPr>
          <w:i/>
          <w:iCs/>
        </w:rPr>
        <w:t>Learning by Doing.</w:t>
      </w:r>
      <w:r>
        <w:t xml:space="preserve"> </w:t>
      </w:r>
      <w:r w:rsidRPr="00E843F6">
        <w:rPr>
          <w:i/>
          <w:iCs/>
        </w:rPr>
        <w:t>A Guide to Teaching and Learning Methods</w:t>
      </w:r>
      <w:r>
        <w:t>. Oxford: Further Education Unit.</w:t>
      </w:r>
    </w:p>
    <w:p w14:paraId="3B4B8C9C" w14:textId="77777777" w:rsidR="00E843F6" w:rsidRDefault="00E843F6" w:rsidP="00E843F6">
      <w:pPr>
        <w:ind w:left="360"/>
      </w:pPr>
      <w:r>
        <w:t xml:space="preserve">Gibbs, G. (1988) </w:t>
      </w:r>
      <w:r w:rsidRPr="00E843F6">
        <w:rPr>
          <w:i/>
          <w:iCs/>
        </w:rPr>
        <w:t>Learning by Doing: A Guide to Teaching and Learning Methods</w:t>
      </w:r>
      <w:r>
        <w:t>. Oxford: Further Education Unit.</w:t>
      </w:r>
    </w:p>
    <w:p w14:paraId="5C5E16A9" w14:textId="77777777" w:rsidR="00E843F6" w:rsidRDefault="00E843F6" w:rsidP="00E843F6">
      <w:pPr>
        <w:ind w:left="360"/>
      </w:pPr>
      <w:r>
        <w:lastRenderedPageBreak/>
        <w:t xml:space="preserve">Griffin, M. (2003) ‘Using Critical Incidents to Promote and Assess Reflective Thinking in Preservice Teachers’, </w:t>
      </w:r>
      <w:r w:rsidRPr="00E843F6">
        <w:rPr>
          <w:i/>
          <w:iCs/>
        </w:rPr>
        <w:t xml:space="preserve">Reflective Practice, </w:t>
      </w:r>
      <w:r>
        <w:t>4(2), pp. 207-220.</w:t>
      </w:r>
    </w:p>
    <w:p w14:paraId="20983101" w14:textId="77777777" w:rsidR="00E843F6" w:rsidRDefault="00E843F6" w:rsidP="00E843F6">
      <w:pPr>
        <w:ind w:left="360"/>
      </w:pPr>
      <w:proofErr w:type="spellStart"/>
      <w:r>
        <w:t>Guskey</w:t>
      </w:r>
      <w:proofErr w:type="spellEnd"/>
      <w:r>
        <w:t xml:space="preserve">, T. (2013) ‘Defining student achievement’, in Hattie, J. and Anderman, E. (ed.) </w:t>
      </w:r>
      <w:r w:rsidRPr="00E843F6">
        <w:rPr>
          <w:i/>
          <w:iCs/>
        </w:rPr>
        <w:t>International Guide to Student Achievement</w:t>
      </w:r>
      <w:r>
        <w:t>. New York: Routledge.</w:t>
      </w:r>
    </w:p>
    <w:p w14:paraId="099CC484" w14:textId="77777777" w:rsidR="00E843F6" w:rsidRDefault="00E843F6" w:rsidP="00E843F6">
      <w:pPr>
        <w:ind w:left="360"/>
      </w:pPr>
      <w:proofErr w:type="spellStart"/>
      <w:r>
        <w:t>Heinsch</w:t>
      </w:r>
      <w:proofErr w:type="spellEnd"/>
      <w:r>
        <w:t xml:space="preserve">, M., </w:t>
      </w:r>
      <w:proofErr w:type="spellStart"/>
      <w:r>
        <w:t>Agllias</w:t>
      </w:r>
      <w:proofErr w:type="spellEnd"/>
      <w:r>
        <w:t xml:space="preserve">, J., Sampson, D., Howard, A., Blakemore, T. and </w:t>
      </w:r>
      <w:proofErr w:type="spellStart"/>
      <w:r>
        <w:t>Cootes</w:t>
      </w:r>
      <w:proofErr w:type="spellEnd"/>
      <w:r>
        <w:t xml:space="preserve">, H. (2020) ‘Peer connectedness during the transition to secondary school: a collaborative opportunity for education and social work’, </w:t>
      </w:r>
      <w:r w:rsidRPr="00E843F6">
        <w:rPr>
          <w:i/>
          <w:iCs/>
        </w:rPr>
        <w:t>The Australian Educational Researcher</w:t>
      </w:r>
      <w:r>
        <w:t>, 47(2), pp. 339-356.</w:t>
      </w:r>
    </w:p>
    <w:p w14:paraId="5E2BA490" w14:textId="77777777" w:rsidR="00E843F6" w:rsidRDefault="00E843F6" w:rsidP="00E843F6">
      <w:pPr>
        <w:ind w:left="360"/>
      </w:pPr>
      <w:r>
        <w:t xml:space="preserve">Hobbs, V. (2007) ‘Faking it or hating it: can reflective practice be forced?’, </w:t>
      </w:r>
      <w:r w:rsidRPr="00E843F6">
        <w:rPr>
          <w:i/>
          <w:iCs/>
        </w:rPr>
        <w:t>Reflective Practice</w:t>
      </w:r>
      <w:r>
        <w:t>, 8(3), pp. 405-417.</w:t>
      </w:r>
    </w:p>
    <w:p w14:paraId="4B551362" w14:textId="77777777" w:rsidR="00E843F6" w:rsidRDefault="00E843F6" w:rsidP="00E843F6">
      <w:pPr>
        <w:ind w:left="360"/>
      </w:pPr>
      <w:r>
        <w:t xml:space="preserve">Hopwood, B., Hay, I. and </w:t>
      </w:r>
      <w:proofErr w:type="spellStart"/>
      <w:r>
        <w:t>Dyment</w:t>
      </w:r>
      <w:proofErr w:type="spellEnd"/>
      <w:r>
        <w:t xml:space="preserve">, J. (2014) ‘Literacy and students’ transition into secondary school’, in </w:t>
      </w:r>
      <w:proofErr w:type="spellStart"/>
      <w:r>
        <w:t>Fitzallen</w:t>
      </w:r>
      <w:proofErr w:type="spellEnd"/>
      <w:r>
        <w:t xml:space="preserve">, N., Fan, S. and </w:t>
      </w:r>
      <w:proofErr w:type="spellStart"/>
      <w:r>
        <w:t>Reaburn</w:t>
      </w:r>
      <w:proofErr w:type="spellEnd"/>
      <w:r>
        <w:t xml:space="preserve">, R. (ed.) </w:t>
      </w:r>
      <w:r w:rsidRPr="00E843F6">
        <w:rPr>
          <w:i/>
          <w:iCs/>
        </w:rPr>
        <w:t>The Future of Educational Research</w:t>
      </w:r>
      <w:r>
        <w:t>. Dordrecht: Sense Publishers.</w:t>
      </w:r>
    </w:p>
    <w:p w14:paraId="19D58619" w14:textId="77777777" w:rsidR="00E843F6" w:rsidRDefault="00E843F6" w:rsidP="00E843F6">
      <w:pPr>
        <w:ind w:left="360"/>
      </w:pPr>
      <w:r>
        <w:t xml:space="preserve">Jaeger, E. (2013) ‘Teacher Reflection: Supports, Barriers, and Results’, </w:t>
      </w:r>
      <w:r w:rsidRPr="00E843F6">
        <w:rPr>
          <w:i/>
          <w:iCs/>
        </w:rPr>
        <w:t xml:space="preserve">Issues in Teacher Education, </w:t>
      </w:r>
      <w:r>
        <w:t>22(1), pp. 89-104.</w:t>
      </w:r>
    </w:p>
    <w:p w14:paraId="2F862B59" w14:textId="77777777" w:rsidR="00E843F6" w:rsidRDefault="00E843F6" w:rsidP="00E843F6">
      <w:pPr>
        <w:ind w:left="360"/>
      </w:pPr>
      <w:r>
        <w:t xml:space="preserve">Jasper, M. (2003) ‘Nurses’ Perceptions of the Value of Written Reflection’, </w:t>
      </w:r>
      <w:r w:rsidRPr="00E843F6">
        <w:rPr>
          <w:i/>
          <w:iCs/>
        </w:rPr>
        <w:t>Nurse Education Today</w:t>
      </w:r>
      <w:r>
        <w:t>, 19(6), pp. 452-463.</w:t>
      </w:r>
    </w:p>
    <w:p w14:paraId="4939CCFF" w14:textId="77777777" w:rsidR="00E843F6" w:rsidRDefault="00E843F6" w:rsidP="00E843F6">
      <w:pPr>
        <w:ind w:left="360"/>
      </w:pPr>
      <w:proofErr w:type="spellStart"/>
      <w:r>
        <w:t>Longobardi</w:t>
      </w:r>
      <w:proofErr w:type="spellEnd"/>
      <w:r>
        <w:t xml:space="preserve">, C., </w:t>
      </w:r>
      <w:proofErr w:type="spellStart"/>
      <w:r>
        <w:t>Prino</w:t>
      </w:r>
      <w:proofErr w:type="spellEnd"/>
      <w:r>
        <w:t xml:space="preserve">, L., Marengo, D. and </w:t>
      </w:r>
      <w:proofErr w:type="spellStart"/>
      <w:r>
        <w:t>Settanni</w:t>
      </w:r>
      <w:proofErr w:type="spellEnd"/>
      <w:r>
        <w:t xml:space="preserve">, M. (2016) ‘Student-teacher relationships as a protective factor for school adjustment during the transition from middle to high school’, </w:t>
      </w:r>
      <w:r w:rsidRPr="00E843F6">
        <w:rPr>
          <w:i/>
          <w:iCs/>
        </w:rPr>
        <w:t>Frontiers in Psychology</w:t>
      </w:r>
      <w:r>
        <w:t>, 7(1), pp. 1988.</w:t>
      </w:r>
    </w:p>
    <w:p w14:paraId="497A4068" w14:textId="77777777" w:rsidR="00E843F6" w:rsidRDefault="00E843F6" w:rsidP="00E843F6">
      <w:pPr>
        <w:ind w:left="360"/>
      </w:pPr>
      <w:r>
        <w:t xml:space="preserve">Mathew, P., Mathew, P. and </w:t>
      </w:r>
      <w:proofErr w:type="spellStart"/>
      <w:r>
        <w:t>Peechattu</w:t>
      </w:r>
      <w:proofErr w:type="spellEnd"/>
      <w:r>
        <w:t xml:space="preserve">, P. (2017) ‘Reflective Practices: A Means to Teacher Development’, </w:t>
      </w:r>
      <w:r w:rsidRPr="00E843F6">
        <w:rPr>
          <w:i/>
          <w:iCs/>
        </w:rPr>
        <w:t xml:space="preserve">Asia Pacific Journal of Contemporary Education and Communication Technology, </w:t>
      </w:r>
      <w:r>
        <w:t>3(1), pp. 126-131.</w:t>
      </w:r>
    </w:p>
    <w:p w14:paraId="7205B397" w14:textId="77777777" w:rsidR="00E843F6" w:rsidRDefault="00E843F6" w:rsidP="00E843F6">
      <w:pPr>
        <w:ind w:left="360"/>
      </w:pPr>
      <w:proofErr w:type="spellStart"/>
      <w:r>
        <w:t>Mierdirk</w:t>
      </w:r>
      <w:proofErr w:type="spellEnd"/>
      <w:r>
        <w:t xml:space="preserve">, C. (2016) ‘Is reflective practice an essential component of becoming a professional teacher?’, </w:t>
      </w:r>
      <w:r w:rsidRPr="00E843F6">
        <w:rPr>
          <w:i/>
          <w:iCs/>
        </w:rPr>
        <w:t>Reflective Practice</w:t>
      </w:r>
      <w:r>
        <w:t>, 17(3), pp. 369-378.</w:t>
      </w:r>
    </w:p>
    <w:p w14:paraId="5FC79194" w14:textId="77777777" w:rsidR="00E843F6" w:rsidRPr="00D965D1" w:rsidRDefault="00E843F6" w:rsidP="00E843F6">
      <w:pPr>
        <w:ind w:left="360"/>
      </w:pPr>
      <w:proofErr w:type="spellStart"/>
      <w:r>
        <w:t>Mizelle</w:t>
      </w:r>
      <w:proofErr w:type="spellEnd"/>
      <w:r>
        <w:t xml:space="preserve">, N. and Irvin, J. (2000) ‘Transition from middle school into high school’, </w:t>
      </w:r>
      <w:r w:rsidRPr="00E843F6">
        <w:rPr>
          <w:i/>
          <w:iCs/>
        </w:rPr>
        <w:t>Middle School Journal</w:t>
      </w:r>
      <w:r w:rsidRPr="00D965D1">
        <w:t>, 31(5), pp. 57-61.</w:t>
      </w:r>
    </w:p>
    <w:p w14:paraId="0628BFFF" w14:textId="77777777" w:rsidR="00E843F6" w:rsidRDefault="00E843F6" w:rsidP="00E843F6">
      <w:pPr>
        <w:ind w:left="360"/>
      </w:pPr>
      <w:r>
        <w:t xml:space="preserve">Naidu, S. and Oliver, M. (1999) ‘Critical Incident-Based Computer Supported Collaborative Learning’, </w:t>
      </w:r>
      <w:r w:rsidRPr="00E843F6">
        <w:rPr>
          <w:i/>
          <w:iCs/>
        </w:rPr>
        <w:t>Instructional Science</w:t>
      </w:r>
      <w:r>
        <w:t>, 27(5), 329-354.</w:t>
      </w:r>
    </w:p>
    <w:p w14:paraId="645A5C52" w14:textId="77777777" w:rsidR="00E843F6" w:rsidRDefault="00E843F6" w:rsidP="00E843F6">
      <w:pPr>
        <w:ind w:left="360"/>
      </w:pPr>
      <w:r>
        <w:lastRenderedPageBreak/>
        <w:t xml:space="preserve">Nielsen, L., Shaw, T., </w:t>
      </w:r>
      <w:proofErr w:type="spellStart"/>
      <w:r>
        <w:t>Meilstrup</w:t>
      </w:r>
      <w:proofErr w:type="spellEnd"/>
      <w:r>
        <w:t xml:space="preserve">, C., </w:t>
      </w:r>
      <w:proofErr w:type="spellStart"/>
      <w:r>
        <w:t>Koushede</w:t>
      </w:r>
      <w:proofErr w:type="spellEnd"/>
      <w:r>
        <w:t xml:space="preserve">, V., </w:t>
      </w:r>
      <w:proofErr w:type="spellStart"/>
      <w:r>
        <w:t>Bendsten</w:t>
      </w:r>
      <w:proofErr w:type="spellEnd"/>
      <w:r>
        <w:t xml:space="preserve">, P., Rasmussen, M., Lester, L., Due, P. and Cross, D. (2017) ‘School transition and mental health among adolescents: A comparative study of school systems in Denmark and Australia’, </w:t>
      </w:r>
      <w:r w:rsidRPr="00E843F6">
        <w:rPr>
          <w:i/>
          <w:iCs/>
        </w:rPr>
        <w:t>International Journal of Educational Research</w:t>
      </w:r>
      <w:r>
        <w:t>, 83(1), pp. 65-74.</w:t>
      </w:r>
    </w:p>
    <w:p w14:paraId="7994A8F3" w14:textId="77777777" w:rsidR="00E843F6" w:rsidRDefault="00E843F6" w:rsidP="00E843F6">
      <w:pPr>
        <w:ind w:left="360"/>
      </w:pPr>
      <w:proofErr w:type="spellStart"/>
      <w:r>
        <w:t>Paulick</w:t>
      </w:r>
      <w:proofErr w:type="spellEnd"/>
      <w:r>
        <w:t xml:space="preserve">, I., </w:t>
      </w:r>
      <w:proofErr w:type="spellStart"/>
      <w:r>
        <w:t>Watermann</w:t>
      </w:r>
      <w:proofErr w:type="spellEnd"/>
      <w:r>
        <w:t xml:space="preserve">, R. and </w:t>
      </w:r>
      <w:proofErr w:type="spellStart"/>
      <w:r>
        <w:t>Nückles</w:t>
      </w:r>
      <w:proofErr w:type="spellEnd"/>
      <w:r>
        <w:t xml:space="preserve">, M. (2013) ‘Achievement goals and school achievement: The transition to different school tracks in secondary school’, </w:t>
      </w:r>
      <w:r w:rsidRPr="00E843F6">
        <w:rPr>
          <w:i/>
          <w:iCs/>
        </w:rPr>
        <w:t>Contemporary Educational Psychology</w:t>
      </w:r>
      <w:r>
        <w:t>, 38(1), pp. 75-86.</w:t>
      </w:r>
    </w:p>
    <w:p w14:paraId="57227972" w14:textId="77777777" w:rsidR="00E843F6" w:rsidRDefault="00E843F6" w:rsidP="00E843F6">
      <w:pPr>
        <w:ind w:left="360"/>
      </w:pPr>
      <w:r>
        <w:t xml:space="preserve">Reynolds, M. (1998) ‘Reflection and critical reflection in management learning’, </w:t>
      </w:r>
      <w:r w:rsidRPr="00E843F6">
        <w:rPr>
          <w:i/>
          <w:iCs/>
        </w:rPr>
        <w:t>Management Learning</w:t>
      </w:r>
      <w:r>
        <w:t>, 29(2), pp. 183-200.</w:t>
      </w:r>
    </w:p>
    <w:p w14:paraId="6099FE54" w14:textId="77777777" w:rsidR="00E843F6" w:rsidRDefault="00E843F6" w:rsidP="00E843F6">
      <w:pPr>
        <w:ind w:left="360"/>
      </w:pPr>
      <w:r>
        <w:t xml:space="preserve">Rice, J. (2001) ‘Explaining the impact of the transition from middle to high school on student performance in mathematics and science’, </w:t>
      </w:r>
      <w:r w:rsidRPr="00E843F6">
        <w:rPr>
          <w:i/>
          <w:iCs/>
        </w:rPr>
        <w:t xml:space="preserve">Educational Administration Quarterly, </w:t>
      </w:r>
      <w:r>
        <w:t>37(3), pp. 372-400.</w:t>
      </w:r>
    </w:p>
    <w:p w14:paraId="0EBEB648" w14:textId="77777777" w:rsidR="00E843F6" w:rsidRDefault="00E843F6" w:rsidP="00E843F6">
      <w:pPr>
        <w:ind w:left="360"/>
      </w:pPr>
      <w:r>
        <w:t xml:space="preserve">Roberts, J. (1998) </w:t>
      </w:r>
      <w:r w:rsidRPr="00E843F6">
        <w:rPr>
          <w:i/>
          <w:iCs/>
        </w:rPr>
        <w:t>Language Teacher Education</w:t>
      </w:r>
      <w:r>
        <w:t>. London: Arnold.</w:t>
      </w:r>
    </w:p>
    <w:p w14:paraId="4563B2DC" w14:textId="77777777" w:rsidR="00E843F6" w:rsidRDefault="00E843F6" w:rsidP="00E843F6">
      <w:pPr>
        <w:ind w:left="360"/>
      </w:pPr>
      <w:proofErr w:type="spellStart"/>
      <w:r>
        <w:t>Roeser</w:t>
      </w:r>
      <w:proofErr w:type="spellEnd"/>
      <w:r>
        <w:t>, R. and Eccles, J. (1998) ‘</w:t>
      </w:r>
      <w:proofErr w:type="spellStart"/>
      <w:r>
        <w:t>Asolescents</w:t>
      </w:r>
      <w:proofErr w:type="spellEnd"/>
      <w:r>
        <w:t xml:space="preserve">’ perceptions of middle school: Relation to longitudinal changes in academic and psychological adjustment’, </w:t>
      </w:r>
      <w:r w:rsidRPr="00E843F6">
        <w:rPr>
          <w:i/>
          <w:iCs/>
        </w:rPr>
        <w:t>Journal of Research on Adolescence</w:t>
      </w:r>
      <w:r>
        <w:t>, 8(1), pp. 123-158.</w:t>
      </w:r>
    </w:p>
    <w:p w14:paraId="1CD17F6F" w14:textId="77777777" w:rsidR="00E843F6" w:rsidRDefault="00E843F6" w:rsidP="00E843F6">
      <w:pPr>
        <w:ind w:left="360"/>
      </w:pPr>
      <w:proofErr w:type="spellStart"/>
      <w:r>
        <w:t>Salmela-Aro</w:t>
      </w:r>
      <w:proofErr w:type="spellEnd"/>
      <w:r>
        <w:t xml:space="preserve">, K. (2017) ‘Dark and bright sides of thriving – school burnout and engagement in the Finnish context’, </w:t>
      </w:r>
      <w:r w:rsidRPr="00E843F6">
        <w:rPr>
          <w:i/>
          <w:iCs/>
        </w:rPr>
        <w:t xml:space="preserve">European Journal of Developmental Psychology, </w:t>
      </w:r>
      <w:r>
        <w:t>14(3), pp. 337-349.</w:t>
      </w:r>
    </w:p>
    <w:p w14:paraId="2C12932D" w14:textId="77777777" w:rsidR="00E843F6" w:rsidRDefault="00E843F6" w:rsidP="00E843F6">
      <w:pPr>
        <w:ind w:left="360"/>
      </w:pPr>
      <w:proofErr w:type="spellStart"/>
      <w:r>
        <w:t>Salmela-Aro</w:t>
      </w:r>
      <w:proofErr w:type="spellEnd"/>
      <w:r>
        <w:t xml:space="preserve">, K., </w:t>
      </w:r>
      <w:proofErr w:type="spellStart"/>
      <w:r>
        <w:t>Kiuru</w:t>
      </w:r>
      <w:proofErr w:type="spellEnd"/>
      <w:r>
        <w:t xml:space="preserve">, N., </w:t>
      </w:r>
      <w:proofErr w:type="spellStart"/>
      <w:r>
        <w:t>Pietikäinen</w:t>
      </w:r>
      <w:proofErr w:type="spellEnd"/>
      <w:r>
        <w:t xml:space="preserve">, M. and Jokela, J. (2008) ‘Does school matter? The role of school context in adolescents’ school-related burnout’, </w:t>
      </w:r>
      <w:r w:rsidRPr="00E843F6">
        <w:rPr>
          <w:i/>
          <w:iCs/>
        </w:rPr>
        <w:t xml:space="preserve">European Psychologist, </w:t>
      </w:r>
      <w:r>
        <w:t>13(1), pp. 12-23.</w:t>
      </w:r>
    </w:p>
    <w:p w14:paraId="5FA4F49F" w14:textId="77777777" w:rsidR="00E843F6" w:rsidRDefault="00E843F6" w:rsidP="00E843F6">
      <w:pPr>
        <w:ind w:left="360"/>
      </w:pPr>
      <w:r>
        <w:t xml:space="preserve">Schön, D. (1983) </w:t>
      </w:r>
      <w:r w:rsidRPr="00E843F6">
        <w:rPr>
          <w:i/>
          <w:iCs/>
        </w:rPr>
        <w:t>The Reflective Practitioner: How Professionals Think in Action</w:t>
      </w:r>
      <w:r>
        <w:t>. New York: Basic Books.</w:t>
      </w:r>
    </w:p>
    <w:p w14:paraId="56495858" w14:textId="77777777" w:rsidR="00E843F6" w:rsidRDefault="00E843F6" w:rsidP="00E843F6">
      <w:pPr>
        <w:ind w:left="360"/>
      </w:pPr>
      <w:r>
        <w:t xml:space="preserve">Schön, D. (1987) </w:t>
      </w:r>
      <w:r w:rsidRPr="00E843F6">
        <w:rPr>
          <w:i/>
          <w:iCs/>
        </w:rPr>
        <w:t>Educating the Reflective Practitioner</w:t>
      </w:r>
      <w:r>
        <w:t>. San Francisco: Jossey Bass.</w:t>
      </w:r>
    </w:p>
    <w:p w14:paraId="56CF06FA" w14:textId="77777777" w:rsidR="00E843F6" w:rsidRDefault="00E843F6" w:rsidP="00E843F6">
      <w:pPr>
        <w:ind w:left="360"/>
      </w:pPr>
      <w:r>
        <w:t xml:space="preserve">Schön, D. and Argyris, C. (1974) </w:t>
      </w:r>
      <w:r w:rsidRPr="00E843F6">
        <w:rPr>
          <w:i/>
          <w:iCs/>
        </w:rPr>
        <w:t>Theory in Practice: Increasing Professional Effectiveness</w:t>
      </w:r>
      <w:r>
        <w:t>. San Francisco: Jossey-Bass.</w:t>
      </w:r>
    </w:p>
    <w:p w14:paraId="5F4B8AF2" w14:textId="77777777" w:rsidR="00E843F6" w:rsidRDefault="00E843F6" w:rsidP="00E843F6">
      <w:pPr>
        <w:ind w:left="360"/>
      </w:pPr>
      <w:proofErr w:type="spellStart"/>
      <w:r w:rsidRPr="00AA6FDB">
        <w:t>Serrat</w:t>
      </w:r>
      <w:proofErr w:type="spellEnd"/>
      <w:r w:rsidRPr="00AA6FDB">
        <w:t xml:space="preserve">, O. (2017) </w:t>
      </w:r>
      <w:r w:rsidRPr="00E843F6">
        <w:rPr>
          <w:i/>
          <w:iCs/>
        </w:rPr>
        <w:t>Knowledge Solutions Tools, Methods and Approaches to Drive Organizational Performance</w:t>
      </w:r>
      <w:r w:rsidRPr="00AA6FDB">
        <w:t xml:space="preserve">. </w:t>
      </w:r>
      <w:r>
        <w:t xml:space="preserve">Singapore: </w:t>
      </w:r>
      <w:r w:rsidRPr="00AA6FDB">
        <w:t>Springer Singapore.</w:t>
      </w:r>
    </w:p>
    <w:p w14:paraId="701E55DB" w14:textId="77777777" w:rsidR="00E843F6" w:rsidRDefault="00E843F6" w:rsidP="00E843F6">
      <w:pPr>
        <w:ind w:left="360"/>
      </w:pPr>
      <w:r>
        <w:lastRenderedPageBreak/>
        <w:t xml:space="preserve">Shim, S., Ryan, A. and Anderson, C. (2008) ‘Achievement goals and achievement during early adolescence: Examining time-varying predictor and outcome variables in growth-curve analysis’, </w:t>
      </w:r>
      <w:r w:rsidRPr="00E843F6">
        <w:rPr>
          <w:i/>
          <w:iCs/>
        </w:rPr>
        <w:t>Journal of Educational Psychology</w:t>
      </w:r>
      <w:r>
        <w:t>, 100(3), pp. 655-671.</w:t>
      </w:r>
    </w:p>
    <w:p w14:paraId="56D09AA2" w14:textId="77777777" w:rsidR="00E843F6" w:rsidRDefault="00E843F6" w:rsidP="00E843F6">
      <w:pPr>
        <w:ind w:left="360"/>
      </w:pPr>
      <w:r>
        <w:t>Skinner, E. (2016) ‘Engagement and disaffection as central to processes of motivational resilience and development’, in Kathryn, R. and Miele, D. (2</w:t>
      </w:r>
      <w:r w:rsidRPr="00E843F6">
        <w:rPr>
          <w:vertAlign w:val="superscript"/>
        </w:rPr>
        <w:t>nd</w:t>
      </w:r>
      <w:r>
        <w:t xml:space="preserve"> ed.) </w:t>
      </w:r>
      <w:r w:rsidRPr="00E843F6">
        <w:rPr>
          <w:i/>
          <w:iCs/>
        </w:rPr>
        <w:t>Handbook of Motivation at School</w:t>
      </w:r>
      <w:r>
        <w:t>. New York: Routledge.</w:t>
      </w:r>
    </w:p>
    <w:p w14:paraId="1BC91E3B" w14:textId="77777777" w:rsidR="00E843F6" w:rsidRDefault="00E843F6" w:rsidP="00E843F6">
      <w:pPr>
        <w:ind w:left="360"/>
      </w:pPr>
      <w:r>
        <w:t xml:space="preserve">Skinner, E., </w:t>
      </w:r>
      <w:proofErr w:type="spellStart"/>
      <w:r>
        <w:t>Furrer</w:t>
      </w:r>
      <w:proofErr w:type="spellEnd"/>
      <w:r>
        <w:t xml:space="preserve">, C., Marchand, G. and </w:t>
      </w:r>
      <w:proofErr w:type="spellStart"/>
      <w:r>
        <w:t>Kindermann</w:t>
      </w:r>
      <w:proofErr w:type="spellEnd"/>
      <w:r>
        <w:t xml:space="preserve">, T. (2008) ‘Engagement and disaffection in the classroom: Part of a larger motivational dynamic?’, </w:t>
      </w:r>
      <w:r w:rsidRPr="00E843F6">
        <w:rPr>
          <w:i/>
          <w:iCs/>
        </w:rPr>
        <w:t xml:space="preserve">Journal of Educational Psychology, </w:t>
      </w:r>
      <w:r>
        <w:t>100(4), pp. 765.</w:t>
      </w:r>
    </w:p>
    <w:p w14:paraId="0D998E0F" w14:textId="77777777" w:rsidR="00E843F6" w:rsidRDefault="00E843F6" w:rsidP="00E843F6">
      <w:pPr>
        <w:ind w:left="360"/>
      </w:pPr>
      <w:r>
        <w:t xml:space="preserve">Slade, M., Burnham, T., </w:t>
      </w:r>
      <w:proofErr w:type="spellStart"/>
      <w:r>
        <w:t>Catalana</w:t>
      </w:r>
      <w:proofErr w:type="spellEnd"/>
      <w:r>
        <w:t xml:space="preserve">, S. and Waters, T. (2019) ‘The Impact of Reflective Practice on Teacher Candidates’ Learning’, </w:t>
      </w:r>
      <w:r w:rsidRPr="00E843F6">
        <w:rPr>
          <w:i/>
          <w:iCs/>
        </w:rPr>
        <w:t xml:space="preserve">International Journal for the Scholarship of Teaching and Learning, </w:t>
      </w:r>
      <w:r>
        <w:t>13(2), pp. 15.</w:t>
      </w:r>
    </w:p>
    <w:p w14:paraId="56EB9A02" w14:textId="77777777" w:rsidR="00E843F6" w:rsidRDefault="00E843F6" w:rsidP="00E843F6">
      <w:pPr>
        <w:ind w:left="360"/>
      </w:pPr>
      <w:r>
        <w:t xml:space="preserve">Split, J., </w:t>
      </w:r>
      <w:proofErr w:type="spellStart"/>
      <w:r>
        <w:t>Koomen</w:t>
      </w:r>
      <w:proofErr w:type="spellEnd"/>
      <w:r>
        <w:t xml:space="preserve">, H. and Jak, S. (2012) ‘Are boys better off with male and girls with female teachers? A multilevel investigation of measurement invariance and gender match in teacher-student relationship quality’, </w:t>
      </w:r>
      <w:r w:rsidRPr="00E843F6">
        <w:rPr>
          <w:i/>
          <w:iCs/>
        </w:rPr>
        <w:t>Journal of School Psychology</w:t>
      </w:r>
      <w:r>
        <w:t>, 50(3), pp. 363-378.</w:t>
      </w:r>
    </w:p>
    <w:p w14:paraId="27802049" w14:textId="77777777" w:rsidR="00E843F6" w:rsidRDefault="00E843F6" w:rsidP="00E843F6">
      <w:pPr>
        <w:ind w:left="360"/>
      </w:pPr>
      <w:proofErr w:type="spellStart"/>
      <w:r w:rsidRPr="00D965D1">
        <w:t>Tobbell</w:t>
      </w:r>
      <w:proofErr w:type="spellEnd"/>
      <w:r w:rsidRPr="00D965D1">
        <w:t xml:space="preserve">, J. (2003) ‘Students’ experiences of the transition from primary to secondary school’, </w:t>
      </w:r>
      <w:r w:rsidRPr="00E843F6">
        <w:rPr>
          <w:i/>
          <w:iCs/>
        </w:rPr>
        <w:t xml:space="preserve">Educational and Child Psychology, </w:t>
      </w:r>
      <w:r w:rsidRPr="00D965D1">
        <w:t>20(4), pp. 4-14.</w:t>
      </w:r>
    </w:p>
    <w:p w14:paraId="79635706" w14:textId="77777777" w:rsidR="00E843F6" w:rsidRDefault="00E843F6" w:rsidP="00E843F6">
      <w:pPr>
        <w:ind w:left="360"/>
      </w:pPr>
      <w:r>
        <w:t xml:space="preserve">Tripp, D. (1993) </w:t>
      </w:r>
      <w:r w:rsidRPr="00E843F6">
        <w:rPr>
          <w:i/>
          <w:iCs/>
        </w:rPr>
        <w:t>Critical Incidents in Teaching</w:t>
      </w:r>
      <w:r>
        <w:t>. London: Routledge.</w:t>
      </w:r>
    </w:p>
    <w:p w14:paraId="730E7E75" w14:textId="77777777" w:rsidR="00E843F6" w:rsidRPr="00EC4B9F" w:rsidRDefault="00E843F6" w:rsidP="00E843F6">
      <w:pPr>
        <w:ind w:left="360"/>
      </w:pPr>
      <w:r>
        <w:t xml:space="preserve">Ur, P. (1999) </w:t>
      </w:r>
      <w:r w:rsidRPr="00E843F6">
        <w:rPr>
          <w:i/>
          <w:iCs/>
        </w:rPr>
        <w:t>A Course in Language Teaching: Practice and Theory</w:t>
      </w:r>
      <w:r>
        <w:t>. Cambridge: Cambridge University Press.</w:t>
      </w:r>
    </w:p>
    <w:p w14:paraId="0E164352" w14:textId="77777777" w:rsidR="00E843F6" w:rsidRDefault="00E843F6" w:rsidP="00E843F6">
      <w:pPr>
        <w:ind w:left="360"/>
      </w:pPr>
      <w:r>
        <w:t xml:space="preserve">Virtanen, T., </w:t>
      </w:r>
      <w:proofErr w:type="spellStart"/>
      <w:r>
        <w:t>Lerkkanen</w:t>
      </w:r>
      <w:proofErr w:type="spellEnd"/>
      <w:r>
        <w:t xml:space="preserve">, M., </w:t>
      </w:r>
      <w:proofErr w:type="spellStart"/>
      <w:r>
        <w:t>Poikkeus</w:t>
      </w:r>
      <w:proofErr w:type="spellEnd"/>
      <w:r>
        <w:t xml:space="preserve">, A. and </w:t>
      </w:r>
      <w:proofErr w:type="spellStart"/>
      <w:r>
        <w:t>Kuorelahti</w:t>
      </w:r>
      <w:proofErr w:type="spellEnd"/>
      <w:r>
        <w:t xml:space="preserve">, M. (2016) ‘Student engagement and school burnout in Finnish lower-secondary schools: Latent profile analysis’, </w:t>
      </w:r>
      <w:r w:rsidRPr="00E843F6">
        <w:rPr>
          <w:i/>
          <w:iCs/>
        </w:rPr>
        <w:t>Scandinavian Journal of Educational Research</w:t>
      </w:r>
      <w:r>
        <w:t>, 62(4), pp. 519-537.</w:t>
      </w:r>
    </w:p>
    <w:p w14:paraId="07215B29" w14:textId="77777777" w:rsidR="00E843F6" w:rsidRDefault="00E843F6" w:rsidP="00E843F6">
      <w:pPr>
        <w:ind w:left="360"/>
      </w:pPr>
      <w:proofErr w:type="spellStart"/>
      <w:r>
        <w:t>Werblow</w:t>
      </w:r>
      <w:proofErr w:type="spellEnd"/>
      <w:r>
        <w:t xml:space="preserve">, J., Urick, A. and </w:t>
      </w:r>
      <w:proofErr w:type="spellStart"/>
      <w:r>
        <w:t>Duesbery</w:t>
      </w:r>
      <w:proofErr w:type="spellEnd"/>
      <w:r>
        <w:t xml:space="preserve">, L. (2013) ‘On the wrong track: How tracking is associated with dropping out of high school’, </w:t>
      </w:r>
      <w:r w:rsidRPr="00E843F6">
        <w:rPr>
          <w:i/>
          <w:iCs/>
        </w:rPr>
        <w:t>Equity &amp; Excellence in Education</w:t>
      </w:r>
      <w:r>
        <w:t>, 46(2), pp. 270-284.</w:t>
      </w:r>
    </w:p>
    <w:p w14:paraId="25B2FA7B" w14:textId="77777777" w:rsidR="00E843F6" w:rsidRDefault="00E843F6" w:rsidP="00E843F6">
      <w:pPr>
        <w:ind w:left="360"/>
      </w:pPr>
      <w:r>
        <w:t xml:space="preserve">West, P., Sweeting, H. and Young, R. (2010) ‘Transition matters: Pupils’ experiences of the primary-secondary school transition in the west of Scotland and consequences for well-being and attainment’, </w:t>
      </w:r>
      <w:r w:rsidRPr="00E843F6">
        <w:rPr>
          <w:i/>
          <w:iCs/>
        </w:rPr>
        <w:t>Research Papers in Education</w:t>
      </w:r>
      <w:r>
        <w:t>, 25(1), pp. 21-50.</w:t>
      </w:r>
    </w:p>
    <w:p w14:paraId="5E3FF834" w14:textId="77777777" w:rsidR="00E843F6" w:rsidRDefault="00E843F6" w:rsidP="00E843F6">
      <w:pPr>
        <w:ind w:left="360"/>
      </w:pPr>
      <w:proofErr w:type="spellStart"/>
      <w:r>
        <w:lastRenderedPageBreak/>
        <w:t>Zeichner</w:t>
      </w:r>
      <w:proofErr w:type="spellEnd"/>
      <w:r>
        <w:t xml:space="preserve">, K. (1996) </w:t>
      </w:r>
      <w:r w:rsidRPr="00E843F6">
        <w:rPr>
          <w:i/>
          <w:iCs/>
        </w:rPr>
        <w:t>Reflective Teaching: An Introduction</w:t>
      </w:r>
      <w:r>
        <w:t>. New Jersey: Lawrence Erlbaum Associates.</w:t>
      </w:r>
    </w:p>
    <w:p w14:paraId="5721D395" w14:textId="77777777" w:rsidR="00E843F6" w:rsidRDefault="00E843F6" w:rsidP="00E843F6">
      <w:pPr>
        <w:ind w:left="360"/>
      </w:pPr>
      <w:proofErr w:type="spellStart"/>
      <w:r w:rsidRPr="00E11AC0">
        <w:t>Zwozdiak</w:t>
      </w:r>
      <w:proofErr w:type="spellEnd"/>
      <w:r w:rsidRPr="00E11AC0">
        <w:t xml:space="preserve">-Myers, P. (2012) </w:t>
      </w:r>
      <w:r w:rsidRPr="00E843F6">
        <w:rPr>
          <w:i/>
          <w:iCs/>
        </w:rPr>
        <w:t>The Teacher’s Reflective Practice Handbook</w:t>
      </w:r>
      <w:r w:rsidRPr="00E11AC0">
        <w:t>. London: Routledge.</w:t>
      </w:r>
    </w:p>
    <w:p w14:paraId="0CDDE090" w14:textId="4887336B" w:rsidR="00306594" w:rsidRPr="008023AE" w:rsidRDefault="008023AE" w:rsidP="0061543E">
      <w:pPr>
        <w:rPr>
          <w:i/>
          <w:iCs/>
        </w:rPr>
      </w:pPr>
      <w:r>
        <w:rPr>
          <w:i/>
          <w:iCs/>
        </w:rPr>
        <w:t xml:space="preserve"> </w:t>
      </w:r>
    </w:p>
    <w:sectPr w:rsidR="00306594" w:rsidRPr="008023A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7340F" w14:textId="77777777" w:rsidR="00817291" w:rsidRDefault="00817291" w:rsidP="00183CCE">
      <w:pPr>
        <w:spacing w:after="0" w:line="240" w:lineRule="auto"/>
      </w:pPr>
      <w:r>
        <w:separator/>
      </w:r>
    </w:p>
  </w:endnote>
  <w:endnote w:type="continuationSeparator" w:id="0">
    <w:p w14:paraId="726AFF45" w14:textId="77777777" w:rsidR="00817291" w:rsidRDefault="00817291" w:rsidP="00183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233524"/>
      <w:docPartObj>
        <w:docPartGallery w:val="Page Numbers (Bottom of Page)"/>
        <w:docPartUnique/>
      </w:docPartObj>
    </w:sdtPr>
    <w:sdtEndPr>
      <w:rPr>
        <w:noProof/>
      </w:rPr>
    </w:sdtEndPr>
    <w:sdtContent>
      <w:p w14:paraId="21A35A66" w14:textId="47E280FD" w:rsidR="00183CCE" w:rsidRDefault="00183C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AF1F28" w14:textId="77777777" w:rsidR="00183CCE" w:rsidRDefault="00183C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632EA" w14:textId="77777777" w:rsidR="00817291" w:rsidRDefault="00817291" w:rsidP="00183CCE">
      <w:pPr>
        <w:spacing w:after="0" w:line="240" w:lineRule="auto"/>
      </w:pPr>
      <w:r>
        <w:separator/>
      </w:r>
    </w:p>
  </w:footnote>
  <w:footnote w:type="continuationSeparator" w:id="0">
    <w:p w14:paraId="5D0E1807" w14:textId="77777777" w:rsidR="00817291" w:rsidRDefault="00817291" w:rsidP="00183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56FCB" w14:textId="119AA141" w:rsidR="00183CCE" w:rsidRDefault="00183CCE">
    <w:pPr>
      <w:pStyle w:val="Header"/>
    </w:pPr>
    <w:r>
      <w:t>ECAD6007</w:t>
    </w:r>
    <w:r>
      <w:tab/>
    </w:r>
    <w:r>
      <w:tab/>
      <w:t>Olivia Hitchcock - 1801186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A18F8"/>
    <w:multiLevelType w:val="hybridMultilevel"/>
    <w:tmpl w:val="D6A89C24"/>
    <w:lvl w:ilvl="0" w:tplc="66F64E78">
      <w:start w:val="102"/>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645976"/>
    <w:multiLevelType w:val="hybridMultilevel"/>
    <w:tmpl w:val="89224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819"/>
    <w:rsid w:val="00001B1B"/>
    <w:rsid w:val="00007682"/>
    <w:rsid w:val="000100FF"/>
    <w:rsid w:val="00017201"/>
    <w:rsid w:val="000174E9"/>
    <w:rsid w:val="00022654"/>
    <w:rsid w:val="00023671"/>
    <w:rsid w:val="00031527"/>
    <w:rsid w:val="000351A1"/>
    <w:rsid w:val="0003794B"/>
    <w:rsid w:val="00040C53"/>
    <w:rsid w:val="00041D88"/>
    <w:rsid w:val="000433A3"/>
    <w:rsid w:val="00044366"/>
    <w:rsid w:val="00046AD8"/>
    <w:rsid w:val="00047DA4"/>
    <w:rsid w:val="00053A38"/>
    <w:rsid w:val="00066844"/>
    <w:rsid w:val="00071807"/>
    <w:rsid w:val="00073652"/>
    <w:rsid w:val="00076BD0"/>
    <w:rsid w:val="0008195A"/>
    <w:rsid w:val="000833C6"/>
    <w:rsid w:val="00083CA9"/>
    <w:rsid w:val="00085C91"/>
    <w:rsid w:val="0009318C"/>
    <w:rsid w:val="0009676C"/>
    <w:rsid w:val="000A36B1"/>
    <w:rsid w:val="000A3FF0"/>
    <w:rsid w:val="000A4E4C"/>
    <w:rsid w:val="000B4FFA"/>
    <w:rsid w:val="000B6A66"/>
    <w:rsid w:val="000B7963"/>
    <w:rsid w:val="000D44CD"/>
    <w:rsid w:val="000D5C41"/>
    <w:rsid w:val="000E0F28"/>
    <w:rsid w:val="000F43E6"/>
    <w:rsid w:val="000F7D10"/>
    <w:rsid w:val="00102174"/>
    <w:rsid w:val="00103400"/>
    <w:rsid w:val="00104CE9"/>
    <w:rsid w:val="00116811"/>
    <w:rsid w:val="0011782F"/>
    <w:rsid w:val="001353BF"/>
    <w:rsid w:val="0013714D"/>
    <w:rsid w:val="0014335F"/>
    <w:rsid w:val="00143756"/>
    <w:rsid w:val="0015089A"/>
    <w:rsid w:val="00150AE3"/>
    <w:rsid w:val="001510F2"/>
    <w:rsid w:val="00156CDA"/>
    <w:rsid w:val="00161A33"/>
    <w:rsid w:val="00163F53"/>
    <w:rsid w:val="001815B3"/>
    <w:rsid w:val="001830F3"/>
    <w:rsid w:val="00183CCE"/>
    <w:rsid w:val="00194FFF"/>
    <w:rsid w:val="001B067B"/>
    <w:rsid w:val="001B3689"/>
    <w:rsid w:val="001B3BFE"/>
    <w:rsid w:val="001B49BD"/>
    <w:rsid w:val="001B6C46"/>
    <w:rsid w:val="001C395C"/>
    <w:rsid w:val="001C49D2"/>
    <w:rsid w:val="001D0A2C"/>
    <w:rsid w:val="001D0D41"/>
    <w:rsid w:val="001D5570"/>
    <w:rsid w:val="001D60F3"/>
    <w:rsid w:val="001E1B91"/>
    <w:rsid w:val="001F7B72"/>
    <w:rsid w:val="0020016F"/>
    <w:rsid w:val="002040A4"/>
    <w:rsid w:val="002124BB"/>
    <w:rsid w:val="002139F3"/>
    <w:rsid w:val="00215DB8"/>
    <w:rsid w:val="00216907"/>
    <w:rsid w:val="00216C82"/>
    <w:rsid w:val="002239A8"/>
    <w:rsid w:val="00227324"/>
    <w:rsid w:val="00237231"/>
    <w:rsid w:val="00237796"/>
    <w:rsid w:val="00240AD7"/>
    <w:rsid w:val="00241FD5"/>
    <w:rsid w:val="00246BA0"/>
    <w:rsid w:val="00250910"/>
    <w:rsid w:val="002545A6"/>
    <w:rsid w:val="002552E4"/>
    <w:rsid w:val="00255732"/>
    <w:rsid w:val="002604EC"/>
    <w:rsid w:val="002630B4"/>
    <w:rsid w:val="0027007E"/>
    <w:rsid w:val="00272658"/>
    <w:rsid w:val="00275A3C"/>
    <w:rsid w:val="00282188"/>
    <w:rsid w:val="00284AD3"/>
    <w:rsid w:val="00285D9A"/>
    <w:rsid w:val="00292B5C"/>
    <w:rsid w:val="002A1D49"/>
    <w:rsid w:val="002A7FA1"/>
    <w:rsid w:val="002C752C"/>
    <w:rsid w:val="002E2ECA"/>
    <w:rsid w:val="002E57A1"/>
    <w:rsid w:val="002F2ED6"/>
    <w:rsid w:val="002F494B"/>
    <w:rsid w:val="003042DF"/>
    <w:rsid w:val="00305B2D"/>
    <w:rsid w:val="00306594"/>
    <w:rsid w:val="00310DDA"/>
    <w:rsid w:val="00320225"/>
    <w:rsid w:val="0032030E"/>
    <w:rsid w:val="00320E26"/>
    <w:rsid w:val="00321DED"/>
    <w:rsid w:val="00322228"/>
    <w:rsid w:val="003260BC"/>
    <w:rsid w:val="00331CB2"/>
    <w:rsid w:val="00344503"/>
    <w:rsid w:val="00346483"/>
    <w:rsid w:val="00351628"/>
    <w:rsid w:val="00355EBF"/>
    <w:rsid w:val="003560E4"/>
    <w:rsid w:val="003571F6"/>
    <w:rsid w:val="00360413"/>
    <w:rsid w:val="00362FD1"/>
    <w:rsid w:val="0036488B"/>
    <w:rsid w:val="00370F0B"/>
    <w:rsid w:val="00372685"/>
    <w:rsid w:val="003749CB"/>
    <w:rsid w:val="00380DE0"/>
    <w:rsid w:val="003830C8"/>
    <w:rsid w:val="003902BE"/>
    <w:rsid w:val="00390A01"/>
    <w:rsid w:val="00390BF2"/>
    <w:rsid w:val="00394828"/>
    <w:rsid w:val="003A3C7E"/>
    <w:rsid w:val="003A72A2"/>
    <w:rsid w:val="003B145C"/>
    <w:rsid w:val="003B3CB1"/>
    <w:rsid w:val="003B68A2"/>
    <w:rsid w:val="003C1970"/>
    <w:rsid w:val="003C2D7B"/>
    <w:rsid w:val="003C3183"/>
    <w:rsid w:val="003C40D4"/>
    <w:rsid w:val="003C54A0"/>
    <w:rsid w:val="003D33B4"/>
    <w:rsid w:val="003E00AB"/>
    <w:rsid w:val="003E0782"/>
    <w:rsid w:val="003E2F47"/>
    <w:rsid w:val="003E7321"/>
    <w:rsid w:val="003F560E"/>
    <w:rsid w:val="00401A1A"/>
    <w:rsid w:val="004029F9"/>
    <w:rsid w:val="004032C0"/>
    <w:rsid w:val="00416EF5"/>
    <w:rsid w:val="00432238"/>
    <w:rsid w:val="00433C3E"/>
    <w:rsid w:val="004377A7"/>
    <w:rsid w:val="004403E9"/>
    <w:rsid w:val="004413C1"/>
    <w:rsid w:val="00446325"/>
    <w:rsid w:val="004505C7"/>
    <w:rsid w:val="004516B3"/>
    <w:rsid w:val="004531C6"/>
    <w:rsid w:val="004566A6"/>
    <w:rsid w:val="0045745D"/>
    <w:rsid w:val="00462FD9"/>
    <w:rsid w:val="00465B24"/>
    <w:rsid w:val="00467F0A"/>
    <w:rsid w:val="00473CFE"/>
    <w:rsid w:val="00476831"/>
    <w:rsid w:val="00476937"/>
    <w:rsid w:val="00487618"/>
    <w:rsid w:val="00487719"/>
    <w:rsid w:val="00495260"/>
    <w:rsid w:val="00495AAD"/>
    <w:rsid w:val="004971A1"/>
    <w:rsid w:val="00497BC9"/>
    <w:rsid w:val="004A64C4"/>
    <w:rsid w:val="004B416A"/>
    <w:rsid w:val="004B77A5"/>
    <w:rsid w:val="004C0946"/>
    <w:rsid w:val="004C2228"/>
    <w:rsid w:val="004C3695"/>
    <w:rsid w:val="004C4837"/>
    <w:rsid w:val="004D46C8"/>
    <w:rsid w:val="004D6E39"/>
    <w:rsid w:val="004F443A"/>
    <w:rsid w:val="004F575D"/>
    <w:rsid w:val="004F5A63"/>
    <w:rsid w:val="004F735B"/>
    <w:rsid w:val="00503187"/>
    <w:rsid w:val="005051FF"/>
    <w:rsid w:val="00511A43"/>
    <w:rsid w:val="005164E3"/>
    <w:rsid w:val="005166C3"/>
    <w:rsid w:val="00527B5E"/>
    <w:rsid w:val="0053076E"/>
    <w:rsid w:val="0053364A"/>
    <w:rsid w:val="0053614A"/>
    <w:rsid w:val="00547AA7"/>
    <w:rsid w:val="0055143A"/>
    <w:rsid w:val="00563FA0"/>
    <w:rsid w:val="00565888"/>
    <w:rsid w:val="005746EF"/>
    <w:rsid w:val="005760FE"/>
    <w:rsid w:val="005810CA"/>
    <w:rsid w:val="00582F54"/>
    <w:rsid w:val="00583D0A"/>
    <w:rsid w:val="0059351E"/>
    <w:rsid w:val="00593D47"/>
    <w:rsid w:val="005A15E0"/>
    <w:rsid w:val="005A69F2"/>
    <w:rsid w:val="005B0CA7"/>
    <w:rsid w:val="005B642E"/>
    <w:rsid w:val="005C4EBA"/>
    <w:rsid w:val="005C674F"/>
    <w:rsid w:val="005D077C"/>
    <w:rsid w:val="005D0CE7"/>
    <w:rsid w:val="005D133E"/>
    <w:rsid w:val="005D57A4"/>
    <w:rsid w:val="005E681B"/>
    <w:rsid w:val="005F7742"/>
    <w:rsid w:val="00601AFD"/>
    <w:rsid w:val="00603466"/>
    <w:rsid w:val="00613906"/>
    <w:rsid w:val="006143A0"/>
    <w:rsid w:val="0061543E"/>
    <w:rsid w:val="006159E7"/>
    <w:rsid w:val="00625099"/>
    <w:rsid w:val="00630B0D"/>
    <w:rsid w:val="00631579"/>
    <w:rsid w:val="0063305F"/>
    <w:rsid w:val="00635A78"/>
    <w:rsid w:val="00637759"/>
    <w:rsid w:val="006474FD"/>
    <w:rsid w:val="00656B59"/>
    <w:rsid w:val="00657AB1"/>
    <w:rsid w:val="006676B1"/>
    <w:rsid w:val="0067331A"/>
    <w:rsid w:val="00681F98"/>
    <w:rsid w:val="00687102"/>
    <w:rsid w:val="006930B2"/>
    <w:rsid w:val="00696F58"/>
    <w:rsid w:val="00697AB0"/>
    <w:rsid w:val="006A1A40"/>
    <w:rsid w:val="006A24BD"/>
    <w:rsid w:val="006B1819"/>
    <w:rsid w:val="006B3AE8"/>
    <w:rsid w:val="006B3BFC"/>
    <w:rsid w:val="006B66CD"/>
    <w:rsid w:val="006B66E5"/>
    <w:rsid w:val="006C2674"/>
    <w:rsid w:val="006D0F04"/>
    <w:rsid w:val="006D2D1D"/>
    <w:rsid w:val="006D474B"/>
    <w:rsid w:val="006D5DEE"/>
    <w:rsid w:val="006E4BE1"/>
    <w:rsid w:val="006E793D"/>
    <w:rsid w:val="00704FC2"/>
    <w:rsid w:val="00713763"/>
    <w:rsid w:val="00713EB6"/>
    <w:rsid w:val="007158EE"/>
    <w:rsid w:val="00715FB9"/>
    <w:rsid w:val="007220B6"/>
    <w:rsid w:val="00722213"/>
    <w:rsid w:val="007265EB"/>
    <w:rsid w:val="00737A90"/>
    <w:rsid w:val="0074263F"/>
    <w:rsid w:val="00743279"/>
    <w:rsid w:val="00746BC4"/>
    <w:rsid w:val="00752D5E"/>
    <w:rsid w:val="0075625A"/>
    <w:rsid w:val="00760CA3"/>
    <w:rsid w:val="00765777"/>
    <w:rsid w:val="007830D2"/>
    <w:rsid w:val="007861E7"/>
    <w:rsid w:val="007871E3"/>
    <w:rsid w:val="007A094E"/>
    <w:rsid w:val="007A4D43"/>
    <w:rsid w:val="007A54C0"/>
    <w:rsid w:val="007A61DE"/>
    <w:rsid w:val="007B4EAA"/>
    <w:rsid w:val="007C2A5B"/>
    <w:rsid w:val="007C3D38"/>
    <w:rsid w:val="007D6FC0"/>
    <w:rsid w:val="007D71B0"/>
    <w:rsid w:val="007D76F3"/>
    <w:rsid w:val="007E04C6"/>
    <w:rsid w:val="007F534E"/>
    <w:rsid w:val="008023AE"/>
    <w:rsid w:val="0080284E"/>
    <w:rsid w:val="00804491"/>
    <w:rsid w:val="0080452E"/>
    <w:rsid w:val="00817291"/>
    <w:rsid w:val="00822E05"/>
    <w:rsid w:val="00825FE4"/>
    <w:rsid w:val="0083704D"/>
    <w:rsid w:val="00837533"/>
    <w:rsid w:val="008375C1"/>
    <w:rsid w:val="00844E48"/>
    <w:rsid w:val="0085220C"/>
    <w:rsid w:val="0085265E"/>
    <w:rsid w:val="008550B7"/>
    <w:rsid w:val="00861ADB"/>
    <w:rsid w:val="00863FBF"/>
    <w:rsid w:val="00864072"/>
    <w:rsid w:val="00874572"/>
    <w:rsid w:val="00882E63"/>
    <w:rsid w:val="008903AF"/>
    <w:rsid w:val="008911B8"/>
    <w:rsid w:val="008A31EC"/>
    <w:rsid w:val="008A6130"/>
    <w:rsid w:val="008A6E3B"/>
    <w:rsid w:val="008B43A2"/>
    <w:rsid w:val="008B5C17"/>
    <w:rsid w:val="008B650F"/>
    <w:rsid w:val="008C16DC"/>
    <w:rsid w:val="008C30EB"/>
    <w:rsid w:val="008D7099"/>
    <w:rsid w:val="008E1101"/>
    <w:rsid w:val="00900ACA"/>
    <w:rsid w:val="00902B6D"/>
    <w:rsid w:val="00905698"/>
    <w:rsid w:val="00911930"/>
    <w:rsid w:val="00916482"/>
    <w:rsid w:val="00924EC7"/>
    <w:rsid w:val="00925C37"/>
    <w:rsid w:val="00927085"/>
    <w:rsid w:val="00927559"/>
    <w:rsid w:val="00927C62"/>
    <w:rsid w:val="009304D9"/>
    <w:rsid w:val="00932735"/>
    <w:rsid w:val="00933565"/>
    <w:rsid w:val="00937793"/>
    <w:rsid w:val="00947393"/>
    <w:rsid w:val="0096355D"/>
    <w:rsid w:val="00963A07"/>
    <w:rsid w:val="009651BC"/>
    <w:rsid w:val="00973049"/>
    <w:rsid w:val="009753E4"/>
    <w:rsid w:val="00984DC6"/>
    <w:rsid w:val="00984E10"/>
    <w:rsid w:val="00986862"/>
    <w:rsid w:val="0099667D"/>
    <w:rsid w:val="009A179E"/>
    <w:rsid w:val="009A3EB4"/>
    <w:rsid w:val="009B166F"/>
    <w:rsid w:val="009B60BD"/>
    <w:rsid w:val="009B680B"/>
    <w:rsid w:val="009B7E27"/>
    <w:rsid w:val="009C1A89"/>
    <w:rsid w:val="009C335F"/>
    <w:rsid w:val="009D21D5"/>
    <w:rsid w:val="009D268A"/>
    <w:rsid w:val="009D6DE7"/>
    <w:rsid w:val="009F13E0"/>
    <w:rsid w:val="009F186E"/>
    <w:rsid w:val="009F3E1E"/>
    <w:rsid w:val="009F5F0B"/>
    <w:rsid w:val="00A0062F"/>
    <w:rsid w:val="00A01661"/>
    <w:rsid w:val="00A06E75"/>
    <w:rsid w:val="00A07129"/>
    <w:rsid w:val="00A0764E"/>
    <w:rsid w:val="00A21F74"/>
    <w:rsid w:val="00A43097"/>
    <w:rsid w:val="00A45D39"/>
    <w:rsid w:val="00A5106F"/>
    <w:rsid w:val="00A52A2F"/>
    <w:rsid w:val="00A60325"/>
    <w:rsid w:val="00A625C7"/>
    <w:rsid w:val="00A705F8"/>
    <w:rsid w:val="00A7082C"/>
    <w:rsid w:val="00A76927"/>
    <w:rsid w:val="00A81AE2"/>
    <w:rsid w:val="00A84688"/>
    <w:rsid w:val="00A87A76"/>
    <w:rsid w:val="00A963B3"/>
    <w:rsid w:val="00A977EB"/>
    <w:rsid w:val="00AA6FDB"/>
    <w:rsid w:val="00AB070D"/>
    <w:rsid w:val="00AB252F"/>
    <w:rsid w:val="00AB6B6B"/>
    <w:rsid w:val="00AC1B12"/>
    <w:rsid w:val="00AC5F4C"/>
    <w:rsid w:val="00AC68AF"/>
    <w:rsid w:val="00AC6B8D"/>
    <w:rsid w:val="00AD3EE2"/>
    <w:rsid w:val="00AD6BB9"/>
    <w:rsid w:val="00AD6E1F"/>
    <w:rsid w:val="00AE0F79"/>
    <w:rsid w:val="00AE4590"/>
    <w:rsid w:val="00AE74D6"/>
    <w:rsid w:val="00AF1EE2"/>
    <w:rsid w:val="00AF2CEE"/>
    <w:rsid w:val="00B040E8"/>
    <w:rsid w:val="00B12EA9"/>
    <w:rsid w:val="00B170E3"/>
    <w:rsid w:val="00B27442"/>
    <w:rsid w:val="00B35B9F"/>
    <w:rsid w:val="00B540AE"/>
    <w:rsid w:val="00B6112F"/>
    <w:rsid w:val="00B6144D"/>
    <w:rsid w:val="00B66B51"/>
    <w:rsid w:val="00B70A13"/>
    <w:rsid w:val="00B733DC"/>
    <w:rsid w:val="00B80D20"/>
    <w:rsid w:val="00B85987"/>
    <w:rsid w:val="00B920DD"/>
    <w:rsid w:val="00BA061F"/>
    <w:rsid w:val="00BC4C26"/>
    <w:rsid w:val="00BC717D"/>
    <w:rsid w:val="00BC78AC"/>
    <w:rsid w:val="00BD5371"/>
    <w:rsid w:val="00BD7951"/>
    <w:rsid w:val="00BE1F62"/>
    <w:rsid w:val="00BE2E6E"/>
    <w:rsid w:val="00BF5006"/>
    <w:rsid w:val="00C04AFD"/>
    <w:rsid w:val="00C16566"/>
    <w:rsid w:val="00C17D93"/>
    <w:rsid w:val="00C23229"/>
    <w:rsid w:val="00C25246"/>
    <w:rsid w:val="00C46880"/>
    <w:rsid w:val="00C52E27"/>
    <w:rsid w:val="00C746AA"/>
    <w:rsid w:val="00C769CF"/>
    <w:rsid w:val="00C85A37"/>
    <w:rsid w:val="00C86EFC"/>
    <w:rsid w:val="00C87833"/>
    <w:rsid w:val="00C87C0D"/>
    <w:rsid w:val="00CA5825"/>
    <w:rsid w:val="00CB2DF6"/>
    <w:rsid w:val="00CB5459"/>
    <w:rsid w:val="00CC09D1"/>
    <w:rsid w:val="00CC3CDD"/>
    <w:rsid w:val="00CD4AFE"/>
    <w:rsid w:val="00CD76D4"/>
    <w:rsid w:val="00CE7ECD"/>
    <w:rsid w:val="00CF0F63"/>
    <w:rsid w:val="00CF458E"/>
    <w:rsid w:val="00D02704"/>
    <w:rsid w:val="00D043AF"/>
    <w:rsid w:val="00D059A9"/>
    <w:rsid w:val="00D07D22"/>
    <w:rsid w:val="00D1342E"/>
    <w:rsid w:val="00D147B0"/>
    <w:rsid w:val="00D1703C"/>
    <w:rsid w:val="00D20E37"/>
    <w:rsid w:val="00D22406"/>
    <w:rsid w:val="00D24CF2"/>
    <w:rsid w:val="00D25651"/>
    <w:rsid w:val="00D26216"/>
    <w:rsid w:val="00D26F44"/>
    <w:rsid w:val="00D304A7"/>
    <w:rsid w:val="00D305F7"/>
    <w:rsid w:val="00D3365E"/>
    <w:rsid w:val="00D51E2B"/>
    <w:rsid w:val="00D53A6A"/>
    <w:rsid w:val="00D53E17"/>
    <w:rsid w:val="00D60C5D"/>
    <w:rsid w:val="00D61432"/>
    <w:rsid w:val="00D62EDE"/>
    <w:rsid w:val="00D631AE"/>
    <w:rsid w:val="00D63383"/>
    <w:rsid w:val="00D6732D"/>
    <w:rsid w:val="00D739B4"/>
    <w:rsid w:val="00D762FB"/>
    <w:rsid w:val="00D83BFB"/>
    <w:rsid w:val="00D85BB9"/>
    <w:rsid w:val="00D903C1"/>
    <w:rsid w:val="00D94CFD"/>
    <w:rsid w:val="00D965D1"/>
    <w:rsid w:val="00DA06AD"/>
    <w:rsid w:val="00DB5992"/>
    <w:rsid w:val="00DC3E47"/>
    <w:rsid w:val="00DD03A6"/>
    <w:rsid w:val="00DD0E75"/>
    <w:rsid w:val="00DD3B08"/>
    <w:rsid w:val="00DE0B42"/>
    <w:rsid w:val="00DE5C2B"/>
    <w:rsid w:val="00DF112D"/>
    <w:rsid w:val="00DF72A8"/>
    <w:rsid w:val="00DF78F3"/>
    <w:rsid w:val="00E0172F"/>
    <w:rsid w:val="00E01D4E"/>
    <w:rsid w:val="00E0617D"/>
    <w:rsid w:val="00E11AC0"/>
    <w:rsid w:val="00E14B3D"/>
    <w:rsid w:val="00E17DC7"/>
    <w:rsid w:val="00E248B6"/>
    <w:rsid w:val="00E254A0"/>
    <w:rsid w:val="00E254CC"/>
    <w:rsid w:val="00E2650F"/>
    <w:rsid w:val="00E33EE5"/>
    <w:rsid w:val="00E37FB6"/>
    <w:rsid w:val="00E41434"/>
    <w:rsid w:val="00E41DDB"/>
    <w:rsid w:val="00E443B1"/>
    <w:rsid w:val="00E478B7"/>
    <w:rsid w:val="00E551C0"/>
    <w:rsid w:val="00E55C85"/>
    <w:rsid w:val="00E57060"/>
    <w:rsid w:val="00E619B2"/>
    <w:rsid w:val="00E62BBC"/>
    <w:rsid w:val="00E6475F"/>
    <w:rsid w:val="00E65C02"/>
    <w:rsid w:val="00E661CB"/>
    <w:rsid w:val="00E72C55"/>
    <w:rsid w:val="00E73BFB"/>
    <w:rsid w:val="00E75348"/>
    <w:rsid w:val="00E75E79"/>
    <w:rsid w:val="00E80487"/>
    <w:rsid w:val="00E815D0"/>
    <w:rsid w:val="00E8325C"/>
    <w:rsid w:val="00E843F6"/>
    <w:rsid w:val="00E8483E"/>
    <w:rsid w:val="00E84C0E"/>
    <w:rsid w:val="00E84DFF"/>
    <w:rsid w:val="00E85D2A"/>
    <w:rsid w:val="00E91595"/>
    <w:rsid w:val="00E9442F"/>
    <w:rsid w:val="00E9545C"/>
    <w:rsid w:val="00E957C7"/>
    <w:rsid w:val="00E959EB"/>
    <w:rsid w:val="00EA0385"/>
    <w:rsid w:val="00EA25C0"/>
    <w:rsid w:val="00EA2B25"/>
    <w:rsid w:val="00EB1301"/>
    <w:rsid w:val="00EB151A"/>
    <w:rsid w:val="00EB3E31"/>
    <w:rsid w:val="00EB4978"/>
    <w:rsid w:val="00EC1250"/>
    <w:rsid w:val="00EC4786"/>
    <w:rsid w:val="00EC4B9F"/>
    <w:rsid w:val="00EC7ED5"/>
    <w:rsid w:val="00ED087B"/>
    <w:rsid w:val="00ED1EF7"/>
    <w:rsid w:val="00ED2C4A"/>
    <w:rsid w:val="00ED3F8A"/>
    <w:rsid w:val="00ED44AB"/>
    <w:rsid w:val="00ED6750"/>
    <w:rsid w:val="00ED6CCD"/>
    <w:rsid w:val="00ED7767"/>
    <w:rsid w:val="00EE2124"/>
    <w:rsid w:val="00EF6065"/>
    <w:rsid w:val="00F04447"/>
    <w:rsid w:val="00F05A65"/>
    <w:rsid w:val="00F05B66"/>
    <w:rsid w:val="00F10CD0"/>
    <w:rsid w:val="00F14DD8"/>
    <w:rsid w:val="00F21B3D"/>
    <w:rsid w:val="00F3083A"/>
    <w:rsid w:val="00F31D09"/>
    <w:rsid w:val="00F40247"/>
    <w:rsid w:val="00F40309"/>
    <w:rsid w:val="00F419E7"/>
    <w:rsid w:val="00F52A0B"/>
    <w:rsid w:val="00F6005B"/>
    <w:rsid w:val="00F62183"/>
    <w:rsid w:val="00F6257B"/>
    <w:rsid w:val="00F653FC"/>
    <w:rsid w:val="00F738DF"/>
    <w:rsid w:val="00F74F17"/>
    <w:rsid w:val="00F764EA"/>
    <w:rsid w:val="00F817B2"/>
    <w:rsid w:val="00F83384"/>
    <w:rsid w:val="00F91E8B"/>
    <w:rsid w:val="00F93D88"/>
    <w:rsid w:val="00FA6418"/>
    <w:rsid w:val="00FA66D0"/>
    <w:rsid w:val="00FB6DBE"/>
    <w:rsid w:val="00FC23FC"/>
    <w:rsid w:val="00FD1D81"/>
    <w:rsid w:val="00FE3569"/>
    <w:rsid w:val="00FE42B6"/>
    <w:rsid w:val="00FE7241"/>
    <w:rsid w:val="00FF3D1E"/>
    <w:rsid w:val="00FF4D62"/>
    <w:rsid w:val="00FF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DA1B"/>
  <w15:chartTrackingRefBased/>
  <w15:docId w15:val="{4C552435-93BE-4018-9C24-7D268F2C8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DFF"/>
    <w:pPr>
      <w:spacing w:line="360" w:lineRule="auto"/>
    </w:pPr>
    <w:rPr>
      <w:rFonts w:ascii="Century Schoolbook" w:hAnsi="Century Schoolbook"/>
    </w:rPr>
  </w:style>
  <w:style w:type="paragraph" w:styleId="Heading1">
    <w:name w:val="heading 1"/>
    <w:basedOn w:val="Normal"/>
    <w:next w:val="Normal"/>
    <w:link w:val="Heading1Char"/>
    <w:uiPriority w:val="9"/>
    <w:qFormat/>
    <w:rsid w:val="00E84DF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84DFF"/>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4DFF"/>
    <w:pPr>
      <w:spacing w:after="0"/>
      <w:contextualSpacing/>
      <w:jc w:val="center"/>
    </w:pPr>
    <w:rPr>
      <w:rFonts w:eastAsiaTheme="majorEastAsia" w:cstheme="majorBidi"/>
      <w:b/>
      <w:spacing w:val="-10"/>
      <w:kern w:val="28"/>
      <w:sz w:val="24"/>
      <w:szCs w:val="56"/>
      <w:u w:val="single"/>
    </w:rPr>
  </w:style>
  <w:style w:type="character" w:customStyle="1" w:styleId="TitleChar">
    <w:name w:val="Title Char"/>
    <w:basedOn w:val="DefaultParagraphFont"/>
    <w:link w:val="Title"/>
    <w:uiPriority w:val="10"/>
    <w:rsid w:val="00E84DFF"/>
    <w:rPr>
      <w:rFonts w:ascii="Century Schoolbook" w:eastAsiaTheme="majorEastAsia" w:hAnsi="Century Schoolbook" w:cstheme="majorBidi"/>
      <w:b/>
      <w:spacing w:val="-10"/>
      <w:kern w:val="28"/>
      <w:sz w:val="24"/>
      <w:szCs w:val="56"/>
      <w:u w:val="single"/>
    </w:rPr>
  </w:style>
  <w:style w:type="paragraph" w:styleId="NoSpacing">
    <w:name w:val="No Spacing"/>
    <w:uiPriority w:val="1"/>
    <w:rsid w:val="00183CCE"/>
    <w:pPr>
      <w:spacing w:after="0" w:line="240" w:lineRule="auto"/>
    </w:pPr>
  </w:style>
  <w:style w:type="character" w:customStyle="1" w:styleId="Heading1Char">
    <w:name w:val="Heading 1 Char"/>
    <w:basedOn w:val="DefaultParagraphFont"/>
    <w:link w:val="Heading1"/>
    <w:uiPriority w:val="9"/>
    <w:rsid w:val="00E84DFF"/>
    <w:rPr>
      <w:rFonts w:ascii="Century Schoolbook" w:eastAsiaTheme="majorEastAsia" w:hAnsi="Century Schoolbook" w:cstheme="majorBidi"/>
      <w:b/>
      <w:szCs w:val="32"/>
    </w:rPr>
  </w:style>
  <w:style w:type="character" w:customStyle="1" w:styleId="Heading2Char">
    <w:name w:val="Heading 2 Char"/>
    <w:basedOn w:val="DefaultParagraphFont"/>
    <w:link w:val="Heading2"/>
    <w:uiPriority w:val="9"/>
    <w:rsid w:val="00E84DFF"/>
    <w:rPr>
      <w:rFonts w:ascii="Century Schoolbook" w:eastAsiaTheme="majorEastAsia" w:hAnsi="Century Schoolbook" w:cstheme="majorBidi"/>
      <w:i/>
      <w:szCs w:val="26"/>
    </w:rPr>
  </w:style>
  <w:style w:type="paragraph" w:styleId="Header">
    <w:name w:val="header"/>
    <w:basedOn w:val="Normal"/>
    <w:link w:val="HeaderChar"/>
    <w:uiPriority w:val="99"/>
    <w:unhideWhenUsed/>
    <w:rsid w:val="00183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CCE"/>
    <w:rPr>
      <w:rFonts w:ascii="Century Schoolbook" w:hAnsi="Century Schoolbook"/>
    </w:rPr>
  </w:style>
  <w:style w:type="paragraph" w:styleId="Footer">
    <w:name w:val="footer"/>
    <w:basedOn w:val="Normal"/>
    <w:link w:val="FooterChar"/>
    <w:uiPriority w:val="99"/>
    <w:unhideWhenUsed/>
    <w:rsid w:val="00183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CCE"/>
    <w:rPr>
      <w:rFonts w:ascii="Century Schoolbook" w:hAnsi="Century Schoolbook"/>
    </w:rPr>
  </w:style>
  <w:style w:type="paragraph" w:styleId="ListParagraph">
    <w:name w:val="List Paragraph"/>
    <w:basedOn w:val="Normal"/>
    <w:uiPriority w:val="34"/>
    <w:qFormat/>
    <w:rsid w:val="002A1D49"/>
    <w:pPr>
      <w:ind w:left="720"/>
      <w:contextualSpacing/>
    </w:pPr>
  </w:style>
  <w:style w:type="character" w:styleId="Hyperlink">
    <w:name w:val="Hyperlink"/>
    <w:basedOn w:val="DefaultParagraphFont"/>
    <w:uiPriority w:val="99"/>
    <w:unhideWhenUsed/>
    <w:rsid w:val="00BD7951"/>
    <w:rPr>
      <w:color w:val="0563C1" w:themeColor="hyperlink"/>
      <w:u w:val="single"/>
    </w:rPr>
  </w:style>
  <w:style w:type="character" w:styleId="UnresolvedMention">
    <w:name w:val="Unresolved Mention"/>
    <w:basedOn w:val="DefaultParagraphFont"/>
    <w:uiPriority w:val="99"/>
    <w:semiHidden/>
    <w:unhideWhenUsed/>
    <w:rsid w:val="00BD7951"/>
    <w:rPr>
      <w:color w:val="605E5C"/>
      <w:shd w:val="clear" w:color="auto" w:fill="E1DFDD"/>
    </w:rPr>
  </w:style>
  <w:style w:type="character" w:styleId="SubtleEmphasis">
    <w:name w:val="Subtle Emphasis"/>
    <w:basedOn w:val="DefaultParagraphFont"/>
    <w:uiPriority w:val="19"/>
    <w:qFormat/>
    <w:rsid w:val="00102174"/>
    <w:rPr>
      <w:i/>
      <w:iCs/>
      <w:color w:val="404040" w:themeColor="text1" w:themeTint="BF"/>
    </w:rPr>
  </w:style>
  <w:style w:type="table" w:styleId="TableGrid">
    <w:name w:val="Table Grid"/>
    <w:basedOn w:val="TableNormal"/>
    <w:uiPriority w:val="39"/>
    <w:rsid w:val="0091193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core.ac.uk/download/pdf/45830411.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2" ma:contentTypeDescription="Create a new document." ma:contentTypeScope="" ma:versionID="458b8a8c48dd9d2d699f5f64a35d31f2">
  <xsd:schema xmlns:xsd="http://www.w3.org/2001/XMLSchema" xmlns:xs="http://www.w3.org/2001/XMLSchema" xmlns:p="http://schemas.microsoft.com/office/2006/metadata/properties" xmlns:ns3="0129b9fd-52ee-4735-801a-8d39556133ce" targetNamespace="http://schemas.microsoft.com/office/2006/metadata/properties" ma:root="true" ma:fieldsID="d5e5038157ae8a2143cd1147c1acd7ec" ns3:_="">
    <xsd:import namespace="0129b9fd-52ee-4735-801a-8d39556133c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DC0287-2DDF-404D-8FAD-DB78210A6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999429-2677-48A2-89A4-42C38214BF45}">
  <ds:schemaRefs>
    <ds:schemaRef ds:uri="http://schemas.openxmlformats.org/package/2006/metadata/core-properties"/>
    <ds:schemaRef ds:uri="http://purl.org/dc/terms/"/>
    <ds:schemaRef ds:uri="http://www.w3.org/XML/1998/namespace"/>
    <ds:schemaRef ds:uri="http://purl.org/dc/elements/1.1/"/>
    <ds:schemaRef ds:uri="http://purl.org/dc/dcmitype/"/>
    <ds:schemaRef ds:uri="http://schemas.microsoft.com/office/2006/documentManagement/types"/>
    <ds:schemaRef ds:uri="http://schemas.microsoft.com/office/infopath/2007/PartnerControls"/>
    <ds:schemaRef ds:uri="0129b9fd-52ee-4735-801a-8d39556133ce"/>
    <ds:schemaRef ds:uri="http://schemas.microsoft.com/office/2006/metadata/properties"/>
  </ds:schemaRefs>
</ds:datastoreItem>
</file>

<file path=customXml/itemProps3.xml><?xml version="1.0" encoding="utf-8"?>
<ds:datastoreItem xmlns:ds="http://schemas.openxmlformats.org/officeDocument/2006/customXml" ds:itemID="{A4D41B56-C8D6-4771-B280-FCF9EB1EA4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6254</Words>
  <Characters>35648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Hitchcock</dc:creator>
  <cp:keywords/>
  <dc:description/>
  <cp:lastModifiedBy>Olivia Hitchcock</cp:lastModifiedBy>
  <cp:revision>2</cp:revision>
  <dcterms:created xsi:type="dcterms:W3CDTF">2021-10-29T18:33:00Z</dcterms:created>
  <dcterms:modified xsi:type="dcterms:W3CDTF">2021-10-29T18:33:00Z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