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FBCDFE1" w14:textId="77777777" w:rsidR="00506963" w:rsidRPr="003E30B6" w:rsidRDefault="00506963" w:rsidP="00506963">
      <w:pPr>
        <w:rPr>
          <w:rFonts w:ascii="Arial" w:hAnsi="Arial" w:cs="Arial"/>
        </w:rPr>
      </w:pPr>
    </w:p>
    <w:p w14:paraId="0BE5B8FF" w14:textId="77777777" w:rsidR="00506963" w:rsidRPr="003E30B6" w:rsidRDefault="00506963" w:rsidP="00506963">
      <w:pPr>
        <w:rPr>
          <w:rFonts w:ascii="Arial" w:hAnsi="Arial" w:cs="Arial"/>
        </w:rPr>
      </w:pPr>
    </w:p>
    <w:p w14:paraId="06F6C4AA" w14:textId="77777777" w:rsidR="00506963" w:rsidRPr="003E30B6" w:rsidRDefault="00506963" w:rsidP="00506963">
      <w:pPr>
        <w:rPr>
          <w:rFonts w:ascii="Arial" w:hAnsi="Arial" w:cs="Arial"/>
        </w:rPr>
      </w:pPr>
    </w:p>
    <w:p w14:paraId="43E35FCF" w14:textId="77777777" w:rsidR="00506963" w:rsidRPr="003E30B6" w:rsidRDefault="00506963" w:rsidP="00506963">
      <w:pPr>
        <w:rPr>
          <w:rFonts w:ascii="Arial" w:hAnsi="Arial" w:cs="Arial"/>
        </w:rPr>
      </w:pPr>
    </w:p>
    <w:p w14:paraId="04DF6EEE" w14:textId="4B7A68CA" w:rsidR="00506963" w:rsidRPr="003E30B6" w:rsidRDefault="00506963" w:rsidP="00506963">
      <w:pPr>
        <w:ind w:right="1229"/>
        <w:rPr>
          <w:rFonts w:ascii="Arial" w:hAnsi="Arial" w:cs="Arial"/>
        </w:rPr>
      </w:pPr>
    </w:p>
    <w:p w14:paraId="3A3CF77A" w14:textId="3212FAB4" w:rsidR="00506963" w:rsidRDefault="00145BEB" w:rsidP="00506963">
      <w:pPr>
        <w:ind w:right="1229"/>
        <w:jc w:val="center"/>
        <w:rPr>
          <w:rFonts w:ascii="Arial" w:hAnsi="Arial" w:cs="Arial"/>
          <w:sz w:val="60"/>
          <w:szCs w:val="60"/>
        </w:rPr>
      </w:pPr>
      <w:r w:rsidRPr="003E30B6">
        <w:rPr>
          <w:rFonts w:ascii="Arial" w:hAnsi="Arial" w:cs="Arial"/>
          <w:noProof/>
        </w:rPr>
        <w:drawing>
          <wp:anchor distT="0" distB="0" distL="114300" distR="114300" simplePos="0" relativeHeight="251659264" behindDoc="0" locked="0" layoutInCell="1" hidden="0" allowOverlap="1" wp14:anchorId="5970E0BB" wp14:editId="40867C56">
            <wp:simplePos x="0" y="0"/>
            <wp:positionH relativeFrom="column">
              <wp:posOffset>942340</wp:posOffset>
            </wp:positionH>
            <wp:positionV relativeFrom="paragraph">
              <wp:posOffset>431800</wp:posOffset>
            </wp:positionV>
            <wp:extent cx="3910330" cy="1328420"/>
            <wp:effectExtent l="0" t="0" r="0" b="0"/>
            <wp:wrapSquare wrapText="bothSides" distT="0" distB="0" distL="114300" distR="114300"/>
            <wp:docPr id="1"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4"/>
                    <a:srcRect r="23643"/>
                    <a:stretch>
                      <a:fillRect/>
                    </a:stretch>
                  </pic:blipFill>
                  <pic:spPr>
                    <a:xfrm>
                      <a:off x="0" y="0"/>
                      <a:ext cx="3910330" cy="1328420"/>
                    </a:xfrm>
                    <a:prstGeom prst="rect">
                      <a:avLst/>
                    </a:prstGeom>
                    <a:ln/>
                  </pic:spPr>
                </pic:pic>
              </a:graphicData>
            </a:graphic>
            <wp14:sizeRelH relativeFrom="margin">
              <wp14:pctWidth>0</wp14:pctWidth>
            </wp14:sizeRelH>
          </wp:anchor>
        </w:drawing>
      </w:r>
    </w:p>
    <w:p w14:paraId="32F94C75" w14:textId="77777777" w:rsidR="00506963" w:rsidRDefault="00506963" w:rsidP="00506963">
      <w:pPr>
        <w:ind w:right="1229"/>
        <w:jc w:val="center"/>
        <w:rPr>
          <w:rFonts w:ascii="Arial" w:hAnsi="Arial" w:cs="Arial"/>
          <w:sz w:val="60"/>
          <w:szCs w:val="60"/>
        </w:rPr>
      </w:pPr>
    </w:p>
    <w:p w14:paraId="793A14F8" w14:textId="77777777" w:rsidR="00145BEB" w:rsidRDefault="00145BEB" w:rsidP="00506963">
      <w:pPr>
        <w:ind w:right="1229"/>
        <w:jc w:val="center"/>
        <w:rPr>
          <w:rFonts w:ascii="Arial" w:hAnsi="Arial" w:cs="Arial"/>
          <w:sz w:val="60"/>
          <w:szCs w:val="60"/>
        </w:rPr>
      </w:pPr>
    </w:p>
    <w:p w14:paraId="6730AAB5" w14:textId="77777777" w:rsidR="00145BEB" w:rsidRDefault="00145BEB" w:rsidP="00506963">
      <w:pPr>
        <w:ind w:right="1229"/>
        <w:jc w:val="center"/>
        <w:rPr>
          <w:rFonts w:ascii="Arial" w:hAnsi="Arial" w:cs="Arial"/>
          <w:sz w:val="60"/>
          <w:szCs w:val="60"/>
        </w:rPr>
      </w:pPr>
    </w:p>
    <w:p w14:paraId="30DDA1D0" w14:textId="77777777" w:rsidR="00145BEB" w:rsidRDefault="00145BEB" w:rsidP="00506963">
      <w:pPr>
        <w:ind w:right="1229"/>
        <w:jc w:val="center"/>
        <w:rPr>
          <w:rFonts w:ascii="Arial" w:hAnsi="Arial" w:cs="Arial"/>
          <w:sz w:val="60"/>
          <w:szCs w:val="60"/>
        </w:rPr>
      </w:pPr>
    </w:p>
    <w:p w14:paraId="1F5F5F1A" w14:textId="77777777" w:rsidR="00145BEB" w:rsidRDefault="00145BEB" w:rsidP="00506963">
      <w:pPr>
        <w:ind w:right="1229"/>
        <w:jc w:val="center"/>
        <w:rPr>
          <w:rFonts w:ascii="Arial" w:hAnsi="Arial" w:cs="Arial"/>
          <w:sz w:val="60"/>
          <w:szCs w:val="60"/>
        </w:rPr>
      </w:pPr>
    </w:p>
    <w:p w14:paraId="0AAF5510" w14:textId="41958014" w:rsidR="00506963" w:rsidRPr="003E30B6" w:rsidRDefault="00506963" w:rsidP="00506963">
      <w:pPr>
        <w:ind w:right="1229"/>
        <w:jc w:val="center"/>
        <w:rPr>
          <w:rFonts w:ascii="Arial" w:hAnsi="Arial" w:cs="Arial"/>
          <w:color w:val="000000"/>
          <w:sz w:val="20"/>
          <w:szCs w:val="20"/>
        </w:rPr>
      </w:pPr>
      <w:r w:rsidRPr="003E30B6">
        <w:rPr>
          <w:rFonts w:ascii="Arial" w:hAnsi="Arial" w:cs="Arial"/>
          <w:sz w:val="60"/>
          <w:szCs w:val="60"/>
        </w:rPr>
        <w:t>Institute of Inner-City Learning Birmingham Campus</w:t>
      </w:r>
    </w:p>
    <w:p w14:paraId="035F0DEC" w14:textId="77777777" w:rsidR="00506963" w:rsidRPr="003E30B6" w:rsidRDefault="00506963" w:rsidP="00506963">
      <w:pPr>
        <w:jc w:val="center"/>
        <w:rPr>
          <w:rFonts w:ascii="Arial" w:hAnsi="Arial" w:cs="Arial"/>
          <w:sz w:val="60"/>
          <w:szCs w:val="60"/>
        </w:rPr>
      </w:pPr>
      <w:r w:rsidRPr="003E30B6">
        <w:rPr>
          <w:rFonts w:ascii="Arial" w:hAnsi="Arial" w:cs="Arial"/>
          <w:sz w:val="60"/>
          <w:szCs w:val="60"/>
        </w:rPr>
        <w:t>BSc (Hons) Health and Social Care</w:t>
      </w:r>
      <w:r w:rsidRPr="003E30B6">
        <w:rPr>
          <w:rFonts w:ascii="Arial" w:hAnsi="Arial" w:cs="Arial"/>
          <w:sz w:val="60"/>
          <w:szCs w:val="60"/>
        </w:rPr>
        <w:br/>
      </w:r>
    </w:p>
    <w:p w14:paraId="70A5D8AB" w14:textId="77777777" w:rsidR="00506963" w:rsidRPr="003E30B6" w:rsidRDefault="00506963" w:rsidP="00506963">
      <w:pPr>
        <w:pStyle w:val="Heading1"/>
        <w:spacing w:line="360" w:lineRule="auto"/>
        <w:rPr>
          <w:rFonts w:eastAsia="Aptos"/>
        </w:rPr>
      </w:pPr>
    </w:p>
    <w:p w14:paraId="1361BA18" w14:textId="77777777" w:rsidR="00C4368A" w:rsidRDefault="00C4368A" w:rsidP="00145BEB">
      <w:pPr>
        <w:spacing w:line="360" w:lineRule="auto"/>
        <w:rPr>
          <w:rFonts w:ascii="Arial" w:hAnsi="Arial" w:cs="Arial"/>
          <w:b/>
          <w:bCs/>
          <w:sz w:val="28"/>
          <w:szCs w:val="28"/>
        </w:rPr>
      </w:pPr>
    </w:p>
    <w:p w14:paraId="6D885B04" w14:textId="77777777" w:rsidR="00C4368A" w:rsidRDefault="00C4368A" w:rsidP="00145BEB">
      <w:pPr>
        <w:spacing w:line="360" w:lineRule="auto"/>
        <w:rPr>
          <w:rFonts w:ascii="Arial" w:hAnsi="Arial" w:cs="Arial"/>
          <w:b/>
          <w:bCs/>
          <w:sz w:val="28"/>
          <w:szCs w:val="28"/>
        </w:rPr>
      </w:pPr>
    </w:p>
    <w:p w14:paraId="02505AB3" w14:textId="77777777" w:rsidR="00C4368A" w:rsidRDefault="00C4368A" w:rsidP="00145BEB">
      <w:pPr>
        <w:spacing w:line="360" w:lineRule="auto"/>
        <w:rPr>
          <w:rFonts w:ascii="Arial" w:hAnsi="Arial" w:cs="Arial"/>
          <w:b/>
          <w:bCs/>
          <w:sz w:val="28"/>
          <w:szCs w:val="28"/>
        </w:rPr>
      </w:pPr>
    </w:p>
    <w:p w14:paraId="1E41F18D" w14:textId="77777777" w:rsidR="00C4368A" w:rsidRDefault="00C4368A" w:rsidP="00145BEB">
      <w:pPr>
        <w:spacing w:line="360" w:lineRule="auto"/>
        <w:rPr>
          <w:rFonts w:ascii="Arial" w:hAnsi="Arial" w:cs="Arial"/>
          <w:b/>
          <w:bCs/>
          <w:sz w:val="28"/>
          <w:szCs w:val="28"/>
        </w:rPr>
      </w:pPr>
    </w:p>
    <w:p w14:paraId="3DCA889C" w14:textId="77777777" w:rsidR="00C4368A" w:rsidRDefault="00C4368A" w:rsidP="00145BEB">
      <w:pPr>
        <w:spacing w:line="360" w:lineRule="auto"/>
        <w:rPr>
          <w:rFonts w:ascii="Arial" w:hAnsi="Arial" w:cs="Arial"/>
          <w:b/>
          <w:bCs/>
          <w:sz w:val="28"/>
          <w:szCs w:val="28"/>
        </w:rPr>
      </w:pPr>
    </w:p>
    <w:p w14:paraId="5B2CC36E" w14:textId="77777777" w:rsidR="00C4368A" w:rsidRDefault="00C4368A" w:rsidP="00145BEB">
      <w:pPr>
        <w:spacing w:line="360" w:lineRule="auto"/>
        <w:rPr>
          <w:rFonts w:ascii="Arial" w:hAnsi="Arial" w:cs="Arial"/>
          <w:b/>
          <w:bCs/>
          <w:sz w:val="28"/>
          <w:szCs w:val="28"/>
        </w:rPr>
      </w:pPr>
    </w:p>
    <w:p w14:paraId="3FB77CF8" w14:textId="1DE7A835" w:rsidR="00506963" w:rsidRPr="00145BEB" w:rsidRDefault="00506963" w:rsidP="00145BEB">
      <w:pPr>
        <w:spacing w:line="360" w:lineRule="auto"/>
        <w:rPr>
          <w:rFonts w:ascii="Aptos" w:hAnsi="Aptos" w:cs="Arial"/>
          <w:b/>
          <w:bCs/>
          <w:sz w:val="28"/>
          <w:szCs w:val="28"/>
        </w:rPr>
      </w:pPr>
      <w:r w:rsidRPr="007B0BE6">
        <w:rPr>
          <w:rFonts w:ascii="Arial" w:hAnsi="Arial" w:cs="Arial"/>
          <w:b/>
          <w:bCs/>
          <w:sz w:val="28"/>
          <w:szCs w:val="28"/>
        </w:rPr>
        <w:lastRenderedPageBreak/>
        <w:t>Module: Independent Project (BMHP6020_BIRM)</w:t>
      </w:r>
    </w:p>
    <w:p w14:paraId="7D4209DC" w14:textId="77777777" w:rsidR="00506963" w:rsidRPr="007B0BE6" w:rsidRDefault="00506963" w:rsidP="00506963">
      <w:pPr>
        <w:spacing w:line="360" w:lineRule="auto"/>
        <w:jc w:val="center"/>
        <w:rPr>
          <w:rFonts w:ascii="Arial" w:hAnsi="Arial" w:cs="Arial"/>
          <w:sz w:val="28"/>
          <w:szCs w:val="28"/>
        </w:rPr>
      </w:pPr>
    </w:p>
    <w:p w14:paraId="69813FF8" w14:textId="77777777" w:rsidR="00506963" w:rsidRPr="007B0BE6" w:rsidRDefault="00506963" w:rsidP="00506963">
      <w:pPr>
        <w:spacing w:line="360" w:lineRule="auto"/>
        <w:rPr>
          <w:rFonts w:ascii="Arial" w:hAnsi="Arial" w:cs="Arial"/>
          <w:sz w:val="28"/>
          <w:szCs w:val="28"/>
        </w:rPr>
      </w:pPr>
    </w:p>
    <w:p w14:paraId="1E800176" w14:textId="4E78993B" w:rsidR="00506963" w:rsidRPr="007B0BE6" w:rsidRDefault="00506963" w:rsidP="00506963">
      <w:pPr>
        <w:spacing w:line="360" w:lineRule="auto"/>
        <w:jc w:val="center"/>
        <w:rPr>
          <w:rFonts w:ascii="Arial" w:hAnsi="Arial" w:cs="Arial"/>
          <w:b/>
          <w:bCs/>
          <w:sz w:val="28"/>
          <w:szCs w:val="28"/>
        </w:rPr>
      </w:pPr>
      <w:r w:rsidRPr="007B0BE6">
        <w:rPr>
          <w:rFonts w:ascii="Arial" w:hAnsi="Arial" w:cs="Arial"/>
          <w:b/>
          <w:bCs/>
          <w:sz w:val="28"/>
          <w:szCs w:val="28"/>
        </w:rPr>
        <w:t>DRAFT CHAPTER 3</w:t>
      </w:r>
    </w:p>
    <w:p w14:paraId="2FC4C2B7" w14:textId="77777777" w:rsidR="00506963" w:rsidRPr="007B0BE6" w:rsidRDefault="00506963" w:rsidP="00506963">
      <w:pPr>
        <w:spacing w:line="360" w:lineRule="auto"/>
        <w:rPr>
          <w:rFonts w:ascii="Arial" w:hAnsi="Arial" w:cs="Arial"/>
          <w:sz w:val="28"/>
          <w:szCs w:val="28"/>
        </w:rPr>
      </w:pPr>
    </w:p>
    <w:p w14:paraId="2A6EBED3" w14:textId="77777777" w:rsidR="00506963" w:rsidRPr="007B0BE6" w:rsidRDefault="00506963" w:rsidP="00506963">
      <w:pPr>
        <w:spacing w:line="360" w:lineRule="auto"/>
        <w:rPr>
          <w:rFonts w:ascii="Arial" w:hAnsi="Arial" w:cs="Arial"/>
          <w:sz w:val="28"/>
          <w:szCs w:val="28"/>
        </w:rPr>
      </w:pPr>
    </w:p>
    <w:p w14:paraId="759B5E0B" w14:textId="77777777" w:rsidR="00506963" w:rsidRPr="007B0BE6" w:rsidRDefault="00506963" w:rsidP="00506963">
      <w:pPr>
        <w:spacing w:line="360" w:lineRule="auto"/>
        <w:rPr>
          <w:rFonts w:ascii="Arial" w:hAnsi="Arial" w:cs="Arial"/>
          <w:sz w:val="28"/>
          <w:szCs w:val="28"/>
        </w:rPr>
      </w:pPr>
    </w:p>
    <w:p w14:paraId="6473D171" w14:textId="77777777" w:rsidR="00506963" w:rsidRDefault="00506963" w:rsidP="00506963">
      <w:pPr>
        <w:spacing w:line="360" w:lineRule="auto"/>
        <w:jc w:val="center"/>
        <w:rPr>
          <w:rFonts w:ascii="Arial" w:eastAsia="Arial" w:hAnsi="Arial" w:cs="Arial"/>
          <w:b/>
          <w:bCs/>
          <w:color w:val="1C1C1C"/>
          <w:sz w:val="22"/>
          <w:szCs w:val="22"/>
        </w:rPr>
      </w:pPr>
    </w:p>
    <w:p w14:paraId="4A36C939" w14:textId="77777777" w:rsidR="00506963" w:rsidRDefault="00506963" w:rsidP="00506963">
      <w:pPr>
        <w:spacing w:line="360" w:lineRule="auto"/>
        <w:jc w:val="center"/>
        <w:rPr>
          <w:rFonts w:ascii="Arial" w:eastAsia="Arial" w:hAnsi="Arial" w:cs="Arial"/>
          <w:b/>
          <w:bCs/>
          <w:color w:val="1C1C1C"/>
          <w:sz w:val="22"/>
          <w:szCs w:val="22"/>
        </w:rPr>
      </w:pPr>
    </w:p>
    <w:p w14:paraId="32D25C23" w14:textId="77777777" w:rsidR="00506963" w:rsidRPr="000A4290" w:rsidRDefault="00506963" w:rsidP="00506963">
      <w:pPr>
        <w:spacing w:line="360" w:lineRule="auto"/>
        <w:jc w:val="center"/>
        <w:rPr>
          <w:rFonts w:ascii="Arial" w:eastAsia="Arial" w:hAnsi="Arial" w:cs="Arial"/>
          <w:b/>
          <w:bCs/>
          <w:sz w:val="22"/>
          <w:szCs w:val="22"/>
        </w:rPr>
      </w:pPr>
      <w:r>
        <w:rPr>
          <w:rFonts w:ascii="Arial" w:eastAsia="Arial" w:hAnsi="Arial" w:cs="Arial"/>
          <w:b/>
          <w:bCs/>
          <w:color w:val="1C1C1C"/>
          <w:sz w:val="22"/>
          <w:szCs w:val="22"/>
        </w:rPr>
        <w:t xml:space="preserve">Title:  </w:t>
      </w:r>
      <w:r>
        <w:rPr>
          <w:rFonts w:ascii="Arial" w:eastAsia="Arial" w:hAnsi="Arial" w:cs="Arial"/>
          <w:b/>
          <w:bCs/>
          <w:sz w:val="28"/>
          <w:szCs w:val="28"/>
        </w:rPr>
        <w:t xml:space="preserve">EXPLORING </w:t>
      </w:r>
      <w:r w:rsidRPr="007B0BE6">
        <w:rPr>
          <w:rFonts w:ascii="Arial" w:eastAsia="Arial" w:hAnsi="Arial" w:cs="Arial"/>
          <w:b/>
          <w:bCs/>
          <w:sz w:val="28"/>
          <w:szCs w:val="28"/>
        </w:rPr>
        <w:t>THE IMPACT OF ADVERSE CHILDHOOD EXPERIENCES ON LONG-TERM PHYSICAL HEALTH OUTCOMES IN ADULTHOOD</w:t>
      </w:r>
    </w:p>
    <w:p w14:paraId="4B2568AE" w14:textId="77777777" w:rsidR="00506963" w:rsidRPr="007B0BE6" w:rsidRDefault="00506963" w:rsidP="00506963">
      <w:pPr>
        <w:rPr>
          <w:rFonts w:ascii="Arial" w:hAnsi="Arial" w:cs="Arial"/>
          <w:b/>
          <w:bCs/>
          <w:sz w:val="28"/>
          <w:szCs w:val="28"/>
        </w:rPr>
      </w:pPr>
    </w:p>
    <w:p w14:paraId="752DBD5D" w14:textId="77777777" w:rsidR="00506963" w:rsidRDefault="00506963" w:rsidP="00506963">
      <w:pPr>
        <w:rPr>
          <w:rFonts w:ascii="Arial" w:hAnsi="Arial" w:cs="Arial"/>
          <w:b/>
          <w:bCs/>
          <w:sz w:val="28"/>
          <w:szCs w:val="28"/>
        </w:rPr>
      </w:pPr>
    </w:p>
    <w:p w14:paraId="76C69709" w14:textId="77777777" w:rsidR="00506963" w:rsidRDefault="00506963" w:rsidP="00506963">
      <w:pPr>
        <w:rPr>
          <w:rFonts w:ascii="Arial" w:hAnsi="Arial" w:cs="Arial"/>
          <w:b/>
          <w:bCs/>
          <w:sz w:val="28"/>
          <w:szCs w:val="28"/>
        </w:rPr>
      </w:pPr>
    </w:p>
    <w:p w14:paraId="3B9D3705" w14:textId="77777777" w:rsidR="00506963" w:rsidRDefault="00506963" w:rsidP="00506963">
      <w:pPr>
        <w:rPr>
          <w:rFonts w:ascii="Arial" w:hAnsi="Arial" w:cs="Arial"/>
          <w:b/>
          <w:bCs/>
          <w:sz w:val="28"/>
          <w:szCs w:val="28"/>
        </w:rPr>
      </w:pPr>
    </w:p>
    <w:p w14:paraId="1954934F" w14:textId="77777777" w:rsidR="00506963" w:rsidRDefault="00506963" w:rsidP="00506963">
      <w:pPr>
        <w:rPr>
          <w:rFonts w:ascii="Arial" w:hAnsi="Arial" w:cs="Arial"/>
          <w:b/>
          <w:bCs/>
          <w:sz w:val="28"/>
          <w:szCs w:val="28"/>
        </w:rPr>
      </w:pPr>
    </w:p>
    <w:p w14:paraId="5CA40508" w14:textId="77777777" w:rsidR="00506963" w:rsidRPr="007B0BE6" w:rsidRDefault="00506963" w:rsidP="00506963">
      <w:pPr>
        <w:rPr>
          <w:rFonts w:ascii="Arial" w:hAnsi="Arial" w:cs="Arial"/>
          <w:b/>
          <w:bCs/>
          <w:sz w:val="28"/>
          <w:szCs w:val="28"/>
        </w:rPr>
      </w:pPr>
    </w:p>
    <w:p w14:paraId="1B61DAC0" w14:textId="77777777" w:rsidR="00506963" w:rsidRPr="007B0BE6" w:rsidRDefault="00506963" w:rsidP="00506963">
      <w:pPr>
        <w:rPr>
          <w:rFonts w:ascii="Arial" w:hAnsi="Arial" w:cs="Arial"/>
          <w:b/>
          <w:bCs/>
          <w:sz w:val="28"/>
          <w:szCs w:val="28"/>
        </w:rPr>
      </w:pPr>
    </w:p>
    <w:p w14:paraId="1411BF3C" w14:textId="77777777" w:rsidR="00506963" w:rsidRPr="007B0BE6" w:rsidRDefault="00506963" w:rsidP="00506963">
      <w:pPr>
        <w:rPr>
          <w:rFonts w:ascii="Arial" w:hAnsi="Arial" w:cs="Arial"/>
          <w:sz w:val="28"/>
          <w:szCs w:val="28"/>
        </w:rPr>
      </w:pPr>
      <w:r w:rsidRPr="007B0BE6">
        <w:rPr>
          <w:rFonts w:ascii="Arial" w:hAnsi="Arial" w:cs="Arial"/>
          <w:b/>
          <w:bCs/>
          <w:sz w:val="28"/>
          <w:szCs w:val="28"/>
        </w:rPr>
        <w:t>Student Name</w:t>
      </w:r>
      <w:r w:rsidRPr="007B0BE6">
        <w:rPr>
          <w:rFonts w:ascii="Arial" w:hAnsi="Arial" w:cs="Arial"/>
          <w:sz w:val="28"/>
          <w:szCs w:val="28"/>
        </w:rPr>
        <w:t>:  Rozilene Araujo</w:t>
      </w:r>
    </w:p>
    <w:p w14:paraId="07E21F37" w14:textId="77777777" w:rsidR="00506963" w:rsidRPr="007B0BE6" w:rsidRDefault="00506963" w:rsidP="00506963">
      <w:pPr>
        <w:rPr>
          <w:rFonts w:ascii="Arial" w:hAnsi="Arial" w:cs="Arial"/>
          <w:sz w:val="28"/>
          <w:szCs w:val="28"/>
        </w:rPr>
      </w:pPr>
    </w:p>
    <w:p w14:paraId="08D44039" w14:textId="77777777" w:rsidR="00506963" w:rsidRPr="007B0BE6" w:rsidRDefault="00506963" w:rsidP="00506963">
      <w:pPr>
        <w:rPr>
          <w:rFonts w:ascii="Arial" w:hAnsi="Arial" w:cs="Arial"/>
          <w:sz w:val="28"/>
          <w:szCs w:val="28"/>
        </w:rPr>
      </w:pPr>
      <w:r w:rsidRPr="007B0BE6">
        <w:rPr>
          <w:rFonts w:ascii="Arial" w:hAnsi="Arial" w:cs="Arial"/>
          <w:b/>
          <w:bCs/>
          <w:sz w:val="28"/>
          <w:szCs w:val="28"/>
        </w:rPr>
        <w:t>Student ID</w:t>
      </w:r>
      <w:r w:rsidRPr="007B0BE6">
        <w:rPr>
          <w:rFonts w:ascii="Arial" w:hAnsi="Arial" w:cs="Arial"/>
          <w:sz w:val="28"/>
          <w:szCs w:val="28"/>
        </w:rPr>
        <w:t>:  2319163</w:t>
      </w:r>
    </w:p>
    <w:p w14:paraId="51B089DF" w14:textId="77777777" w:rsidR="00506963" w:rsidRPr="007B0BE6" w:rsidRDefault="00506963" w:rsidP="00506963">
      <w:pPr>
        <w:rPr>
          <w:rFonts w:ascii="Arial" w:hAnsi="Arial" w:cs="Arial"/>
          <w:sz w:val="28"/>
          <w:szCs w:val="28"/>
        </w:rPr>
      </w:pPr>
    </w:p>
    <w:p w14:paraId="7CA60E91" w14:textId="3A6E20B9" w:rsidR="00506963" w:rsidRPr="007B0BE6" w:rsidRDefault="00506963" w:rsidP="00506963">
      <w:pPr>
        <w:rPr>
          <w:rFonts w:ascii="Arial" w:hAnsi="Arial" w:cs="Arial"/>
          <w:sz w:val="28"/>
          <w:szCs w:val="28"/>
        </w:rPr>
      </w:pPr>
      <w:r w:rsidRPr="007B0BE6">
        <w:rPr>
          <w:rFonts w:ascii="Arial" w:hAnsi="Arial" w:cs="Arial"/>
          <w:b/>
          <w:bCs/>
          <w:sz w:val="28"/>
          <w:szCs w:val="28"/>
        </w:rPr>
        <w:t xml:space="preserve">Lecturer name: </w:t>
      </w:r>
      <w:r w:rsidRPr="007B0BE6">
        <w:rPr>
          <w:rFonts w:ascii="Arial" w:hAnsi="Arial" w:cs="Arial"/>
          <w:sz w:val="28"/>
          <w:szCs w:val="28"/>
        </w:rPr>
        <w:t>Joanne Davies</w:t>
      </w:r>
      <w:r w:rsidR="005040F8">
        <w:rPr>
          <w:rFonts w:ascii="Arial" w:hAnsi="Arial" w:cs="Arial"/>
          <w:sz w:val="28"/>
          <w:szCs w:val="28"/>
        </w:rPr>
        <w:t xml:space="preserve"> &amp; Chloe Harries</w:t>
      </w:r>
    </w:p>
    <w:p w14:paraId="0989D9B9" w14:textId="77777777" w:rsidR="00506963" w:rsidRPr="007B0BE6" w:rsidRDefault="00506963" w:rsidP="00506963">
      <w:pPr>
        <w:spacing w:line="360" w:lineRule="auto"/>
        <w:rPr>
          <w:rFonts w:ascii="Arial" w:hAnsi="Arial" w:cs="Arial"/>
          <w:sz w:val="28"/>
          <w:szCs w:val="28"/>
        </w:rPr>
      </w:pPr>
    </w:p>
    <w:p w14:paraId="08724A3A" w14:textId="77777777" w:rsidR="00506963" w:rsidRDefault="00506963" w:rsidP="00506963">
      <w:pPr>
        <w:pStyle w:val="paragraph"/>
        <w:shd w:val="clear" w:color="auto" w:fill="FFFFFF"/>
        <w:spacing w:before="0" w:beforeAutospacing="0" w:after="0" w:afterAutospacing="0"/>
        <w:textAlignment w:val="baseline"/>
        <w:rPr>
          <w:rStyle w:val="normaltextrun"/>
          <w:rFonts w:ascii="Roboto" w:hAnsi="Roboto" w:cs="Segoe UI"/>
          <w:b/>
          <w:bCs/>
          <w:color w:val="283041"/>
          <w:sz w:val="21"/>
          <w:szCs w:val="21"/>
          <w:highlight w:val="yellow"/>
        </w:rPr>
      </w:pPr>
    </w:p>
    <w:p w14:paraId="23965981" w14:textId="77777777" w:rsidR="00506963" w:rsidRDefault="00506963" w:rsidP="00506963">
      <w:pPr>
        <w:pStyle w:val="Heading1"/>
        <w:spacing w:line="360" w:lineRule="auto"/>
        <w:rPr>
          <w:rFonts w:ascii="Arial" w:hAnsi="Arial" w:cs="Arial"/>
          <w:b/>
          <w:bCs/>
          <w:color w:val="000000"/>
          <w:sz w:val="22"/>
          <w:szCs w:val="22"/>
        </w:rPr>
      </w:pPr>
    </w:p>
    <w:p w14:paraId="59F479CF" w14:textId="77777777" w:rsidR="00506963" w:rsidRPr="003A1FD6" w:rsidRDefault="00506963" w:rsidP="00506963">
      <w:pPr>
        <w:pStyle w:val="NormalWeb"/>
        <w:shd w:val="clear" w:color="auto" w:fill="FFFFFF"/>
        <w:spacing w:before="0" w:beforeAutospacing="0" w:after="0" w:afterAutospacing="0"/>
        <w:rPr>
          <w:rFonts w:ascii="Roboto" w:hAnsi="Roboto"/>
          <w:color w:val="283041"/>
          <w:sz w:val="21"/>
          <w:szCs w:val="21"/>
        </w:rPr>
      </w:pPr>
    </w:p>
    <w:p w14:paraId="12F1F323" w14:textId="77777777" w:rsidR="00506963" w:rsidRPr="003A1FD6" w:rsidRDefault="00506963" w:rsidP="00506963">
      <w:pPr>
        <w:pStyle w:val="NormalWeb"/>
        <w:shd w:val="clear" w:color="auto" w:fill="FFFFFF"/>
        <w:spacing w:before="0" w:beforeAutospacing="0" w:after="0" w:afterAutospacing="0"/>
        <w:rPr>
          <w:rFonts w:ascii="Arial" w:hAnsi="Arial" w:cs="Arial"/>
          <w:color w:val="1C1C1C"/>
        </w:rPr>
      </w:pPr>
      <w:r w:rsidRPr="003A1FD6">
        <w:rPr>
          <w:rFonts w:ascii="Arial" w:hAnsi="Arial" w:cs="Arial"/>
          <w:color w:val="1C1C1C"/>
        </w:rPr>
        <w:t xml:space="preserve"> </w:t>
      </w:r>
    </w:p>
    <w:p w14:paraId="67093FA2" w14:textId="77777777" w:rsidR="00506963" w:rsidRPr="00BC064A" w:rsidRDefault="00506963" w:rsidP="00506963">
      <w:pPr>
        <w:jc w:val="both"/>
        <w:rPr>
          <w:rFonts w:ascii="Arial" w:hAnsi="Arial" w:cs="Arial"/>
          <w:color w:val="1C1C1C"/>
        </w:rPr>
      </w:pPr>
    </w:p>
    <w:p w14:paraId="68DB1359" w14:textId="77777777" w:rsidR="00506963" w:rsidRDefault="00506963" w:rsidP="00506963"/>
    <w:p w14:paraId="166E8D08" w14:textId="77777777" w:rsidR="003F7AE2" w:rsidRDefault="003F7AE2" w:rsidP="00754891">
      <w:pPr>
        <w:pStyle w:val="paragraph"/>
        <w:spacing w:before="0" w:beforeAutospacing="0" w:after="0" w:afterAutospacing="0" w:line="360" w:lineRule="auto"/>
        <w:textAlignment w:val="baseline"/>
        <w:rPr>
          <w:rStyle w:val="normaltextrun"/>
          <w:rFonts w:ascii="Arial" w:hAnsi="Arial" w:cs="Arial"/>
          <w:b/>
          <w:bCs/>
          <w:sz w:val="22"/>
          <w:szCs w:val="22"/>
        </w:rPr>
      </w:pPr>
    </w:p>
    <w:p w14:paraId="6C0F7155" w14:textId="77777777" w:rsidR="003F7AE2" w:rsidRDefault="003F7AE2" w:rsidP="00754891">
      <w:pPr>
        <w:pStyle w:val="paragraph"/>
        <w:spacing w:before="0" w:beforeAutospacing="0" w:after="0" w:afterAutospacing="0" w:line="360" w:lineRule="auto"/>
        <w:textAlignment w:val="baseline"/>
        <w:rPr>
          <w:rStyle w:val="normaltextrun"/>
          <w:rFonts w:ascii="Arial" w:hAnsi="Arial" w:cs="Arial"/>
          <w:b/>
          <w:bCs/>
          <w:sz w:val="22"/>
          <w:szCs w:val="22"/>
        </w:rPr>
      </w:pPr>
    </w:p>
    <w:p w14:paraId="5215C409" w14:textId="77777777" w:rsidR="003F7AE2" w:rsidRDefault="003F7AE2" w:rsidP="00754891">
      <w:pPr>
        <w:pStyle w:val="paragraph"/>
        <w:spacing w:before="0" w:beforeAutospacing="0" w:after="0" w:afterAutospacing="0" w:line="360" w:lineRule="auto"/>
        <w:textAlignment w:val="baseline"/>
        <w:rPr>
          <w:rStyle w:val="normaltextrun"/>
          <w:rFonts w:ascii="Arial" w:hAnsi="Arial" w:cs="Arial"/>
          <w:b/>
          <w:bCs/>
          <w:sz w:val="22"/>
          <w:szCs w:val="22"/>
        </w:rPr>
      </w:pPr>
    </w:p>
    <w:p w14:paraId="5CAB6E9E" w14:textId="77777777" w:rsidR="003A7E59" w:rsidRDefault="003A7E59" w:rsidP="00754891">
      <w:pPr>
        <w:pStyle w:val="paragraph"/>
        <w:spacing w:before="0" w:beforeAutospacing="0" w:after="0" w:afterAutospacing="0" w:line="360" w:lineRule="auto"/>
        <w:textAlignment w:val="baseline"/>
        <w:rPr>
          <w:rStyle w:val="normaltextrun"/>
          <w:rFonts w:ascii="Arial" w:hAnsi="Arial" w:cs="Arial"/>
          <w:b/>
          <w:bCs/>
          <w:sz w:val="22"/>
          <w:szCs w:val="22"/>
        </w:rPr>
      </w:pPr>
    </w:p>
    <w:p w14:paraId="4BFA3361" w14:textId="77777777" w:rsidR="003A7E59" w:rsidRDefault="003A7E59" w:rsidP="00754891">
      <w:pPr>
        <w:pStyle w:val="paragraph"/>
        <w:spacing w:before="0" w:beforeAutospacing="0" w:after="0" w:afterAutospacing="0" w:line="360" w:lineRule="auto"/>
        <w:textAlignment w:val="baseline"/>
        <w:rPr>
          <w:rStyle w:val="normaltextrun"/>
          <w:rFonts w:ascii="Arial" w:hAnsi="Arial" w:cs="Arial"/>
          <w:b/>
          <w:bCs/>
          <w:sz w:val="22"/>
          <w:szCs w:val="22"/>
        </w:rPr>
      </w:pPr>
    </w:p>
    <w:p w14:paraId="30FA6275" w14:textId="37BF966A" w:rsidR="00754891" w:rsidRDefault="00754891" w:rsidP="00754891">
      <w:pPr>
        <w:pStyle w:val="paragraph"/>
        <w:spacing w:before="0" w:beforeAutospacing="0" w:after="0" w:afterAutospacing="0" w:line="360" w:lineRule="auto"/>
        <w:textAlignment w:val="baseline"/>
        <w:rPr>
          <w:rStyle w:val="normaltextrun"/>
          <w:rFonts w:ascii="Arial" w:hAnsi="Arial" w:cs="Arial"/>
          <w:b/>
          <w:bCs/>
          <w:sz w:val="22"/>
          <w:szCs w:val="22"/>
        </w:rPr>
      </w:pPr>
      <w:r w:rsidRPr="00C970C4">
        <w:rPr>
          <w:rStyle w:val="normaltextrun"/>
          <w:rFonts w:ascii="Arial" w:hAnsi="Arial" w:cs="Arial"/>
          <w:b/>
          <w:bCs/>
          <w:sz w:val="22"/>
          <w:szCs w:val="22"/>
        </w:rPr>
        <w:lastRenderedPageBreak/>
        <w:t>Chapter 3</w:t>
      </w:r>
      <w:r>
        <w:rPr>
          <w:rStyle w:val="normaltextrun"/>
          <w:rFonts w:ascii="Arial" w:hAnsi="Arial" w:cs="Arial"/>
          <w:b/>
          <w:bCs/>
          <w:sz w:val="22"/>
          <w:szCs w:val="22"/>
        </w:rPr>
        <w:t>:  Methodology and Search Strategy</w:t>
      </w:r>
    </w:p>
    <w:p w14:paraId="109FFE38" w14:textId="77777777" w:rsidR="00754891" w:rsidRPr="00C970C4" w:rsidRDefault="00754891" w:rsidP="00754891">
      <w:pPr>
        <w:pStyle w:val="paragraph"/>
        <w:spacing w:before="0" w:beforeAutospacing="0" w:after="0" w:afterAutospacing="0" w:line="360" w:lineRule="auto"/>
        <w:textAlignment w:val="baseline"/>
        <w:rPr>
          <w:rStyle w:val="normaltextrun"/>
          <w:rFonts w:ascii="Arial" w:hAnsi="Arial" w:cs="Arial"/>
          <w:b/>
          <w:bCs/>
          <w:sz w:val="22"/>
          <w:szCs w:val="22"/>
        </w:rPr>
      </w:pPr>
    </w:p>
    <w:p w14:paraId="64E86A68" w14:textId="77777777" w:rsidR="00754891" w:rsidRPr="00B45B88" w:rsidRDefault="00754891" w:rsidP="00754891">
      <w:pPr>
        <w:pStyle w:val="NormalWeb"/>
        <w:spacing w:line="360" w:lineRule="auto"/>
        <w:rPr>
          <w:rFonts w:ascii="Arial" w:hAnsi="Arial" w:cs="Arial"/>
          <w:sz w:val="22"/>
          <w:szCs w:val="22"/>
        </w:rPr>
      </w:pPr>
      <w:r w:rsidRPr="00DE3389">
        <w:rPr>
          <w:rFonts w:ascii="Arial" w:hAnsi="Arial" w:cs="Arial"/>
          <w:b/>
          <w:bCs/>
          <w:sz w:val="22"/>
          <w:szCs w:val="22"/>
        </w:rPr>
        <w:t>3.1 Introduction</w:t>
      </w:r>
      <w:r w:rsidRPr="00B45B88">
        <w:rPr>
          <w:rFonts w:ascii="Arial" w:hAnsi="Arial" w:cs="Arial"/>
          <w:sz w:val="22"/>
          <w:szCs w:val="22"/>
        </w:rPr>
        <w:t xml:space="preserve"> </w:t>
      </w:r>
    </w:p>
    <w:p w14:paraId="4346FD3C" w14:textId="77777777" w:rsidR="00754891" w:rsidRDefault="00754891" w:rsidP="00754891">
      <w:pPr>
        <w:spacing w:line="360" w:lineRule="auto"/>
        <w:jc w:val="both"/>
        <w:rPr>
          <w:rFonts w:ascii="Arial" w:eastAsia="Arial" w:hAnsi="Arial" w:cs="Arial"/>
          <w:sz w:val="22"/>
          <w:szCs w:val="22"/>
        </w:rPr>
      </w:pPr>
      <w:r w:rsidRPr="00D85E39">
        <w:rPr>
          <w:rFonts w:ascii="Arial" w:eastAsia="Arial" w:hAnsi="Arial" w:cs="Arial"/>
          <w:sz w:val="22"/>
          <w:szCs w:val="22"/>
        </w:rPr>
        <w:t xml:space="preserve">This chapter outlines the methodology used to investigate the relationship between Adverse Childhood Experiences (ACEs) and long-term physical health outcomes in adulthood. As this dissertation is based on desk-based secondary research, no primary data were collected. Instead, a structured literature search was undertaken to identify relevant academic and policy-based evidence. </w:t>
      </w:r>
      <w:r w:rsidRPr="002B1CE8">
        <w:rPr>
          <w:rFonts w:ascii="Arial" w:eastAsia="Arial" w:hAnsi="Arial" w:cs="Arial"/>
          <w:sz w:val="22"/>
          <w:szCs w:val="22"/>
        </w:rPr>
        <w:t>This chapter provides a detailed explanation of the methodology</w:t>
      </w:r>
      <w:r>
        <w:rPr>
          <w:rFonts w:ascii="Arial" w:eastAsia="Arial" w:hAnsi="Arial" w:cs="Arial"/>
          <w:sz w:val="22"/>
          <w:szCs w:val="22"/>
        </w:rPr>
        <w:t xml:space="preserve">, how the sources </w:t>
      </w:r>
      <w:proofErr w:type="gramStart"/>
      <w:r>
        <w:rPr>
          <w:rFonts w:ascii="Arial" w:eastAsia="Arial" w:hAnsi="Arial" w:cs="Arial"/>
          <w:sz w:val="22"/>
          <w:szCs w:val="22"/>
        </w:rPr>
        <w:t>was</w:t>
      </w:r>
      <w:proofErr w:type="gramEnd"/>
      <w:r>
        <w:rPr>
          <w:rFonts w:ascii="Arial" w:eastAsia="Arial" w:hAnsi="Arial" w:cs="Arial"/>
          <w:sz w:val="22"/>
          <w:szCs w:val="22"/>
        </w:rPr>
        <w:t xml:space="preserve"> selected, evaluated using the CRAAP test, and </w:t>
      </w:r>
      <w:r w:rsidRPr="002B1CE8">
        <w:rPr>
          <w:rFonts w:ascii="Arial" w:eastAsia="Arial" w:hAnsi="Arial" w:cs="Arial"/>
          <w:sz w:val="22"/>
          <w:szCs w:val="22"/>
        </w:rPr>
        <w:t>summarised in the Academic Methodology Poster, including the search strategy, source selection, research validation, inclusion and exclusion criteria, thematic analysis and ethical considerations.</w:t>
      </w:r>
      <w:r>
        <w:rPr>
          <w:rFonts w:ascii="Arial" w:eastAsia="Arial" w:hAnsi="Arial" w:cs="Arial"/>
          <w:sz w:val="22"/>
          <w:szCs w:val="22"/>
        </w:rPr>
        <w:t xml:space="preserve"> </w:t>
      </w:r>
      <w:r w:rsidRPr="00D85E39">
        <w:rPr>
          <w:rFonts w:ascii="Arial" w:eastAsia="Arial" w:hAnsi="Arial" w:cs="Arial"/>
          <w:sz w:val="22"/>
          <w:szCs w:val="22"/>
        </w:rPr>
        <w:t>Together, these methods provide a transparent and systematic approach to identifying and analysing the literature that forms the basis of the findings presented in Chapter 4.</w:t>
      </w:r>
    </w:p>
    <w:p w14:paraId="156DBE64" w14:textId="77777777" w:rsidR="00754891" w:rsidRDefault="00754891" w:rsidP="00754891">
      <w:pPr>
        <w:spacing w:line="360" w:lineRule="auto"/>
        <w:jc w:val="both"/>
        <w:rPr>
          <w:rFonts w:ascii="Arial" w:eastAsia="Arial" w:hAnsi="Arial" w:cs="Arial"/>
          <w:sz w:val="22"/>
          <w:szCs w:val="22"/>
        </w:rPr>
      </w:pPr>
    </w:p>
    <w:p w14:paraId="2E2DC2C5" w14:textId="77777777" w:rsidR="00754891" w:rsidRDefault="00754891" w:rsidP="00754891">
      <w:pPr>
        <w:spacing w:line="360" w:lineRule="auto"/>
        <w:jc w:val="both"/>
        <w:rPr>
          <w:rFonts w:ascii="Arial" w:hAnsi="Arial" w:cs="Arial"/>
          <w:sz w:val="22"/>
          <w:szCs w:val="22"/>
        </w:rPr>
      </w:pPr>
      <w:r w:rsidRPr="002A4F76">
        <w:rPr>
          <w:rFonts w:ascii="Arial" w:eastAsia="Arial" w:hAnsi="Arial" w:cs="Arial"/>
          <w:b/>
          <w:bCs/>
          <w:sz w:val="22"/>
          <w:szCs w:val="22"/>
        </w:rPr>
        <w:t>3.2 Search Strategy</w:t>
      </w:r>
      <w:r>
        <w:rPr>
          <w:rFonts w:ascii="Arial" w:eastAsia="Arial" w:hAnsi="Arial" w:cs="Arial"/>
          <w:sz w:val="22"/>
          <w:szCs w:val="22"/>
        </w:rPr>
        <w:t xml:space="preserve"> </w:t>
      </w:r>
    </w:p>
    <w:p w14:paraId="2C95BB23" w14:textId="77777777" w:rsidR="00754891" w:rsidRDefault="00754891" w:rsidP="00754891">
      <w:pPr>
        <w:spacing w:line="360" w:lineRule="auto"/>
        <w:jc w:val="both"/>
      </w:pPr>
    </w:p>
    <w:p w14:paraId="0738F0B4" w14:textId="77777777" w:rsidR="00754891" w:rsidRPr="009D6B6B" w:rsidRDefault="00754891" w:rsidP="00754891">
      <w:pPr>
        <w:spacing w:line="360" w:lineRule="auto"/>
        <w:jc w:val="both"/>
        <w:rPr>
          <w:rFonts w:ascii="Arial" w:hAnsi="Arial" w:cs="Arial"/>
          <w:sz w:val="22"/>
          <w:szCs w:val="22"/>
        </w:rPr>
      </w:pPr>
      <w:r w:rsidRPr="009D6B6B">
        <w:rPr>
          <w:rFonts w:ascii="Arial" w:hAnsi="Arial" w:cs="Arial"/>
          <w:sz w:val="22"/>
          <w:szCs w:val="22"/>
        </w:rPr>
        <w:t>A structured search strategy was developed using keywords derived from the dissertation title, aim and objectives (see Table 3.1). Key search terms included Adverse Childhood Experiences (ACEs), childhood trauma, early adversity, physical health outcomes, chronic disease, toxic stress and trauma-informed care. Boolean operators (AND, OR and NOT) were used to combine and refine search terms, improving the relevance of results. For example, searches included “Adverse Childhood Experiences” AND “physical health outcomes” and “childhood trauma” OR “early adversity”. Search terms and combinations were recorded throughout the review to ensure a transparent and systematic search process.</w:t>
      </w:r>
    </w:p>
    <w:p w14:paraId="2E76EBB4" w14:textId="77777777" w:rsidR="00754891" w:rsidRDefault="00754891" w:rsidP="00754891">
      <w:pPr>
        <w:spacing w:line="360" w:lineRule="auto"/>
        <w:jc w:val="both"/>
      </w:pPr>
    </w:p>
    <w:p w14:paraId="233D28B7" w14:textId="77777777" w:rsidR="00754891" w:rsidRDefault="00754891" w:rsidP="00754891">
      <w:pPr>
        <w:spacing w:line="360" w:lineRule="auto"/>
        <w:jc w:val="both"/>
        <w:rPr>
          <w:rFonts w:ascii="Arial" w:hAnsi="Arial" w:cs="Arial"/>
          <w:sz w:val="22"/>
          <w:szCs w:val="22"/>
        </w:rPr>
      </w:pPr>
    </w:p>
    <w:p w14:paraId="7C4FC387" w14:textId="77777777" w:rsidR="00754891" w:rsidRDefault="00754891" w:rsidP="00754891">
      <w:pPr>
        <w:spacing w:line="360" w:lineRule="auto"/>
        <w:jc w:val="both"/>
        <w:rPr>
          <w:rFonts w:ascii="Arial" w:hAnsi="Arial" w:cs="Arial"/>
          <w:sz w:val="22"/>
          <w:szCs w:val="22"/>
        </w:rPr>
      </w:pPr>
    </w:p>
    <w:p w14:paraId="1B0D0416" w14:textId="77777777" w:rsidR="00754891" w:rsidRDefault="00754891" w:rsidP="00754891">
      <w:pPr>
        <w:spacing w:line="360" w:lineRule="auto"/>
        <w:jc w:val="both"/>
        <w:rPr>
          <w:rFonts w:ascii="Arial" w:hAnsi="Arial" w:cs="Arial"/>
          <w:sz w:val="22"/>
          <w:szCs w:val="22"/>
        </w:rPr>
      </w:pPr>
    </w:p>
    <w:p w14:paraId="5D628500" w14:textId="77777777" w:rsidR="00754891" w:rsidRDefault="00754891" w:rsidP="00754891">
      <w:pPr>
        <w:spacing w:line="360" w:lineRule="auto"/>
        <w:jc w:val="both"/>
        <w:rPr>
          <w:rFonts w:ascii="Arial" w:hAnsi="Arial" w:cs="Arial"/>
          <w:b/>
          <w:bCs/>
          <w:sz w:val="22"/>
          <w:szCs w:val="22"/>
        </w:rPr>
      </w:pPr>
    </w:p>
    <w:p w14:paraId="27953601" w14:textId="77777777" w:rsidR="00754891" w:rsidRDefault="00754891" w:rsidP="00754891">
      <w:pPr>
        <w:spacing w:line="360" w:lineRule="auto"/>
        <w:jc w:val="both"/>
        <w:rPr>
          <w:rFonts w:ascii="Arial" w:hAnsi="Arial" w:cs="Arial"/>
          <w:b/>
          <w:bCs/>
          <w:sz w:val="22"/>
          <w:szCs w:val="22"/>
        </w:rPr>
      </w:pPr>
    </w:p>
    <w:p w14:paraId="22459883" w14:textId="77777777" w:rsidR="00754891" w:rsidRDefault="00754891" w:rsidP="00754891">
      <w:pPr>
        <w:spacing w:line="360" w:lineRule="auto"/>
        <w:jc w:val="both"/>
        <w:rPr>
          <w:rFonts w:ascii="Arial" w:hAnsi="Arial" w:cs="Arial"/>
          <w:b/>
          <w:bCs/>
          <w:sz w:val="22"/>
          <w:szCs w:val="22"/>
        </w:rPr>
      </w:pPr>
    </w:p>
    <w:p w14:paraId="62F88C64" w14:textId="77777777" w:rsidR="00754891" w:rsidRDefault="00754891" w:rsidP="00754891">
      <w:pPr>
        <w:spacing w:line="360" w:lineRule="auto"/>
        <w:jc w:val="both"/>
        <w:rPr>
          <w:rFonts w:ascii="Arial" w:hAnsi="Arial" w:cs="Arial"/>
          <w:b/>
          <w:bCs/>
          <w:sz w:val="22"/>
          <w:szCs w:val="22"/>
        </w:rPr>
      </w:pPr>
    </w:p>
    <w:p w14:paraId="742EB802" w14:textId="77777777" w:rsidR="00754891" w:rsidRDefault="00754891" w:rsidP="00754891">
      <w:pPr>
        <w:spacing w:line="360" w:lineRule="auto"/>
        <w:jc w:val="both"/>
        <w:rPr>
          <w:rFonts w:ascii="Arial" w:hAnsi="Arial" w:cs="Arial"/>
          <w:b/>
          <w:bCs/>
          <w:sz w:val="22"/>
          <w:szCs w:val="22"/>
        </w:rPr>
      </w:pPr>
    </w:p>
    <w:p w14:paraId="3F562335" w14:textId="77777777" w:rsidR="00754891" w:rsidRDefault="00754891" w:rsidP="00754891">
      <w:pPr>
        <w:spacing w:line="360" w:lineRule="auto"/>
        <w:jc w:val="both"/>
        <w:rPr>
          <w:rFonts w:ascii="Arial" w:hAnsi="Arial" w:cs="Arial"/>
          <w:b/>
          <w:bCs/>
          <w:sz w:val="22"/>
          <w:szCs w:val="22"/>
        </w:rPr>
      </w:pPr>
    </w:p>
    <w:p w14:paraId="6691731B" w14:textId="77777777" w:rsidR="00754891" w:rsidRDefault="00754891" w:rsidP="00754891">
      <w:pPr>
        <w:spacing w:line="360" w:lineRule="auto"/>
        <w:jc w:val="both"/>
        <w:rPr>
          <w:rFonts w:ascii="Arial" w:hAnsi="Arial" w:cs="Arial"/>
          <w:b/>
          <w:bCs/>
          <w:sz w:val="22"/>
          <w:szCs w:val="22"/>
        </w:rPr>
      </w:pPr>
      <w:r w:rsidRPr="00EC524B">
        <w:rPr>
          <w:rFonts w:ascii="Arial" w:hAnsi="Arial" w:cs="Arial"/>
          <w:b/>
          <w:bCs/>
          <w:noProof/>
          <w:sz w:val="22"/>
          <w:szCs w:val="22"/>
        </w:rPr>
        <w:lastRenderedPageBreak/>
        <w:drawing>
          <wp:inline distT="0" distB="0" distL="0" distR="0" wp14:anchorId="6CD21262" wp14:editId="521821E7">
            <wp:extent cx="5731510" cy="2607310"/>
            <wp:effectExtent l="0" t="0" r="0" b="0"/>
            <wp:docPr id="99899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98895" name=""/>
                    <pic:cNvPicPr/>
                  </pic:nvPicPr>
                  <pic:blipFill>
                    <a:blip r:embed="rId5"/>
                    <a:stretch>
                      <a:fillRect/>
                    </a:stretch>
                  </pic:blipFill>
                  <pic:spPr>
                    <a:xfrm>
                      <a:off x="0" y="0"/>
                      <a:ext cx="5731510" cy="2607310"/>
                    </a:xfrm>
                    <a:prstGeom prst="rect">
                      <a:avLst/>
                    </a:prstGeom>
                  </pic:spPr>
                </pic:pic>
              </a:graphicData>
            </a:graphic>
          </wp:inline>
        </w:drawing>
      </w:r>
    </w:p>
    <w:p w14:paraId="74F9BE41" w14:textId="77777777" w:rsidR="00754891" w:rsidRDefault="00754891" w:rsidP="00754891">
      <w:pPr>
        <w:spacing w:line="360" w:lineRule="auto"/>
        <w:jc w:val="both"/>
        <w:rPr>
          <w:rFonts w:ascii="Arial" w:hAnsi="Arial" w:cs="Arial"/>
          <w:b/>
          <w:bCs/>
          <w:sz w:val="22"/>
          <w:szCs w:val="22"/>
        </w:rPr>
      </w:pPr>
    </w:p>
    <w:p w14:paraId="2C04AF96" w14:textId="77777777" w:rsidR="00754891" w:rsidRDefault="00754891" w:rsidP="00754891">
      <w:pPr>
        <w:spacing w:line="360" w:lineRule="auto"/>
        <w:jc w:val="both"/>
        <w:rPr>
          <w:rFonts w:ascii="Arial" w:hAnsi="Arial" w:cs="Arial"/>
          <w:sz w:val="22"/>
          <w:szCs w:val="22"/>
        </w:rPr>
      </w:pPr>
    </w:p>
    <w:p w14:paraId="4AD0DD97" w14:textId="77777777" w:rsidR="00754891" w:rsidRPr="004B0AA4" w:rsidRDefault="00754891" w:rsidP="00754891">
      <w:pPr>
        <w:spacing w:line="360" w:lineRule="auto"/>
        <w:jc w:val="both"/>
        <w:rPr>
          <w:rFonts w:ascii="Arial" w:hAnsi="Arial" w:cs="Arial"/>
          <w:sz w:val="22"/>
          <w:szCs w:val="22"/>
        </w:rPr>
      </w:pPr>
      <w:r w:rsidRPr="004B0AA4">
        <w:rPr>
          <w:rFonts w:ascii="Arial" w:hAnsi="Arial" w:cs="Arial"/>
          <w:b/>
          <w:bCs/>
          <w:sz w:val="22"/>
          <w:szCs w:val="22"/>
        </w:rPr>
        <w:t>3.3 Searching for Information</w:t>
      </w:r>
      <w:r>
        <w:rPr>
          <w:rFonts w:ascii="Arial" w:hAnsi="Arial" w:cs="Arial"/>
          <w:sz w:val="22"/>
          <w:szCs w:val="22"/>
        </w:rPr>
        <w:t xml:space="preserve"> </w:t>
      </w:r>
    </w:p>
    <w:p w14:paraId="49D1CA5D" w14:textId="77777777" w:rsidR="00754891" w:rsidRPr="00475F58" w:rsidRDefault="00754891" w:rsidP="00754891">
      <w:pPr>
        <w:spacing w:line="360" w:lineRule="auto"/>
        <w:jc w:val="both"/>
        <w:rPr>
          <w:rFonts w:ascii="Arial" w:hAnsi="Arial" w:cs="Arial"/>
          <w:sz w:val="22"/>
          <w:szCs w:val="22"/>
        </w:rPr>
      </w:pPr>
    </w:p>
    <w:p w14:paraId="104D29D4" w14:textId="77777777" w:rsidR="00754891" w:rsidRPr="00475F58" w:rsidRDefault="00754891" w:rsidP="00754891">
      <w:pPr>
        <w:spacing w:line="360" w:lineRule="auto"/>
        <w:jc w:val="both"/>
        <w:rPr>
          <w:rFonts w:ascii="Arial" w:hAnsi="Arial" w:cs="Arial"/>
          <w:sz w:val="22"/>
          <w:szCs w:val="22"/>
        </w:rPr>
      </w:pPr>
      <w:r w:rsidRPr="00475F58">
        <w:rPr>
          <w:rFonts w:ascii="Arial" w:hAnsi="Arial" w:cs="Arial"/>
          <w:sz w:val="22"/>
          <w:szCs w:val="22"/>
        </w:rPr>
        <w:t>Following the development of the search strategy, a systematic literature search was undertaken to identify relevant evidence relating to Adverse Childhood Experiences (ACEs) and long-term physical health outcomes in adulthood. Searches were conducted using Google Scholar, PubMed, the University of Wales Trinity Saint David (UWTSD) Library databases and ScienceDirect. These databases were selected because they provide access to high-quality, peer-reviewed literature across health, medicine and social care. In addition, official publications from the World Health Organisation (WHO), NHS England, the National Institute for Health and Care Excellence (NICE), the Centres for Disease Control and Prevention (CDC), and the Office for Health Improvement and Disparities (OHID) were used to identify current policies, guidance and public health reports.</w:t>
      </w:r>
    </w:p>
    <w:p w14:paraId="7B4A6DE6" w14:textId="77777777" w:rsidR="00754891" w:rsidRPr="00475F58" w:rsidRDefault="00754891" w:rsidP="00754891">
      <w:pPr>
        <w:spacing w:line="360" w:lineRule="auto"/>
        <w:jc w:val="both"/>
        <w:rPr>
          <w:rFonts w:ascii="Arial" w:hAnsi="Arial" w:cs="Arial"/>
          <w:sz w:val="22"/>
          <w:szCs w:val="22"/>
        </w:rPr>
      </w:pPr>
    </w:p>
    <w:p w14:paraId="7167001F" w14:textId="77777777" w:rsidR="00754891" w:rsidRPr="00F64969" w:rsidRDefault="00754891" w:rsidP="00754891">
      <w:pPr>
        <w:spacing w:line="360" w:lineRule="auto"/>
        <w:rPr>
          <w:rFonts w:ascii="Arial" w:hAnsi="Arial" w:cs="Arial"/>
          <w:sz w:val="22"/>
          <w:szCs w:val="22"/>
        </w:rPr>
      </w:pPr>
      <w:r w:rsidRPr="00F64969">
        <w:rPr>
          <w:rFonts w:ascii="Arial" w:hAnsi="Arial" w:cs="Arial"/>
          <w:sz w:val="22"/>
          <w:szCs w:val="22"/>
        </w:rPr>
        <w:t>To improve the relevance of the search results, filters were applied where available, including publication date (201</w:t>
      </w:r>
      <w:r>
        <w:rPr>
          <w:rFonts w:ascii="Arial" w:hAnsi="Arial" w:cs="Arial"/>
          <w:sz w:val="22"/>
          <w:szCs w:val="22"/>
        </w:rPr>
        <w:t xml:space="preserve">6 - </w:t>
      </w:r>
      <w:r w:rsidRPr="00F64969">
        <w:rPr>
          <w:rFonts w:ascii="Arial" w:hAnsi="Arial" w:cs="Arial"/>
          <w:sz w:val="22"/>
          <w:szCs w:val="22"/>
        </w:rPr>
        <w:t>202</w:t>
      </w:r>
      <w:r>
        <w:rPr>
          <w:rFonts w:ascii="Arial" w:hAnsi="Arial" w:cs="Arial"/>
          <w:sz w:val="22"/>
          <w:szCs w:val="22"/>
        </w:rPr>
        <w:t>6,</w:t>
      </w:r>
      <w:r w:rsidRPr="00F64969">
        <w:rPr>
          <w:rFonts w:ascii="Arial" w:hAnsi="Arial" w:cs="Arial"/>
          <w:sz w:val="22"/>
          <w:szCs w:val="22"/>
        </w:rPr>
        <w:t xml:space="preserve"> except seminal studies, e. g. </w:t>
      </w:r>
      <w:proofErr w:type="spellStart"/>
      <w:r w:rsidRPr="00F64969">
        <w:rPr>
          <w:rFonts w:ascii="Arial" w:hAnsi="Arial" w:cs="Arial"/>
          <w:sz w:val="22"/>
          <w:szCs w:val="22"/>
        </w:rPr>
        <w:t>Felitti</w:t>
      </w:r>
      <w:proofErr w:type="spellEnd"/>
      <w:r w:rsidRPr="00F64969">
        <w:rPr>
          <w:rFonts w:ascii="Arial" w:hAnsi="Arial" w:cs="Arial"/>
          <w:sz w:val="22"/>
          <w:szCs w:val="22"/>
        </w:rPr>
        <w:t xml:space="preserve"> </w:t>
      </w:r>
      <w:r w:rsidRPr="00F64969">
        <w:rPr>
          <w:rFonts w:ascii="Arial" w:hAnsi="Arial" w:cs="Arial"/>
          <w:i/>
          <w:iCs/>
          <w:sz w:val="22"/>
          <w:szCs w:val="22"/>
        </w:rPr>
        <w:t>et al.,</w:t>
      </w:r>
      <w:r w:rsidRPr="00F64969">
        <w:rPr>
          <w:rFonts w:ascii="Arial" w:hAnsi="Arial" w:cs="Arial"/>
          <w:sz w:val="22"/>
          <w:szCs w:val="22"/>
        </w:rPr>
        <w:t xml:space="preserve"> 1998)</w:t>
      </w:r>
    </w:p>
    <w:p w14:paraId="177C90F0" w14:textId="77777777" w:rsidR="00754891" w:rsidRPr="00F64969" w:rsidRDefault="00754891" w:rsidP="00754891">
      <w:pPr>
        <w:spacing w:line="360" w:lineRule="auto"/>
        <w:jc w:val="both"/>
        <w:rPr>
          <w:rFonts w:ascii="Arial" w:hAnsi="Arial" w:cs="Arial"/>
        </w:rPr>
      </w:pPr>
      <w:r w:rsidRPr="00F64969">
        <w:rPr>
          <w:rFonts w:ascii="Arial" w:hAnsi="Arial" w:cs="Arial"/>
          <w:sz w:val="22"/>
          <w:szCs w:val="22"/>
        </w:rPr>
        <w:t xml:space="preserve"> English language and peer-reviewed publications. Search terms were refined throughout the process by combining broad and specific keywords using Boolean operators to identify the most relevant literature. A source tracking table was maintained to record the databases searched, search terms used and selected studies, ensuring the search process remained organised, transparent and consistent (see Table 3.2).</w:t>
      </w:r>
      <w:r w:rsidRPr="00F64969">
        <w:rPr>
          <w:rFonts w:ascii="Arial" w:hAnsi="Arial" w:cs="Arial"/>
        </w:rPr>
        <w:t xml:space="preserve"> </w:t>
      </w:r>
    </w:p>
    <w:p w14:paraId="20D0FB6A" w14:textId="77777777" w:rsidR="00754891" w:rsidRPr="00F64969" w:rsidRDefault="00754891" w:rsidP="00754891">
      <w:pPr>
        <w:spacing w:line="360" w:lineRule="auto"/>
        <w:jc w:val="both"/>
        <w:rPr>
          <w:rFonts w:ascii="Arial" w:hAnsi="Arial" w:cs="Arial"/>
          <w:b/>
          <w:bCs/>
          <w:sz w:val="22"/>
          <w:szCs w:val="22"/>
        </w:rPr>
      </w:pPr>
    </w:p>
    <w:p w14:paraId="0C49DC24" w14:textId="77777777" w:rsidR="00754891" w:rsidRDefault="00754891" w:rsidP="00754891">
      <w:pPr>
        <w:spacing w:line="360" w:lineRule="auto"/>
        <w:jc w:val="both"/>
        <w:rPr>
          <w:rFonts w:ascii="Arial" w:hAnsi="Arial" w:cs="Arial"/>
          <w:b/>
          <w:bCs/>
          <w:sz w:val="22"/>
          <w:szCs w:val="22"/>
        </w:rPr>
      </w:pPr>
    </w:p>
    <w:p w14:paraId="088F0143" w14:textId="77777777" w:rsidR="00754891" w:rsidRDefault="00754891" w:rsidP="00754891">
      <w:pPr>
        <w:spacing w:line="360" w:lineRule="auto"/>
        <w:jc w:val="both"/>
        <w:rPr>
          <w:rFonts w:ascii="Arial" w:hAnsi="Arial" w:cs="Arial"/>
          <w:b/>
          <w:bCs/>
          <w:sz w:val="22"/>
          <w:szCs w:val="22"/>
        </w:rPr>
      </w:pPr>
    </w:p>
    <w:p w14:paraId="713012F2" w14:textId="77777777" w:rsidR="00754891" w:rsidRPr="009C6508" w:rsidRDefault="00754891" w:rsidP="00754891">
      <w:pPr>
        <w:spacing w:line="360" w:lineRule="auto"/>
        <w:jc w:val="both"/>
        <w:rPr>
          <w:rFonts w:ascii="Arial" w:hAnsi="Arial" w:cs="Arial"/>
          <w:b/>
          <w:bCs/>
          <w:sz w:val="22"/>
          <w:szCs w:val="22"/>
        </w:rPr>
      </w:pPr>
      <w:r w:rsidRPr="00654289">
        <w:rPr>
          <w:rFonts w:ascii="Arial" w:hAnsi="Arial" w:cs="Arial"/>
          <w:b/>
          <w:bCs/>
          <w:noProof/>
          <w:sz w:val="22"/>
          <w:szCs w:val="22"/>
        </w:rPr>
        <w:lastRenderedPageBreak/>
        <w:drawing>
          <wp:inline distT="0" distB="0" distL="0" distR="0" wp14:anchorId="02D96EC4" wp14:editId="6A7B127E">
            <wp:extent cx="5731510" cy="5317490"/>
            <wp:effectExtent l="0" t="0" r="0" b="3810"/>
            <wp:docPr id="210168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684688" name=""/>
                    <pic:cNvPicPr/>
                  </pic:nvPicPr>
                  <pic:blipFill>
                    <a:blip r:embed="rId6"/>
                    <a:stretch>
                      <a:fillRect/>
                    </a:stretch>
                  </pic:blipFill>
                  <pic:spPr>
                    <a:xfrm>
                      <a:off x="0" y="0"/>
                      <a:ext cx="5731510" cy="5317490"/>
                    </a:xfrm>
                    <a:prstGeom prst="rect">
                      <a:avLst/>
                    </a:prstGeom>
                  </pic:spPr>
                </pic:pic>
              </a:graphicData>
            </a:graphic>
          </wp:inline>
        </w:drawing>
      </w:r>
    </w:p>
    <w:p w14:paraId="5C53C32D" w14:textId="77777777" w:rsidR="00754891" w:rsidRDefault="00754891" w:rsidP="00754891">
      <w:pPr>
        <w:spacing w:line="360" w:lineRule="auto"/>
        <w:jc w:val="both"/>
      </w:pPr>
    </w:p>
    <w:p w14:paraId="14737988" w14:textId="77777777" w:rsidR="00754891" w:rsidRPr="0068063E" w:rsidRDefault="00754891" w:rsidP="0068063E">
      <w:pPr>
        <w:spacing w:line="360" w:lineRule="auto"/>
        <w:jc w:val="both"/>
        <w:rPr>
          <w:rFonts w:ascii="Arial" w:hAnsi="Arial" w:cs="Arial"/>
          <w:sz w:val="22"/>
          <w:szCs w:val="22"/>
        </w:rPr>
      </w:pPr>
      <w:r w:rsidRPr="0068063E">
        <w:rPr>
          <w:rFonts w:ascii="Arial" w:hAnsi="Arial" w:cs="Arial"/>
          <w:b/>
          <w:bCs/>
          <w:sz w:val="22"/>
          <w:szCs w:val="22"/>
        </w:rPr>
        <w:t xml:space="preserve">3.4 Research Validation </w:t>
      </w:r>
    </w:p>
    <w:p w14:paraId="2D0A0444" w14:textId="77777777" w:rsidR="00754891" w:rsidRPr="0068063E" w:rsidRDefault="00754891" w:rsidP="0068063E">
      <w:pPr>
        <w:spacing w:line="360" w:lineRule="auto"/>
        <w:jc w:val="both"/>
        <w:rPr>
          <w:rFonts w:ascii="Arial" w:hAnsi="Arial" w:cs="Arial"/>
          <w:sz w:val="22"/>
          <w:szCs w:val="22"/>
        </w:rPr>
      </w:pPr>
    </w:p>
    <w:p w14:paraId="74525E78" w14:textId="77777777" w:rsidR="00754891" w:rsidRPr="0068063E" w:rsidRDefault="00754891" w:rsidP="0068063E">
      <w:pPr>
        <w:spacing w:line="360" w:lineRule="auto"/>
        <w:jc w:val="both"/>
        <w:rPr>
          <w:rFonts w:ascii="Arial" w:hAnsi="Arial" w:cs="Arial"/>
          <w:sz w:val="22"/>
          <w:szCs w:val="22"/>
        </w:rPr>
      </w:pPr>
      <w:r w:rsidRPr="0068063E">
        <w:rPr>
          <w:rFonts w:ascii="Arial" w:hAnsi="Arial" w:cs="Arial"/>
          <w:sz w:val="22"/>
          <w:szCs w:val="22"/>
        </w:rPr>
        <w:t>To ensure the credibility, quality and reliability of the literature included in this dissertation, a structured validation process was undertaken. Initially, sources were screened using skimming techniques by reviewing the title, abstract, introduction and conclusion. This enabled the rapid identification of studies that were relevant to the research question exploring the relationship between Adverse Childhood Experiences (ACEs) and long-term physical health outcomes in adulthood.</w:t>
      </w:r>
    </w:p>
    <w:p w14:paraId="16FF2386" w14:textId="77777777" w:rsidR="00754891" w:rsidRPr="0068063E" w:rsidRDefault="00754891" w:rsidP="0068063E">
      <w:pPr>
        <w:spacing w:line="360" w:lineRule="auto"/>
        <w:jc w:val="both"/>
        <w:rPr>
          <w:rFonts w:ascii="Arial" w:hAnsi="Arial" w:cs="Arial"/>
          <w:sz w:val="22"/>
          <w:szCs w:val="22"/>
        </w:rPr>
      </w:pPr>
    </w:p>
    <w:p w14:paraId="55027DCE" w14:textId="77777777" w:rsidR="00754891" w:rsidRPr="0068063E" w:rsidRDefault="00754891" w:rsidP="0068063E">
      <w:pPr>
        <w:spacing w:line="360" w:lineRule="auto"/>
        <w:jc w:val="both"/>
        <w:rPr>
          <w:rFonts w:ascii="Arial" w:hAnsi="Arial" w:cs="Arial"/>
          <w:sz w:val="22"/>
          <w:szCs w:val="22"/>
        </w:rPr>
      </w:pPr>
      <w:r w:rsidRPr="0068063E">
        <w:rPr>
          <w:rFonts w:ascii="Arial" w:hAnsi="Arial" w:cs="Arial"/>
          <w:sz w:val="22"/>
          <w:szCs w:val="22"/>
        </w:rPr>
        <w:t xml:space="preserve">Following the initial screening, each source was evaluated using the CRAAP Test, which assesses Currency, Relevance, Authority, Accuracy and Purpose (Blakeslee, 2004). </w:t>
      </w:r>
      <w:proofErr w:type="gramStart"/>
      <w:r w:rsidRPr="0068063E">
        <w:rPr>
          <w:rFonts w:ascii="Arial" w:hAnsi="Arial" w:cs="Arial"/>
          <w:sz w:val="22"/>
          <w:szCs w:val="22"/>
        </w:rPr>
        <w:t>Particular emphasis</w:t>
      </w:r>
      <w:proofErr w:type="gramEnd"/>
      <w:r w:rsidRPr="0068063E">
        <w:rPr>
          <w:rFonts w:ascii="Arial" w:hAnsi="Arial" w:cs="Arial"/>
          <w:sz w:val="22"/>
          <w:szCs w:val="22"/>
        </w:rPr>
        <w:t xml:space="preserve"> was placed on currency to ensure the inclusion of recent evidence, relevance to the research topic, and authority </w:t>
      </w:r>
      <w:proofErr w:type="gramStart"/>
      <w:r w:rsidRPr="0068063E">
        <w:rPr>
          <w:rFonts w:ascii="Arial" w:hAnsi="Arial" w:cs="Arial"/>
          <w:sz w:val="22"/>
          <w:szCs w:val="22"/>
        </w:rPr>
        <w:t>through the use of</w:t>
      </w:r>
      <w:proofErr w:type="gramEnd"/>
      <w:r w:rsidRPr="0068063E">
        <w:rPr>
          <w:rFonts w:ascii="Arial" w:hAnsi="Arial" w:cs="Arial"/>
          <w:sz w:val="22"/>
          <w:szCs w:val="22"/>
        </w:rPr>
        <w:t xml:space="preserve"> peer-reviewed journals and recognised health </w:t>
      </w:r>
      <w:r w:rsidRPr="0068063E">
        <w:rPr>
          <w:rFonts w:ascii="Arial" w:hAnsi="Arial" w:cs="Arial"/>
          <w:sz w:val="22"/>
          <w:szCs w:val="22"/>
        </w:rPr>
        <w:lastRenderedPageBreak/>
        <w:t xml:space="preserve">organisations. Although not every source met all five criteria equally, those demonstrating strong performance in the most important areas were prioritised. </w:t>
      </w:r>
    </w:p>
    <w:p w14:paraId="5BA13588" w14:textId="77777777" w:rsidR="00754891" w:rsidRPr="0068063E" w:rsidRDefault="00754891" w:rsidP="0068063E">
      <w:pPr>
        <w:spacing w:line="360" w:lineRule="auto"/>
        <w:jc w:val="both"/>
        <w:rPr>
          <w:rFonts w:ascii="Arial" w:hAnsi="Arial" w:cs="Arial"/>
          <w:sz w:val="22"/>
          <w:szCs w:val="22"/>
        </w:rPr>
      </w:pPr>
    </w:p>
    <w:p w14:paraId="528F793F" w14:textId="77777777" w:rsidR="00754891" w:rsidRPr="0068063E" w:rsidRDefault="00754891" w:rsidP="0068063E">
      <w:pPr>
        <w:spacing w:line="360" w:lineRule="auto"/>
        <w:jc w:val="both"/>
        <w:rPr>
          <w:rFonts w:ascii="Arial" w:hAnsi="Arial" w:cs="Arial"/>
          <w:sz w:val="22"/>
          <w:szCs w:val="22"/>
        </w:rPr>
      </w:pPr>
      <w:r w:rsidRPr="0068063E">
        <w:rPr>
          <w:rFonts w:ascii="Arial" w:hAnsi="Arial" w:cs="Arial"/>
          <w:sz w:val="22"/>
          <w:szCs w:val="22"/>
        </w:rPr>
        <w:t xml:space="preserve">Ten sources were assessed using the CRAAP Test, and five were selected for detailed analysis: </w:t>
      </w:r>
      <w:proofErr w:type="spellStart"/>
      <w:r w:rsidRPr="0068063E">
        <w:rPr>
          <w:rFonts w:ascii="Arial" w:hAnsi="Arial" w:cs="Arial"/>
          <w:sz w:val="22"/>
          <w:szCs w:val="22"/>
        </w:rPr>
        <w:t>Felitti</w:t>
      </w:r>
      <w:proofErr w:type="spellEnd"/>
      <w:r w:rsidRPr="0068063E">
        <w:rPr>
          <w:rFonts w:ascii="Arial" w:hAnsi="Arial" w:cs="Arial"/>
          <w:sz w:val="22"/>
          <w:szCs w:val="22"/>
        </w:rPr>
        <w:t xml:space="preserve"> et al. (1998), Hughes et al. (2017), Merrick et al. (2019), Amos et al. (2023) and Valiente-Gómez et al. (2026). Although several sources achieved similar CRAAP scores, selection considered their relevance and usefulness to the research question alongside their quality. </w:t>
      </w:r>
      <w:proofErr w:type="spellStart"/>
      <w:r w:rsidRPr="0068063E">
        <w:rPr>
          <w:rFonts w:ascii="Arial" w:hAnsi="Arial" w:cs="Arial"/>
          <w:sz w:val="22"/>
          <w:szCs w:val="22"/>
        </w:rPr>
        <w:t>Felitti</w:t>
      </w:r>
      <w:proofErr w:type="spellEnd"/>
      <w:r w:rsidRPr="0068063E">
        <w:rPr>
          <w:rFonts w:ascii="Arial" w:hAnsi="Arial" w:cs="Arial"/>
          <w:sz w:val="22"/>
          <w:szCs w:val="22"/>
        </w:rPr>
        <w:t xml:space="preserve"> et al. (1998) was retained as a seminal exception to the 2016–2026 publication range because of its foundational contribution to ACE research. Hughes et al. (2017) and Valiente-Gómez et al. (2026) provided evidence syntheses examining associations between ACEs and health outcomes. Merrick et al. (2019) contributed large-scale population evidence, while Amos et al. (2023) provided findings from England and Wales concerning health-harming behaviours relevant to potential pathways between ACEs and physical health. Together, these sources combined foundational research, review evidence and population studies, including UK context, to support the analysis. Table 3.3 summarises the validation process applied to the ten sources.</w:t>
      </w:r>
    </w:p>
    <w:p w14:paraId="652B53BB" w14:textId="77777777" w:rsidR="00754891" w:rsidRDefault="00754891" w:rsidP="00754891">
      <w:pPr>
        <w:pStyle w:val="NormalWeb"/>
        <w:spacing w:line="300" w:lineRule="atLeast"/>
        <w:rPr>
          <w:rStyle w:val="Strong"/>
          <w:rFonts w:ascii="Segoe UI" w:hAnsi="Segoe UI" w:cs="Segoe UI"/>
          <w:sz w:val="21"/>
          <w:szCs w:val="21"/>
        </w:rPr>
      </w:pPr>
      <w:r w:rsidRPr="00414886">
        <w:rPr>
          <w:rStyle w:val="Strong"/>
          <w:rFonts w:ascii="Segoe UI" w:hAnsi="Segoe UI" w:cs="Segoe UI"/>
          <w:noProof/>
          <w:sz w:val="21"/>
          <w:szCs w:val="21"/>
        </w:rPr>
        <w:lastRenderedPageBreak/>
        <w:drawing>
          <wp:inline distT="0" distB="0" distL="0" distR="0" wp14:anchorId="0E815BF2" wp14:editId="13B11A2D">
            <wp:extent cx="5461000" cy="6362700"/>
            <wp:effectExtent l="0" t="0" r="0" b="0"/>
            <wp:docPr id="400610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10732" name=""/>
                    <pic:cNvPicPr/>
                  </pic:nvPicPr>
                  <pic:blipFill>
                    <a:blip r:embed="rId7"/>
                    <a:stretch>
                      <a:fillRect/>
                    </a:stretch>
                  </pic:blipFill>
                  <pic:spPr>
                    <a:xfrm>
                      <a:off x="0" y="0"/>
                      <a:ext cx="5461000" cy="6362700"/>
                    </a:xfrm>
                    <a:prstGeom prst="rect">
                      <a:avLst/>
                    </a:prstGeom>
                  </pic:spPr>
                </pic:pic>
              </a:graphicData>
            </a:graphic>
          </wp:inline>
        </w:drawing>
      </w:r>
    </w:p>
    <w:p w14:paraId="4A3811B6" w14:textId="77777777" w:rsidR="00754891" w:rsidRDefault="00754891" w:rsidP="00754891">
      <w:pPr>
        <w:pStyle w:val="NormalWeb"/>
        <w:spacing w:line="300" w:lineRule="atLeast"/>
        <w:rPr>
          <w:rStyle w:val="Strong"/>
          <w:rFonts w:ascii="Segoe UI" w:hAnsi="Segoe UI" w:cs="Segoe UI"/>
          <w:sz w:val="21"/>
          <w:szCs w:val="21"/>
        </w:rPr>
      </w:pPr>
    </w:p>
    <w:p w14:paraId="640C58B8" w14:textId="77777777" w:rsidR="00754891" w:rsidRDefault="00754891" w:rsidP="00754891">
      <w:pPr>
        <w:pStyle w:val="NormalWeb"/>
        <w:spacing w:line="300" w:lineRule="atLeast"/>
        <w:rPr>
          <w:rStyle w:val="Strong"/>
          <w:rFonts w:ascii="Segoe UI" w:hAnsi="Segoe UI" w:cs="Segoe UI"/>
          <w:sz w:val="21"/>
          <w:szCs w:val="21"/>
        </w:rPr>
      </w:pPr>
    </w:p>
    <w:p w14:paraId="48B4705F" w14:textId="77777777" w:rsidR="00754891" w:rsidRDefault="00754891" w:rsidP="00754891">
      <w:pPr>
        <w:pStyle w:val="NormalWeb"/>
        <w:spacing w:line="300" w:lineRule="atLeast"/>
        <w:rPr>
          <w:rStyle w:val="Strong"/>
          <w:rFonts w:ascii="Segoe UI" w:hAnsi="Segoe UI" w:cs="Segoe UI"/>
          <w:sz w:val="21"/>
          <w:szCs w:val="21"/>
        </w:rPr>
      </w:pPr>
    </w:p>
    <w:p w14:paraId="4D47CB12" w14:textId="77777777" w:rsidR="00754891" w:rsidRDefault="00754891" w:rsidP="00754891">
      <w:pPr>
        <w:pStyle w:val="NormalWeb"/>
        <w:spacing w:line="300" w:lineRule="atLeast"/>
        <w:rPr>
          <w:rStyle w:val="Strong"/>
          <w:rFonts w:ascii="Segoe UI" w:hAnsi="Segoe UI" w:cs="Segoe UI"/>
          <w:sz w:val="21"/>
          <w:szCs w:val="21"/>
        </w:rPr>
      </w:pPr>
    </w:p>
    <w:p w14:paraId="56465438" w14:textId="77777777" w:rsidR="00754891" w:rsidRDefault="00754891" w:rsidP="00754891">
      <w:pPr>
        <w:pStyle w:val="NormalWeb"/>
        <w:spacing w:line="300" w:lineRule="atLeast"/>
        <w:rPr>
          <w:rStyle w:val="Strong"/>
          <w:rFonts w:ascii="Segoe UI" w:hAnsi="Segoe UI" w:cs="Segoe UI"/>
          <w:sz w:val="21"/>
          <w:szCs w:val="21"/>
        </w:rPr>
      </w:pPr>
    </w:p>
    <w:p w14:paraId="6319CAA6" w14:textId="77777777" w:rsidR="00754891" w:rsidRDefault="00754891" w:rsidP="00754891">
      <w:pPr>
        <w:spacing w:line="360" w:lineRule="auto"/>
        <w:jc w:val="both"/>
        <w:rPr>
          <w:rFonts w:ascii="Arial" w:hAnsi="Arial" w:cs="Arial"/>
          <w:b/>
          <w:bCs/>
          <w:sz w:val="22"/>
          <w:szCs w:val="22"/>
        </w:rPr>
      </w:pPr>
    </w:p>
    <w:p w14:paraId="6F802821" w14:textId="77777777" w:rsidR="00754891" w:rsidRDefault="00754891" w:rsidP="00754891">
      <w:pPr>
        <w:spacing w:line="360" w:lineRule="auto"/>
        <w:jc w:val="both"/>
        <w:rPr>
          <w:rFonts w:ascii="Arial" w:hAnsi="Arial" w:cs="Arial"/>
          <w:b/>
          <w:bCs/>
          <w:sz w:val="22"/>
          <w:szCs w:val="22"/>
        </w:rPr>
      </w:pPr>
    </w:p>
    <w:p w14:paraId="2290746C" w14:textId="77777777" w:rsidR="00754891" w:rsidRDefault="00754891" w:rsidP="00754891">
      <w:pPr>
        <w:spacing w:line="360" w:lineRule="auto"/>
        <w:jc w:val="both"/>
      </w:pPr>
      <w:r w:rsidRPr="00D006A4">
        <w:rPr>
          <w:rFonts w:ascii="Arial" w:hAnsi="Arial" w:cs="Arial"/>
          <w:b/>
          <w:bCs/>
          <w:sz w:val="22"/>
          <w:szCs w:val="22"/>
        </w:rPr>
        <w:lastRenderedPageBreak/>
        <w:t>3.5 Inclusion and Exclusion Criteria</w:t>
      </w:r>
      <w:r>
        <w:t xml:space="preserve"> </w:t>
      </w:r>
    </w:p>
    <w:p w14:paraId="1ACF256F" w14:textId="77777777" w:rsidR="00754891" w:rsidRDefault="00754891" w:rsidP="00754891">
      <w:pPr>
        <w:spacing w:line="360" w:lineRule="auto"/>
        <w:jc w:val="both"/>
      </w:pPr>
    </w:p>
    <w:p w14:paraId="17DBD0C5" w14:textId="77777777" w:rsidR="00754891" w:rsidRPr="00825AEB" w:rsidRDefault="00754891" w:rsidP="00754891">
      <w:pPr>
        <w:spacing w:line="360" w:lineRule="auto"/>
        <w:jc w:val="both"/>
        <w:rPr>
          <w:rFonts w:ascii="Arial" w:hAnsi="Arial" w:cs="Arial"/>
          <w:sz w:val="22"/>
          <w:szCs w:val="22"/>
        </w:rPr>
      </w:pPr>
      <w:r w:rsidRPr="00825AEB">
        <w:rPr>
          <w:rFonts w:ascii="Arial" w:hAnsi="Arial" w:cs="Arial"/>
          <w:sz w:val="22"/>
          <w:szCs w:val="22"/>
        </w:rPr>
        <w:t>To ensure the literature review remained focused and relevant, inclusion and exclusion criteria were established and applied throughout the search process (see Table 3.4), as recommended for structured literature reviews (Aveyard, 2019). Eligible sources included peer-reviewed journal articles, systematic reviews, and reports from government bodies and recognised health organisations published between 201</w:t>
      </w:r>
      <w:r>
        <w:rPr>
          <w:rFonts w:ascii="Arial" w:hAnsi="Arial" w:cs="Arial"/>
          <w:sz w:val="22"/>
          <w:szCs w:val="22"/>
        </w:rPr>
        <w:t>6</w:t>
      </w:r>
      <w:r w:rsidRPr="00825AEB">
        <w:rPr>
          <w:rFonts w:ascii="Arial" w:hAnsi="Arial" w:cs="Arial"/>
          <w:sz w:val="22"/>
          <w:szCs w:val="22"/>
        </w:rPr>
        <w:t xml:space="preserve"> and 202</w:t>
      </w:r>
      <w:r>
        <w:rPr>
          <w:rFonts w:ascii="Arial" w:hAnsi="Arial" w:cs="Arial"/>
          <w:sz w:val="22"/>
          <w:szCs w:val="22"/>
        </w:rPr>
        <w:t>6.</w:t>
      </w:r>
      <w:r w:rsidRPr="00825AEB">
        <w:rPr>
          <w:rFonts w:ascii="Arial" w:hAnsi="Arial" w:cs="Arial"/>
          <w:sz w:val="22"/>
          <w:szCs w:val="22"/>
        </w:rPr>
        <w:t xml:space="preserve"> Seminal studies published before 201</w:t>
      </w:r>
      <w:r>
        <w:rPr>
          <w:rFonts w:ascii="Arial" w:hAnsi="Arial" w:cs="Arial"/>
          <w:sz w:val="22"/>
          <w:szCs w:val="22"/>
        </w:rPr>
        <w:t>6</w:t>
      </w:r>
      <w:r w:rsidRPr="00825AEB">
        <w:rPr>
          <w:rFonts w:ascii="Arial" w:hAnsi="Arial" w:cs="Arial"/>
          <w:sz w:val="22"/>
          <w:szCs w:val="22"/>
        </w:rPr>
        <w:t xml:space="preserve">, such as </w:t>
      </w:r>
      <w:proofErr w:type="spellStart"/>
      <w:r w:rsidRPr="00825AEB">
        <w:rPr>
          <w:rFonts w:ascii="Arial" w:hAnsi="Arial" w:cs="Arial"/>
          <w:sz w:val="22"/>
          <w:szCs w:val="22"/>
        </w:rPr>
        <w:t>Felitti</w:t>
      </w:r>
      <w:proofErr w:type="spellEnd"/>
      <w:r w:rsidRPr="00825AEB">
        <w:rPr>
          <w:rFonts w:ascii="Arial" w:hAnsi="Arial" w:cs="Arial"/>
          <w:sz w:val="22"/>
          <w:szCs w:val="22"/>
        </w:rPr>
        <w:t xml:space="preserve"> </w:t>
      </w:r>
      <w:r w:rsidRPr="00170AAD">
        <w:rPr>
          <w:rFonts w:ascii="Arial" w:hAnsi="Arial" w:cs="Arial"/>
          <w:i/>
          <w:iCs/>
          <w:sz w:val="22"/>
          <w:szCs w:val="22"/>
        </w:rPr>
        <w:t>et al.</w:t>
      </w:r>
      <w:r w:rsidRPr="00825AEB">
        <w:rPr>
          <w:rFonts w:ascii="Arial" w:hAnsi="Arial" w:cs="Arial"/>
          <w:sz w:val="22"/>
          <w:szCs w:val="22"/>
        </w:rPr>
        <w:t xml:space="preserve"> (1998), were considered where relevant to the review’s conceptual and historical foundations.</w:t>
      </w:r>
    </w:p>
    <w:p w14:paraId="66E4C6F1" w14:textId="77777777" w:rsidR="00754891" w:rsidRPr="00825AEB" w:rsidRDefault="00754891" w:rsidP="00754891">
      <w:pPr>
        <w:spacing w:line="360" w:lineRule="auto"/>
        <w:jc w:val="both"/>
        <w:rPr>
          <w:rFonts w:ascii="Arial" w:hAnsi="Arial" w:cs="Arial"/>
          <w:sz w:val="22"/>
          <w:szCs w:val="22"/>
        </w:rPr>
      </w:pPr>
    </w:p>
    <w:p w14:paraId="71B10049" w14:textId="77777777" w:rsidR="00754891" w:rsidRPr="00825AEB" w:rsidRDefault="00754891" w:rsidP="00754891">
      <w:pPr>
        <w:spacing w:line="360" w:lineRule="auto"/>
        <w:jc w:val="both"/>
        <w:rPr>
          <w:rFonts w:ascii="Arial" w:hAnsi="Arial" w:cs="Arial"/>
          <w:sz w:val="22"/>
          <w:szCs w:val="22"/>
        </w:rPr>
      </w:pPr>
      <w:r w:rsidRPr="00825AEB">
        <w:rPr>
          <w:rFonts w:ascii="Arial" w:hAnsi="Arial" w:cs="Arial"/>
          <w:sz w:val="22"/>
          <w:szCs w:val="22"/>
        </w:rPr>
        <w:t>The review included studies examining the relationship between Adverse Childhood Experiences (ACEs) and long-term physical health outcomes in adult populations. UK-based studies were included where available, alongside international research relevant to the research question. Only English-language publications were included.</w:t>
      </w:r>
    </w:p>
    <w:p w14:paraId="2E64F093" w14:textId="77777777" w:rsidR="00754891" w:rsidRPr="00825AEB" w:rsidRDefault="00754891" w:rsidP="00754891">
      <w:pPr>
        <w:spacing w:line="360" w:lineRule="auto"/>
        <w:jc w:val="both"/>
        <w:rPr>
          <w:rFonts w:ascii="Arial" w:hAnsi="Arial" w:cs="Arial"/>
          <w:sz w:val="22"/>
          <w:szCs w:val="22"/>
        </w:rPr>
      </w:pPr>
    </w:p>
    <w:p w14:paraId="716DFB36" w14:textId="77777777" w:rsidR="00754891" w:rsidRDefault="00754891" w:rsidP="00754891">
      <w:pPr>
        <w:spacing w:line="360" w:lineRule="auto"/>
        <w:jc w:val="both"/>
      </w:pPr>
      <w:r w:rsidRPr="00825AEB">
        <w:rPr>
          <w:rFonts w:ascii="Arial" w:hAnsi="Arial" w:cs="Arial"/>
          <w:sz w:val="22"/>
          <w:szCs w:val="22"/>
        </w:rPr>
        <w:t>Opinion pieces, blogs, non-academic websites,</w:t>
      </w:r>
      <w:r>
        <w:rPr>
          <w:rFonts w:ascii="Arial" w:hAnsi="Arial" w:cs="Arial"/>
          <w:sz w:val="22"/>
          <w:szCs w:val="22"/>
        </w:rPr>
        <w:t xml:space="preserve"> </w:t>
      </w:r>
      <w:r w:rsidRPr="00825AEB">
        <w:rPr>
          <w:rFonts w:ascii="Arial" w:hAnsi="Arial" w:cs="Arial"/>
          <w:sz w:val="22"/>
          <w:szCs w:val="22"/>
        </w:rPr>
        <w:t>and sources unrelated to the research question were excluded. Studies involving only children or adolescents, and those focusing solely on mental health outcomes, were also excluded. These criteria supported the selection of relevant evidence for the thematic analysis.</w:t>
      </w:r>
      <w:r w:rsidRPr="00D72C51">
        <w:t xml:space="preserve"> </w:t>
      </w:r>
    </w:p>
    <w:p w14:paraId="234B2F38" w14:textId="77777777" w:rsidR="00754891" w:rsidRDefault="00754891" w:rsidP="00754891">
      <w:pPr>
        <w:spacing w:line="360" w:lineRule="auto"/>
        <w:jc w:val="both"/>
      </w:pPr>
    </w:p>
    <w:p w14:paraId="165F40B4" w14:textId="77777777" w:rsidR="00754891" w:rsidRDefault="00754891" w:rsidP="00754891">
      <w:pPr>
        <w:spacing w:line="360" w:lineRule="auto"/>
        <w:jc w:val="both"/>
      </w:pPr>
      <w:r w:rsidRPr="004143FB">
        <w:rPr>
          <w:noProof/>
        </w:rPr>
        <w:drawing>
          <wp:inline distT="0" distB="0" distL="0" distR="0" wp14:anchorId="0C45D9DD" wp14:editId="6EC39886">
            <wp:extent cx="5448300" cy="3568700"/>
            <wp:effectExtent l="0" t="0" r="0" b="0"/>
            <wp:docPr id="1123066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066040" name=""/>
                    <pic:cNvPicPr/>
                  </pic:nvPicPr>
                  <pic:blipFill>
                    <a:blip r:embed="rId8"/>
                    <a:stretch>
                      <a:fillRect/>
                    </a:stretch>
                  </pic:blipFill>
                  <pic:spPr>
                    <a:xfrm>
                      <a:off x="0" y="0"/>
                      <a:ext cx="5448300" cy="3568700"/>
                    </a:xfrm>
                    <a:prstGeom prst="rect">
                      <a:avLst/>
                    </a:prstGeom>
                  </pic:spPr>
                </pic:pic>
              </a:graphicData>
            </a:graphic>
          </wp:inline>
        </w:drawing>
      </w:r>
    </w:p>
    <w:p w14:paraId="5F41E632" w14:textId="77777777" w:rsidR="00754891" w:rsidRDefault="00754891" w:rsidP="00754891">
      <w:pPr>
        <w:spacing w:line="360" w:lineRule="auto"/>
        <w:jc w:val="both"/>
      </w:pPr>
    </w:p>
    <w:p w14:paraId="7E28FDD4" w14:textId="77777777" w:rsidR="00754891" w:rsidRPr="00513FF6" w:rsidRDefault="00754891" w:rsidP="00754891">
      <w:pPr>
        <w:spacing w:line="360" w:lineRule="auto"/>
        <w:jc w:val="both"/>
        <w:rPr>
          <w:rFonts w:ascii="Arial" w:hAnsi="Arial" w:cs="Arial"/>
          <w:sz w:val="22"/>
          <w:szCs w:val="22"/>
        </w:rPr>
      </w:pPr>
      <w:r w:rsidRPr="00117C3C">
        <w:rPr>
          <w:rFonts w:ascii="Arial" w:hAnsi="Arial" w:cs="Arial"/>
          <w:b/>
          <w:bCs/>
          <w:sz w:val="22"/>
          <w:szCs w:val="22"/>
        </w:rPr>
        <w:lastRenderedPageBreak/>
        <w:t>3.6 Analysing Research</w:t>
      </w:r>
    </w:p>
    <w:p w14:paraId="059E9CEA" w14:textId="77777777" w:rsidR="00754891" w:rsidRDefault="00754891" w:rsidP="00754891">
      <w:pPr>
        <w:spacing w:line="360" w:lineRule="auto"/>
        <w:jc w:val="both"/>
      </w:pPr>
    </w:p>
    <w:p w14:paraId="30F669E4" w14:textId="77777777" w:rsidR="00754891" w:rsidRPr="00407F9D" w:rsidRDefault="00754891" w:rsidP="00754891">
      <w:pPr>
        <w:spacing w:line="360" w:lineRule="auto"/>
        <w:jc w:val="both"/>
        <w:rPr>
          <w:rFonts w:ascii="Arial" w:hAnsi="Arial" w:cs="Arial"/>
          <w:sz w:val="22"/>
          <w:szCs w:val="22"/>
        </w:rPr>
      </w:pPr>
      <w:r w:rsidRPr="00407F9D">
        <w:rPr>
          <w:rFonts w:ascii="Arial" w:hAnsi="Arial" w:cs="Arial"/>
          <w:sz w:val="22"/>
          <w:szCs w:val="22"/>
        </w:rPr>
        <w:t>A thematic analysis approach, informed by Braun and Clarke (2006), was used to analyse the selected literature on ACEs and long-term physical health outcomes in adulthood. In Stage 2, the five selected sources were compared using a literature analysis table, which recorded their findings, research methods, strengths, limitations and keywords. This comparison supported the identification of similarities and differences between the sources.</w:t>
      </w:r>
    </w:p>
    <w:p w14:paraId="78492219" w14:textId="77777777" w:rsidR="00754891" w:rsidRPr="00407F9D" w:rsidRDefault="00754891" w:rsidP="00754891">
      <w:pPr>
        <w:spacing w:line="360" w:lineRule="auto"/>
        <w:jc w:val="both"/>
        <w:rPr>
          <w:rFonts w:ascii="Arial" w:hAnsi="Arial" w:cs="Arial"/>
          <w:sz w:val="22"/>
          <w:szCs w:val="22"/>
        </w:rPr>
      </w:pPr>
    </w:p>
    <w:p w14:paraId="28AE03DB" w14:textId="77777777" w:rsidR="00754891" w:rsidRPr="00407F9D" w:rsidRDefault="00754891" w:rsidP="00754891">
      <w:pPr>
        <w:spacing w:line="360" w:lineRule="auto"/>
        <w:jc w:val="both"/>
        <w:rPr>
          <w:rFonts w:ascii="Arial" w:hAnsi="Arial" w:cs="Arial"/>
          <w:sz w:val="22"/>
          <w:szCs w:val="22"/>
        </w:rPr>
      </w:pPr>
      <w:r w:rsidRPr="00407F9D">
        <w:rPr>
          <w:rFonts w:ascii="Arial" w:hAnsi="Arial" w:cs="Arial"/>
          <w:sz w:val="22"/>
          <w:szCs w:val="22"/>
        </w:rPr>
        <w:t>In Stage 3, keywords and related concepts were organised into initial codes and grouped into three possible themes: Association between ACEs and Long-Term Physical Health Outcomes; Biological Mechanisms Linking ACEs to Adult Disease; and Prevention, Trauma-Informed Practice and Public Health Responses.</w:t>
      </w:r>
    </w:p>
    <w:p w14:paraId="36D6BC41" w14:textId="77777777" w:rsidR="00754891" w:rsidRPr="00407F9D" w:rsidRDefault="00754891" w:rsidP="00754891">
      <w:pPr>
        <w:spacing w:line="360" w:lineRule="auto"/>
        <w:jc w:val="both"/>
        <w:rPr>
          <w:rFonts w:ascii="Arial" w:hAnsi="Arial" w:cs="Arial"/>
          <w:sz w:val="22"/>
          <w:szCs w:val="22"/>
        </w:rPr>
      </w:pPr>
    </w:p>
    <w:p w14:paraId="6700DF54" w14:textId="77777777" w:rsidR="00754891" w:rsidRDefault="00754891" w:rsidP="00754891">
      <w:pPr>
        <w:spacing w:line="360" w:lineRule="auto"/>
        <w:jc w:val="both"/>
        <w:rPr>
          <w:rFonts w:ascii="Arial" w:hAnsi="Arial" w:cs="Arial"/>
          <w:sz w:val="22"/>
          <w:szCs w:val="22"/>
        </w:rPr>
      </w:pPr>
      <w:r w:rsidRPr="00407F9D">
        <w:rPr>
          <w:rFonts w:ascii="Arial" w:hAnsi="Arial" w:cs="Arial"/>
          <w:sz w:val="22"/>
          <w:szCs w:val="22"/>
        </w:rPr>
        <w:t xml:space="preserve">For example, keywords recorded in the theme-development table, including toxic stress, allostatic load and inflammation, contributed to the biological mechanisms theme. Cardiovascular disease, diabetes and obesity contributed to the physical health </w:t>
      </w:r>
      <w:proofErr w:type="gramStart"/>
      <w:r w:rsidRPr="00407F9D">
        <w:rPr>
          <w:rFonts w:ascii="Arial" w:hAnsi="Arial" w:cs="Arial"/>
          <w:sz w:val="22"/>
          <w:szCs w:val="22"/>
        </w:rPr>
        <w:t>outcomes</w:t>
      </w:r>
      <w:proofErr w:type="gramEnd"/>
      <w:r w:rsidRPr="00407F9D">
        <w:rPr>
          <w:rFonts w:ascii="Arial" w:hAnsi="Arial" w:cs="Arial"/>
          <w:sz w:val="22"/>
          <w:szCs w:val="22"/>
        </w:rPr>
        <w:t xml:space="preserve"> theme, while early intervention, trauma-informed care, public health policy and prevention informed the public health responses theme. </w:t>
      </w:r>
    </w:p>
    <w:p w14:paraId="278491ED" w14:textId="77777777" w:rsidR="00754891" w:rsidRDefault="00754891" w:rsidP="00754891">
      <w:pPr>
        <w:spacing w:line="360" w:lineRule="auto"/>
        <w:jc w:val="both"/>
        <w:rPr>
          <w:rFonts w:ascii="Arial" w:hAnsi="Arial" w:cs="Arial"/>
          <w:sz w:val="22"/>
          <w:szCs w:val="22"/>
        </w:rPr>
      </w:pPr>
    </w:p>
    <w:p w14:paraId="23DF06F8" w14:textId="77777777" w:rsidR="00754891" w:rsidRDefault="00754891" w:rsidP="00754891">
      <w:pPr>
        <w:spacing w:line="360" w:lineRule="auto"/>
        <w:jc w:val="both"/>
        <w:rPr>
          <w:rFonts w:ascii="Arial" w:hAnsi="Arial" w:cs="Arial"/>
          <w:sz w:val="22"/>
          <w:szCs w:val="22"/>
        </w:rPr>
      </w:pPr>
      <w:r w:rsidRPr="004003D3">
        <w:rPr>
          <w:rFonts w:ascii="Arial" w:hAnsi="Arial" w:cs="Arial"/>
          <w:noProof/>
          <w:sz w:val="22"/>
          <w:szCs w:val="22"/>
        </w:rPr>
        <w:drawing>
          <wp:inline distT="0" distB="0" distL="0" distR="0" wp14:anchorId="60BF3115" wp14:editId="21CADBC1">
            <wp:extent cx="5461000" cy="3771900"/>
            <wp:effectExtent l="0" t="0" r="0" b="0"/>
            <wp:docPr id="1936499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499688" name=""/>
                    <pic:cNvPicPr/>
                  </pic:nvPicPr>
                  <pic:blipFill>
                    <a:blip r:embed="rId9"/>
                    <a:stretch>
                      <a:fillRect/>
                    </a:stretch>
                  </pic:blipFill>
                  <pic:spPr>
                    <a:xfrm>
                      <a:off x="0" y="0"/>
                      <a:ext cx="5461000" cy="3771900"/>
                    </a:xfrm>
                    <a:prstGeom prst="rect">
                      <a:avLst/>
                    </a:prstGeom>
                  </pic:spPr>
                </pic:pic>
              </a:graphicData>
            </a:graphic>
          </wp:inline>
        </w:drawing>
      </w:r>
    </w:p>
    <w:p w14:paraId="3E1B11B7" w14:textId="77777777" w:rsidR="00754891" w:rsidRPr="004003D3" w:rsidRDefault="00754891" w:rsidP="00754891">
      <w:pPr>
        <w:spacing w:line="360" w:lineRule="auto"/>
        <w:jc w:val="both"/>
        <w:rPr>
          <w:rFonts w:ascii="Arial" w:hAnsi="Arial" w:cs="Arial"/>
          <w:b/>
          <w:bCs/>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754891" w:rsidRPr="00CA5422" w14:paraId="1D863615" w14:textId="77777777" w:rsidTr="0015192E">
        <w:trPr>
          <w:tblCellSpacing w:w="15" w:type="dxa"/>
        </w:trPr>
        <w:tc>
          <w:tcPr>
            <w:tcW w:w="0" w:type="auto"/>
            <w:vAlign w:val="center"/>
          </w:tcPr>
          <w:p w14:paraId="2F83671C" w14:textId="77777777" w:rsidR="00754891" w:rsidRPr="00CA5422" w:rsidRDefault="00754891" w:rsidP="0015192E">
            <w:pPr>
              <w:jc w:val="center"/>
              <w:rPr>
                <w:rFonts w:ascii="Times New Roman" w:eastAsia="Times New Roman" w:hAnsi="Times New Roman" w:cs="Times New Roman"/>
                <w:b/>
                <w:bCs/>
                <w:kern w:val="0"/>
                <w:lang w:eastAsia="en-GB"/>
                <w14:ligatures w14:val="none"/>
              </w:rPr>
            </w:pPr>
          </w:p>
        </w:tc>
        <w:tc>
          <w:tcPr>
            <w:tcW w:w="0" w:type="auto"/>
            <w:vAlign w:val="center"/>
          </w:tcPr>
          <w:p w14:paraId="5F17578A" w14:textId="77777777" w:rsidR="00754891" w:rsidRPr="00CA5422" w:rsidRDefault="00754891" w:rsidP="0015192E">
            <w:pPr>
              <w:jc w:val="center"/>
              <w:rPr>
                <w:rFonts w:ascii="Times New Roman" w:eastAsia="Times New Roman" w:hAnsi="Times New Roman" w:cs="Times New Roman"/>
                <w:b/>
                <w:bCs/>
                <w:kern w:val="0"/>
                <w:lang w:eastAsia="en-GB"/>
                <w14:ligatures w14:val="none"/>
              </w:rPr>
            </w:pPr>
          </w:p>
        </w:tc>
      </w:tr>
      <w:tr w:rsidR="00754891" w:rsidRPr="00CA5422" w14:paraId="7D5D562A" w14:textId="77777777" w:rsidTr="0015192E">
        <w:trPr>
          <w:tblCellSpacing w:w="15" w:type="dxa"/>
        </w:trPr>
        <w:tc>
          <w:tcPr>
            <w:tcW w:w="0" w:type="auto"/>
            <w:vAlign w:val="center"/>
          </w:tcPr>
          <w:p w14:paraId="40D57B27" w14:textId="77777777" w:rsidR="00754891" w:rsidRPr="00CA5422" w:rsidRDefault="00754891" w:rsidP="0015192E">
            <w:pPr>
              <w:rPr>
                <w:rFonts w:ascii="Times New Roman" w:eastAsia="Times New Roman" w:hAnsi="Times New Roman" w:cs="Times New Roman"/>
                <w:kern w:val="0"/>
                <w:lang w:eastAsia="en-GB"/>
                <w14:ligatures w14:val="none"/>
              </w:rPr>
            </w:pPr>
          </w:p>
        </w:tc>
        <w:tc>
          <w:tcPr>
            <w:tcW w:w="0" w:type="auto"/>
            <w:vAlign w:val="center"/>
          </w:tcPr>
          <w:p w14:paraId="58E2517F" w14:textId="77777777" w:rsidR="00754891" w:rsidRPr="00CA5422" w:rsidRDefault="00754891" w:rsidP="0015192E">
            <w:pPr>
              <w:rPr>
                <w:rFonts w:ascii="Times New Roman" w:eastAsia="Times New Roman" w:hAnsi="Times New Roman" w:cs="Times New Roman"/>
                <w:kern w:val="0"/>
                <w:lang w:eastAsia="en-GB"/>
                <w14:ligatures w14:val="none"/>
              </w:rPr>
            </w:pPr>
          </w:p>
        </w:tc>
      </w:tr>
      <w:tr w:rsidR="00754891" w:rsidRPr="00CA5422" w14:paraId="3B5F29F3" w14:textId="77777777" w:rsidTr="0015192E">
        <w:trPr>
          <w:tblCellSpacing w:w="15" w:type="dxa"/>
        </w:trPr>
        <w:tc>
          <w:tcPr>
            <w:tcW w:w="0" w:type="auto"/>
            <w:vAlign w:val="center"/>
          </w:tcPr>
          <w:p w14:paraId="00BF9215" w14:textId="77777777" w:rsidR="00754891" w:rsidRPr="00CA5422" w:rsidRDefault="00754891" w:rsidP="0015192E">
            <w:pPr>
              <w:rPr>
                <w:rFonts w:ascii="Times New Roman" w:eastAsia="Times New Roman" w:hAnsi="Times New Roman" w:cs="Times New Roman"/>
                <w:kern w:val="0"/>
                <w:lang w:eastAsia="en-GB"/>
                <w14:ligatures w14:val="none"/>
              </w:rPr>
            </w:pPr>
          </w:p>
        </w:tc>
        <w:tc>
          <w:tcPr>
            <w:tcW w:w="0" w:type="auto"/>
            <w:vAlign w:val="center"/>
          </w:tcPr>
          <w:p w14:paraId="5053D6AA" w14:textId="77777777" w:rsidR="00754891" w:rsidRPr="00CA5422" w:rsidRDefault="00754891" w:rsidP="0015192E">
            <w:pPr>
              <w:rPr>
                <w:rFonts w:ascii="Times New Roman" w:eastAsia="Times New Roman" w:hAnsi="Times New Roman" w:cs="Times New Roman"/>
                <w:kern w:val="0"/>
                <w:lang w:eastAsia="en-GB"/>
                <w14:ligatures w14:val="none"/>
              </w:rPr>
            </w:pPr>
          </w:p>
        </w:tc>
      </w:tr>
    </w:tbl>
    <w:p w14:paraId="4CD92DB0" w14:textId="77777777" w:rsidR="00754891" w:rsidRPr="00054264" w:rsidRDefault="00754891" w:rsidP="00551482">
      <w:pPr>
        <w:spacing w:line="360" w:lineRule="auto"/>
        <w:jc w:val="both"/>
        <w:rPr>
          <w:rFonts w:ascii="Arial" w:hAnsi="Arial" w:cs="Arial"/>
          <w:sz w:val="22"/>
          <w:szCs w:val="22"/>
        </w:rPr>
      </w:pPr>
      <w:r w:rsidRPr="00054264">
        <w:rPr>
          <w:rFonts w:ascii="Arial" w:hAnsi="Arial" w:cs="Arial"/>
          <w:b/>
          <w:bCs/>
          <w:sz w:val="22"/>
          <w:szCs w:val="22"/>
        </w:rPr>
        <w:t>3.7 Ethical Considerations</w:t>
      </w:r>
      <w:r w:rsidRPr="00054264">
        <w:rPr>
          <w:rFonts w:ascii="Arial" w:hAnsi="Arial" w:cs="Arial"/>
          <w:sz w:val="22"/>
          <w:szCs w:val="22"/>
        </w:rPr>
        <w:t xml:space="preserve"> </w:t>
      </w:r>
    </w:p>
    <w:p w14:paraId="42BA8DAE" w14:textId="77777777" w:rsidR="00754891" w:rsidRPr="00054264" w:rsidRDefault="00754891" w:rsidP="00551482">
      <w:pPr>
        <w:spacing w:line="360" w:lineRule="auto"/>
        <w:jc w:val="both"/>
        <w:rPr>
          <w:rFonts w:ascii="Arial" w:hAnsi="Arial" w:cs="Arial"/>
          <w:sz w:val="22"/>
          <w:szCs w:val="22"/>
        </w:rPr>
      </w:pPr>
    </w:p>
    <w:p w14:paraId="09DA36C3" w14:textId="77777777" w:rsidR="00754891" w:rsidRPr="00054264" w:rsidRDefault="00754891" w:rsidP="00551482">
      <w:pPr>
        <w:spacing w:line="360" w:lineRule="auto"/>
        <w:jc w:val="both"/>
        <w:rPr>
          <w:rFonts w:ascii="Arial" w:hAnsi="Arial" w:cs="Arial"/>
          <w:sz w:val="22"/>
          <w:szCs w:val="22"/>
        </w:rPr>
      </w:pPr>
      <w:r w:rsidRPr="00054264">
        <w:rPr>
          <w:rFonts w:ascii="Arial" w:hAnsi="Arial" w:cs="Arial"/>
          <w:sz w:val="22"/>
          <w:szCs w:val="22"/>
        </w:rPr>
        <w:t>This dissertation was based solely on secondary research and did not involve the collection of primary data or direct participation from human subjects. Consequently, issues relating to informed consent, confidentiality and participant welfare were not applicable, and formal ethical approval was not required. Nevertheless, ethical principles remained central throughout the research process. Academic integrity was maintained by accurately acknowledging all sources using the Harvard referencing style and ensuring that the ideas and findings of other authors were represented fairly and accurately. Care was also taken to avoid plagiarism, misrepresentation and selective reporting of evidence. To minimise bias, literature was selected using predefined inclusion and exclusion criteria and analysed objectively. This transparent and systematic approach enhanced the credibility, reliability and ethical integrity of the dissertation.</w:t>
      </w:r>
    </w:p>
    <w:p w14:paraId="1373958F" w14:textId="77777777" w:rsidR="00754891" w:rsidRPr="00054264" w:rsidRDefault="00754891" w:rsidP="00551482">
      <w:pPr>
        <w:spacing w:line="360" w:lineRule="auto"/>
        <w:jc w:val="both"/>
        <w:rPr>
          <w:rFonts w:ascii="Arial" w:hAnsi="Arial" w:cs="Arial"/>
          <w:sz w:val="22"/>
          <w:szCs w:val="22"/>
        </w:rPr>
      </w:pPr>
    </w:p>
    <w:p w14:paraId="543D43B3" w14:textId="77777777" w:rsidR="00754891" w:rsidRPr="00054264" w:rsidRDefault="00754891" w:rsidP="00551482">
      <w:pPr>
        <w:spacing w:line="360" w:lineRule="auto"/>
        <w:jc w:val="both"/>
        <w:rPr>
          <w:rFonts w:ascii="Arial" w:hAnsi="Arial" w:cs="Arial"/>
          <w:sz w:val="22"/>
          <w:szCs w:val="22"/>
        </w:rPr>
      </w:pPr>
      <w:r w:rsidRPr="00054264">
        <w:rPr>
          <w:rFonts w:ascii="Arial" w:hAnsi="Arial" w:cs="Arial"/>
          <w:b/>
          <w:bCs/>
          <w:sz w:val="22"/>
          <w:szCs w:val="22"/>
        </w:rPr>
        <w:t>3.8 Conclusion</w:t>
      </w:r>
      <w:r w:rsidRPr="00054264">
        <w:rPr>
          <w:rFonts w:ascii="Arial" w:hAnsi="Arial" w:cs="Arial"/>
          <w:sz w:val="22"/>
          <w:szCs w:val="22"/>
        </w:rPr>
        <w:t xml:space="preserve"> </w:t>
      </w:r>
    </w:p>
    <w:p w14:paraId="4D5AFF12" w14:textId="77777777" w:rsidR="00754891" w:rsidRPr="00054264" w:rsidRDefault="00754891" w:rsidP="00551482">
      <w:pPr>
        <w:spacing w:line="360" w:lineRule="auto"/>
        <w:jc w:val="both"/>
        <w:rPr>
          <w:rFonts w:ascii="Arial" w:hAnsi="Arial" w:cs="Arial"/>
          <w:sz w:val="22"/>
          <w:szCs w:val="22"/>
        </w:rPr>
      </w:pPr>
    </w:p>
    <w:p w14:paraId="36F83599" w14:textId="77777777" w:rsidR="00754891" w:rsidRPr="00054264" w:rsidRDefault="00754891" w:rsidP="00551482">
      <w:pPr>
        <w:spacing w:line="360" w:lineRule="auto"/>
        <w:jc w:val="both"/>
        <w:rPr>
          <w:rFonts w:ascii="Arial" w:hAnsi="Arial" w:cs="Arial"/>
          <w:sz w:val="22"/>
          <w:szCs w:val="22"/>
        </w:rPr>
      </w:pPr>
      <w:r w:rsidRPr="00054264">
        <w:rPr>
          <w:rFonts w:ascii="Arial" w:hAnsi="Arial" w:cs="Arial"/>
          <w:sz w:val="22"/>
          <w:szCs w:val="22"/>
        </w:rPr>
        <w:t xml:space="preserve">This chapter has described the research methodology adopted for this desk-based secondary research study exploring the relationship between Adverse Childhood Experiences (ACEs) and long-term physical health outcomes in adulthood. A systematic search strategy was used to identify relevant literature, supported by clearly defined inclusion and exclusion criteria and the application of the CRAAP Test to evaluate the quality and credibility of sources. The selected literature was analysed using a thematic analysis approach, ensuring a transparent and systematic process for identifying recurring patterns and themes. Together, these methods provided a robust foundation for the study. Chapter 4 will present the findings of the thematic analysis, organised into key themes and discussed in relation to the research question and study objectives. </w:t>
      </w:r>
    </w:p>
    <w:p w14:paraId="6B2D032C" w14:textId="77777777" w:rsidR="00754891" w:rsidRPr="00054264" w:rsidRDefault="00754891" w:rsidP="00551482">
      <w:pPr>
        <w:spacing w:line="360" w:lineRule="auto"/>
        <w:jc w:val="both"/>
        <w:rPr>
          <w:rFonts w:ascii="Arial" w:hAnsi="Arial" w:cs="Arial"/>
          <w:sz w:val="22"/>
          <w:szCs w:val="22"/>
        </w:rPr>
      </w:pPr>
    </w:p>
    <w:p w14:paraId="38DFB1F6" w14:textId="77777777" w:rsidR="00754891" w:rsidRPr="00054264" w:rsidRDefault="00754891" w:rsidP="00551482">
      <w:pPr>
        <w:spacing w:line="360" w:lineRule="auto"/>
        <w:jc w:val="both"/>
        <w:rPr>
          <w:rFonts w:ascii="Arial" w:hAnsi="Arial" w:cs="Arial"/>
          <w:sz w:val="22"/>
          <w:szCs w:val="22"/>
        </w:rPr>
      </w:pPr>
    </w:p>
    <w:p w14:paraId="78BAF152" w14:textId="77777777" w:rsidR="00754891" w:rsidRDefault="00754891" w:rsidP="00754891">
      <w:pPr>
        <w:spacing w:line="360" w:lineRule="auto"/>
        <w:jc w:val="both"/>
      </w:pPr>
    </w:p>
    <w:p w14:paraId="36C8D784" w14:textId="77777777" w:rsidR="00754891" w:rsidRDefault="00754891" w:rsidP="00754891">
      <w:pPr>
        <w:spacing w:line="360" w:lineRule="auto"/>
        <w:jc w:val="both"/>
      </w:pPr>
    </w:p>
    <w:p w14:paraId="1605BECE" w14:textId="77777777" w:rsidR="00551482" w:rsidRDefault="00551482" w:rsidP="00444153">
      <w:pPr>
        <w:spacing w:line="360" w:lineRule="auto"/>
        <w:jc w:val="both"/>
        <w:rPr>
          <w:rFonts w:ascii="Arial" w:hAnsi="Arial" w:cs="Arial"/>
          <w:b/>
          <w:bCs/>
          <w:sz w:val="22"/>
          <w:szCs w:val="22"/>
        </w:rPr>
      </w:pPr>
    </w:p>
    <w:p w14:paraId="3F211B8A" w14:textId="77777777" w:rsidR="00551482" w:rsidRDefault="00551482" w:rsidP="00444153">
      <w:pPr>
        <w:spacing w:line="360" w:lineRule="auto"/>
        <w:jc w:val="both"/>
        <w:rPr>
          <w:rFonts w:ascii="Arial" w:hAnsi="Arial" w:cs="Arial"/>
          <w:b/>
          <w:bCs/>
          <w:sz w:val="22"/>
          <w:szCs w:val="22"/>
        </w:rPr>
      </w:pPr>
    </w:p>
    <w:p w14:paraId="17F858E4" w14:textId="77777777" w:rsidR="00551482" w:rsidRDefault="00551482" w:rsidP="00444153">
      <w:pPr>
        <w:spacing w:line="360" w:lineRule="auto"/>
        <w:jc w:val="both"/>
        <w:rPr>
          <w:rFonts w:ascii="Arial" w:hAnsi="Arial" w:cs="Arial"/>
          <w:b/>
          <w:bCs/>
          <w:sz w:val="22"/>
          <w:szCs w:val="22"/>
        </w:rPr>
      </w:pPr>
    </w:p>
    <w:p w14:paraId="42E001D2" w14:textId="77777777" w:rsidR="00551482" w:rsidRDefault="00551482" w:rsidP="00444153">
      <w:pPr>
        <w:spacing w:line="360" w:lineRule="auto"/>
        <w:jc w:val="both"/>
        <w:rPr>
          <w:rFonts w:ascii="Arial" w:hAnsi="Arial" w:cs="Arial"/>
          <w:b/>
          <w:bCs/>
          <w:sz w:val="22"/>
          <w:szCs w:val="22"/>
        </w:rPr>
      </w:pPr>
    </w:p>
    <w:p w14:paraId="5200BF0A" w14:textId="2D76D542" w:rsidR="00754891" w:rsidRDefault="00754891" w:rsidP="00444153">
      <w:pPr>
        <w:spacing w:line="360" w:lineRule="auto"/>
        <w:jc w:val="both"/>
        <w:rPr>
          <w:rFonts w:ascii="Arial" w:hAnsi="Arial" w:cs="Arial"/>
          <w:b/>
          <w:bCs/>
          <w:sz w:val="22"/>
          <w:szCs w:val="22"/>
        </w:rPr>
      </w:pPr>
      <w:r w:rsidRPr="00444153">
        <w:rPr>
          <w:rFonts w:ascii="Arial" w:hAnsi="Arial" w:cs="Arial"/>
          <w:b/>
          <w:bCs/>
          <w:sz w:val="22"/>
          <w:szCs w:val="22"/>
        </w:rPr>
        <w:lastRenderedPageBreak/>
        <w:t>Reference:</w:t>
      </w:r>
    </w:p>
    <w:p w14:paraId="6D273E90" w14:textId="77777777" w:rsidR="00894617" w:rsidRDefault="00894617" w:rsidP="00444153">
      <w:pPr>
        <w:pStyle w:val="NormalWeb"/>
        <w:shd w:val="clear" w:color="auto" w:fill="FFFFFF"/>
        <w:spacing w:before="0" w:beforeAutospacing="0" w:after="173" w:afterAutospacing="0" w:line="360" w:lineRule="auto"/>
        <w:rPr>
          <w:rFonts w:ascii="Arial" w:hAnsi="Arial" w:cs="Arial"/>
          <w:color w:val="000000"/>
          <w:sz w:val="22"/>
          <w:szCs w:val="22"/>
        </w:rPr>
      </w:pPr>
    </w:p>
    <w:p w14:paraId="7638F00F" w14:textId="1A039901" w:rsidR="005A6C1F" w:rsidRPr="00164899" w:rsidRDefault="00E641A3" w:rsidP="00164899">
      <w:pPr>
        <w:pStyle w:val="NormalWeb"/>
        <w:shd w:val="clear" w:color="auto" w:fill="FFFFFF"/>
        <w:spacing w:before="0" w:beforeAutospacing="0" w:after="173" w:afterAutospacing="0" w:line="360" w:lineRule="auto"/>
        <w:rPr>
          <w:rFonts w:ascii="Arial" w:hAnsi="Arial" w:cs="Arial"/>
          <w:color w:val="000000"/>
          <w:sz w:val="22"/>
          <w:szCs w:val="22"/>
        </w:rPr>
      </w:pPr>
      <w:r w:rsidRPr="00444153">
        <w:rPr>
          <w:rFonts w:ascii="Arial" w:hAnsi="Arial" w:cs="Arial"/>
          <w:color w:val="000000"/>
          <w:sz w:val="22"/>
          <w:szCs w:val="22"/>
        </w:rPr>
        <w:t>Amos, R.L.M., Cresswell, K., Hughes, K. and Bellis, M.A. (2023) '</w:t>
      </w:r>
      <w:proofErr w:type="spellStart"/>
      <w:r w:rsidRPr="00444153">
        <w:rPr>
          <w:rFonts w:ascii="Arial" w:hAnsi="Arial" w:cs="Arial"/>
          <w:color w:val="000000"/>
          <w:sz w:val="22"/>
          <w:szCs w:val="22"/>
        </w:rPr>
        <w:t>ACEtimation</w:t>
      </w:r>
      <w:proofErr w:type="spellEnd"/>
      <w:r w:rsidRPr="00444153">
        <w:rPr>
          <w:rFonts w:ascii="Arial" w:hAnsi="Arial" w:cs="Arial"/>
          <w:color w:val="000000"/>
          <w:sz w:val="22"/>
          <w:szCs w:val="22"/>
        </w:rPr>
        <w:t xml:space="preserve">—The combined effect of adverse childhood experiences on violence, health-harming </w:t>
      </w:r>
      <w:proofErr w:type="spellStart"/>
      <w:r w:rsidRPr="00444153">
        <w:rPr>
          <w:rFonts w:ascii="Arial" w:hAnsi="Arial" w:cs="Arial"/>
          <w:color w:val="000000"/>
          <w:sz w:val="22"/>
          <w:szCs w:val="22"/>
        </w:rPr>
        <w:t>behaviors</w:t>
      </w:r>
      <w:proofErr w:type="spellEnd"/>
      <w:r w:rsidRPr="00444153">
        <w:rPr>
          <w:rFonts w:ascii="Arial" w:hAnsi="Arial" w:cs="Arial"/>
          <w:color w:val="000000"/>
          <w:sz w:val="22"/>
          <w:szCs w:val="22"/>
        </w:rPr>
        <w:t xml:space="preserve">, and mental ill-health: Findings across </w:t>
      </w:r>
      <w:proofErr w:type="spellStart"/>
      <w:r w:rsidRPr="00444153">
        <w:rPr>
          <w:rFonts w:ascii="Arial" w:hAnsi="Arial" w:cs="Arial"/>
          <w:color w:val="000000"/>
          <w:sz w:val="22"/>
          <w:szCs w:val="22"/>
        </w:rPr>
        <w:t>england</w:t>
      </w:r>
      <w:proofErr w:type="spellEnd"/>
      <w:r w:rsidRPr="00444153">
        <w:rPr>
          <w:rFonts w:ascii="Arial" w:hAnsi="Arial" w:cs="Arial"/>
          <w:color w:val="000000"/>
          <w:sz w:val="22"/>
          <w:szCs w:val="22"/>
        </w:rPr>
        <w:t xml:space="preserve"> and </w:t>
      </w:r>
      <w:proofErr w:type="spellStart"/>
      <w:r w:rsidRPr="00444153">
        <w:rPr>
          <w:rFonts w:ascii="Arial" w:hAnsi="Arial" w:cs="Arial"/>
          <w:color w:val="000000"/>
          <w:sz w:val="22"/>
          <w:szCs w:val="22"/>
        </w:rPr>
        <w:t>wales</w:t>
      </w:r>
      <w:proofErr w:type="spellEnd"/>
      <w:r w:rsidRPr="00444153">
        <w:rPr>
          <w:rFonts w:ascii="Arial" w:hAnsi="Arial" w:cs="Arial"/>
          <w:color w:val="000000"/>
          <w:sz w:val="22"/>
          <w:szCs w:val="22"/>
        </w:rPr>
        <w:t>', </w:t>
      </w:r>
      <w:r w:rsidRPr="00444153">
        <w:rPr>
          <w:rFonts w:ascii="Arial" w:hAnsi="Arial" w:cs="Arial"/>
          <w:i/>
          <w:iCs/>
          <w:color w:val="000000"/>
          <w:sz w:val="22"/>
          <w:szCs w:val="22"/>
        </w:rPr>
        <w:t>International Journal of Environmental Research and Public Health,</w:t>
      </w:r>
      <w:r w:rsidRPr="00444153">
        <w:rPr>
          <w:rFonts w:ascii="Arial" w:hAnsi="Arial" w:cs="Arial"/>
          <w:color w:val="000000"/>
          <w:sz w:val="22"/>
          <w:szCs w:val="22"/>
        </w:rPr>
        <w:t> 20(17), pp. 6633. Available at: </w:t>
      </w:r>
      <w:hyperlink r:id="rId10" w:tgtFrame="_blank" w:history="1">
        <w:r w:rsidRPr="00444153">
          <w:rPr>
            <w:rStyle w:val="Hyperlink"/>
            <w:rFonts w:ascii="Arial" w:hAnsi="Arial" w:cs="Arial"/>
            <w:color w:val="0066CC"/>
            <w:sz w:val="22"/>
            <w:szCs w:val="22"/>
          </w:rPr>
          <w:t>https://doi.org/10.3390/ijerph20176633</w:t>
        </w:r>
      </w:hyperlink>
      <w:r w:rsidRPr="00444153">
        <w:rPr>
          <w:rFonts w:ascii="Arial" w:hAnsi="Arial" w:cs="Arial"/>
          <w:color w:val="000000"/>
          <w:sz w:val="22"/>
          <w:szCs w:val="22"/>
        </w:rPr>
        <w:t>.</w:t>
      </w:r>
      <w:r w:rsidR="00F65C3C">
        <w:rPr>
          <w:rFonts w:ascii="Arial" w:hAnsi="Arial" w:cs="Arial"/>
          <w:color w:val="000000"/>
          <w:sz w:val="22"/>
          <w:szCs w:val="22"/>
        </w:rPr>
        <w:br/>
      </w:r>
      <w:r w:rsidR="004F5537" w:rsidRPr="00444153">
        <w:rPr>
          <w:rFonts w:ascii="Arial" w:hAnsi="Arial" w:cs="Arial"/>
          <w:sz w:val="22"/>
          <w:szCs w:val="22"/>
        </w:rPr>
        <w:t xml:space="preserve">Aveyard, H. (2019) </w:t>
      </w:r>
      <w:r w:rsidR="004F5537" w:rsidRPr="00444153">
        <w:rPr>
          <w:rStyle w:val="Emphasis"/>
          <w:rFonts w:ascii="Arial" w:hAnsi="Arial" w:cs="Arial"/>
          <w:sz w:val="22"/>
          <w:szCs w:val="22"/>
        </w:rPr>
        <w:t>Doing a Literature Review in Health and Social Care: A Practical Guide</w:t>
      </w:r>
      <w:r w:rsidR="004F5537" w:rsidRPr="00444153">
        <w:rPr>
          <w:rFonts w:ascii="Arial" w:hAnsi="Arial" w:cs="Arial"/>
          <w:sz w:val="22"/>
          <w:szCs w:val="22"/>
        </w:rPr>
        <w:t xml:space="preserve">. 4th </w:t>
      </w:r>
      <w:proofErr w:type="spellStart"/>
      <w:r w:rsidR="004F5537" w:rsidRPr="00444153">
        <w:rPr>
          <w:rFonts w:ascii="Arial" w:hAnsi="Arial" w:cs="Arial"/>
          <w:sz w:val="22"/>
          <w:szCs w:val="22"/>
        </w:rPr>
        <w:t>edn</w:t>
      </w:r>
      <w:proofErr w:type="spellEnd"/>
      <w:r w:rsidR="004F5537" w:rsidRPr="00444153">
        <w:rPr>
          <w:rFonts w:ascii="Arial" w:hAnsi="Arial" w:cs="Arial"/>
          <w:sz w:val="22"/>
          <w:szCs w:val="22"/>
        </w:rPr>
        <w:t>. Maidenhead: Open University Press.</w:t>
      </w:r>
      <w:r w:rsidR="00164899">
        <w:rPr>
          <w:rFonts w:ascii="Arial" w:hAnsi="Arial" w:cs="Arial"/>
          <w:sz w:val="22"/>
          <w:szCs w:val="22"/>
        </w:rPr>
        <w:br/>
      </w:r>
      <w:r w:rsidR="00C76F06" w:rsidRPr="00444153">
        <w:rPr>
          <w:rFonts w:ascii="Arial" w:hAnsi="Arial" w:cs="Arial"/>
          <w:sz w:val="22"/>
          <w:szCs w:val="22"/>
        </w:rPr>
        <w:t xml:space="preserve">Blakeslee, S. (2004) ‘The CRAAP test’, </w:t>
      </w:r>
      <w:r w:rsidR="00C76F06" w:rsidRPr="00444153">
        <w:rPr>
          <w:rFonts w:ascii="Arial" w:hAnsi="Arial" w:cs="Arial"/>
          <w:i/>
          <w:iCs/>
          <w:sz w:val="22"/>
          <w:szCs w:val="22"/>
        </w:rPr>
        <w:t>LOEX Quarterly</w:t>
      </w:r>
      <w:r w:rsidR="00C76F06" w:rsidRPr="00444153">
        <w:rPr>
          <w:rFonts w:ascii="Arial" w:hAnsi="Arial" w:cs="Arial"/>
          <w:sz w:val="22"/>
          <w:szCs w:val="22"/>
        </w:rPr>
        <w:t xml:space="preserve">, 31(3), article 4. Available at: </w:t>
      </w:r>
      <w:hyperlink r:id="rId11" w:history="1">
        <w:r w:rsidR="00C76F06" w:rsidRPr="00444153">
          <w:rPr>
            <w:rFonts w:ascii="Arial" w:hAnsi="Arial" w:cs="Arial"/>
            <w:color w:val="0000FF"/>
            <w:sz w:val="22"/>
            <w:szCs w:val="22"/>
            <w:u w:val="single"/>
          </w:rPr>
          <w:t>https://commons.emich.edu/loexquarterly/vol31/iss3/4/</w:t>
        </w:r>
      </w:hyperlink>
      <w:r w:rsidR="00C76F06" w:rsidRPr="00444153">
        <w:rPr>
          <w:rFonts w:ascii="Arial" w:hAnsi="Arial" w:cs="Arial"/>
          <w:sz w:val="22"/>
          <w:szCs w:val="22"/>
        </w:rPr>
        <w:t xml:space="preserve"> (Accessed: 22 </w:t>
      </w:r>
      <w:r w:rsidR="005926F8" w:rsidRPr="00444153">
        <w:rPr>
          <w:rFonts w:ascii="Arial" w:hAnsi="Arial" w:cs="Arial"/>
          <w:sz w:val="22"/>
          <w:szCs w:val="22"/>
        </w:rPr>
        <w:t xml:space="preserve">August </w:t>
      </w:r>
      <w:r w:rsidR="00C76F06" w:rsidRPr="00444153">
        <w:rPr>
          <w:rFonts w:ascii="Arial" w:hAnsi="Arial" w:cs="Arial"/>
          <w:sz w:val="22"/>
          <w:szCs w:val="22"/>
        </w:rPr>
        <w:t>2026).</w:t>
      </w:r>
      <w:r w:rsidR="00894617">
        <w:rPr>
          <w:rFonts w:ascii="Arial" w:hAnsi="Arial" w:cs="Arial"/>
          <w:sz w:val="22"/>
          <w:szCs w:val="22"/>
        </w:rPr>
        <w:br/>
      </w:r>
      <w:r w:rsidR="005A6C1F" w:rsidRPr="00444153">
        <w:rPr>
          <w:rFonts w:ascii="Arial" w:hAnsi="Arial" w:cs="Arial"/>
          <w:sz w:val="22"/>
          <w:szCs w:val="22"/>
        </w:rPr>
        <w:t xml:space="preserve">Braun, V. and Clarke, V. (2006) ‘Using thematic analysis in psychology’, </w:t>
      </w:r>
      <w:r w:rsidR="005A6C1F" w:rsidRPr="00444153">
        <w:rPr>
          <w:rStyle w:val="Emphasis"/>
          <w:rFonts w:ascii="Arial" w:hAnsi="Arial" w:cs="Arial"/>
          <w:sz w:val="22"/>
          <w:szCs w:val="22"/>
        </w:rPr>
        <w:t>Qualitative Research in Psychology</w:t>
      </w:r>
      <w:r w:rsidR="005A6C1F" w:rsidRPr="00444153">
        <w:rPr>
          <w:rFonts w:ascii="Arial" w:hAnsi="Arial" w:cs="Arial"/>
          <w:sz w:val="22"/>
          <w:szCs w:val="22"/>
        </w:rPr>
        <w:t xml:space="preserve">, 3(2), pp. 77–101. Available at: </w:t>
      </w:r>
      <w:hyperlink r:id="rId12" w:history="1">
        <w:r w:rsidR="005A6C1F" w:rsidRPr="00444153">
          <w:rPr>
            <w:rStyle w:val="Hyperlink"/>
            <w:rFonts w:ascii="Arial" w:hAnsi="Arial" w:cs="Arial"/>
            <w:sz w:val="22"/>
            <w:szCs w:val="22"/>
          </w:rPr>
          <w:t>https://doi.org/10.1191/1478088706qp063oa</w:t>
        </w:r>
      </w:hyperlink>
      <w:r w:rsidR="005A6C1F" w:rsidRPr="00444153">
        <w:rPr>
          <w:rFonts w:ascii="Arial" w:hAnsi="Arial" w:cs="Arial"/>
          <w:sz w:val="22"/>
          <w:szCs w:val="22"/>
        </w:rPr>
        <w:t>.</w:t>
      </w:r>
    </w:p>
    <w:p w14:paraId="50A5F27E" w14:textId="77777777" w:rsidR="00E641A3" w:rsidRPr="00444153" w:rsidRDefault="00E641A3" w:rsidP="00444153">
      <w:pPr>
        <w:pStyle w:val="NormalWeb"/>
        <w:shd w:val="clear" w:color="auto" w:fill="FFFFFF"/>
        <w:spacing w:before="0" w:beforeAutospacing="0" w:after="173" w:afterAutospacing="0" w:line="360" w:lineRule="auto"/>
        <w:rPr>
          <w:rFonts w:ascii="Arial" w:hAnsi="Arial" w:cs="Arial"/>
          <w:color w:val="000000"/>
          <w:sz w:val="22"/>
          <w:szCs w:val="22"/>
        </w:rPr>
      </w:pPr>
      <w:r w:rsidRPr="00444153">
        <w:rPr>
          <w:rFonts w:ascii="Arial" w:hAnsi="Arial" w:cs="Arial"/>
          <w:color w:val="000000"/>
          <w:sz w:val="22"/>
          <w:szCs w:val="22"/>
        </w:rPr>
        <w:t>Felitti, V.J., Anda, R.F., Nordenberg, D., Williamson, D.F., Spitz, A.M., Edwards, V., Koss, M.P. and Marks, J.S. (1998) 'Relationship of childhood abuse and household dysfunction to many of the leading causes of death in adults: The adverse childhood experiences (ACE) study', </w:t>
      </w:r>
      <w:r w:rsidRPr="00444153">
        <w:rPr>
          <w:rFonts w:ascii="Arial" w:hAnsi="Arial" w:cs="Arial"/>
          <w:i/>
          <w:iCs/>
          <w:color w:val="000000"/>
          <w:sz w:val="22"/>
          <w:szCs w:val="22"/>
        </w:rPr>
        <w:t>American Journal of Preventive Medicine,</w:t>
      </w:r>
      <w:r w:rsidRPr="00444153">
        <w:rPr>
          <w:rFonts w:ascii="Arial" w:hAnsi="Arial" w:cs="Arial"/>
          <w:color w:val="000000"/>
          <w:sz w:val="22"/>
          <w:szCs w:val="22"/>
        </w:rPr>
        <w:t> 14(4), pp. 245–258. Available at: </w:t>
      </w:r>
      <w:hyperlink r:id="rId13" w:tgtFrame="_blank" w:history="1">
        <w:r w:rsidRPr="00444153">
          <w:rPr>
            <w:rStyle w:val="Hyperlink"/>
            <w:rFonts w:ascii="Arial" w:hAnsi="Arial" w:cs="Arial"/>
            <w:color w:val="0066CC"/>
            <w:sz w:val="22"/>
            <w:szCs w:val="22"/>
          </w:rPr>
          <w:t>https://doi.org/10.1016/S0749-3797(98)00017-8</w:t>
        </w:r>
      </w:hyperlink>
      <w:r w:rsidRPr="00444153">
        <w:rPr>
          <w:rFonts w:ascii="Arial" w:hAnsi="Arial" w:cs="Arial"/>
          <w:color w:val="000000"/>
          <w:sz w:val="22"/>
          <w:szCs w:val="22"/>
        </w:rPr>
        <w:t>.</w:t>
      </w:r>
    </w:p>
    <w:p w14:paraId="5BB4CADD" w14:textId="77777777" w:rsidR="00E641A3" w:rsidRPr="00444153" w:rsidRDefault="00E641A3" w:rsidP="00444153">
      <w:pPr>
        <w:pStyle w:val="NormalWeb"/>
        <w:shd w:val="clear" w:color="auto" w:fill="FFFFFF"/>
        <w:spacing w:before="0" w:beforeAutospacing="0" w:after="173" w:afterAutospacing="0" w:line="360" w:lineRule="auto"/>
        <w:rPr>
          <w:rFonts w:ascii="Arial" w:hAnsi="Arial" w:cs="Arial"/>
          <w:color w:val="000000"/>
          <w:sz w:val="22"/>
          <w:szCs w:val="22"/>
        </w:rPr>
      </w:pPr>
      <w:r w:rsidRPr="00444153">
        <w:rPr>
          <w:rFonts w:ascii="Arial" w:hAnsi="Arial" w:cs="Arial"/>
          <w:color w:val="000000"/>
          <w:sz w:val="22"/>
          <w:szCs w:val="22"/>
        </w:rPr>
        <w:t xml:space="preserve">Hughes, K., Bellis, M.A., Hardcastle, K.A., Sethi, D., Butchart, A., </w:t>
      </w:r>
      <w:proofErr w:type="spellStart"/>
      <w:r w:rsidRPr="00444153">
        <w:rPr>
          <w:rFonts w:ascii="Arial" w:hAnsi="Arial" w:cs="Arial"/>
          <w:color w:val="000000"/>
          <w:sz w:val="22"/>
          <w:szCs w:val="22"/>
        </w:rPr>
        <w:t>Mikton</w:t>
      </w:r>
      <w:proofErr w:type="spellEnd"/>
      <w:r w:rsidRPr="00444153">
        <w:rPr>
          <w:rFonts w:ascii="Arial" w:hAnsi="Arial" w:cs="Arial"/>
          <w:color w:val="000000"/>
          <w:sz w:val="22"/>
          <w:szCs w:val="22"/>
        </w:rPr>
        <w:t>, C., Jones, L. and Dunne, M.P. (2017) 'The effect of multiple adverse childhood experiences on health: A systematic review and meta-analysis', </w:t>
      </w:r>
      <w:r w:rsidRPr="00444153">
        <w:rPr>
          <w:rFonts w:ascii="Arial" w:hAnsi="Arial" w:cs="Arial"/>
          <w:i/>
          <w:iCs/>
          <w:color w:val="000000"/>
          <w:sz w:val="22"/>
          <w:szCs w:val="22"/>
        </w:rPr>
        <w:t>The Lancet Public Health,</w:t>
      </w:r>
      <w:r w:rsidRPr="00444153">
        <w:rPr>
          <w:rFonts w:ascii="Arial" w:hAnsi="Arial" w:cs="Arial"/>
          <w:color w:val="000000"/>
          <w:sz w:val="22"/>
          <w:szCs w:val="22"/>
        </w:rPr>
        <w:t> 2(8), pp. e356–e366. Available at: </w:t>
      </w:r>
      <w:hyperlink r:id="rId14" w:tgtFrame="_blank" w:history="1">
        <w:r w:rsidRPr="00444153">
          <w:rPr>
            <w:rStyle w:val="Hyperlink"/>
            <w:rFonts w:ascii="Arial" w:hAnsi="Arial" w:cs="Arial"/>
            <w:color w:val="0066CC"/>
            <w:sz w:val="22"/>
            <w:szCs w:val="22"/>
          </w:rPr>
          <w:t>https://doi.org/10.1016/S2468-2667(17)30118-4</w:t>
        </w:r>
      </w:hyperlink>
      <w:r w:rsidRPr="00444153">
        <w:rPr>
          <w:rFonts w:ascii="Arial" w:hAnsi="Arial" w:cs="Arial"/>
          <w:color w:val="000000"/>
          <w:sz w:val="22"/>
          <w:szCs w:val="22"/>
        </w:rPr>
        <w:t>.</w:t>
      </w:r>
    </w:p>
    <w:p w14:paraId="15F3CD41" w14:textId="5E0B717A" w:rsidR="008A3D4F" w:rsidRPr="00444153" w:rsidRDefault="004F0194" w:rsidP="00444153">
      <w:pPr>
        <w:pStyle w:val="NormalWeb"/>
        <w:spacing w:line="360" w:lineRule="auto"/>
        <w:rPr>
          <w:rFonts w:ascii="Arial" w:hAnsi="Arial" w:cs="Arial"/>
          <w:sz w:val="22"/>
          <w:szCs w:val="22"/>
        </w:rPr>
      </w:pPr>
      <w:r w:rsidRPr="00444153">
        <w:rPr>
          <w:rFonts w:ascii="Arial" w:hAnsi="Arial" w:cs="Arial"/>
          <w:sz w:val="22"/>
          <w:szCs w:val="22"/>
        </w:rPr>
        <w:t xml:space="preserve">Merrick, M.T., Ford, D.C., Ports, K.A., Guinn, A.S., Chen, J., </w:t>
      </w:r>
      <w:proofErr w:type="spellStart"/>
      <w:r w:rsidRPr="00444153">
        <w:rPr>
          <w:rFonts w:ascii="Arial" w:hAnsi="Arial" w:cs="Arial"/>
          <w:sz w:val="22"/>
          <w:szCs w:val="22"/>
        </w:rPr>
        <w:t>Klevens</w:t>
      </w:r>
      <w:proofErr w:type="spellEnd"/>
      <w:r w:rsidRPr="00444153">
        <w:rPr>
          <w:rFonts w:ascii="Arial" w:hAnsi="Arial" w:cs="Arial"/>
          <w:sz w:val="22"/>
          <w:szCs w:val="22"/>
        </w:rPr>
        <w:t xml:space="preserve">, J., Metzler, M., Jones, C.M., Simon, T.R., Daniel, V.M., Ottley, P. and Mercy, J.A. (2019) ‘Vital Signs: Estimated proportion of adult health problems attributable to adverse childhood experiences and implications for prevention—25 states, 2015–2017’, </w:t>
      </w:r>
      <w:r w:rsidRPr="00444153">
        <w:rPr>
          <w:rStyle w:val="Emphasis"/>
          <w:rFonts w:ascii="Arial" w:hAnsi="Arial" w:cs="Arial"/>
          <w:sz w:val="22"/>
          <w:szCs w:val="22"/>
        </w:rPr>
        <w:t>MMWR Morbidity and Mortality Weekly Report</w:t>
      </w:r>
      <w:r w:rsidRPr="00444153">
        <w:rPr>
          <w:rFonts w:ascii="Arial" w:hAnsi="Arial" w:cs="Arial"/>
          <w:sz w:val="22"/>
          <w:szCs w:val="22"/>
        </w:rPr>
        <w:t xml:space="preserve">, 68(44), pp. 999–1005. Available at: </w:t>
      </w:r>
      <w:hyperlink r:id="rId15" w:history="1">
        <w:r w:rsidRPr="00444153">
          <w:rPr>
            <w:rStyle w:val="Hyperlink"/>
            <w:rFonts w:ascii="Arial" w:hAnsi="Arial" w:cs="Arial"/>
            <w:sz w:val="22"/>
            <w:szCs w:val="22"/>
          </w:rPr>
          <w:t>https://doi.org/10.15585/mmwr.mm6844e1</w:t>
        </w:r>
      </w:hyperlink>
      <w:r w:rsidRPr="00444153">
        <w:rPr>
          <w:rFonts w:ascii="Arial" w:hAnsi="Arial" w:cs="Arial"/>
          <w:sz w:val="22"/>
          <w:szCs w:val="22"/>
        </w:rPr>
        <w:t>.</w:t>
      </w:r>
    </w:p>
    <w:p w14:paraId="3683C9BC" w14:textId="0FC5CC69" w:rsidR="00F54965" w:rsidRPr="007A5261" w:rsidRDefault="00E641A3" w:rsidP="007A5261">
      <w:pPr>
        <w:pStyle w:val="NormalWeb"/>
        <w:shd w:val="clear" w:color="auto" w:fill="FFFFFF"/>
        <w:spacing w:before="0" w:beforeAutospacing="0" w:after="173" w:afterAutospacing="0" w:line="360" w:lineRule="auto"/>
        <w:rPr>
          <w:rFonts w:ascii="Arial" w:hAnsi="Arial" w:cs="Arial"/>
          <w:color w:val="000000"/>
          <w:sz w:val="22"/>
          <w:szCs w:val="22"/>
        </w:rPr>
      </w:pPr>
      <w:r w:rsidRPr="00444153">
        <w:rPr>
          <w:rFonts w:ascii="Arial" w:hAnsi="Arial" w:cs="Arial"/>
          <w:color w:val="000000"/>
          <w:sz w:val="22"/>
          <w:szCs w:val="22"/>
        </w:rPr>
        <w:t xml:space="preserve">Valiente-Gómez, A., Bücker, J., Fontana-McNally, M., Gatto, D.L., </w:t>
      </w:r>
      <w:proofErr w:type="spellStart"/>
      <w:r w:rsidRPr="00444153">
        <w:rPr>
          <w:rFonts w:ascii="Arial" w:hAnsi="Arial" w:cs="Arial"/>
          <w:color w:val="000000"/>
          <w:sz w:val="22"/>
          <w:szCs w:val="22"/>
        </w:rPr>
        <w:t>Guinart</w:t>
      </w:r>
      <w:proofErr w:type="spellEnd"/>
      <w:r w:rsidRPr="00444153">
        <w:rPr>
          <w:rFonts w:ascii="Arial" w:hAnsi="Arial" w:cs="Arial"/>
          <w:color w:val="000000"/>
          <w:sz w:val="22"/>
          <w:szCs w:val="22"/>
        </w:rPr>
        <w:t xml:space="preserve">, D., Moreno-Alcázar, A., Rodríguez, C.C., de Córdoba Gil, C., Padberg, F., Torner, H.P., </w:t>
      </w:r>
      <w:proofErr w:type="spellStart"/>
      <w:r w:rsidRPr="00444153">
        <w:rPr>
          <w:rFonts w:ascii="Arial" w:hAnsi="Arial" w:cs="Arial"/>
          <w:color w:val="000000"/>
          <w:sz w:val="22"/>
          <w:szCs w:val="22"/>
        </w:rPr>
        <w:t>Radua</w:t>
      </w:r>
      <w:proofErr w:type="spellEnd"/>
      <w:r w:rsidRPr="00444153">
        <w:rPr>
          <w:rFonts w:ascii="Arial" w:hAnsi="Arial" w:cs="Arial"/>
          <w:color w:val="000000"/>
          <w:sz w:val="22"/>
          <w:szCs w:val="22"/>
        </w:rPr>
        <w:t>, J., Pérez-</w:t>
      </w:r>
      <w:proofErr w:type="spellStart"/>
      <w:r w:rsidRPr="00444153">
        <w:rPr>
          <w:rFonts w:ascii="Arial" w:hAnsi="Arial" w:cs="Arial"/>
          <w:color w:val="000000"/>
          <w:sz w:val="22"/>
          <w:szCs w:val="22"/>
        </w:rPr>
        <w:t>Solà</w:t>
      </w:r>
      <w:proofErr w:type="spellEnd"/>
      <w:r w:rsidRPr="00444153">
        <w:rPr>
          <w:rFonts w:ascii="Arial" w:hAnsi="Arial" w:cs="Arial"/>
          <w:color w:val="000000"/>
          <w:sz w:val="22"/>
          <w:szCs w:val="22"/>
        </w:rPr>
        <w:t xml:space="preserve">, V., </w:t>
      </w:r>
      <w:proofErr w:type="spellStart"/>
      <w:r w:rsidRPr="00444153">
        <w:rPr>
          <w:rFonts w:ascii="Arial" w:hAnsi="Arial" w:cs="Arial"/>
          <w:color w:val="000000"/>
          <w:sz w:val="22"/>
          <w:szCs w:val="22"/>
        </w:rPr>
        <w:t>Fusar</w:t>
      </w:r>
      <w:proofErr w:type="spellEnd"/>
      <w:r w:rsidRPr="00444153">
        <w:rPr>
          <w:rFonts w:ascii="Arial" w:hAnsi="Arial" w:cs="Arial"/>
          <w:color w:val="000000"/>
          <w:sz w:val="22"/>
          <w:szCs w:val="22"/>
        </w:rPr>
        <w:t xml:space="preserve">-Poli, P., </w:t>
      </w:r>
      <w:proofErr w:type="spellStart"/>
      <w:r w:rsidRPr="00444153">
        <w:rPr>
          <w:rFonts w:ascii="Arial" w:hAnsi="Arial" w:cs="Arial"/>
          <w:color w:val="000000"/>
          <w:sz w:val="22"/>
          <w:szCs w:val="22"/>
        </w:rPr>
        <w:t>Vilajosana</w:t>
      </w:r>
      <w:proofErr w:type="spellEnd"/>
      <w:r w:rsidRPr="00444153">
        <w:rPr>
          <w:rFonts w:ascii="Arial" w:hAnsi="Arial" w:cs="Arial"/>
          <w:color w:val="000000"/>
          <w:sz w:val="22"/>
          <w:szCs w:val="22"/>
        </w:rPr>
        <w:t>, E., Hogg, B., Rosa, A.R. and Amann, B.L. (2026) 'Adverse childhood experiences and risk of non-mental medical diseases in adulthood: An umbrella review', </w:t>
      </w:r>
      <w:proofErr w:type="spellStart"/>
      <w:r w:rsidRPr="00444153">
        <w:rPr>
          <w:rFonts w:ascii="Arial" w:hAnsi="Arial" w:cs="Arial"/>
          <w:i/>
          <w:iCs/>
          <w:color w:val="000000"/>
          <w:sz w:val="22"/>
          <w:szCs w:val="22"/>
        </w:rPr>
        <w:t>EClinicalMedicine</w:t>
      </w:r>
      <w:proofErr w:type="spellEnd"/>
      <w:r w:rsidRPr="00444153">
        <w:rPr>
          <w:rFonts w:ascii="Arial" w:hAnsi="Arial" w:cs="Arial"/>
          <w:i/>
          <w:iCs/>
          <w:color w:val="000000"/>
          <w:sz w:val="22"/>
          <w:szCs w:val="22"/>
        </w:rPr>
        <w:t>,</w:t>
      </w:r>
      <w:r w:rsidRPr="00444153">
        <w:rPr>
          <w:rFonts w:ascii="Arial" w:hAnsi="Arial" w:cs="Arial"/>
          <w:color w:val="000000"/>
          <w:sz w:val="22"/>
          <w:szCs w:val="22"/>
        </w:rPr>
        <w:t> 96, pp. 103987. Available at: </w:t>
      </w:r>
      <w:hyperlink r:id="rId16" w:tgtFrame="_blank" w:history="1">
        <w:r w:rsidRPr="00444153">
          <w:rPr>
            <w:rStyle w:val="Hyperlink"/>
            <w:rFonts w:ascii="Arial" w:hAnsi="Arial" w:cs="Arial"/>
            <w:color w:val="0066CC"/>
            <w:sz w:val="22"/>
            <w:szCs w:val="22"/>
          </w:rPr>
          <w:t>https://doi.org/10.1016/j.eclinm.2026.103987</w:t>
        </w:r>
      </w:hyperlink>
      <w:r w:rsidRPr="00444153">
        <w:rPr>
          <w:rFonts w:ascii="Arial" w:hAnsi="Arial" w:cs="Arial"/>
          <w:color w:val="000000"/>
          <w:sz w:val="22"/>
          <w:szCs w:val="22"/>
        </w:rPr>
        <w:t>.</w:t>
      </w:r>
    </w:p>
    <w:sectPr w:rsidR="00F54965" w:rsidRPr="007A52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891"/>
    <w:rsid w:val="00054264"/>
    <w:rsid w:val="00145BEB"/>
    <w:rsid w:val="00164899"/>
    <w:rsid w:val="001E4E0B"/>
    <w:rsid w:val="00251C7E"/>
    <w:rsid w:val="002F2DFB"/>
    <w:rsid w:val="003A7E59"/>
    <w:rsid w:val="003F7AE2"/>
    <w:rsid w:val="00424C08"/>
    <w:rsid w:val="004301C4"/>
    <w:rsid w:val="00444153"/>
    <w:rsid w:val="004F0194"/>
    <w:rsid w:val="004F5537"/>
    <w:rsid w:val="005040F8"/>
    <w:rsid w:val="00506963"/>
    <w:rsid w:val="00551482"/>
    <w:rsid w:val="005926F8"/>
    <w:rsid w:val="005A6C1F"/>
    <w:rsid w:val="00617038"/>
    <w:rsid w:val="00661A8D"/>
    <w:rsid w:val="00663E87"/>
    <w:rsid w:val="0068063E"/>
    <w:rsid w:val="006E537B"/>
    <w:rsid w:val="00724251"/>
    <w:rsid w:val="00754891"/>
    <w:rsid w:val="00783571"/>
    <w:rsid w:val="007A5261"/>
    <w:rsid w:val="007C4C4C"/>
    <w:rsid w:val="00891633"/>
    <w:rsid w:val="00894617"/>
    <w:rsid w:val="008A3D4F"/>
    <w:rsid w:val="00926E0C"/>
    <w:rsid w:val="00981469"/>
    <w:rsid w:val="009A4945"/>
    <w:rsid w:val="00A3335A"/>
    <w:rsid w:val="00A931EB"/>
    <w:rsid w:val="00BF567D"/>
    <w:rsid w:val="00C42C23"/>
    <w:rsid w:val="00C4368A"/>
    <w:rsid w:val="00C76F06"/>
    <w:rsid w:val="00D63CD0"/>
    <w:rsid w:val="00DB2F97"/>
    <w:rsid w:val="00DC77FD"/>
    <w:rsid w:val="00E37E05"/>
    <w:rsid w:val="00E641A3"/>
    <w:rsid w:val="00F54965"/>
    <w:rsid w:val="00F65C3C"/>
    <w:rsid w:val="00F953CA"/>
    <w:rsid w:val="00FD6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79D6F8"/>
  <w15:chartTrackingRefBased/>
  <w15:docId w15:val="{2EBBDCF6-9DE5-214A-A5D0-DD5974926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891"/>
  </w:style>
  <w:style w:type="paragraph" w:styleId="Heading1">
    <w:name w:val="heading 1"/>
    <w:basedOn w:val="Normal"/>
    <w:next w:val="Normal"/>
    <w:link w:val="Heading1Char"/>
    <w:uiPriority w:val="9"/>
    <w:qFormat/>
    <w:rsid w:val="007548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8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8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8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8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8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891"/>
    <w:rPr>
      <w:rFonts w:eastAsiaTheme="majorEastAsia" w:cstheme="majorBidi"/>
      <w:color w:val="272727" w:themeColor="text1" w:themeTint="D8"/>
    </w:rPr>
  </w:style>
  <w:style w:type="paragraph" w:styleId="Title">
    <w:name w:val="Title"/>
    <w:basedOn w:val="Normal"/>
    <w:next w:val="Normal"/>
    <w:link w:val="TitleChar"/>
    <w:uiPriority w:val="10"/>
    <w:qFormat/>
    <w:rsid w:val="007548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89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89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54891"/>
    <w:rPr>
      <w:i/>
      <w:iCs/>
      <w:color w:val="404040" w:themeColor="text1" w:themeTint="BF"/>
    </w:rPr>
  </w:style>
  <w:style w:type="paragraph" w:styleId="ListParagraph">
    <w:name w:val="List Paragraph"/>
    <w:basedOn w:val="Normal"/>
    <w:uiPriority w:val="34"/>
    <w:qFormat/>
    <w:rsid w:val="00754891"/>
    <w:pPr>
      <w:ind w:left="720"/>
      <w:contextualSpacing/>
    </w:pPr>
  </w:style>
  <w:style w:type="character" w:styleId="IntenseEmphasis">
    <w:name w:val="Intense Emphasis"/>
    <w:basedOn w:val="DefaultParagraphFont"/>
    <w:uiPriority w:val="21"/>
    <w:qFormat/>
    <w:rsid w:val="00754891"/>
    <w:rPr>
      <w:i/>
      <w:iCs/>
      <w:color w:val="0F4761" w:themeColor="accent1" w:themeShade="BF"/>
    </w:rPr>
  </w:style>
  <w:style w:type="paragraph" w:styleId="IntenseQuote">
    <w:name w:val="Intense Quote"/>
    <w:basedOn w:val="Normal"/>
    <w:next w:val="Normal"/>
    <w:link w:val="IntenseQuoteChar"/>
    <w:uiPriority w:val="30"/>
    <w:qFormat/>
    <w:rsid w:val="00754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891"/>
    <w:rPr>
      <w:i/>
      <w:iCs/>
      <w:color w:val="0F4761" w:themeColor="accent1" w:themeShade="BF"/>
    </w:rPr>
  </w:style>
  <w:style w:type="character" w:styleId="IntenseReference">
    <w:name w:val="Intense Reference"/>
    <w:basedOn w:val="DefaultParagraphFont"/>
    <w:uiPriority w:val="32"/>
    <w:qFormat/>
    <w:rsid w:val="00754891"/>
    <w:rPr>
      <w:b/>
      <w:bCs/>
      <w:smallCaps/>
      <w:color w:val="0F4761" w:themeColor="accent1" w:themeShade="BF"/>
      <w:spacing w:val="5"/>
    </w:rPr>
  </w:style>
  <w:style w:type="paragraph" w:styleId="NormalWeb">
    <w:name w:val="Normal (Web)"/>
    <w:basedOn w:val="Normal"/>
    <w:uiPriority w:val="99"/>
    <w:unhideWhenUsed/>
    <w:rsid w:val="0075489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54891"/>
  </w:style>
  <w:style w:type="paragraph" w:customStyle="1" w:styleId="paragraph">
    <w:name w:val="paragraph"/>
    <w:basedOn w:val="Normal"/>
    <w:rsid w:val="0075489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54891"/>
    <w:rPr>
      <w:b/>
      <w:bCs/>
    </w:rPr>
  </w:style>
  <w:style w:type="character" w:styleId="Emphasis">
    <w:name w:val="Emphasis"/>
    <w:basedOn w:val="DefaultParagraphFont"/>
    <w:uiPriority w:val="20"/>
    <w:qFormat/>
    <w:rsid w:val="00754891"/>
    <w:rPr>
      <w:i/>
      <w:iCs/>
    </w:rPr>
  </w:style>
  <w:style w:type="character" w:styleId="Hyperlink">
    <w:name w:val="Hyperlink"/>
    <w:basedOn w:val="DefaultParagraphFont"/>
    <w:uiPriority w:val="99"/>
    <w:unhideWhenUsed/>
    <w:rsid w:val="00E641A3"/>
    <w:rPr>
      <w:strike w:val="0"/>
      <w:dstrike w:val="0"/>
      <w:color w:val="464FEB"/>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doi.org/10.1016/S0749-3797(98)00017-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doi.org/10.1191/1478088706qp063oa"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16/j.eclinm.2026.103987"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commons.emich.edu/loexquarterly/vol31/iss3/4/" TargetMode="External"/><Relationship Id="rId5" Type="http://schemas.openxmlformats.org/officeDocument/2006/relationships/image" Target="media/image2.png"/><Relationship Id="rId15" Type="http://schemas.openxmlformats.org/officeDocument/2006/relationships/hyperlink" Target="https://doi.org/10.15585/mmwr.mm6844e1" TargetMode="External"/><Relationship Id="rId10" Type="http://schemas.openxmlformats.org/officeDocument/2006/relationships/hyperlink" Target="https://doi.org/10.3390/ijerph20176633"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doi.org/10.1016/S2468-2667(17)3011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1937</Words>
  <Characters>11044</Characters>
  <Application>Microsoft Office Word</Application>
  <DocSecurity>0</DocSecurity>
  <Lines>92</Lines>
  <Paragraphs>25</Paragraphs>
  <ScaleCrop>false</ScaleCrop>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Araujo</dc:creator>
  <cp:keywords/>
  <dc:description/>
  <cp:lastModifiedBy>Rose Araujo</cp:lastModifiedBy>
  <cp:revision>2</cp:revision>
  <dcterms:created xsi:type="dcterms:W3CDTF">2026-10-22T13:36:00Z</dcterms:created>
  <dcterms:modified xsi:type="dcterms:W3CDTF">2026-10-22T13:36:00Z</dcterms:modified>
</cp:coreProperties>
</file>