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1848729"/>
        <w:docPartObj>
          <w:docPartGallery w:val="Cover Pages"/>
          <w:docPartUnique/>
        </w:docPartObj>
      </w:sdtPr>
      <w:sdtEndPr/>
      <w:sdtContent>
        <w:p w14:paraId="712EB3FD" w14:textId="470DA5F4" w:rsidR="00D33F3A" w:rsidRDefault="00D33F3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33F3A" w14:paraId="6EC1E701" w14:textId="77777777">
            <w:tc>
              <w:tcPr>
                <w:tcW w:w="7672" w:type="dxa"/>
                <w:tcMar>
                  <w:top w:w="216" w:type="dxa"/>
                  <w:left w:w="115" w:type="dxa"/>
                  <w:bottom w:w="216" w:type="dxa"/>
                  <w:right w:w="115" w:type="dxa"/>
                </w:tcMar>
              </w:tcPr>
              <w:p w14:paraId="27BBE80C" w14:textId="575CC2CA" w:rsidR="00D33F3A" w:rsidRDefault="00D33F3A">
                <w:pPr>
                  <w:pStyle w:val="NoSpacing"/>
                  <w:rPr>
                    <w:color w:val="2F5496" w:themeColor="accent1" w:themeShade="BF"/>
                    <w:sz w:val="24"/>
                  </w:rPr>
                </w:pPr>
              </w:p>
            </w:tc>
          </w:tr>
          <w:tr w:rsidR="00D33F3A" w14:paraId="55998490"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9120660D9E0348599DF9729CBA562A97"/>
                  </w:placeholder>
                  <w:dataBinding w:prefixMappings="xmlns:ns0='http://schemas.openxmlformats.org/package/2006/metadata/core-properties' xmlns:ns1='http://purl.org/dc/elements/1.1/'" w:xpath="/ns0:coreProperties[1]/ns1:title[1]" w:storeItemID="{6C3C8BC8-F283-45AE-878A-BAB7291924A1}"/>
                  <w:text/>
                </w:sdtPr>
                <w:sdtEndPr/>
                <w:sdtContent>
                  <w:p w14:paraId="1FC7F89E" w14:textId="2978D3BD" w:rsidR="00D33F3A" w:rsidRDefault="003D6988">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Underreporting of crime</w:t>
                    </w:r>
                  </w:p>
                </w:sdtContent>
              </w:sdt>
            </w:tc>
          </w:tr>
          <w:tr w:rsidR="00D33F3A" w14:paraId="1B9A5BB2" w14:textId="77777777">
            <w:tc>
              <w:tcPr>
                <w:tcW w:w="7672" w:type="dxa"/>
                <w:tcMar>
                  <w:top w:w="216" w:type="dxa"/>
                  <w:left w:w="115" w:type="dxa"/>
                  <w:bottom w:w="216" w:type="dxa"/>
                  <w:right w:w="115" w:type="dxa"/>
                </w:tcMar>
              </w:tcPr>
              <w:p w14:paraId="7D7F66DE" w14:textId="1424941E" w:rsidR="00D33F3A" w:rsidRDefault="00D33F3A">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D33F3A" w14:paraId="0A573E6C"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8ECC74D1B6C45E3B0DA055448EF39A1"/>
                  </w:placeholder>
                  <w:dataBinding w:prefixMappings="xmlns:ns0='http://schemas.openxmlformats.org/package/2006/metadata/core-properties' xmlns:ns1='http://purl.org/dc/elements/1.1/'" w:xpath="/ns0:coreProperties[1]/ns1:creator[1]" w:storeItemID="{6C3C8BC8-F283-45AE-878A-BAB7291924A1}"/>
                  <w:text/>
                </w:sdtPr>
                <w:sdtEndPr/>
                <w:sdtContent>
                  <w:p w14:paraId="0BBC77AF" w14:textId="78AE1A4F" w:rsidR="00D33F3A" w:rsidRDefault="00D33F3A">
                    <w:pPr>
                      <w:pStyle w:val="NoSpacing"/>
                      <w:rPr>
                        <w:color w:val="4472C4" w:themeColor="accent1"/>
                        <w:sz w:val="28"/>
                        <w:szCs w:val="28"/>
                      </w:rPr>
                    </w:pPr>
                    <w:r>
                      <w:rPr>
                        <w:color w:val="4472C4" w:themeColor="accent1"/>
                        <w:sz w:val="28"/>
                        <w:szCs w:val="28"/>
                      </w:rPr>
                      <w:t>Tim Nicholas</w:t>
                    </w:r>
                  </w:p>
                </w:sdtContent>
              </w:sdt>
              <w:sdt>
                <w:sdtPr>
                  <w:rPr>
                    <w:color w:val="4472C4" w:themeColor="accent1"/>
                    <w:sz w:val="28"/>
                    <w:szCs w:val="28"/>
                  </w:rPr>
                  <w:alias w:val="Date"/>
                  <w:tag w:val="Date"/>
                  <w:id w:val="13406932"/>
                  <w:placeholder>
                    <w:docPart w:val="52D786504C134F85B8C3726DD412F36E"/>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58483B01" w14:textId="773AD0D1" w:rsidR="00D33F3A" w:rsidRDefault="003D6988">
                    <w:pPr>
                      <w:pStyle w:val="NoSpacing"/>
                      <w:rPr>
                        <w:color w:val="4472C4" w:themeColor="accent1"/>
                        <w:sz w:val="28"/>
                        <w:szCs w:val="28"/>
                      </w:rPr>
                    </w:pPr>
                    <w:r>
                      <w:rPr>
                        <w:color w:val="4472C4" w:themeColor="accent1"/>
                        <w:sz w:val="28"/>
                        <w:szCs w:val="28"/>
                      </w:rPr>
                      <w:t>2310510</w:t>
                    </w:r>
                  </w:p>
                </w:sdtContent>
              </w:sdt>
              <w:p w14:paraId="660C8BAC" w14:textId="77777777" w:rsidR="00D33F3A" w:rsidRDefault="00D33F3A">
                <w:pPr>
                  <w:pStyle w:val="NoSpacing"/>
                  <w:rPr>
                    <w:color w:val="4472C4" w:themeColor="accent1"/>
                  </w:rPr>
                </w:pPr>
              </w:p>
            </w:tc>
          </w:tr>
        </w:tbl>
        <w:p w14:paraId="6309271F" w14:textId="6C59AB4D" w:rsidR="00D33F3A" w:rsidRDefault="00D33F3A">
          <w:r>
            <w:br w:type="page"/>
          </w:r>
        </w:p>
      </w:sdtContent>
    </w:sdt>
    <w:p w14:paraId="74ECDC9E" w14:textId="6EC6FDF2" w:rsidR="00255744" w:rsidRPr="00EF5F5D" w:rsidRDefault="00255744" w:rsidP="00255744">
      <w:pPr>
        <w:rPr>
          <w:b/>
          <w:bCs/>
          <w:sz w:val="28"/>
          <w:szCs w:val="28"/>
        </w:rPr>
      </w:pPr>
      <w:r w:rsidRPr="00EF5F5D">
        <w:rPr>
          <w:b/>
          <w:bCs/>
          <w:sz w:val="28"/>
          <w:szCs w:val="28"/>
        </w:rPr>
        <w:lastRenderedPageBreak/>
        <w:t>What factors contribute to some victims choosing not to report their crimes? Evaluate the reasons and implications of underreporting in the context of the criminal justice system.</w:t>
      </w:r>
    </w:p>
    <w:p w14:paraId="284900CA" w14:textId="77777777" w:rsidR="00255744" w:rsidRPr="00EF5F5D" w:rsidRDefault="00255744" w:rsidP="007E0ED6">
      <w:pPr>
        <w:rPr>
          <w:b/>
          <w:bCs/>
          <w:sz w:val="28"/>
          <w:szCs w:val="28"/>
        </w:rPr>
      </w:pPr>
    </w:p>
    <w:p w14:paraId="66CD1DD3" w14:textId="77777777" w:rsidR="00255744" w:rsidRDefault="00255744" w:rsidP="007E0ED6"/>
    <w:p w14:paraId="1432CB0C" w14:textId="65FE1C50" w:rsidR="00EC20C8" w:rsidRPr="00CE723C" w:rsidRDefault="007E0ED6" w:rsidP="00C01D56">
      <w:pPr>
        <w:spacing w:line="480" w:lineRule="auto"/>
        <w:rPr>
          <w:sz w:val="24"/>
          <w:szCs w:val="24"/>
        </w:rPr>
      </w:pPr>
      <w:r w:rsidRPr="00CE723C">
        <w:rPr>
          <w:sz w:val="24"/>
          <w:szCs w:val="24"/>
        </w:rPr>
        <w:t xml:space="preserve">Underreporting of crime is a </w:t>
      </w:r>
      <w:r w:rsidR="00605CCB" w:rsidRPr="00CE723C">
        <w:rPr>
          <w:sz w:val="24"/>
          <w:szCs w:val="24"/>
        </w:rPr>
        <w:t>continuing</w:t>
      </w:r>
      <w:r w:rsidRPr="00CE723C">
        <w:rPr>
          <w:sz w:val="24"/>
          <w:szCs w:val="24"/>
        </w:rPr>
        <w:t xml:space="preserve"> issue that limits the effectiveness of the criminal justice system and prevents victims from receiving the support they need. Many victims of crime</w:t>
      </w:r>
      <w:r w:rsidR="004F658D" w:rsidRPr="00CE723C">
        <w:rPr>
          <w:sz w:val="24"/>
          <w:szCs w:val="24"/>
        </w:rPr>
        <w:t xml:space="preserve"> </w:t>
      </w:r>
      <w:r w:rsidRPr="00CE723C">
        <w:rPr>
          <w:sz w:val="24"/>
          <w:szCs w:val="24"/>
        </w:rPr>
        <w:t>particularly those who experience intimate partner violence, sexual assault, and human trafficking</w:t>
      </w:r>
      <w:r w:rsidR="004F658D" w:rsidRPr="00CE723C">
        <w:rPr>
          <w:sz w:val="24"/>
          <w:szCs w:val="24"/>
        </w:rPr>
        <w:t xml:space="preserve"> </w:t>
      </w:r>
      <w:r w:rsidRPr="00CE723C">
        <w:rPr>
          <w:sz w:val="24"/>
          <w:szCs w:val="24"/>
        </w:rPr>
        <w:t>make the decision not to report their experiences</w:t>
      </w:r>
      <w:r w:rsidR="009D5B33" w:rsidRPr="00CE723C">
        <w:rPr>
          <w:sz w:val="24"/>
          <w:szCs w:val="24"/>
        </w:rPr>
        <w:t xml:space="preserve"> (Comino, </w:t>
      </w:r>
      <w:proofErr w:type="spellStart"/>
      <w:r w:rsidR="009D5B33" w:rsidRPr="00CE723C">
        <w:rPr>
          <w:sz w:val="24"/>
          <w:szCs w:val="24"/>
        </w:rPr>
        <w:t>Mastrobuoni</w:t>
      </w:r>
      <w:proofErr w:type="spellEnd"/>
      <w:r w:rsidR="009D5B33" w:rsidRPr="00CE723C">
        <w:rPr>
          <w:sz w:val="24"/>
          <w:szCs w:val="24"/>
        </w:rPr>
        <w:t>, &amp; Nicolo, 2020).</w:t>
      </w:r>
      <w:r w:rsidRPr="00CE723C">
        <w:rPr>
          <w:sz w:val="24"/>
          <w:szCs w:val="24"/>
        </w:rPr>
        <w:t xml:space="preserve"> The factors influencing this decision are diverse and complex, involving psychological, social, cultural, and institutional elements. This essay </w:t>
      </w:r>
      <w:r w:rsidR="00605CCB" w:rsidRPr="00CE723C">
        <w:rPr>
          <w:sz w:val="24"/>
          <w:szCs w:val="24"/>
        </w:rPr>
        <w:t xml:space="preserve">will </w:t>
      </w:r>
      <w:r w:rsidRPr="00CE723C">
        <w:rPr>
          <w:sz w:val="24"/>
          <w:szCs w:val="24"/>
        </w:rPr>
        <w:t>explore</w:t>
      </w:r>
      <w:r w:rsidR="00605CCB" w:rsidRPr="00CE723C">
        <w:rPr>
          <w:sz w:val="24"/>
          <w:szCs w:val="24"/>
        </w:rPr>
        <w:t xml:space="preserve"> </w:t>
      </w:r>
      <w:r w:rsidRPr="00CE723C">
        <w:rPr>
          <w:sz w:val="24"/>
          <w:szCs w:val="24"/>
        </w:rPr>
        <w:t>the factors contributing to underreporting, and discusses the implications for victims and the broader criminal justice system.</w:t>
      </w:r>
    </w:p>
    <w:p w14:paraId="02190B7C" w14:textId="6CBC6482" w:rsidR="004F658D" w:rsidRPr="00CE723C" w:rsidRDefault="00EC20C8" w:rsidP="00C01D56">
      <w:pPr>
        <w:spacing w:line="480" w:lineRule="auto"/>
        <w:rPr>
          <w:sz w:val="24"/>
          <w:szCs w:val="24"/>
        </w:rPr>
      </w:pPr>
      <w:r w:rsidRPr="00CE723C">
        <w:rPr>
          <w:sz w:val="24"/>
          <w:szCs w:val="24"/>
        </w:rPr>
        <w:t>Some victims believe their actions of reporting crimes might encourage others to report an offence and bring about greater commitment of police patrols and resources to their home area (Bowles, Reyes 2009). Others have a relentless f</w:t>
      </w:r>
      <w:r w:rsidR="007E0ED6" w:rsidRPr="00CE723C">
        <w:rPr>
          <w:sz w:val="24"/>
          <w:szCs w:val="24"/>
        </w:rPr>
        <w:t>ear of retaliation</w:t>
      </w:r>
      <w:r w:rsidRPr="00CE723C">
        <w:rPr>
          <w:sz w:val="24"/>
          <w:szCs w:val="24"/>
        </w:rPr>
        <w:t>, this</w:t>
      </w:r>
      <w:r w:rsidR="007E0ED6" w:rsidRPr="00CE723C">
        <w:rPr>
          <w:sz w:val="24"/>
          <w:szCs w:val="24"/>
        </w:rPr>
        <w:t xml:space="preserve"> is a significant factor that discourages victims from reporting crimes, especially in cases of intimate partner violence, sexual assault, and gang-related violence. Victims often worry that reporting crime</w:t>
      </w:r>
      <w:r w:rsidR="00605CCB" w:rsidRPr="00CE723C">
        <w:rPr>
          <w:sz w:val="24"/>
          <w:szCs w:val="24"/>
        </w:rPr>
        <w:t>s</w:t>
      </w:r>
      <w:r w:rsidR="007E0ED6" w:rsidRPr="00CE723C">
        <w:rPr>
          <w:sz w:val="24"/>
          <w:szCs w:val="24"/>
        </w:rPr>
        <w:t xml:space="preserve"> will provoke further harm from the perpetrator</w:t>
      </w:r>
      <w:r w:rsidR="00605CCB" w:rsidRPr="00CE723C">
        <w:rPr>
          <w:sz w:val="24"/>
          <w:szCs w:val="24"/>
        </w:rPr>
        <w:t xml:space="preserve"> in question,</w:t>
      </w:r>
      <w:r w:rsidR="007E0ED6" w:rsidRPr="00CE723C">
        <w:rPr>
          <w:sz w:val="24"/>
          <w:szCs w:val="24"/>
        </w:rPr>
        <w:t xml:space="preserve"> including physical violence or threats to family members.</w:t>
      </w:r>
      <w:r w:rsidR="004F658D" w:rsidRPr="00CE723C">
        <w:rPr>
          <w:sz w:val="24"/>
          <w:szCs w:val="24"/>
        </w:rPr>
        <w:t xml:space="preserve"> Research that </w:t>
      </w:r>
      <w:r w:rsidR="007E0ED6" w:rsidRPr="00CE723C">
        <w:rPr>
          <w:sz w:val="24"/>
          <w:szCs w:val="24"/>
        </w:rPr>
        <w:t>suggests</w:t>
      </w:r>
      <w:r w:rsidR="004F658D" w:rsidRPr="00CE723C">
        <w:rPr>
          <w:sz w:val="24"/>
          <w:szCs w:val="24"/>
        </w:rPr>
        <w:t xml:space="preserve">, </w:t>
      </w:r>
      <w:r w:rsidR="007E0ED6" w:rsidRPr="00CE723C">
        <w:rPr>
          <w:sz w:val="24"/>
          <w:szCs w:val="24"/>
        </w:rPr>
        <w:t>victims are particularly concerned about potential violence from perpetrators who may seek revenge for their actions being reported (Kelley, Zhang, &amp; O</w:t>
      </w:r>
      <w:r w:rsidR="004F658D" w:rsidRPr="00CE723C">
        <w:rPr>
          <w:sz w:val="24"/>
          <w:szCs w:val="24"/>
        </w:rPr>
        <w:t>’</w:t>
      </w:r>
      <w:r w:rsidR="007E0ED6" w:rsidRPr="00CE723C">
        <w:rPr>
          <w:sz w:val="24"/>
          <w:szCs w:val="24"/>
        </w:rPr>
        <w:t xml:space="preserve">Neal, 2022). This is particularly common in situations where the victim is dependent on the perpetrator for financial or emotional support. The fear of retaliation is </w:t>
      </w:r>
      <w:r w:rsidR="00605CCB" w:rsidRPr="00CE723C">
        <w:rPr>
          <w:sz w:val="24"/>
          <w:szCs w:val="24"/>
        </w:rPr>
        <w:t>increased</w:t>
      </w:r>
      <w:r w:rsidR="007E0ED6" w:rsidRPr="00CE723C">
        <w:rPr>
          <w:sz w:val="24"/>
          <w:szCs w:val="24"/>
        </w:rPr>
        <w:t xml:space="preserve"> when the perpetrator has significant power or control over the </w:t>
      </w:r>
      <w:r w:rsidR="00605CCB" w:rsidRPr="00CE723C">
        <w:rPr>
          <w:sz w:val="24"/>
          <w:szCs w:val="24"/>
        </w:rPr>
        <w:t>victim’s</w:t>
      </w:r>
      <w:r w:rsidR="007E0ED6" w:rsidRPr="00CE723C">
        <w:rPr>
          <w:sz w:val="24"/>
          <w:szCs w:val="24"/>
        </w:rPr>
        <w:t xml:space="preserve"> life.</w:t>
      </w:r>
      <w:r w:rsidR="004F658D" w:rsidRPr="00CE723C">
        <w:rPr>
          <w:sz w:val="24"/>
          <w:szCs w:val="24"/>
        </w:rPr>
        <w:t xml:space="preserve"> </w:t>
      </w:r>
      <w:r w:rsidR="007E0ED6" w:rsidRPr="00CE723C">
        <w:rPr>
          <w:sz w:val="24"/>
          <w:szCs w:val="24"/>
        </w:rPr>
        <w:t xml:space="preserve">Studies </w:t>
      </w:r>
      <w:r w:rsidR="00605CCB" w:rsidRPr="00CE723C">
        <w:rPr>
          <w:sz w:val="24"/>
          <w:szCs w:val="24"/>
        </w:rPr>
        <w:t xml:space="preserve">have </w:t>
      </w:r>
      <w:r w:rsidR="007E0ED6" w:rsidRPr="00CE723C">
        <w:rPr>
          <w:sz w:val="24"/>
          <w:szCs w:val="24"/>
        </w:rPr>
        <w:t>also show</w:t>
      </w:r>
      <w:r w:rsidR="00605CCB" w:rsidRPr="00CE723C">
        <w:rPr>
          <w:sz w:val="24"/>
          <w:szCs w:val="24"/>
        </w:rPr>
        <w:t xml:space="preserve">n </w:t>
      </w:r>
      <w:r w:rsidR="007E0ED6" w:rsidRPr="00CE723C">
        <w:rPr>
          <w:sz w:val="24"/>
          <w:szCs w:val="24"/>
        </w:rPr>
        <w:t xml:space="preserve">that victims of gang-related crimes </w:t>
      </w:r>
      <w:r w:rsidR="007E0ED6" w:rsidRPr="00CE723C">
        <w:rPr>
          <w:sz w:val="24"/>
          <w:szCs w:val="24"/>
        </w:rPr>
        <w:lastRenderedPageBreak/>
        <w:t xml:space="preserve">are especially vulnerable to this type of threat. In some cases, victims do not believe that law enforcement can adequately protect them from violent retribution, making them more likely to stay silent (Walsh &amp; Stephenson, 2023). </w:t>
      </w:r>
    </w:p>
    <w:p w14:paraId="5C1F676C" w14:textId="67F35FBB" w:rsidR="004F658D" w:rsidRPr="00CE723C" w:rsidRDefault="00605CCB" w:rsidP="00C01D56">
      <w:pPr>
        <w:spacing w:line="480" w:lineRule="auto"/>
        <w:rPr>
          <w:sz w:val="24"/>
          <w:szCs w:val="24"/>
        </w:rPr>
      </w:pPr>
      <w:r w:rsidRPr="00CE723C">
        <w:rPr>
          <w:sz w:val="24"/>
          <w:szCs w:val="24"/>
        </w:rPr>
        <w:t xml:space="preserve">Having a </w:t>
      </w:r>
      <w:r w:rsidR="007E0ED6" w:rsidRPr="00CE723C">
        <w:rPr>
          <w:sz w:val="24"/>
          <w:szCs w:val="24"/>
        </w:rPr>
        <w:t xml:space="preserve">sense of vulnerability is a major deterrent to </w:t>
      </w:r>
      <w:r w:rsidRPr="00CE723C">
        <w:rPr>
          <w:sz w:val="24"/>
          <w:szCs w:val="24"/>
        </w:rPr>
        <w:t xml:space="preserve">the act of </w:t>
      </w:r>
      <w:r w:rsidR="007E0ED6" w:rsidRPr="00CE723C">
        <w:rPr>
          <w:sz w:val="24"/>
          <w:szCs w:val="24"/>
        </w:rPr>
        <w:t xml:space="preserve">reporting, victims </w:t>
      </w:r>
      <w:r w:rsidRPr="00CE723C">
        <w:rPr>
          <w:sz w:val="24"/>
          <w:szCs w:val="24"/>
        </w:rPr>
        <w:t xml:space="preserve">tend to </w:t>
      </w:r>
      <w:r w:rsidR="007E0ED6" w:rsidRPr="00CE723C">
        <w:rPr>
          <w:sz w:val="24"/>
          <w:szCs w:val="24"/>
        </w:rPr>
        <w:t>prioritize their safety over seeking justice.</w:t>
      </w:r>
      <w:r w:rsidR="004F658D" w:rsidRPr="00CE723C">
        <w:rPr>
          <w:sz w:val="24"/>
          <w:szCs w:val="24"/>
        </w:rPr>
        <w:t xml:space="preserve"> </w:t>
      </w:r>
      <w:r w:rsidR="007E0ED6" w:rsidRPr="00CE723C">
        <w:rPr>
          <w:sz w:val="24"/>
          <w:szCs w:val="24"/>
        </w:rPr>
        <w:t>Distrust in law enforcement is another critical factor influencing the decision not to report a crime. Many victims fear that the police will either dismiss their case or fail to protect them from further harm. This is especially prevalent in marginalized communities, where there may be a history of police brutality</w:t>
      </w:r>
      <w:r w:rsidRPr="00CE723C">
        <w:rPr>
          <w:sz w:val="24"/>
          <w:szCs w:val="24"/>
        </w:rPr>
        <w:t xml:space="preserve"> or </w:t>
      </w:r>
      <w:r w:rsidR="007E0ED6" w:rsidRPr="00CE723C">
        <w:rPr>
          <w:sz w:val="24"/>
          <w:szCs w:val="24"/>
        </w:rPr>
        <w:t>bias</w:t>
      </w:r>
      <w:r w:rsidRPr="00CE723C">
        <w:rPr>
          <w:sz w:val="24"/>
          <w:szCs w:val="24"/>
        </w:rPr>
        <w:t xml:space="preserve"> </w:t>
      </w:r>
      <w:r w:rsidR="004F658D" w:rsidRPr="00CE723C">
        <w:rPr>
          <w:sz w:val="24"/>
          <w:szCs w:val="24"/>
        </w:rPr>
        <w:t>(</w:t>
      </w:r>
      <w:r w:rsidR="007E0ED6" w:rsidRPr="00CE723C">
        <w:rPr>
          <w:sz w:val="24"/>
          <w:szCs w:val="24"/>
        </w:rPr>
        <w:t>Perez-Vincent et al</w:t>
      </w:r>
      <w:r w:rsidR="004F658D" w:rsidRPr="00CE723C">
        <w:rPr>
          <w:sz w:val="24"/>
          <w:szCs w:val="24"/>
        </w:rPr>
        <w:t xml:space="preserve">, </w:t>
      </w:r>
      <w:r w:rsidR="007E0ED6" w:rsidRPr="00CE723C">
        <w:rPr>
          <w:sz w:val="24"/>
          <w:szCs w:val="24"/>
        </w:rPr>
        <w:t>2024)</w:t>
      </w:r>
      <w:r w:rsidR="004F658D" w:rsidRPr="00CE723C">
        <w:rPr>
          <w:sz w:val="24"/>
          <w:szCs w:val="24"/>
        </w:rPr>
        <w:t>. The</w:t>
      </w:r>
      <w:r w:rsidR="007E0ED6" w:rsidRPr="00CE723C">
        <w:rPr>
          <w:sz w:val="24"/>
          <w:szCs w:val="24"/>
        </w:rPr>
        <w:t xml:space="preserve"> distrust in law enforcement is widespread</w:t>
      </w:r>
      <w:r w:rsidRPr="00CE723C">
        <w:rPr>
          <w:sz w:val="24"/>
          <w:szCs w:val="24"/>
        </w:rPr>
        <w:t xml:space="preserve"> especially</w:t>
      </w:r>
      <w:r w:rsidR="004F658D" w:rsidRPr="00CE723C">
        <w:rPr>
          <w:sz w:val="24"/>
          <w:szCs w:val="24"/>
        </w:rPr>
        <w:t xml:space="preserve"> </w:t>
      </w:r>
      <w:r w:rsidR="007E0ED6" w:rsidRPr="00CE723C">
        <w:rPr>
          <w:sz w:val="24"/>
          <w:szCs w:val="24"/>
        </w:rPr>
        <w:t xml:space="preserve">in many parts of Latin America, corruption and inefficiency are common </w:t>
      </w:r>
      <w:r w:rsidR="004F658D" w:rsidRPr="00CE723C">
        <w:rPr>
          <w:sz w:val="24"/>
          <w:szCs w:val="24"/>
        </w:rPr>
        <w:t xml:space="preserve">place </w:t>
      </w:r>
      <w:r w:rsidR="007E0ED6" w:rsidRPr="00CE723C">
        <w:rPr>
          <w:sz w:val="24"/>
          <w:szCs w:val="24"/>
        </w:rPr>
        <w:t xml:space="preserve">in police forces (Perez-Vincent et al., 2024). In these contexts, victims may feel that their complaints will be ignored or mishandled, leading them to avoid reporting. </w:t>
      </w:r>
      <w:r w:rsidR="004F658D" w:rsidRPr="00CE723C">
        <w:rPr>
          <w:sz w:val="24"/>
          <w:szCs w:val="24"/>
        </w:rPr>
        <w:t>I</w:t>
      </w:r>
      <w:r w:rsidR="007E0ED6" w:rsidRPr="00CE723C">
        <w:rPr>
          <w:sz w:val="24"/>
          <w:szCs w:val="24"/>
        </w:rPr>
        <w:t>n South Africa, the polices lack of resources and training often results in inadequate handling of sensitive cases, further eroding victims trust in the justice system (</w:t>
      </w:r>
      <w:proofErr w:type="spellStart"/>
      <w:r w:rsidR="007E0ED6" w:rsidRPr="00CE723C">
        <w:rPr>
          <w:sz w:val="24"/>
          <w:szCs w:val="24"/>
        </w:rPr>
        <w:t>Mbewu</w:t>
      </w:r>
      <w:proofErr w:type="spellEnd"/>
      <w:r w:rsidR="007E0ED6" w:rsidRPr="00CE723C">
        <w:rPr>
          <w:sz w:val="24"/>
          <w:szCs w:val="24"/>
        </w:rPr>
        <w:t>, Obioha, &amp; Mugari, 2021).</w:t>
      </w:r>
      <w:r w:rsidR="004F658D" w:rsidRPr="00CE723C">
        <w:rPr>
          <w:sz w:val="24"/>
          <w:szCs w:val="24"/>
        </w:rPr>
        <w:t xml:space="preserve"> </w:t>
      </w:r>
      <w:r w:rsidR="007E0ED6" w:rsidRPr="00CE723C">
        <w:rPr>
          <w:sz w:val="24"/>
          <w:szCs w:val="24"/>
        </w:rPr>
        <w:t>The perception that the police are unsympathetic or ineffective is especially strong among vulnerable groups, such as ethnic minorities and LGBTQ+ individuals. Studies have shown that these groups are less likely to report hate crimes or other forms of victimization, fearing that they will be treated with prejudice or that their cases will not be prioritized (Pezzella, Fetzer, &amp; Keller, 2019).</w:t>
      </w:r>
    </w:p>
    <w:p w14:paraId="7CE425AB" w14:textId="4CC38E03" w:rsidR="00605CCB" w:rsidRPr="00CE723C" w:rsidRDefault="003D4EAC" w:rsidP="00C01D56">
      <w:pPr>
        <w:spacing w:line="480" w:lineRule="auto"/>
        <w:rPr>
          <w:sz w:val="24"/>
          <w:szCs w:val="24"/>
        </w:rPr>
      </w:pPr>
      <w:r w:rsidRPr="00CE723C">
        <w:rPr>
          <w:sz w:val="24"/>
          <w:szCs w:val="24"/>
        </w:rPr>
        <w:t xml:space="preserve">People with disabilities are particularly vulnerable to victimization and are often at a higher risk of experiencing various forms of abuse, including physical, sexual, and emotional abuse. Unfortunately, individuals with disabilities are also more likely to underreport these crimes, due to several interconnected factors, including communication barriers, dependence on </w:t>
      </w:r>
      <w:r w:rsidRPr="00CE723C">
        <w:rPr>
          <w:sz w:val="24"/>
          <w:szCs w:val="24"/>
        </w:rPr>
        <w:lastRenderedPageBreak/>
        <w:t>caregivers, and a lack of trust in the system. In many cases, individuals with disabilities may rely on others, such as family members or caregivers, for daily support, which can create a significant power imbalance</w:t>
      </w:r>
      <w:r w:rsidR="00EB5401" w:rsidRPr="00CE723C">
        <w:rPr>
          <w:sz w:val="24"/>
          <w:szCs w:val="24"/>
        </w:rPr>
        <w:t xml:space="preserve"> (Thorneycroft and Asquith, 2015). </w:t>
      </w:r>
      <w:r w:rsidRPr="00CE723C">
        <w:rPr>
          <w:sz w:val="24"/>
          <w:szCs w:val="24"/>
        </w:rPr>
        <w:t>If the perpetrator is someone they depend on for care, such as a family member or caregiver, this can deter the victim from reporting the crime due to fear of losing essential care or support (Perez-Vincent et al., 2024). For example, an individual with a disability may fear that reporting abuse will result in the loss of financial or emotional support, leaving them in an even more vulnerable position.</w:t>
      </w:r>
    </w:p>
    <w:p w14:paraId="4B25C7FD" w14:textId="77777777" w:rsidR="00605CCB" w:rsidRPr="00CE723C" w:rsidRDefault="00605CCB" w:rsidP="00C01D56">
      <w:pPr>
        <w:spacing w:line="480" w:lineRule="auto"/>
        <w:rPr>
          <w:sz w:val="24"/>
          <w:szCs w:val="24"/>
        </w:rPr>
      </w:pPr>
    </w:p>
    <w:p w14:paraId="18BA8F2C" w14:textId="7279DBDB" w:rsidR="009D5B33" w:rsidRPr="00CE723C" w:rsidRDefault="003D4EAC" w:rsidP="00C01D56">
      <w:pPr>
        <w:spacing w:line="480" w:lineRule="auto"/>
        <w:rPr>
          <w:sz w:val="24"/>
          <w:szCs w:val="24"/>
        </w:rPr>
      </w:pPr>
      <w:r w:rsidRPr="00CE723C">
        <w:rPr>
          <w:sz w:val="24"/>
          <w:szCs w:val="24"/>
        </w:rPr>
        <w:t>Religion plays a significant role in shaping individuals’ decisions about whether or not to report a crime. In certain religious communities, reporting crimes, especially domestic violence or sexual assault, may be discouraged due to religious doctrines or cultural norms that emphasize forgiveness and family unity. Religious values can create a significant barrier for victims who fear being judged or ostracized by their religious community. In the context of underreporting sexual violence, victims may be reluctant to report their experiences because of fear that their religious beliefs will not be respected or that they will be blamed for not adhering to religious teachings</w:t>
      </w:r>
      <w:r w:rsidR="009D5B33" w:rsidRPr="00CE723C">
        <w:rPr>
          <w:sz w:val="24"/>
          <w:szCs w:val="24"/>
        </w:rPr>
        <w:t>.</w:t>
      </w:r>
      <w:r w:rsidRPr="00CE723C">
        <w:rPr>
          <w:sz w:val="24"/>
          <w:szCs w:val="24"/>
        </w:rPr>
        <w:t xml:space="preserve"> In many conservative religious communities, there is a massive stigma attached when discussing issues like sexual assault or domestic violence, especially when these incidents happen within </w:t>
      </w:r>
      <w:r w:rsidR="00444DF6" w:rsidRPr="00CE723C">
        <w:rPr>
          <w:sz w:val="24"/>
          <w:szCs w:val="24"/>
        </w:rPr>
        <w:t>their own</w:t>
      </w:r>
      <w:r w:rsidRPr="00CE723C">
        <w:rPr>
          <w:sz w:val="24"/>
          <w:szCs w:val="24"/>
        </w:rPr>
        <w:t xml:space="preserve"> family</w:t>
      </w:r>
      <w:r w:rsidR="001014AE" w:rsidRPr="00CE723C">
        <w:rPr>
          <w:sz w:val="24"/>
          <w:szCs w:val="24"/>
        </w:rPr>
        <w:t xml:space="preserve"> (Cullen, 2023</w:t>
      </w:r>
      <w:r w:rsidR="009D5B33" w:rsidRPr="00CE723C">
        <w:rPr>
          <w:sz w:val="24"/>
          <w:szCs w:val="24"/>
        </w:rPr>
        <w:t>).</w:t>
      </w:r>
    </w:p>
    <w:p w14:paraId="287B03EC" w14:textId="5A0BFB75" w:rsidR="00605CCB" w:rsidRPr="00CE723C" w:rsidRDefault="003D4EAC" w:rsidP="00C01D56">
      <w:pPr>
        <w:spacing w:line="480" w:lineRule="auto"/>
        <w:rPr>
          <w:sz w:val="24"/>
          <w:szCs w:val="24"/>
        </w:rPr>
      </w:pPr>
      <w:r w:rsidRPr="00CE723C">
        <w:rPr>
          <w:sz w:val="24"/>
          <w:szCs w:val="24"/>
        </w:rPr>
        <w:t>Age is another important factor influencing underreporting</w:t>
      </w:r>
      <w:r w:rsidR="00444DF6" w:rsidRPr="00CE723C">
        <w:rPr>
          <w:sz w:val="24"/>
          <w:szCs w:val="24"/>
        </w:rPr>
        <w:t>,</w:t>
      </w:r>
      <w:r w:rsidRPr="00CE723C">
        <w:rPr>
          <w:sz w:val="24"/>
          <w:szCs w:val="24"/>
        </w:rPr>
        <w:t xml:space="preserve"> </w:t>
      </w:r>
      <w:r w:rsidR="00444DF6" w:rsidRPr="00CE723C">
        <w:rPr>
          <w:sz w:val="24"/>
          <w:szCs w:val="24"/>
        </w:rPr>
        <w:t xml:space="preserve">child </w:t>
      </w:r>
      <w:r w:rsidRPr="00CE723C">
        <w:rPr>
          <w:sz w:val="24"/>
          <w:szCs w:val="24"/>
        </w:rPr>
        <w:t xml:space="preserve">victims and adolescents, may be less likely to report crimes </w:t>
      </w:r>
      <w:r w:rsidR="00444DF6" w:rsidRPr="00CE723C">
        <w:rPr>
          <w:sz w:val="24"/>
          <w:szCs w:val="24"/>
        </w:rPr>
        <w:t>because of</w:t>
      </w:r>
      <w:r w:rsidRPr="00CE723C">
        <w:rPr>
          <w:sz w:val="24"/>
          <w:szCs w:val="24"/>
        </w:rPr>
        <w:t xml:space="preserve"> fear of authority figures </w:t>
      </w:r>
      <w:r w:rsidR="00444DF6" w:rsidRPr="00CE723C">
        <w:rPr>
          <w:sz w:val="24"/>
          <w:szCs w:val="24"/>
        </w:rPr>
        <w:t>in their lives and</w:t>
      </w:r>
      <w:r w:rsidRPr="00CE723C">
        <w:rPr>
          <w:sz w:val="24"/>
          <w:szCs w:val="24"/>
        </w:rPr>
        <w:t xml:space="preserve"> a lack of understanding about their rights. </w:t>
      </w:r>
      <w:r w:rsidR="00444DF6" w:rsidRPr="00CE723C">
        <w:rPr>
          <w:sz w:val="24"/>
          <w:szCs w:val="24"/>
        </w:rPr>
        <w:t>I</w:t>
      </w:r>
      <w:r w:rsidRPr="00CE723C">
        <w:rPr>
          <w:sz w:val="24"/>
          <w:szCs w:val="24"/>
        </w:rPr>
        <w:t>n particular</w:t>
      </w:r>
      <w:r w:rsidR="00444DF6" w:rsidRPr="00CE723C">
        <w:rPr>
          <w:sz w:val="24"/>
          <w:szCs w:val="24"/>
        </w:rPr>
        <w:t xml:space="preserve"> they</w:t>
      </w:r>
      <w:r w:rsidRPr="00CE723C">
        <w:rPr>
          <w:sz w:val="24"/>
          <w:szCs w:val="24"/>
        </w:rPr>
        <w:t xml:space="preserve"> may be influenced by peer pressure or </w:t>
      </w:r>
      <w:r w:rsidR="00444DF6" w:rsidRPr="00CE723C">
        <w:rPr>
          <w:sz w:val="24"/>
          <w:szCs w:val="24"/>
        </w:rPr>
        <w:t>worry</w:t>
      </w:r>
      <w:r w:rsidRPr="00CE723C">
        <w:rPr>
          <w:sz w:val="24"/>
          <w:szCs w:val="24"/>
        </w:rPr>
        <w:t xml:space="preserve"> about not being taken seriously</w:t>
      </w:r>
      <w:r w:rsidR="00444DF6" w:rsidRPr="00CE723C">
        <w:rPr>
          <w:sz w:val="24"/>
          <w:szCs w:val="24"/>
        </w:rPr>
        <w:t>, especially when</w:t>
      </w:r>
      <w:r w:rsidRPr="00CE723C">
        <w:rPr>
          <w:sz w:val="24"/>
          <w:szCs w:val="24"/>
        </w:rPr>
        <w:t xml:space="preserve"> including </w:t>
      </w:r>
      <w:r w:rsidR="00444DF6" w:rsidRPr="00CE723C">
        <w:rPr>
          <w:sz w:val="24"/>
          <w:szCs w:val="24"/>
        </w:rPr>
        <w:t>the police</w:t>
      </w:r>
      <w:r w:rsidRPr="00CE723C">
        <w:rPr>
          <w:sz w:val="24"/>
          <w:szCs w:val="24"/>
        </w:rPr>
        <w:t xml:space="preserve">. </w:t>
      </w:r>
      <w:r w:rsidR="00444DF6" w:rsidRPr="00CE723C">
        <w:rPr>
          <w:sz w:val="24"/>
          <w:szCs w:val="24"/>
        </w:rPr>
        <w:lastRenderedPageBreak/>
        <w:t>F</w:t>
      </w:r>
      <w:r w:rsidRPr="00CE723C">
        <w:rPr>
          <w:sz w:val="24"/>
          <w:szCs w:val="24"/>
        </w:rPr>
        <w:t>ear of being stigmatized as a victim</w:t>
      </w:r>
      <w:r w:rsidR="00444DF6" w:rsidRPr="00CE723C">
        <w:rPr>
          <w:sz w:val="24"/>
          <w:szCs w:val="24"/>
        </w:rPr>
        <w:t xml:space="preserve">, </w:t>
      </w:r>
      <w:r w:rsidRPr="00CE723C">
        <w:rPr>
          <w:sz w:val="24"/>
          <w:szCs w:val="24"/>
        </w:rPr>
        <w:t>or facing consequences often leads</w:t>
      </w:r>
      <w:r w:rsidR="00444DF6" w:rsidRPr="00CE723C">
        <w:rPr>
          <w:sz w:val="24"/>
          <w:szCs w:val="24"/>
        </w:rPr>
        <w:t xml:space="preserve"> to</w:t>
      </w:r>
      <w:r w:rsidRPr="00CE723C">
        <w:rPr>
          <w:sz w:val="24"/>
          <w:szCs w:val="24"/>
        </w:rPr>
        <w:t xml:space="preserve"> young people remain</w:t>
      </w:r>
      <w:r w:rsidR="00444DF6" w:rsidRPr="00CE723C">
        <w:rPr>
          <w:sz w:val="24"/>
          <w:szCs w:val="24"/>
        </w:rPr>
        <w:t>ing</w:t>
      </w:r>
      <w:r w:rsidRPr="00CE723C">
        <w:rPr>
          <w:sz w:val="24"/>
          <w:szCs w:val="24"/>
        </w:rPr>
        <w:t xml:space="preserve"> silent about their victimization.</w:t>
      </w:r>
      <w:r w:rsidR="00444DF6" w:rsidRPr="00CE723C">
        <w:rPr>
          <w:sz w:val="24"/>
          <w:szCs w:val="24"/>
        </w:rPr>
        <w:t xml:space="preserve"> </w:t>
      </w:r>
      <w:r w:rsidRPr="00CE723C">
        <w:rPr>
          <w:sz w:val="24"/>
          <w:szCs w:val="24"/>
        </w:rPr>
        <w:t xml:space="preserve">In the case of youth-related crimes, such as bullying or peer violence, underreporting is notably high. </w:t>
      </w:r>
      <w:r w:rsidR="00444DF6" w:rsidRPr="00CE723C">
        <w:rPr>
          <w:sz w:val="24"/>
          <w:szCs w:val="24"/>
        </w:rPr>
        <w:t>(</w:t>
      </w:r>
      <w:r w:rsidRPr="00CE723C">
        <w:rPr>
          <w:sz w:val="24"/>
          <w:szCs w:val="24"/>
        </w:rPr>
        <w:t>Babic</w:t>
      </w:r>
      <w:r w:rsidR="00444DF6" w:rsidRPr="00CE723C">
        <w:rPr>
          <w:sz w:val="24"/>
          <w:szCs w:val="24"/>
        </w:rPr>
        <w:t>,</w:t>
      </w:r>
      <w:r w:rsidRPr="00CE723C">
        <w:rPr>
          <w:sz w:val="24"/>
          <w:szCs w:val="24"/>
        </w:rPr>
        <w:t xml:space="preserve"> 2022) discusses how </w:t>
      </w:r>
      <w:r w:rsidR="00444DF6" w:rsidRPr="00CE723C">
        <w:rPr>
          <w:sz w:val="24"/>
          <w:szCs w:val="24"/>
        </w:rPr>
        <w:t>children</w:t>
      </w:r>
      <w:r w:rsidRPr="00CE723C">
        <w:rPr>
          <w:sz w:val="24"/>
          <w:szCs w:val="24"/>
        </w:rPr>
        <w:t xml:space="preserve">, particularly </w:t>
      </w:r>
      <w:r w:rsidR="00444DF6" w:rsidRPr="00CE723C">
        <w:rPr>
          <w:sz w:val="24"/>
          <w:szCs w:val="24"/>
        </w:rPr>
        <w:t>ones</w:t>
      </w:r>
      <w:r w:rsidRPr="00CE723C">
        <w:rPr>
          <w:sz w:val="24"/>
          <w:szCs w:val="24"/>
        </w:rPr>
        <w:t xml:space="preserve"> involved in the youth justice system, may underreport due to concerns over getting into trouble themselves or because they feel the incident was not serious enough to warrant intervention. Adolescents may feel embarrass</w:t>
      </w:r>
      <w:r w:rsidR="00444DF6" w:rsidRPr="00CE723C">
        <w:rPr>
          <w:sz w:val="24"/>
          <w:szCs w:val="24"/>
        </w:rPr>
        <w:t>ment</w:t>
      </w:r>
      <w:r w:rsidRPr="00CE723C">
        <w:rPr>
          <w:sz w:val="24"/>
          <w:szCs w:val="24"/>
        </w:rPr>
        <w:t xml:space="preserve"> or worry about </w:t>
      </w:r>
      <w:r w:rsidR="00444DF6" w:rsidRPr="00CE723C">
        <w:rPr>
          <w:sz w:val="24"/>
          <w:szCs w:val="24"/>
        </w:rPr>
        <w:t>getting in trouble when</w:t>
      </w:r>
      <w:r w:rsidRPr="00CE723C">
        <w:rPr>
          <w:sz w:val="24"/>
          <w:szCs w:val="24"/>
        </w:rPr>
        <w:t xml:space="preserve"> involving </w:t>
      </w:r>
      <w:r w:rsidR="00444DF6" w:rsidRPr="00CE723C">
        <w:rPr>
          <w:sz w:val="24"/>
          <w:szCs w:val="24"/>
        </w:rPr>
        <w:t>police</w:t>
      </w:r>
      <w:r w:rsidRPr="00CE723C">
        <w:rPr>
          <w:sz w:val="24"/>
          <w:szCs w:val="24"/>
        </w:rPr>
        <w:t>, especially if they come from communities where there is a general distrust of authority.</w:t>
      </w:r>
    </w:p>
    <w:p w14:paraId="1801D1D5" w14:textId="63895AD6" w:rsidR="004F658D" w:rsidRPr="00CE723C" w:rsidRDefault="007E0ED6" w:rsidP="00C01D56">
      <w:pPr>
        <w:spacing w:line="480" w:lineRule="auto"/>
        <w:rPr>
          <w:sz w:val="24"/>
          <w:szCs w:val="24"/>
        </w:rPr>
      </w:pPr>
      <w:r w:rsidRPr="00CE723C">
        <w:rPr>
          <w:sz w:val="24"/>
          <w:szCs w:val="24"/>
        </w:rPr>
        <w:t xml:space="preserve">Social stigma plays a significant role in the decision not to report crimes, particularly in cases involving sexual violence, domestic abuse, and hate crimes. Victims often fear being blamed for the crime or being subjected to public scrutiny. This stigma can be particularly acute in communities with traditional or conservative values, where victims of sexual violence or intimate partner violence may be blamed for the </w:t>
      </w:r>
      <w:r w:rsidR="00444DF6" w:rsidRPr="00CE723C">
        <w:rPr>
          <w:sz w:val="24"/>
          <w:szCs w:val="24"/>
        </w:rPr>
        <w:t>abuse,</w:t>
      </w:r>
      <w:r w:rsidRPr="00CE723C">
        <w:rPr>
          <w:sz w:val="24"/>
          <w:szCs w:val="24"/>
        </w:rPr>
        <w:t xml:space="preserve"> they have suffered.</w:t>
      </w:r>
      <w:r w:rsidR="00691404" w:rsidRPr="00CE723C">
        <w:rPr>
          <w:sz w:val="24"/>
          <w:szCs w:val="24"/>
        </w:rPr>
        <w:t xml:space="preserve"> </w:t>
      </w:r>
      <w:r w:rsidR="00466162" w:rsidRPr="00CE723C">
        <w:rPr>
          <w:sz w:val="24"/>
          <w:szCs w:val="24"/>
        </w:rPr>
        <w:t>(</w:t>
      </w:r>
      <w:r w:rsidRPr="00CE723C">
        <w:rPr>
          <w:sz w:val="24"/>
          <w:szCs w:val="24"/>
        </w:rPr>
        <w:t>Kelley, Zhang, and O</w:t>
      </w:r>
      <w:r w:rsidR="004F658D" w:rsidRPr="00CE723C">
        <w:rPr>
          <w:sz w:val="24"/>
          <w:szCs w:val="24"/>
        </w:rPr>
        <w:t>’</w:t>
      </w:r>
      <w:r w:rsidRPr="00CE723C">
        <w:rPr>
          <w:sz w:val="24"/>
          <w:szCs w:val="24"/>
        </w:rPr>
        <w:t>Neal</w:t>
      </w:r>
      <w:r w:rsidR="00466162" w:rsidRPr="00CE723C">
        <w:rPr>
          <w:sz w:val="24"/>
          <w:szCs w:val="24"/>
        </w:rPr>
        <w:t xml:space="preserve">, </w:t>
      </w:r>
      <w:r w:rsidRPr="00CE723C">
        <w:rPr>
          <w:sz w:val="24"/>
          <w:szCs w:val="24"/>
        </w:rPr>
        <w:t>2022) argue that cultural norms around gender and sexuality contribute to the underreporting of sexual violence, as victims fear that they will be seen as immoral or weak if they come forward. This fear of social judgment can be a powerful deterrent, especially when victims live in communities where there is a strong emphasis on social conformity</w:t>
      </w:r>
      <w:r w:rsidR="009D5B33" w:rsidRPr="00CE723C">
        <w:rPr>
          <w:sz w:val="24"/>
          <w:szCs w:val="24"/>
        </w:rPr>
        <w:t xml:space="preserve"> (Parti and Robinson, 2021)</w:t>
      </w:r>
      <w:r w:rsidR="00444DF6" w:rsidRPr="00CE723C">
        <w:rPr>
          <w:sz w:val="24"/>
          <w:szCs w:val="24"/>
        </w:rPr>
        <w:t xml:space="preserve"> </w:t>
      </w:r>
      <w:r w:rsidRPr="00CE723C">
        <w:rPr>
          <w:sz w:val="24"/>
          <w:szCs w:val="24"/>
        </w:rPr>
        <w:t>Additionally, victims from marginalized groups</w:t>
      </w:r>
      <w:r w:rsidR="004F658D" w:rsidRPr="00CE723C">
        <w:rPr>
          <w:sz w:val="24"/>
          <w:szCs w:val="24"/>
        </w:rPr>
        <w:t xml:space="preserve"> </w:t>
      </w:r>
      <w:r w:rsidRPr="00CE723C">
        <w:rPr>
          <w:sz w:val="24"/>
          <w:szCs w:val="24"/>
        </w:rPr>
        <w:t>such as racial minorities or LGBTQ+ individuals</w:t>
      </w:r>
      <w:r w:rsidR="004F658D" w:rsidRPr="00CE723C">
        <w:rPr>
          <w:sz w:val="24"/>
          <w:szCs w:val="24"/>
        </w:rPr>
        <w:t xml:space="preserve"> </w:t>
      </w:r>
      <w:r w:rsidRPr="00CE723C">
        <w:rPr>
          <w:sz w:val="24"/>
          <w:szCs w:val="24"/>
        </w:rPr>
        <w:t>may face even greater stigma, which prevents them from seeking help. In some cases, victims fear that their experiences will be dismissed by both their communities and the authorities, further isolating them</w:t>
      </w:r>
      <w:r w:rsidR="00444DF6" w:rsidRPr="00CE723C">
        <w:rPr>
          <w:sz w:val="24"/>
          <w:szCs w:val="24"/>
        </w:rPr>
        <w:t xml:space="preserve"> (Parti </w:t>
      </w:r>
      <w:r w:rsidR="009D5B33" w:rsidRPr="00CE723C">
        <w:rPr>
          <w:sz w:val="24"/>
          <w:szCs w:val="24"/>
        </w:rPr>
        <w:t>and</w:t>
      </w:r>
      <w:r w:rsidR="00444DF6" w:rsidRPr="00CE723C">
        <w:rPr>
          <w:sz w:val="24"/>
          <w:szCs w:val="24"/>
        </w:rPr>
        <w:t xml:space="preserve"> Robinson, 2021).</w:t>
      </w:r>
    </w:p>
    <w:p w14:paraId="73E00D0A" w14:textId="262FF530" w:rsidR="007E0ED6" w:rsidRPr="00CE723C" w:rsidRDefault="00444DF6" w:rsidP="00C01D56">
      <w:pPr>
        <w:spacing w:line="480" w:lineRule="auto"/>
        <w:rPr>
          <w:sz w:val="24"/>
          <w:szCs w:val="24"/>
        </w:rPr>
      </w:pPr>
      <w:r w:rsidRPr="00CE723C">
        <w:rPr>
          <w:sz w:val="24"/>
          <w:szCs w:val="24"/>
        </w:rPr>
        <w:t>V</w:t>
      </w:r>
      <w:r w:rsidR="007E0ED6" w:rsidRPr="00CE723C">
        <w:rPr>
          <w:sz w:val="24"/>
          <w:szCs w:val="24"/>
        </w:rPr>
        <w:t>ictims of human trafficking are often financially dependent on their traffickers and may fear deportation, arrest, or criminal prosecution if they report the abuse</w:t>
      </w:r>
      <w:r w:rsidR="00691404" w:rsidRPr="00CE723C">
        <w:rPr>
          <w:sz w:val="24"/>
          <w:szCs w:val="24"/>
        </w:rPr>
        <w:t>.</w:t>
      </w:r>
      <w:r w:rsidR="007E0ED6" w:rsidRPr="00CE723C">
        <w:rPr>
          <w:sz w:val="24"/>
          <w:szCs w:val="24"/>
        </w:rPr>
        <w:t xml:space="preserve"> These financial </w:t>
      </w:r>
      <w:r w:rsidR="007E0ED6" w:rsidRPr="00CE723C">
        <w:rPr>
          <w:sz w:val="24"/>
          <w:szCs w:val="24"/>
        </w:rPr>
        <w:lastRenderedPageBreak/>
        <w:t>concerns can be compounded by the fact that many victims lack the resources or support networks to leave their abusers or seek help. For individuals living in poverty, reporting a crime may seem like a choice between enduring continued victimization or facing economic hardship, which makes the latter seem more bearable</w:t>
      </w:r>
      <w:r w:rsidR="00691404" w:rsidRPr="00CE723C">
        <w:rPr>
          <w:sz w:val="24"/>
          <w:szCs w:val="24"/>
        </w:rPr>
        <w:t xml:space="preserve"> (Comino, </w:t>
      </w:r>
      <w:proofErr w:type="spellStart"/>
      <w:r w:rsidR="00691404" w:rsidRPr="00CE723C">
        <w:rPr>
          <w:sz w:val="24"/>
          <w:szCs w:val="24"/>
        </w:rPr>
        <w:t>Mastrobuoni</w:t>
      </w:r>
      <w:proofErr w:type="spellEnd"/>
      <w:r w:rsidR="00691404" w:rsidRPr="00CE723C">
        <w:rPr>
          <w:sz w:val="24"/>
          <w:szCs w:val="24"/>
        </w:rPr>
        <w:t>, &amp; Nicolo, 2020).</w:t>
      </w:r>
      <w:r w:rsidRPr="00CE723C">
        <w:rPr>
          <w:sz w:val="24"/>
          <w:szCs w:val="24"/>
        </w:rPr>
        <w:t xml:space="preserve"> </w:t>
      </w:r>
      <w:r w:rsidR="007E0ED6" w:rsidRPr="00CE723C">
        <w:rPr>
          <w:sz w:val="24"/>
          <w:szCs w:val="24"/>
        </w:rPr>
        <w:t xml:space="preserve">Many victims do not report crimes because they are unaware of their legal rights or the </w:t>
      </w:r>
      <w:r w:rsidRPr="00CE723C">
        <w:rPr>
          <w:sz w:val="24"/>
          <w:szCs w:val="24"/>
        </w:rPr>
        <w:t xml:space="preserve">correct </w:t>
      </w:r>
      <w:r w:rsidR="007E0ED6" w:rsidRPr="00CE723C">
        <w:rPr>
          <w:sz w:val="24"/>
          <w:szCs w:val="24"/>
        </w:rPr>
        <w:t>procedure for reporting crime</w:t>
      </w:r>
      <w:r w:rsidRPr="00CE723C">
        <w:rPr>
          <w:sz w:val="24"/>
          <w:szCs w:val="24"/>
        </w:rPr>
        <w:t>s</w:t>
      </w:r>
      <w:r w:rsidR="007E0ED6" w:rsidRPr="00CE723C">
        <w:rPr>
          <w:sz w:val="24"/>
          <w:szCs w:val="24"/>
        </w:rPr>
        <w:t>. Th</w:t>
      </w:r>
      <w:r w:rsidRPr="00CE723C">
        <w:rPr>
          <w:sz w:val="24"/>
          <w:szCs w:val="24"/>
        </w:rPr>
        <w:t>e</w:t>
      </w:r>
      <w:r w:rsidR="007E0ED6" w:rsidRPr="00CE723C">
        <w:rPr>
          <w:sz w:val="24"/>
          <w:szCs w:val="24"/>
        </w:rPr>
        <w:t xml:space="preserve"> lack of knowledge can be particularly </w:t>
      </w:r>
      <w:r w:rsidRPr="00CE723C">
        <w:rPr>
          <w:sz w:val="24"/>
          <w:szCs w:val="24"/>
        </w:rPr>
        <w:t>difficult</w:t>
      </w:r>
      <w:r w:rsidR="007E0ED6" w:rsidRPr="00CE723C">
        <w:rPr>
          <w:sz w:val="24"/>
          <w:szCs w:val="24"/>
        </w:rPr>
        <w:t xml:space="preserve"> in rural or underdeveloped areas, where access to legal resources may be limited</w:t>
      </w:r>
      <w:r w:rsidR="00425519" w:rsidRPr="00CE723C">
        <w:rPr>
          <w:sz w:val="24"/>
          <w:szCs w:val="24"/>
        </w:rPr>
        <w:t xml:space="preserve"> </w:t>
      </w:r>
      <w:r w:rsidR="007E0ED6" w:rsidRPr="00CE723C">
        <w:rPr>
          <w:sz w:val="24"/>
          <w:szCs w:val="24"/>
        </w:rPr>
        <w:t>(Perez-Vincent et al., 2024).</w:t>
      </w:r>
    </w:p>
    <w:p w14:paraId="4A007138" w14:textId="4071AE1A" w:rsidR="007E0ED6" w:rsidRPr="00CE723C" w:rsidRDefault="007E0ED6" w:rsidP="00C01D56">
      <w:pPr>
        <w:spacing w:line="480" w:lineRule="auto"/>
        <w:rPr>
          <w:sz w:val="24"/>
          <w:szCs w:val="24"/>
        </w:rPr>
      </w:pPr>
      <w:r w:rsidRPr="00CE723C">
        <w:rPr>
          <w:sz w:val="24"/>
          <w:szCs w:val="24"/>
        </w:rPr>
        <w:t>Psychological factors, including trauma, denial, and shame, also contribute to underreporting</w:t>
      </w:r>
      <w:r w:rsidR="00425519" w:rsidRPr="00CE723C">
        <w:rPr>
          <w:sz w:val="24"/>
          <w:szCs w:val="24"/>
        </w:rPr>
        <w:t>,</w:t>
      </w:r>
      <w:r w:rsidRPr="00CE723C">
        <w:rPr>
          <w:sz w:val="24"/>
          <w:szCs w:val="24"/>
        </w:rPr>
        <w:t xml:space="preserve"> </w:t>
      </w:r>
      <w:r w:rsidR="00425519" w:rsidRPr="00CE723C">
        <w:rPr>
          <w:sz w:val="24"/>
          <w:szCs w:val="24"/>
        </w:rPr>
        <w:t>v</w:t>
      </w:r>
      <w:r w:rsidRPr="00CE723C">
        <w:rPr>
          <w:sz w:val="24"/>
          <w:szCs w:val="24"/>
        </w:rPr>
        <w:t>ictims of intimate partner violence, sexual violence, and other forms of abuse often experience severe emotional and psychological distress, which can make it difficult for them to report the crime.</w:t>
      </w:r>
      <w:r w:rsidR="00691404" w:rsidRPr="00CE723C">
        <w:rPr>
          <w:sz w:val="24"/>
          <w:szCs w:val="24"/>
        </w:rPr>
        <w:t xml:space="preserve"> You could </w:t>
      </w:r>
      <w:r w:rsidRPr="00CE723C">
        <w:rPr>
          <w:sz w:val="24"/>
          <w:szCs w:val="24"/>
        </w:rPr>
        <w:t xml:space="preserve">argue that victims may be in denial about </w:t>
      </w:r>
      <w:r w:rsidR="00425519" w:rsidRPr="00CE723C">
        <w:rPr>
          <w:sz w:val="24"/>
          <w:szCs w:val="24"/>
        </w:rPr>
        <w:t>how bad</w:t>
      </w:r>
      <w:r w:rsidRPr="00CE723C">
        <w:rPr>
          <w:sz w:val="24"/>
          <w:szCs w:val="24"/>
        </w:rPr>
        <w:t xml:space="preserve"> their situation</w:t>
      </w:r>
      <w:r w:rsidR="00425519" w:rsidRPr="00CE723C">
        <w:rPr>
          <w:sz w:val="24"/>
          <w:szCs w:val="24"/>
        </w:rPr>
        <w:t xml:space="preserve"> is</w:t>
      </w:r>
      <w:r w:rsidRPr="00CE723C">
        <w:rPr>
          <w:sz w:val="24"/>
          <w:szCs w:val="24"/>
        </w:rPr>
        <w:t>,</w:t>
      </w:r>
      <w:r w:rsidR="00425519" w:rsidRPr="00CE723C">
        <w:rPr>
          <w:sz w:val="24"/>
          <w:szCs w:val="24"/>
        </w:rPr>
        <w:t xml:space="preserve"> especially</w:t>
      </w:r>
      <w:r w:rsidRPr="00CE723C">
        <w:rPr>
          <w:sz w:val="24"/>
          <w:szCs w:val="24"/>
        </w:rPr>
        <w:t xml:space="preserve"> in cases of intimate partner violence, emotional attachment to the abuser can cloud their judgment.</w:t>
      </w:r>
      <w:r w:rsidR="00425519" w:rsidRPr="00CE723C">
        <w:rPr>
          <w:sz w:val="24"/>
          <w:szCs w:val="24"/>
        </w:rPr>
        <w:t xml:space="preserve"> M</w:t>
      </w:r>
      <w:r w:rsidRPr="00CE723C">
        <w:rPr>
          <w:sz w:val="24"/>
          <w:szCs w:val="24"/>
        </w:rPr>
        <w:t xml:space="preserve">any victims of sexual violence experience feelings of shame, guilt, and self-blame, which make it difficult for them </w:t>
      </w:r>
      <w:r w:rsidR="00425519" w:rsidRPr="00CE723C">
        <w:rPr>
          <w:sz w:val="24"/>
          <w:szCs w:val="24"/>
        </w:rPr>
        <w:t>talk about</w:t>
      </w:r>
      <w:r w:rsidR="00691404" w:rsidRPr="00CE723C">
        <w:rPr>
          <w:sz w:val="24"/>
          <w:szCs w:val="24"/>
        </w:rPr>
        <w:t xml:space="preserve"> (Walsh &amp; Stephenson, 2023). </w:t>
      </w:r>
      <w:r w:rsidRPr="00CE723C">
        <w:rPr>
          <w:sz w:val="24"/>
          <w:szCs w:val="24"/>
        </w:rPr>
        <w:t>Trauma can lead to feeling</w:t>
      </w:r>
      <w:r w:rsidR="00425519" w:rsidRPr="00CE723C">
        <w:rPr>
          <w:sz w:val="24"/>
          <w:szCs w:val="24"/>
        </w:rPr>
        <w:t xml:space="preserve">s </w:t>
      </w:r>
      <w:r w:rsidRPr="00CE723C">
        <w:rPr>
          <w:sz w:val="24"/>
          <w:szCs w:val="24"/>
        </w:rPr>
        <w:t xml:space="preserve">of </w:t>
      </w:r>
      <w:r w:rsidR="00425519" w:rsidRPr="00CE723C">
        <w:rPr>
          <w:sz w:val="24"/>
          <w:szCs w:val="24"/>
        </w:rPr>
        <w:t xml:space="preserve">helplessness; </w:t>
      </w:r>
      <w:r w:rsidRPr="00CE723C">
        <w:rPr>
          <w:sz w:val="24"/>
          <w:szCs w:val="24"/>
        </w:rPr>
        <w:t>victims feel that no</w:t>
      </w:r>
      <w:r w:rsidR="00425519" w:rsidRPr="00CE723C">
        <w:rPr>
          <w:sz w:val="24"/>
          <w:szCs w:val="24"/>
        </w:rPr>
        <w:t>body</w:t>
      </w:r>
      <w:r w:rsidRPr="00CE723C">
        <w:rPr>
          <w:sz w:val="24"/>
          <w:szCs w:val="24"/>
        </w:rPr>
        <w:t xml:space="preserve"> will believe </w:t>
      </w:r>
      <w:r w:rsidR="00425519" w:rsidRPr="00CE723C">
        <w:rPr>
          <w:sz w:val="24"/>
          <w:szCs w:val="24"/>
        </w:rPr>
        <w:t>them,</w:t>
      </w:r>
      <w:r w:rsidRPr="00CE723C">
        <w:rPr>
          <w:sz w:val="24"/>
          <w:szCs w:val="24"/>
        </w:rPr>
        <w:t xml:space="preserve"> </w:t>
      </w:r>
      <w:r w:rsidR="00425519" w:rsidRPr="00CE723C">
        <w:rPr>
          <w:sz w:val="24"/>
          <w:szCs w:val="24"/>
        </w:rPr>
        <w:t>t</w:t>
      </w:r>
      <w:r w:rsidRPr="00CE723C">
        <w:rPr>
          <w:sz w:val="24"/>
          <w:szCs w:val="24"/>
        </w:rPr>
        <w:t xml:space="preserve">his hopelessness is compounded by the fear of re-victimization during the reporting process, when victims face insensitive treatment from </w:t>
      </w:r>
      <w:r w:rsidR="00425519" w:rsidRPr="00CE723C">
        <w:rPr>
          <w:sz w:val="24"/>
          <w:szCs w:val="24"/>
        </w:rPr>
        <w:t>police</w:t>
      </w:r>
      <w:r w:rsidRPr="00CE723C">
        <w:rPr>
          <w:sz w:val="24"/>
          <w:szCs w:val="24"/>
        </w:rPr>
        <w:t xml:space="preserve"> or the legal system (Pezzella, Fetzer, &amp; Keller, 2019).</w:t>
      </w:r>
    </w:p>
    <w:p w14:paraId="12CC8B52" w14:textId="30F31D38" w:rsidR="007E0ED6" w:rsidRPr="00CE723C" w:rsidRDefault="007E0ED6" w:rsidP="00C01D56">
      <w:pPr>
        <w:spacing w:line="480" w:lineRule="auto"/>
        <w:rPr>
          <w:sz w:val="24"/>
          <w:szCs w:val="24"/>
        </w:rPr>
      </w:pPr>
      <w:r w:rsidRPr="00CE723C">
        <w:rPr>
          <w:sz w:val="24"/>
          <w:szCs w:val="24"/>
        </w:rPr>
        <w:t xml:space="preserve">In conclusion, the decision not to report a crime is influenced by a range of psychological, social, cultural, and institutional factors. Fear of retaliation, distrust in </w:t>
      </w:r>
      <w:r w:rsidR="00425519" w:rsidRPr="00CE723C">
        <w:rPr>
          <w:sz w:val="24"/>
          <w:szCs w:val="24"/>
        </w:rPr>
        <w:t>the police</w:t>
      </w:r>
      <w:r w:rsidRPr="00CE723C">
        <w:rPr>
          <w:sz w:val="24"/>
          <w:szCs w:val="24"/>
        </w:rPr>
        <w:t xml:space="preserve">, social stigma, economic dependence, </w:t>
      </w:r>
      <w:r w:rsidR="00425519" w:rsidRPr="00CE723C">
        <w:rPr>
          <w:sz w:val="24"/>
          <w:szCs w:val="24"/>
        </w:rPr>
        <w:t xml:space="preserve">disabilities, age </w:t>
      </w:r>
      <w:r w:rsidRPr="00CE723C">
        <w:rPr>
          <w:sz w:val="24"/>
          <w:szCs w:val="24"/>
        </w:rPr>
        <w:t xml:space="preserve">and a lack of knowledge of legal rights all play </w:t>
      </w:r>
      <w:r w:rsidR="00425519" w:rsidRPr="00CE723C">
        <w:rPr>
          <w:sz w:val="24"/>
          <w:szCs w:val="24"/>
        </w:rPr>
        <w:t>a</w:t>
      </w:r>
      <w:r w:rsidRPr="00CE723C">
        <w:rPr>
          <w:sz w:val="24"/>
          <w:szCs w:val="24"/>
        </w:rPr>
        <w:t xml:space="preserve"> role</w:t>
      </w:r>
      <w:r w:rsidR="00425519" w:rsidRPr="00CE723C">
        <w:rPr>
          <w:sz w:val="24"/>
          <w:szCs w:val="24"/>
        </w:rPr>
        <w:t xml:space="preserve"> </w:t>
      </w:r>
      <w:r w:rsidRPr="00CE723C">
        <w:rPr>
          <w:sz w:val="24"/>
          <w:szCs w:val="24"/>
        </w:rPr>
        <w:t xml:space="preserve">in the underreporting of crimes. To address this issue, systemic reforms are </w:t>
      </w:r>
      <w:r w:rsidRPr="00CE723C">
        <w:rPr>
          <w:sz w:val="24"/>
          <w:szCs w:val="24"/>
        </w:rPr>
        <w:lastRenderedPageBreak/>
        <w:t xml:space="preserve">needed to improve the responsiveness of </w:t>
      </w:r>
      <w:r w:rsidR="00CD059C" w:rsidRPr="00CE723C">
        <w:rPr>
          <w:sz w:val="24"/>
          <w:szCs w:val="24"/>
        </w:rPr>
        <w:t>the police and justice system</w:t>
      </w:r>
      <w:r w:rsidRPr="00CE723C">
        <w:rPr>
          <w:sz w:val="24"/>
          <w:szCs w:val="24"/>
        </w:rPr>
        <w:t xml:space="preserve">, provide better </w:t>
      </w:r>
      <w:r w:rsidR="00425519" w:rsidRPr="00CE723C">
        <w:rPr>
          <w:sz w:val="24"/>
          <w:szCs w:val="24"/>
        </w:rPr>
        <w:t xml:space="preserve">specialised </w:t>
      </w:r>
      <w:r w:rsidRPr="00CE723C">
        <w:rPr>
          <w:sz w:val="24"/>
          <w:szCs w:val="24"/>
        </w:rPr>
        <w:t xml:space="preserve">support for victims, and reduce the stigma surrounding victimization. </w:t>
      </w:r>
      <w:r w:rsidR="00425519" w:rsidRPr="00CE723C">
        <w:rPr>
          <w:sz w:val="24"/>
          <w:szCs w:val="24"/>
        </w:rPr>
        <w:t>A</w:t>
      </w:r>
      <w:r w:rsidRPr="00CE723C">
        <w:rPr>
          <w:sz w:val="24"/>
          <w:szCs w:val="24"/>
        </w:rPr>
        <w:t>ddressing these factors</w:t>
      </w:r>
      <w:r w:rsidR="00425519" w:rsidRPr="00CE723C">
        <w:rPr>
          <w:sz w:val="24"/>
          <w:szCs w:val="24"/>
        </w:rPr>
        <w:t>,</w:t>
      </w:r>
      <w:r w:rsidRPr="00CE723C">
        <w:rPr>
          <w:sz w:val="24"/>
          <w:szCs w:val="24"/>
        </w:rPr>
        <w:t xml:space="preserve"> may be possible to empower victims to come forward and ensure that the criminal justice system can more effectively address crime</w:t>
      </w:r>
      <w:r w:rsidR="00425519" w:rsidRPr="00CE723C">
        <w:rPr>
          <w:sz w:val="24"/>
          <w:szCs w:val="24"/>
        </w:rPr>
        <w:t xml:space="preserve"> and </w:t>
      </w:r>
      <w:r w:rsidR="001014AE" w:rsidRPr="00CE723C">
        <w:rPr>
          <w:sz w:val="24"/>
          <w:szCs w:val="24"/>
        </w:rPr>
        <w:t>help mitigate the underreporting issue itself</w:t>
      </w:r>
      <w:r w:rsidRPr="00CE723C">
        <w:rPr>
          <w:sz w:val="24"/>
          <w:szCs w:val="24"/>
        </w:rPr>
        <w:t>.</w:t>
      </w:r>
    </w:p>
    <w:p w14:paraId="4C098C26" w14:textId="77777777" w:rsidR="007E0ED6" w:rsidRPr="00CE723C" w:rsidRDefault="007E0ED6" w:rsidP="00EF5F5D">
      <w:pPr>
        <w:spacing w:line="360" w:lineRule="auto"/>
        <w:rPr>
          <w:sz w:val="24"/>
          <w:szCs w:val="24"/>
        </w:rPr>
      </w:pPr>
    </w:p>
    <w:p w14:paraId="3E1FF111" w14:textId="77777777" w:rsidR="00EF5F5D" w:rsidRDefault="00EF5F5D" w:rsidP="007E0ED6">
      <w:pPr>
        <w:rPr>
          <w:sz w:val="24"/>
          <w:szCs w:val="24"/>
        </w:rPr>
      </w:pPr>
    </w:p>
    <w:p w14:paraId="0AB89A36" w14:textId="77777777" w:rsidR="00C01D56" w:rsidRDefault="00C01D56" w:rsidP="007E0ED6">
      <w:pPr>
        <w:rPr>
          <w:sz w:val="24"/>
          <w:szCs w:val="24"/>
          <w:u w:val="single"/>
        </w:rPr>
      </w:pPr>
    </w:p>
    <w:p w14:paraId="217D1DBD" w14:textId="77777777" w:rsidR="00C01D56" w:rsidRDefault="00C01D56" w:rsidP="007E0ED6">
      <w:pPr>
        <w:rPr>
          <w:sz w:val="24"/>
          <w:szCs w:val="24"/>
          <w:u w:val="single"/>
        </w:rPr>
      </w:pPr>
    </w:p>
    <w:p w14:paraId="5FDA9CD9" w14:textId="77777777" w:rsidR="00C01D56" w:rsidRDefault="00C01D56" w:rsidP="007E0ED6">
      <w:pPr>
        <w:rPr>
          <w:sz w:val="24"/>
          <w:szCs w:val="24"/>
          <w:u w:val="single"/>
        </w:rPr>
      </w:pPr>
    </w:p>
    <w:p w14:paraId="4243BBB5" w14:textId="77777777" w:rsidR="00C01D56" w:rsidRDefault="00C01D56" w:rsidP="007E0ED6">
      <w:pPr>
        <w:rPr>
          <w:sz w:val="24"/>
          <w:szCs w:val="24"/>
          <w:u w:val="single"/>
        </w:rPr>
      </w:pPr>
    </w:p>
    <w:p w14:paraId="76740E86" w14:textId="77777777" w:rsidR="00C01D56" w:rsidRDefault="00C01D56" w:rsidP="007E0ED6">
      <w:pPr>
        <w:rPr>
          <w:sz w:val="24"/>
          <w:szCs w:val="24"/>
          <w:u w:val="single"/>
        </w:rPr>
      </w:pPr>
    </w:p>
    <w:p w14:paraId="7F19036F" w14:textId="77777777" w:rsidR="00C01D56" w:rsidRDefault="00C01D56" w:rsidP="007E0ED6">
      <w:pPr>
        <w:rPr>
          <w:sz w:val="24"/>
          <w:szCs w:val="24"/>
          <w:u w:val="single"/>
        </w:rPr>
      </w:pPr>
    </w:p>
    <w:p w14:paraId="5886707A" w14:textId="77777777" w:rsidR="00C01D56" w:rsidRDefault="00C01D56" w:rsidP="007E0ED6">
      <w:pPr>
        <w:rPr>
          <w:sz w:val="24"/>
          <w:szCs w:val="24"/>
          <w:u w:val="single"/>
        </w:rPr>
      </w:pPr>
    </w:p>
    <w:p w14:paraId="69809FF9" w14:textId="77777777" w:rsidR="00C01D56" w:rsidRDefault="00C01D56" w:rsidP="007E0ED6">
      <w:pPr>
        <w:rPr>
          <w:sz w:val="24"/>
          <w:szCs w:val="24"/>
          <w:u w:val="single"/>
        </w:rPr>
      </w:pPr>
    </w:p>
    <w:p w14:paraId="6034517F" w14:textId="77777777" w:rsidR="00C01D56" w:rsidRDefault="00C01D56" w:rsidP="007E0ED6">
      <w:pPr>
        <w:rPr>
          <w:sz w:val="24"/>
          <w:szCs w:val="24"/>
          <w:u w:val="single"/>
        </w:rPr>
      </w:pPr>
    </w:p>
    <w:p w14:paraId="4BED7D62" w14:textId="77777777" w:rsidR="00C01D56" w:rsidRDefault="00C01D56" w:rsidP="007E0ED6">
      <w:pPr>
        <w:rPr>
          <w:sz w:val="24"/>
          <w:szCs w:val="24"/>
          <w:u w:val="single"/>
        </w:rPr>
      </w:pPr>
    </w:p>
    <w:p w14:paraId="43034A64" w14:textId="77777777" w:rsidR="00C01D56" w:rsidRDefault="00C01D56" w:rsidP="007E0ED6">
      <w:pPr>
        <w:rPr>
          <w:sz w:val="24"/>
          <w:szCs w:val="24"/>
          <w:u w:val="single"/>
        </w:rPr>
      </w:pPr>
    </w:p>
    <w:p w14:paraId="57EE927F" w14:textId="77777777" w:rsidR="00C01D56" w:rsidRDefault="00C01D56" w:rsidP="007E0ED6">
      <w:pPr>
        <w:rPr>
          <w:sz w:val="24"/>
          <w:szCs w:val="24"/>
          <w:u w:val="single"/>
        </w:rPr>
      </w:pPr>
    </w:p>
    <w:p w14:paraId="4F3B79F8" w14:textId="77777777" w:rsidR="00C01D56" w:rsidRDefault="00C01D56" w:rsidP="007E0ED6">
      <w:pPr>
        <w:rPr>
          <w:sz w:val="24"/>
          <w:szCs w:val="24"/>
          <w:u w:val="single"/>
        </w:rPr>
      </w:pPr>
    </w:p>
    <w:p w14:paraId="4EDD2E99" w14:textId="77777777" w:rsidR="00C01D56" w:rsidRDefault="00C01D56" w:rsidP="007E0ED6">
      <w:pPr>
        <w:rPr>
          <w:sz w:val="24"/>
          <w:szCs w:val="24"/>
          <w:u w:val="single"/>
        </w:rPr>
      </w:pPr>
    </w:p>
    <w:p w14:paraId="4FE0A2EC" w14:textId="77777777" w:rsidR="00C01D56" w:rsidRDefault="00C01D56" w:rsidP="007E0ED6">
      <w:pPr>
        <w:rPr>
          <w:sz w:val="24"/>
          <w:szCs w:val="24"/>
          <w:u w:val="single"/>
        </w:rPr>
      </w:pPr>
    </w:p>
    <w:p w14:paraId="11DDF9A9" w14:textId="77777777" w:rsidR="00C01D56" w:rsidRDefault="00C01D56" w:rsidP="007E0ED6">
      <w:pPr>
        <w:rPr>
          <w:sz w:val="24"/>
          <w:szCs w:val="24"/>
          <w:u w:val="single"/>
        </w:rPr>
      </w:pPr>
    </w:p>
    <w:p w14:paraId="4FE83EAD" w14:textId="77777777" w:rsidR="00C01D56" w:rsidRDefault="00C01D56" w:rsidP="007E0ED6">
      <w:pPr>
        <w:rPr>
          <w:sz w:val="24"/>
          <w:szCs w:val="24"/>
          <w:u w:val="single"/>
        </w:rPr>
      </w:pPr>
    </w:p>
    <w:p w14:paraId="323AE585" w14:textId="77777777" w:rsidR="00C01D56" w:rsidRDefault="00C01D56" w:rsidP="007E0ED6">
      <w:pPr>
        <w:rPr>
          <w:sz w:val="24"/>
          <w:szCs w:val="24"/>
          <w:u w:val="single"/>
        </w:rPr>
      </w:pPr>
    </w:p>
    <w:p w14:paraId="182E59E6" w14:textId="77777777" w:rsidR="00C01D56" w:rsidRDefault="00C01D56" w:rsidP="007E0ED6">
      <w:pPr>
        <w:rPr>
          <w:sz w:val="24"/>
          <w:szCs w:val="24"/>
          <w:u w:val="single"/>
        </w:rPr>
      </w:pPr>
    </w:p>
    <w:p w14:paraId="17AE38F1" w14:textId="77777777" w:rsidR="00C01D56" w:rsidRDefault="00C01D56" w:rsidP="007E0ED6">
      <w:pPr>
        <w:rPr>
          <w:sz w:val="24"/>
          <w:szCs w:val="24"/>
          <w:u w:val="single"/>
        </w:rPr>
      </w:pPr>
    </w:p>
    <w:p w14:paraId="223A06B2" w14:textId="453B86C6" w:rsidR="00691404" w:rsidRPr="00EF5F5D" w:rsidRDefault="007E0ED6" w:rsidP="007E0ED6">
      <w:pPr>
        <w:rPr>
          <w:sz w:val="24"/>
          <w:szCs w:val="24"/>
          <w:u w:val="single"/>
        </w:rPr>
      </w:pPr>
      <w:r w:rsidRPr="00EF5F5D">
        <w:rPr>
          <w:sz w:val="24"/>
          <w:szCs w:val="24"/>
          <w:u w:val="single"/>
        </w:rPr>
        <w:lastRenderedPageBreak/>
        <w:t>References</w:t>
      </w:r>
    </w:p>
    <w:p w14:paraId="3A4BA108" w14:textId="77777777" w:rsidR="001014AE" w:rsidRPr="00EF5F5D" w:rsidRDefault="001014AE" w:rsidP="007E0ED6">
      <w:pPr>
        <w:rPr>
          <w:sz w:val="24"/>
          <w:szCs w:val="24"/>
        </w:rPr>
      </w:pPr>
    </w:p>
    <w:p w14:paraId="48B304D9" w14:textId="148F0B36" w:rsidR="001014AE" w:rsidRPr="00EF5F5D" w:rsidRDefault="001014AE" w:rsidP="007E0ED6">
      <w:pPr>
        <w:rPr>
          <w:sz w:val="24"/>
          <w:szCs w:val="24"/>
        </w:rPr>
      </w:pPr>
      <w:r w:rsidRPr="00EF5F5D">
        <w:rPr>
          <w:sz w:val="24"/>
          <w:szCs w:val="24"/>
        </w:rPr>
        <w:t xml:space="preserve">Babic, J. (2022). </w:t>
      </w:r>
      <w:r w:rsidRPr="00475BEA">
        <w:rPr>
          <w:i/>
          <w:iCs/>
          <w:sz w:val="24"/>
          <w:szCs w:val="24"/>
        </w:rPr>
        <w:t>Unravelling the Youth Criminal Justice Act</w:t>
      </w:r>
      <w:r w:rsidRPr="00EF5F5D">
        <w:rPr>
          <w:sz w:val="24"/>
          <w:szCs w:val="24"/>
        </w:rPr>
        <w:t>: Analysing Underreporting in Youth Crime Statistics from the General Social Survey.</w:t>
      </w:r>
      <w:r w:rsidR="00B674EB">
        <w:rPr>
          <w:sz w:val="24"/>
          <w:szCs w:val="24"/>
        </w:rPr>
        <w:t xml:space="preserve"> Available at:</w:t>
      </w:r>
      <w:r w:rsidRPr="00EF5F5D">
        <w:rPr>
          <w:sz w:val="24"/>
          <w:szCs w:val="24"/>
        </w:rPr>
        <w:t xml:space="preserve"> </w:t>
      </w:r>
      <w:hyperlink r:id="rId5" w:history="1">
        <w:r w:rsidR="00D637ED" w:rsidRPr="00EC15A1">
          <w:rPr>
            <w:rStyle w:val="Hyperlink"/>
            <w:sz w:val="24"/>
            <w:szCs w:val="24"/>
          </w:rPr>
          <w:t>https://summit.sfu.ca/item/39078</w:t>
        </w:r>
      </w:hyperlink>
      <w:r w:rsidR="00D637ED">
        <w:rPr>
          <w:sz w:val="24"/>
          <w:szCs w:val="24"/>
        </w:rPr>
        <w:t xml:space="preserve"> </w:t>
      </w:r>
      <w:r w:rsidR="007E212A">
        <w:rPr>
          <w:sz w:val="24"/>
          <w:szCs w:val="24"/>
        </w:rPr>
        <w:t>(Accessed: February 2025).</w:t>
      </w:r>
    </w:p>
    <w:p w14:paraId="74062066" w14:textId="77777777" w:rsidR="001014AE" w:rsidRPr="00EF5F5D" w:rsidRDefault="001014AE" w:rsidP="007E0ED6">
      <w:pPr>
        <w:rPr>
          <w:sz w:val="24"/>
          <w:szCs w:val="24"/>
        </w:rPr>
      </w:pPr>
    </w:p>
    <w:p w14:paraId="11831D4C" w14:textId="2C0777F7" w:rsidR="00EC20C8" w:rsidRPr="00EF5F5D" w:rsidRDefault="00EC20C8" w:rsidP="007E0ED6">
      <w:pPr>
        <w:rPr>
          <w:sz w:val="24"/>
          <w:szCs w:val="24"/>
        </w:rPr>
      </w:pPr>
      <w:r w:rsidRPr="00EF5F5D">
        <w:rPr>
          <w:sz w:val="24"/>
          <w:szCs w:val="24"/>
        </w:rPr>
        <w:t xml:space="preserve">Bowles, R., Garcia Reyes, M. &amp; </w:t>
      </w:r>
      <w:proofErr w:type="spellStart"/>
      <w:r w:rsidRPr="00EF5F5D">
        <w:rPr>
          <w:sz w:val="24"/>
          <w:szCs w:val="24"/>
        </w:rPr>
        <w:t>Garoupa</w:t>
      </w:r>
      <w:proofErr w:type="spellEnd"/>
      <w:r w:rsidRPr="00EF5F5D">
        <w:rPr>
          <w:sz w:val="24"/>
          <w:szCs w:val="24"/>
        </w:rPr>
        <w:t xml:space="preserve">, N. (2009) </w:t>
      </w:r>
      <w:r w:rsidRPr="00475BEA">
        <w:rPr>
          <w:i/>
          <w:iCs/>
          <w:sz w:val="24"/>
          <w:szCs w:val="24"/>
        </w:rPr>
        <w:t>Crime Reporting Decisions and the Costs of Crime.</w:t>
      </w:r>
      <w:r w:rsidRPr="00EF5F5D">
        <w:rPr>
          <w:sz w:val="24"/>
          <w:szCs w:val="24"/>
        </w:rPr>
        <w:t xml:space="preserve"> </w:t>
      </w:r>
      <w:proofErr w:type="spellStart"/>
      <w:r w:rsidRPr="00EF5F5D">
        <w:rPr>
          <w:sz w:val="24"/>
          <w:szCs w:val="24"/>
        </w:rPr>
        <w:t>Eur</w:t>
      </w:r>
      <w:proofErr w:type="spellEnd"/>
      <w:r w:rsidRPr="00EF5F5D">
        <w:rPr>
          <w:sz w:val="24"/>
          <w:szCs w:val="24"/>
        </w:rPr>
        <w:t xml:space="preserve"> J Crim Policy Res. </w:t>
      </w:r>
      <w:r w:rsidR="00CD1392">
        <w:rPr>
          <w:sz w:val="24"/>
          <w:szCs w:val="24"/>
        </w:rPr>
        <w:t xml:space="preserve">Available at: </w:t>
      </w:r>
      <w:hyperlink r:id="rId6" w:history="1">
        <w:r w:rsidR="00CD1392" w:rsidRPr="00EC15A1">
          <w:rPr>
            <w:rStyle w:val="Hyperlink"/>
            <w:sz w:val="24"/>
            <w:szCs w:val="24"/>
          </w:rPr>
          <w:t>https://doi.org/10.1007/s10610-009-9109-8</w:t>
        </w:r>
      </w:hyperlink>
      <w:r w:rsidRPr="00EF5F5D">
        <w:rPr>
          <w:sz w:val="24"/>
          <w:szCs w:val="24"/>
        </w:rPr>
        <w:t xml:space="preserve"> </w:t>
      </w:r>
    </w:p>
    <w:p w14:paraId="728560CB" w14:textId="77777777" w:rsidR="00EC20C8" w:rsidRPr="00EF5F5D" w:rsidRDefault="00EC20C8" w:rsidP="007E0ED6">
      <w:pPr>
        <w:rPr>
          <w:sz w:val="24"/>
          <w:szCs w:val="24"/>
        </w:rPr>
      </w:pPr>
    </w:p>
    <w:p w14:paraId="6F2972BF" w14:textId="77777777" w:rsidR="00EC20C8" w:rsidRPr="00EF5F5D" w:rsidRDefault="00EC20C8" w:rsidP="007E0ED6">
      <w:pPr>
        <w:rPr>
          <w:sz w:val="24"/>
          <w:szCs w:val="24"/>
        </w:rPr>
      </w:pPr>
    </w:p>
    <w:p w14:paraId="302F3459" w14:textId="498AC6FD" w:rsidR="00691404" w:rsidRPr="00EF5F5D" w:rsidRDefault="00691404" w:rsidP="007E0ED6">
      <w:pPr>
        <w:rPr>
          <w:sz w:val="24"/>
          <w:szCs w:val="24"/>
        </w:rPr>
      </w:pPr>
      <w:r w:rsidRPr="00EF5F5D">
        <w:rPr>
          <w:sz w:val="24"/>
          <w:szCs w:val="24"/>
        </w:rPr>
        <w:t xml:space="preserve">Comino, S., </w:t>
      </w:r>
      <w:proofErr w:type="spellStart"/>
      <w:r w:rsidRPr="00EF5F5D">
        <w:rPr>
          <w:sz w:val="24"/>
          <w:szCs w:val="24"/>
        </w:rPr>
        <w:t>Mastrobuoni</w:t>
      </w:r>
      <w:proofErr w:type="spellEnd"/>
      <w:r w:rsidRPr="00EF5F5D">
        <w:rPr>
          <w:sz w:val="24"/>
          <w:szCs w:val="24"/>
        </w:rPr>
        <w:t xml:space="preserve">, G., &amp; Nicolo, A. (2020). </w:t>
      </w:r>
      <w:r w:rsidRPr="0055364B">
        <w:rPr>
          <w:i/>
          <w:iCs/>
          <w:sz w:val="24"/>
          <w:szCs w:val="24"/>
        </w:rPr>
        <w:t>Silence of the Innocents: Undocumented Immigrants Underreporting of Crime and Their Victimization</w:t>
      </w:r>
      <w:r w:rsidRPr="00EF5F5D">
        <w:rPr>
          <w:sz w:val="24"/>
          <w:szCs w:val="24"/>
        </w:rPr>
        <w:t>. Public Administration Review</w:t>
      </w:r>
      <w:r w:rsidR="003D4EAC" w:rsidRPr="00EF5F5D">
        <w:rPr>
          <w:sz w:val="24"/>
          <w:szCs w:val="24"/>
        </w:rPr>
        <w:t>.</w:t>
      </w:r>
      <w:r w:rsidR="005C1F7D">
        <w:rPr>
          <w:sz w:val="24"/>
          <w:szCs w:val="24"/>
        </w:rPr>
        <w:t xml:space="preserve"> Available at:</w:t>
      </w:r>
      <w:r w:rsidRPr="00EF5F5D">
        <w:rPr>
          <w:sz w:val="24"/>
          <w:szCs w:val="24"/>
        </w:rPr>
        <w:t xml:space="preserve"> </w:t>
      </w:r>
      <w:hyperlink r:id="rId7" w:history="1">
        <w:r w:rsidRPr="00EF5F5D">
          <w:rPr>
            <w:rStyle w:val="Hyperlink"/>
            <w:sz w:val="24"/>
            <w:szCs w:val="24"/>
          </w:rPr>
          <w:t>https://doi.org/10.1002/pam.22221</w:t>
        </w:r>
      </w:hyperlink>
      <w:r w:rsidRPr="00EF5F5D">
        <w:rPr>
          <w:sz w:val="24"/>
          <w:szCs w:val="24"/>
        </w:rPr>
        <w:t xml:space="preserve"> </w:t>
      </w:r>
    </w:p>
    <w:p w14:paraId="0405F68D" w14:textId="77777777" w:rsidR="00691404" w:rsidRPr="00EF5F5D" w:rsidRDefault="00691404" w:rsidP="007E0ED6">
      <w:pPr>
        <w:rPr>
          <w:sz w:val="24"/>
          <w:szCs w:val="24"/>
        </w:rPr>
      </w:pPr>
    </w:p>
    <w:p w14:paraId="1DF816F2" w14:textId="0E554953" w:rsidR="00691404" w:rsidRPr="00EF5F5D" w:rsidRDefault="00691404" w:rsidP="007E0ED6">
      <w:pPr>
        <w:rPr>
          <w:sz w:val="24"/>
          <w:szCs w:val="24"/>
        </w:rPr>
      </w:pPr>
      <w:r w:rsidRPr="00EF5F5D">
        <w:rPr>
          <w:sz w:val="24"/>
          <w:szCs w:val="24"/>
        </w:rPr>
        <w:t xml:space="preserve">Comino, S., </w:t>
      </w:r>
      <w:proofErr w:type="spellStart"/>
      <w:r w:rsidRPr="00EF5F5D">
        <w:rPr>
          <w:sz w:val="24"/>
          <w:szCs w:val="24"/>
        </w:rPr>
        <w:t>Mastrobuoni</w:t>
      </w:r>
      <w:proofErr w:type="spellEnd"/>
      <w:r w:rsidRPr="00EF5F5D">
        <w:rPr>
          <w:sz w:val="24"/>
          <w:szCs w:val="24"/>
        </w:rPr>
        <w:t xml:space="preserve">, G., &amp; Nicolo, A. (2020). </w:t>
      </w:r>
      <w:r w:rsidRPr="0055364B">
        <w:rPr>
          <w:i/>
          <w:iCs/>
          <w:sz w:val="24"/>
          <w:szCs w:val="24"/>
        </w:rPr>
        <w:t>Silence of the Innocents: Undocumented Immigrants Underreporting of Crime and Their Victimization</w:t>
      </w:r>
      <w:r w:rsidRPr="00EF5F5D">
        <w:rPr>
          <w:sz w:val="24"/>
          <w:szCs w:val="24"/>
        </w:rPr>
        <w:t>. Public Administration Review</w:t>
      </w:r>
      <w:r w:rsidR="003D4EAC" w:rsidRPr="00EF5F5D">
        <w:rPr>
          <w:sz w:val="24"/>
          <w:szCs w:val="24"/>
        </w:rPr>
        <w:t>.</w:t>
      </w:r>
      <w:r w:rsidRPr="00EF5F5D">
        <w:rPr>
          <w:sz w:val="24"/>
          <w:szCs w:val="24"/>
        </w:rPr>
        <w:t xml:space="preserve"> </w:t>
      </w:r>
      <w:r w:rsidR="005C1F7D">
        <w:rPr>
          <w:sz w:val="24"/>
          <w:szCs w:val="24"/>
        </w:rPr>
        <w:t xml:space="preserve">Available at: </w:t>
      </w:r>
      <w:hyperlink r:id="rId8" w:history="1">
        <w:r w:rsidR="005B0686" w:rsidRPr="00EC15A1">
          <w:rPr>
            <w:rStyle w:val="Hyperlink"/>
            <w:sz w:val="24"/>
            <w:szCs w:val="24"/>
          </w:rPr>
          <w:t>https://doi.org/10.1002/pam.22221</w:t>
        </w:r>
      </w:hyperlink>
      <w:r w:rsidRPr="00EF5F5D">
        <w:rPr>
          <w:sz w:val="24"/>
          <w:szCs w:val="24"/>
        </w:rPr>
        <w:t xml:space="preserve"> </w:t>
      </w:r>
    </w:p>
    <w:p w14:paraId="179E8736" w14:textId="77777777" w:rsidR="003D4EAC" w:rsidRPr="00EF5F5D" w:rsidRDefault="003D4EAC" w:rsidP="007E0ED6">
      <w:pPr>
        <w:rPr>
          <w:sz w:val="24"/>
          <w:szCs w:val="24"/>
        </w:rPr>
      </w:pPr>
    </w:p>
    <w:p w14:paraId="64BD6DC4" w14:textId="1D515275" w:rsidR="00691404" w:rsidRPr="00EF5F5D" w:rsidRDefault="003D4EAC" w:rsidP="007E0ED6">
      <w:pPr>
        <w:rPr>
          <w:sz w:val="24"/>
          <w:szCs w:val="24"/>
        </w:rPr>
      </w:pPr>
      <w:r w:rsidRPr="00EF5F5D">
        <w:rPr>
          <w:sz w:val="24"/>
          <w:szCs w:val="24"/>
        </w:rPr>
        <w:t>Cullen, C. (2023). Method Matters: The Underreporting of Intimate Partner Violence. The World Bank Economic Review.</w:t>
      </w:r>
      <w:r w:rsidR="005B0686">
        <w:rPr>
          <w:sz w:val="24"/>
          <w:szCs w:val="24"/>
        </w:rPr>
        <w:t xml:space="preserve"> Available at:</w:t>
      </w:r>
      <w:r w:rsidRPr="00EF5F5D">
        <w:rPr>
          <w:sz w:val="24"/>
          <w:szCs w:val="24"/>
        </w:rPr>
        <w:t xml:space="preserve"> </w:t>
      </w:r>
      <w:hyperlink r:id="rId9" w:history="1">
        <w:r w:rsidRPr="00EF5F5D">
          <w:rPr>
            <w:rStyle w:val="Hyperlink"/>
            <w:sz w:val="24"/>
            <w:szCs w:val="24"/>
          </w:rPr>
          <w:t>https://doi.org/10.1093/wber/lhac022</w:t>
        </w:r>
      </w:hyperlink>
      <w:r w:rsidRPr="00EF5F5D">
        <w:rPr>
          <w:sz w:val="24"/>
          <w:szCs w:val="24"/>
        </w:rPr>
        <w:t xml:space="preserve"> </w:t>
      </w:r>
    </w:p>
    <w:p w14:paraId="1D335071" w14:textId="77777777" w:rsidR="003D4EAC" w:rsidRPr="00EF5F5D" w:rsidRDefault="003D4EAC" w:rsidP="007E0ED6">
      <w:pPr>
        <w:rPr>
          <w:sz w:val="24"/>
          <w:szCs w:val="24"/>
        </w:rPr>
      </w:pPr>
    </w:p>
    <w:p w14:paraId="5D822D60" w14:textId="15E71D25" w:rsidR="00691404" w:rsidRPr="00EF5F5D" w:rsidRDefault="00691404" w:rsidP="007E0ED6">
      <w:pPr>
        <w:rPr>
          <w:sz w:val="24"/>
          <w:szCs w:val="24"/>
        </w:rPr>
      </w:pPr>
      <w:r w:rsidRPr="00EF5F5D">
        <w:rPr>
          <w:sz w:val="24"/>
          <w:szCs w:val="24"/>
        </w:rPr>
        <w:t xml:space="preserve">Kelley, S. M., Zhang, Y., &amp; O’Neal, E. N. (2022). </w:t>
      </w:r>
      <w:r w:rsidRPr="005B0686">
        <w:rPr>
          <w:i/>
          <w:iCs/>
          <w:sz w:val="24"/>
          <w:szCs w:val="24"/>
        </w:rPr>
        <w:t>To Report or Not to Report? A Focal Concerns Analysis of Victim Reporting Decisions Following Victimization</w:t>
      </w:r>
      <w:r w:rsidRPr="00EF5F5D">
        <w:rPr>
          <w:sz w:val="24"/>
          <w:szCs w:val="24"/>
        </w:rPr>
        <w:t>. Journal of Interpersonal Violence</w:t>
      </w:r>
      <w:r w:rsidR="003D4EAC" w:rsidRPr="00EF5F5D">
        <w:rPr>
          <w:sz w:val="24"/>
          <w:szCs w:val="24"/>
        </w:rPr>
        <w:t>.</w:t>
      </w:r>
      <w:r w:rsidR="005B0686">
        <w:rPr>
          <w:sz w:val="24"/>
          <w:szCs w:val="24"/>
        </w:rPr>
        <w:t xml:space="preserve"> Available at:</w:t>
      </w:r>
      <w:r w:rsidRPr="00EF5F5D">
        <w:rPr>
          <w:sz w:val="24"/>
          <w:szCs w:val="24"/>
        </w:rPr>
        <w:t xml:space="preserve"> </w:t>
      </w:r>
      <w:hyperlink r:id="rId10" w:history="1">
        <w:r w:rsidRPr="00EF5F5D">
          <w:rPr>
            <w:rStyle w:val="Hyperlink"/>
            <w:sz w:val="24"/>
            <w:szCs w:val="24"/>
          </w:rPr>
          <w:t>https://doi.org/10.1177/08862605211045333</w:t>
        </w:r>
      </w:hyperlink>
      <w:r w:rsidRPr="00EF5F5D">
        <w:rPr>
          <w:sz w:val="24"/>
          <w:szCs w:val="24"/>
        </w:rPr>
        <w:t xml:space="preserve"> </w:t>
      </w:r>
    </w:p>
    <w:p w14:paraId="725B3133" w14:textId="77777777" w:rsidR="00691404" w:rsidRPr="00EF5F5D" w:rsidRDefault="00691404" w:rsidP="007E0ED6">
      <w:pPr>
        <w:rPr>
          <w:sz w:val="24"/>
          <w:szCs w:val="24"/>
        </w:rPr>
      </w:pPr>
    </w:p>
    <w:p w14:paraId="661397F6" w14:textId="4DD739AC" w:rsidR="00691404" w:rsidRPr="00EF5F5D" w:rsidRDefault="00691404" w:rsidP="007E0ED6">
      <w:pPr>
        <w:rPr>
          <w:sz w:val="24"/>
          <w:szCs w:val="24"/>
        </w:rPr>
      </w:pPr>
      <w:r w:rsidRPr="00EF5F5D">
        <w:rPr>
          <w:sz w:val="24"/>
          <w:szCs w:val="24"/>
        </w:rPr>
        <w:t xml:space="preserve">Kelley, S. M., Zhang, Y., &amp; O’Neal, E. N. (2022). </w:t>
      </w:r>
      <w:r w:rsidRPr="005B0686">
        <w:rPr>
          <w:i/>
          <w:iCs/>
          <w:sz w:val="24"/>
          <w:szCs w:val="24"/>
        </w:rPr>
        <w:t>To Report or Not to Report? A Focal Concerns Analysis of Victim Reporting Decisions Following Victimization</w:t>
      </w:r>
      <w:r w:rsidRPr="00EF5F5D">
        <w:rPr>
          <w:sz w:val="24"/>
          <w:szCs w:val="24"/>
        </w:rPr>
        <w:t>. Journal of Interpersonal Violence</w:t>
      </w:r>
      <w:r w:rsidR="003D4EAC" w:rsidRPr="00EF5F5D">
        <w:rPr>
          <w:sz w:val="24"/>
          <w:szCs w:val="24"/>
        </w:rPr>
        <w:t>.</w:t>
      </w:r>
      <w:r w:rsidRPr="00EF5F5D">
        <w:rPr>
          <w:sz w:val="24"/>
          <w:szCs w:val="24"/>
        </w:rPr>
        <w:t xml:space="preserve"> </w:t>
      </w:r>
      <w:r w:rsidR="005B0686">
        <w:rPr>
          <w:sz w:val="24"/>
          <w:szCs w:val="24"/>
        </w:rPr>
        <w:t xml:space="preserve">Available at: </w:t>
      </w:r>
      <w:hyperlink r:id="rId11" w:history="1">
        <w:r w:rsidR="005B0686" w:rsidRPr="00EC15A1">
          <w:rPr>
            <w:rStyle w:val="Hyperlink"/>
            <w:sz w:val="24"/>
            <w:szCs w:val="24"/>
          </w:rPr>
          <w:t>https://doi.org/10.1177/08862605211045333</w:t>
        </w:r>
      </w:hyperlink>
      <w:r w:rsidRPr="00EF5F5D">
        <w:rPr>
          <w:sz w:val="24"/>
          <w:szCs w:val="24"/>
        </w:rPr>
        <w:t xml:space="preserve"> </w:t>
      </w:r>
    </w:p>
    <w:p w14:paraId="7BE37D5E" w14:textId="77777777" w:rsidR="00691404" w:rsidRPr="00EF5F5D" w:rsidRDefault="00691404" w:rsidP="007E0ED6">
      <w:pPr>
        <w:rPr>
          <w:sz w:val="24"/>
          <w:szCs w:val="24"/>
        </w:rPr>
      </w:pPr>
    </w:p>
    <w:p w14:paraId="23869D48" w14:textId="0743B51D" w:rsidR="00691404" w:rsidRPr="00EF5F5D" w:rsidRDefault="00691404" w:rsidP="007E0ED6">
      <w:pPr>
        <w:rPr>
          <w:sz w:val="24"/>
          <w:szCs w:val="24"/>
        </w:rPr>
      </w:pPr>
      <w:proofErr w:type="spellStart"/>
      <w:r w:rsidRPr="00EF5F5D">
        <w:rPr>
          <w:sz w:val="24"/>
          <w:szCs w:val="24"/>
        </w:rPr>
        <w:t>Mbewu</w:t>
      </w:r>
      <w:proofErr w:type="spellEnd"/>
      <w:r w:rsidRPr="00EF5F5D">
        <w:rPr>
          <w:sz w:val="24"/>
          <w:szCs w:val="24"/>
        </w:rPr>
        <w:t xml:space="preserve">, I., Obioha, E. E., &amp; Mugari, I. (2021). </w:t>
      </w:r>
      <w:r w:rsidRPr="0011004B">
        <w:rPr>
          <w:i/>
          <w:iCs/>
          <w:sz w:val="24"/>
          <w:szCs w:val="24"/>
        </w:rPr>
        <w:t>Encouraging and Discouraging Factors to Crime Reporting in South Africa</w:t>
      </w:r>
      <w:r w:rsidRPr="00EF5F5D">
        <w:rPr>
          <w:sz w:val="24"/>
          <w:szCs w:val="24"/>
        </w:rPr>
        <w:t xml:space="preserve">: A Survey of Residents Crime Reporting Behaviour in Mthatha South Africa Police Service Precinct. Cogent Social Sciences. </w:t>
      </w:r>
      <w:r w:rsidR="0011004B">
        <w:rPr>
          <w:sz w:val="24"/>
          <w:szCs w:val="24"/>
        </w:rPr>
        <w:t xml:space="preserve">Available at: </w:t>
      </w:r>
      <w:hyperlink r:id="rId12" w:history="1">
        <w:r w:rsidR="0011004B" w:rsidRPr="00EC15A1">
          <w:rPr>
            <w:rStyle w:val="Hyperlink"/>
            <w:sz w:val="24"/>
            <w:szCs w:val="24"/>
          </w:rPr>
          <w:t>https://doi.org/10.1080/23311886.2021.2002542</w:t>
        </w:r>
      </w:hyperlink>
      <w:r w:rsidRPr="00EF5F5D">
        <w:rPr>
          <w:sz w:val="24"/>
          <w:szCs w:val="24"/>
        </w:rPr>
        <w:t xml:space="preserve"> </w:t>
      </w:r>
    </w:p>
    <w:p w14:paraId="7AE80678" w14:textId="77777777" w:rsidR="00691404" w:rsidRPr="00EF5F5D" w:rsidRDefault="00691404" w:rsidP="007E0ED6">
      <w:pPr>
        <w:rPr>
          <w:sz w:val="24"/>
          <w:szCs w:val="24"/>
        </w:rPr>
      </w:pPr>
    </w:p>
    <w:p w14:paraId="7E4C8641" w14:textId="0CF25F9C" w:rsidR="00691404" w:rsidRPr="00EF5F5D" w:rsidRDefault="00691404" w:rsidP="007E0ED6">
      <w:pPr>
        <w:rPr>
          <w:sz w:val="24"/>
          <w:szCs w:val="24"/>
        </w:rPr>
      </w:pPr>
      <w:r w:rsidRPr="00EF5F5D">
        <w:rPr>
          <w:sz w:val="24"/>
          <w:szCs w:val="24"/>
        </w:rPr>
        <w:lastRenderedPageBreak/>
        <w:t xml:space="preserve">Morgan, R. E., &amp; Thompson, A. (2021). </w:t>
      </w:r>
      <w:r w:rsidRPr="0011004B">
        <w:rPr>
          <w:i/>
          <w:iCs/>
          <w:sz w:val="24"/>
          <w:szCs w:val="24"/>
        </w:rPr>
        <w:t>Criminal Victimization, 2020</w:t>
      </w:r>
      <w:r w:rsidRPr="00EF5F5D">
        <w:rPr>
          <w:sz w:val="24"/>
          <w:szCs w:val="24"/>
        </w:rPr>
        <w:t>. Bureau of Justice Statistics</w:t>
      </w:r>
      <w:r w:rsidR="0011004B">
        <w:rPr>
          <w:sz w:val="24"/>
          <w:szCs w:val="24"/>
        </w:rPr>
        <w:t>.</w:t>
      </w:r>
      <w:r w:rsidRPr="00EF5F5D">
        <w:rPr>
          <w:sz w:val="24"/>
          <w:szCs w:val="24"/>
        </w:rPr>
        <w:t xml:space="preserve"> </w:t>
      </w:r>
      <w:r w:rsidR="0011004B">
        <w:rPr>
          <w:sz w:val="24"/>
          <w:szCs w:val="24"/>
        </w:rPr>
        <w:t xml:space="preserve">Available at: </w:t>
      </w:r>
      <w:hyperlink r:id="rId13" w:history="1">
        <w:r w:rsidR="0011004B" w:rsidRPr="00EC15A1">
          <w:rPr>
            <w:rStyle w:val="Hyperlink"/>
            <w:sz w:val="24"/>
            <w:szCs w:val="24"/>
          </w:rPr>
          <w:t>https://www.bjs.gov/content/pub/pdf/cv20.pdf</w:t>
        </w:r>
      </w:hyperlink>
      <w:r w:rsidRPr="00EF5F5D">
        <w:rPr>
          <w:sz w:val="24"/>
          <w:szCs w:val="24"/>
        </w:rPr>
        <w:t xml:space="preserve"> </w:t>
      </w:r>
      <w:r w:rsidR="006A0523">
        <w:rPr>
          <w:sz w:val="24"/>
          <w:szCs w:val="24"/>
        </w:rPr>
        <w:t>(Accessed: February 2025).</w:t>
      </w:r>
    </w:p>
    <w:p w14:paraId="4456F59B" w14:textId="77777777" w:rsidR="00691404" w:rsidRPr="00EF5F5D" w:rsidRDefault="00691404" w:rsidP="007E0ED6">
      <w:pPr>
        <w:rPr>
          <w:sz w:val="24"/>
          <w:szCs w:val="24"/>
        </w:rPr>
      </w:pPr>
    </w:p>
    <w:p w14:paraId="58C7672B" w14:textId="0D749BC3" w:rsidR="00691404" w:rsidRPr="00EF5F5D" w:rsidRDefault="00691404" w:rsidP="007E0ED6">
      <w:pPr>
        <w:rPr>
          <w:sz w:val="24"/>
          <w:szCs w:val="24"/>
        </w:rPr>
      </w:pPr>
      <w:r w:rsidRPr="00EF5F5D">
        <w:rPr>
          <w:sz w:val="24"/>
          <w:szCs w:val="24"/>
        </w:rPr>
        <w:t xml:space="preserve">Parti, K., &amp; Robinson, R. A. (2021). </w:t>
      </w:r>
      <w:r w:rsidRPr="006A0523">
        <w:rPr>
          <w:i/>
          <w:iCs/>
          <w:sz w:val="24"/>
          <w:szCs w:val="24"/>
        </w:rPr>
        <w:t>What Hinders Victims from Reporting Sexual Violence</w:t>
      </w:r>
      <w:r w:rsidRPr="00EF5F5D">
        <w:rPr>
          <w:sz w:val="24"/>
          <w:szCs w:val="24"/>
        </w:rPr>
        <w:t>: A Qualitative Study with Police Officers, Prosecutors, and Judges in Hungary. International Journal for Crime, Justice and Social Democrac</w:t>
      </w:r>
      <w:r w:rsidR="003D4EAC" w:rsidRPr="00EF5F5D">
        <w:rPr>
          <w:sz w:val="24"/>
          <w:szCs w:val="24"/>
        </w:rPr>
        <w:t>y</w:t>
      </w:r>
      <w:r w:rsidRPr="00EF5F5D">
        <w:rPr>
          <w:sz w:val="24"/>
          <w:szCs w:val="24"/>
        </w:rPr>
        <w:t xml:space="preserve">. </w:t>
      </w:r>
      <w:r w:rsidR="006A0523">
        <w:rPr>
          <w:sz w:val="24"/>
          <w:szCs w:val="24"/>
        </w:rPr>
        <w:t xml:space="preserve">Available at: </w:t>
      </w:r>
      <w:hyperlink r:id="rId14" w:history="1">
        <w:r w:rsidR="00536498" w:rsidRPr="00EC15A1">
          <w:rPr>
            <w:rStyle w:val="Hyperlink"/>
            <w:sz w:val="24"/>
            <w:szCs w:val="24"/>
          </w:rPr>
          <w:t>https://doi.org/10.5204/ijcjsd.1851</w:t>
        </w:r>
      </w:hyperlink>
      <w:r w:rsidRPr="00EF5F5D">
        <w:rPr>
          <w:sz w:val="24"/>
          <w:szCs w:val="24"/>
        </w:rPr>
        <w:t xml:space="preserve"> </w:t>
      </w:r>
    </w:p>
    <w:p w14:paraId="52ACBE20" w14:textId="77777777" w:rsidR="00691404" w:rsidRPr="00EF5F5D" w:rsidRDefault="00691404" w:rsidP="007E0ED6">
      <w:pPr>
        <w:rPr>
          <w:sz w:val="24"/>
          <w:szCs w:val="24"/>
        </w:rPr>
      </w:pPr>
    </w:p>
    <w:p w14:paraId="15E5BBA0" w14:textId="515C5E27" w:rsidR="00691404" w:rsidRPr="00EF5F5D" w:rsidRDefault="00691404" w:rsidP="007E0ED6">
      <w:pPr>
        <w:rPr>
          <w:sz w:val="24"/>
          <w:szCs w:val="24"/>
        </w:rPr>
      </w:pPr>
      <w:r w:rsidRPr="00EF5F5D">
        <w:rPr>
          <w:sz w:val="24"/>
          <w:szCs w:val="24"/>
        </w:rPr>
        <w:t xml:space="preserve">Parti, K., &amp; Robinson, R. A. (2021). </w:t>
      </w:r>
      <w:r w:rsidRPr="00536498">
        <w:rPr>
          <w:i/>
          <w:iCs/>
          <w:sz w:val="24"/>
          <w:szCs w:val="24"/>
        </w:rPr>
        <w:t>What Hinders Victims from Reporting Sexual Violence</w:t>
      </w:r>
      <w:r w:rsidRPr="00EF5F5D">
        <w:rPr>
          <w:sz w:val="24"/>
          <w:szCs w:val="24"/>
        </w:rPr>
        <w:t xml:space="preserve">: A Qualitative Study with Police Officers, Prosecutors, and Judges in Hungary. International Journal for Crime, Justice and Social Democracy. </w:t>
      </w:r>
      <w:r w:rsidR="00536498">
        <w:rPr>
          <w:sz w:val="24"/>
          <w:szCs w:val="24"/>
        </w:rPr>
        <w:t xml:space="preserve">Available at: </w:t>
      </w:r>
      <w:hyperlink r:id="rId15" w:history="1">
        <w:r w:rsidR="00536498" w:rsidRPr="00EC15A1">
          <w:rPr>
            <w:rStyle w:val="Hyperlink"/>
            <w:sz w:val="24"/>
            <w:szCs w:val="24"/>
          </w:rPr>
          <w:t>https://doi.org/10.5204/ijcjsd.1851</w:t>
        </w:r>
      </w:hyperlink>
      <w:r w:rsidRPr="00EF5F5D">
        <w:rPr>
          <w:sz w:val="24"/>
          <w:szCs w:val="24"/>
        </w:rPr>
        <w:t xml:space="preserve"> </w:t>
      </w:r>
    </w:p>
    <w:p w14:paraId="112FC739" w14:textId="77777777" w:rsidR="00691404" w:rsidRPr="00EF5F5D" w:rsidRDefault="00691404" w:rsidP="007E0ED6">
      <w:pPr>
        <w:rPr>
          <w:sz w:val="24"/>
          <w:szCs w:val="24"/>
        </w:rPr>
      </w:pPr>
    </w:p>
    <w:p w14:paraId="295B9C01" w14:textId="561AB44B" w:rsidR="00691404" w:rsidRPr="00EF5F5D" w:rsidRDefault="00691404" w:rsidP="007E0ED6">
      <w:pPr>
        <w:rPr>
          <w:sz w:val="24"/>
          <w:szCs w:val="24"/>
        </w:rPr>
      </w:pPr>
      <w:r w:rsidRPr="00EF5F5D">
        <w:rPr>
          <w:sz w:val="24"/>
          <w:szCs w:val="24"/>
        </w:rPr>
        <w:t xml:space="preserve">Perez-Vincent, S. M., Abril, V., Chen, C., Tayo, T., &amp; Urrego Jimenez, A. (2024). </w:t>
      </w:r>
      <w:r w:rsidRPr="00536498">
        <w:rPr>
          <w:i/>
          <w:iCs/>
          <w:sz w:val="24"/>
          <w:szCs w:val="24"/>
        </w:rPr>
        <w:t>Crime Underreporting in Latin America and the Caribbean</w:t>
      </w:r>
      <w:r w:rsidRPr="00EF5F5D">
        <w:rPr>
          <w:sz w:val="24"/>
          <w:szCs w:val="24"/>
        </w:rPr>
        <w:t xml:space="preserve">. </w:t>
      </w:r>
      <w:r w:rsidR="00536498">
        <w:rPr>
          <w:sz w:val="24"/>
          <w:szCs w:val="24"/>
        </w:rPr>
        <w:t xml:space="preserve">Available at: </w:t>
      </w:r>
      <w:hyperlink r:id="rId16" w:history="1">
        <w:r w:rsidR="002A41C0" w:rsidRPr="00EC15A1">
          <w:rPr>
            <w:rStyle w:val="Hyperlink"/>
            <w:sz w:val="24"/>
            <w:szCs w:val="24"/>
          </w:rPr>
          <w:t>https://doi.org/10.18235/0013215</w:t>
        </w:r>
      </w:hyperlink>
      <w:r w:rsidRPr="00EF5F5D">
        <w:rPr>
          <w:sz w:val="24"/>
          <w:szCs w:val="24"/>
        </w:rPr>
        <w:t xml:space="preserve"> </w:t>
      </w:r>
    </w:p>
    <w:p w14:paraId="342CDB4E" w14:textId="77777777" w:rsidR="00691404" w:rsidRPr="00EF5F5D" w:rsidRDefault="00691404" w:rsidP="007E0ED6">
      <w:pPr>
        <w:rPr>
          <w:sz w:val="24"/>
          <w:szCs w:val="24"/>
        </w:rPr>
      </w:pPr>
    </w:p>
    <w:p w14:paraId="3A7C92A7" w14:textId="46DA4B30" w:rsidR="00691404" w:rsidRPr="00EF5F5D" w:rsidRDefault="00691404" w:rsidP="007E0ED6">
      <w:pPr>
        <w:rPr>
          <w:sz w:val="24"/>
          <w:szCs w:val="24"/>
        </w:rPr>
      </w:pPr>
      <w:r w:rsidRPr="00EF5F5D">
        <w:rPr>
          <w:sz w:val="24"/>
          <w:szCs w:val="24"/>
        </w:rPr>
        <w:t xml:space="preserve">Perez-Vincent, S. M., Abril, V., Chen, C., Tayo, T., &amp; Urrego Jimenez, A. (2024). </w:t>
      </w:r>
      <w:r w:rsidRPr="002A41C0">
        <w:rPr>
          <w:i/>
          <w:iCs/>
          <w:sz w:val="24"/>
          <w:szCs w:val="24"/>
        </w:rPr>
        <w:t>Crime Underreporting in Latin America and the Caribbean</w:t>
      </w:r>
      <w:r w:rsidRPr="00EF5F5D">
        <w:rPr>
          <w:sz w:val="24"/>
          <w:szCs w:val="24"/>
        </w:rPr>
        <w:t xml:space="preserve">. </w:t>
      </w:r>
      <w:r w:rsidR="002A41C0">
        <w:rPr>
          <w:sz w:val="24"/>
          <w:szCs w:val="24"/>
        </w:rPr>
        <w:t xml:space="preserve">Available at: </w:t>
      </w:r>
      <w:hyperlink r:id="rId17" w:history="1">
        <w:r w:rsidR="002A41C0" w:rsidRPr="00EC15A1">
          <w:rPr>
            <w:rStyle w:val="Hyperlink"/>
            <w:sz w:val="24"/>
            <w:szCs w:val="24"/>
          </w:rPr>
          <w:t>https://doi.org/10.18235/0013215</w:t>
        </w:r>
      </w:hyperlink>
      <w:r w:rsidRPr="00EF5F5D">
        <w:rPr>
          <w:sz w:val="24"/>
          <w:szCs w:val="24"/>
        </w:rPr>
        <w:t xml:space="preserve"> </w:t>
      </w:r>
    </w:p>
    <w:p w14:paraId="1EE0BBBB" w14:textId="77777777" w:rsidR="00691404" w:rsidRPr="00EF5F5D" w:rsidRDefault="00691404" w:rsidP="007E0ED6">
      <w:pPr>
        <w:rPr>
          <w:sz w:val="24"/>
          <w:szCs w:val="24"/>
        </w:rPr>
      </w:pPr>
    </w:p>
    <w:p w14:paraId="4A38996F" w14:textId="39FED4B0" w:rsidR="003D4EAC" w:rsidRPr="00EF5F5D" w:rsidRDefault="003D4EAC" w:rsidP="003D4EAC">
      <w:pPr>
        <w:rPr>
          <w:sz w:val="24"/>
          <w:szCs w:val="24"/>
        </w:rPr>
      </w:pPr>
      <w:r w:rsidRPr="00EF5F5D">
        <w:rPr>
          <w:sz w:val="24"/>
          <w:szCs w:val="24"/>
        </w:rPr>
        <w:t>Perez-Vincent, S. M., Abril, V., Chen, C., Tayo, T., &amp; Urrego Jimenez, A. (2024</w:t>
      </w:r>
      <w:r w:rsidRPr="002A41C0">
        <w:rPr>
          <w:i/>
          <w:iCs/>
          <w:sz w:val="24"/>
          <w:szCs w:val="24"/>
        </w:rPr>
        <w:t>). Crime Underreporting in Latin America and the Caribbean</w:t>
      </w:r>
      <w:r w:rsidRPr="00EF5F5D">
        <w:rPr>
          <w:sz w:val="24"/>
          <w:szCs w:val="24"/>
        </w:rPr>
        <w:t xml:space="preserve">. </w:t>
      </w:r>
      <w:r w:rsidR="002A41C0">
        <w:rPr>
          <w:sz w:val="24"/>
          <w:szCs w:val="24"/>
        </w:rPr>
        <w:t xml:space="preserve">Available at: </w:t>
      </w:r>
      <w:hyperlink r:id="rId18" w:history="1">
        <w:r w:rsidR="002A41C0" w:rsidRPr="00EC15A1">
          <w:rPr>
            <w:rStyle w:val="Hyperlink"/>
            <w:sz w:val="24"/>
            <w:szCs w:val="24"/>
          </w:rPr>
          <w:t>https://doi.org/10.18235/0013215</w:t>
        </w:r>
      </w:hyperlink>
      <w:r w:rsidRPr="00EF5F5D">
        <w:rPr>
          <w:sz w:val="24"/>
          <w:szCs w:val="24"/>
        </w:rPr>
        <w:t xml:space="preserve"> </w:t>
      </w:r>
    </w:p>
    <w:p w14:paraId="78BA6D30" w14:textId="78632684" w:rsidR="003D4EAC" w:rsidRPr="00EF5F5D" w:rsidRDefault="003D4EAC" w:rsidP="007E0ED6">
      <w:pPr>
        <w:rPr>
          <w:sz w:val="24"/>
          <w:szCs w:val="24"/>
        </w:rPr>
      </w:pPr>
      <w:r w:rsidRPr="00EF5F5D">
        <w:rPr>
          <w:sz w:val="24"/>
          <w:szCs w:val="24"/>
        </w:rPr>
        <w:t xml:space="preserve"> </w:t>
      </w:r>
    </w:p>
    <w:p w14:paraId="67DB18FC" w14:textId="17D4A46F" w:rsidR="00691404" w:rsidRPr="00EF5F5D" w:rsidRDefault="00691404" w:rsidP="007E0ED6">
      <w:pPr>
        <w:rPr>
          <w:sz w:val="24"/>
          <w:szCs w:val="24"/>
        </w:rPr>
      </w:pPr>
      <w:r w:rsidRPr="00EF5F5D">
        <w:rPr>
          <w:sz w:val="24"/>
          <w:szCs w:val="24"/>
        </w:rPr>
        <w:t xml:space="preserve">Pezzella, F. S., Fetzer, M. D., &amp; Keller, T. (2019). </w:t>
      </w:r>
      <w:r w:rsidRPr="002A41C0">
        <w:rPr>
          <w:i/>
          <w:iCs/>
          <w:sz w:val="24"/>
          <w:szCs w:val="24"/>
        </w:rPr>
        <w:t>The Dark Figure of Hate Crime Underreporting</w:t>
      </w:r>
      <w:r w:rsidRPr="00EF5F5D">
        <w:rPr>
          <w:sz w:val="24"/>
          <w:szCs w:val="24"/>
        </w:rPr>
        <w:t>. American Behavioural Scientist</w:t>
      </w:r>
      <w:r w:rsidR="002A41C0">
        <w:rPr>
          <w:sz w:val="24"/>
          <w:szCs w:val="24"/>
        </w:rPr>
        <w:t xml:space="preserve">. Available at: </w:t>
      </w:r>
      <w:hyperlink r:id="rId19" w:history="1">
        <w:r w:rsidR="002A41C0" w:rsidRPr="00EC15A1">
          <w:rPr>
            <w:rStyle w:val="Hyperlink"/>
            <w:sz w:val="24"/>
            <w:szCs w:val="24"/>
          </w:rPr>
          <w:t>https://doi.org/10.1177/0002764218823844</w:t>
        </w:r>
      </w:hyperlink>
      <w:r w:rsidRPr="00EF5F5D">
        <w:rPr>
          <w:sz w:val="24"/>
          <w:szCs w:val="24"/>
        </w:rPr>
        <w:t xml:space="preserve"> </w:t>
      </w:r>
    </w:p>
    <w:p w14:paraId="01D7F766" w14:textId="77777777" w:rsidR="00691404" w:rsidRPr="00EF5F5D" w:rsidRDefault="00691404" w:rsidP="007E0ED6">
      <w:pPr>
        <w:rPr>
          <w:sz w:val="24"/>
          <w:szCs w:val="24"/>
        </w:rPr>
      </w:pPr>
    </w:p>
    <w:p w14:paraId="5B5A6379" w14:textId="790F5062" w:rsidR="00691404" w:rsidRPr="00EF5F5D" w:rsidRDefault="00691404" w:rsidP="007E0ED6">
      <w:pPr>
        <w:rPr>
          <w:sz w:val="24"/>
          <w:szCs w:val="24"/>
        </w:rPr>
      </w:pPr>
      <w:r w:rsidRPr="00EF5F5D">
        <w:rPr>
          <w:sz w:val="24"/>
          <w:szCs w:val="24"/>
        </w:rPr>
        <w:t xml:space="preserve">Pezzella, F. S., Fetzer, M. D., &amp; Keller, T. (2019). </w:t>
      </w:r>
      <w:r w:rsidRPr="002A41C0">
        <w:rPr>
          <w:i/>
          <w:iCs/>
          <w:sz w:val="24"/>
          <w:szCs w:val="24"/>
        </w:rPr>
        <w:t>The Dark Figure of Hate Crime Underreporting</w:t>
      </w:r>
      <w:r w:rsidRPr="00EF5F5D">
        <w:rPr>
          <w:sz w:val="24"/>
          <w:szCs w:val="24"/>
        </w:rPr>
        <w:t>. American Behavioural Scientist</w:t>
      </w:r>
      <w:r w:rsidR="002A41C0">
        <w:rPr>
          <w:sz w:val="24"/>
          <w:szCs w:val="24"/>
        </w:rPr>
        <w:t>. Available at:</w:t>
      </w:r>
      <w:r w:rsidRPr="00EF5F5D">
        <w:rPr>
          <w:sz w:val="24"/>
          <w:szCs w:val="24"/>
        </w:rPr>
        <w:t xml:space="preserve"> </w:t>
      </w:r>
      <w:hyperlink r:id="rId20" w:history="1">
        <w:r w:rsidRPr="00EF5F5D">
          <w:rPr>
            <w:rStyle w:val="Hyperlink"/>
            <w:sz w:val="24"/>
            <w:szCs w:val="24"/>
          </w:rPr>
          <w:t>https://doi.org/10.1177/0002764218823844</w:t>
        </w:r>
      </w:hyperlink>
      <w:r w:rsidRPr="00EF5F5D">
        <w:rPr>
          <w:sz w:val="24"/>
          <w:szCs w:val="24"/>
        </w:rPr>
        <w:t xml:space="preserve"> </w:t>
      </w:r>
    </w:p>
    <w:p w14:paraId="569AC5E6" w14:textId="77777777" w:rsidR="00EB5401" w:rsidRPr="00EF5F5D" w:rsidRDefault="00EB5401" w:rsidP="007E0ED6">
      <w:pPr>
        <w:rPr>
          <w:sz w:val="24"/>
          <w:szCs w:val="24"/>
        </w:rPr>
      </w:pPr>
    </w:p>
    <w:p w14:paraId="64B5B912" w14:textId="1512A747" w:rsidR="00691404" w:rsidRPr="00EF5F5D" w:rsidRDefault="00EB5401" w:rsidP="007E0ED6">
      <w:pPr>
        <w:rPr>
          <w:sz w:val="24"/>
          <w:szCs w:val="24"/>
        </w:rPr>
      </w:pPr>
      <w:r w:rsidRPr="00EF5F5D">
        <w:rPr>
          <w:sz w:val="24"/>
          <w:szCs w:val="24"/>
        </w:rPr>
        <w:t xml:space="preserve">Thorneycroft, R. and Asquith, N.L. (2015), </w:t>
      </w:r>
      <w:r w:rsidRPr="002A41C0">
        <w:rPr>
          <w:i/>
          <w:iCs/>
          <w:sz w:val="24"/>
          <w:szCs w:val="24"/>
        </w:rPr>
        <w:t>The Dark Figure of Disablist Violence</w:t>
      </w:r>
      <w:r w:rsidRPr="00EF5F5D">
        <w:rPr>
          <w:sz w:val="24"/>
          <w:szCs w:val="24"/>
        </w:rPr>
        <w:t>. The Howard Journal of Criminal Justice.</w:t>
      </w:r>
      <w:r w:rsidR="002A41C0">
        <w:rPr>
          <w:sz w:val="24"/>
          <w:szCs w:val="24"/>
        </w:rPr>
        <w:t xml:space="preserve"> Available at:</w:t>
      </w:r>
      <w:r w:rsidRPr="00EF5F5D">
        <w:rPr>
          <w:sz w:val="24"/>
          <w:szCs w:val="24"/>
        </w:rPr>
        <w:t xml:space="preserve"> </w:t>
      </w:r>
      <w:hyperlink r:id="rId21" w:history="1">
        <w:r w:rsidRPr="00EF5F5D">
          <w:rPr>
            <w:rStyle w:val="Hyperlink"/>
            <w:sz w:val="24"/>
            <w:szCs w:val="24"/>
          </w:rPr>
          <w:t>https://doi.org/10.1111/hojo.12147</w:t>
        </w:r>
      </w:hyperlink>
      <w:r w:rsidRPr="00EF5F5D">
        <w:rPr>
          <w:sz w:val="24"/>
          <w:szCs w:val="24"/>
        </w:rPr>
        <w:t xml:space="preserve"> </w:t>
      </w:r>
    </w:p>
    <w:p w14:paraId="70855514" w14:textId="77777777" w:rsidR="00EB5401" w:rsidRPr="00EF5F5D" w:rsidRDefault="00EB5401" w:rsidP="007E0ED6">
      <w:pPr>
        <w:rPr>
          <w:sz w:val="24"/>
          <w:szCs w:val="24"/>
        </w:rPr>
      </w:pPr>
    </w:p>
    <w:p w14:paraId="35A6F053" w14:textId="04EC5389" w:rsidR="00691404" w:rsidRPr="00EF5F5D" w:rsidRDefault="00691404" w:rsidP="007E0ED6">
      <w:pPr>
        <w:rPr>
          <w:sz w:val="24"/>
          <w:szCs w:val="24"/>
        </w:rPr>
      </w:pPr>
      <w:r w:rsidRPr="00EF5F5D">
        <w:rPr>
          <w:sz w:val="24"/>
          <w:szCs w:val="24"/>
        </w:rPr>
        <w:t xml:space="preserve">Walsh, A. R., &amp; Stephenson, R. (2023). </w:t>
      </w:r>
      <w:r w:rsidRPr="002A41C0">
        <w:rPr>
          <w:i/>
          <w:iCs/>
          <w:sz w:val="24"/>
          <w:szCs w:val="24"/>
        </w:rPr>
        <w:t>Intimate Partner Violence Perpetration Denial and Underreporting in Cisgender Male Couples</w:t>
      </w:r>
      <w:r w:rsidRPr="00EF5F5D">
        <w:rPr>
          <w:sz w:val="24"/>
          <w:szCs w:val="24"/>
        </w:rPr>
        <w:t xml:space="preserve">. Psychology of Interpersonal Violence. </w:t>
      </w:r>
      <w:r w:rsidR="002A41C0">
        <w:rPr>
          <w:sz w:val="24"/>
          <w:szCs w:val="24"/>
        </w:rPr>
        <w:t xml:space="preserve">Available at: </w:t>
      </w:r>
      <w:hyperlink r:id="rId22" w:history="1">
        <w:r w:rsidR="002A41C0" w:rsidRPr="00EC15A1">
          <w:rPr>
            <w:rStyle w:val="Hyperlink"/>
            <w:sz w:val="24"/>
            <w:szCs w:val="24"/>
          </w:rPr>
          <w:t>https://doi.org/10.5093/pi2023a8</w:t>
        </w:r>
      </w:hyperlink>
      <w:r w:rsidRPr="00EF5F5D">
        <w:rPr>
          <w:sz w:val="24"/>
          <w:szCs w:val="24"/>
        </w:rPr>
        <w:t xml:space="preserve"> </w:t>
      </w:r>
    </w:p>
    <w:p w14:paraId="03B34930" w14:textId="77777777" w:rsidR="00691404" w:rsidRPr="00EF5F5D" w:rsidRDefault="00691404" w:rsidP="007E0ED6">
      <w:pPr>
        <w:rPr>
          <w:sz w:val="24"/>
          <w:szCs w:val="24"/>
        </w:rPr>
      </w:pPr>
    </w:p>
    <w:p w14:paraId="605E720C" w14:textId="706359DF" w:rsidR="00691404" w:rsidRPr="00EF5F5D" w:rsidRDefault="00691404" w:rsidP="007E0ED6">
      <w:pPr>
        <w:rPr>
          <w:sz w:val="24"/>
          <w:szCs w:val="24"/>
        </w:rPr>
      </w:pPr>
      <w:r w:rsidRPr="00EF5F5D">
        <w:rPr>
          <w:sz w:val="24"/>
          <w:szCs w:val="24"/>
        </w:rPr>
        <w:t xml:space="preserve">Walsh, A. R., &amp; Stephenson, R. (2023). </w:t>
      </w:r>
      <w:r w:rsidRPr="002A41C0">
        <w:rPr>
          <w:i/>
          <w:iCs/>
          <w:sz w:val="24"/>
          <w:szCs w:val="24"/>
        </w:rPr>
        <w:t>Intimate Partner Violence Perpetration Denial and Underreporting in Cisgender Male Couples</w:t>
      </w:r>
      <w:r w:rsidRPr="00EF5F5D">
        <w:rPr>
          <w:sz w:val="24"/>
          <w:szCs w:val="24"/>
        </w:rPr>
        <w:t>. Psychology of Interpersonal Violence</w:t>
      </w:r>
      <w:r w:rsidR="002A41C0">
        <w:rPr>
          <w:sz w:val="24"/>
          <w:szCs w:val="24"/>
        </w:rPr>
        <w:t xml:space="preserve">. Available at: </w:t>
      </w:r>
      <w:hyperlink r:id="rId23" w:history="1">
        <w:r w:rsidR="002A41C0" w:rsidRPr="00EC15A1">
          <w:rPr>
            <w:rStyle w:val="Hyperlink"/>
            <w:sz w:val="24"/>
            <w:szCs w:val="24"/>
          </w:rPr>
          <w:t>https://doi.org/10.5093/pi2023a8</w:t>
        </w:r>
      </w:hyperlink>
      <w:r w:rsidRPr="00EF5F5D">
        <w:rPr>
          <w:sz w:val="24"/>
          <w:szCs w:val="24"/>
        </w:rPr>
        <w:t xml:space="preserve"> </w:t>
      </w:r>
    </w:p>
    <w:p w14:paraId="1E14D812" w14:textId="77777777" w:rsidR="00691404" w:rsidRPr="00EF5F5D" w:rsidRDefault="00691404" w:rsidP="007E0ED6">
      <w:pPr>
        <w:rPr>
          <w:sz w:val="24"/>
          <w:szCs w:val="24"/>
        </w:rPr>
      </w:pPr>
    </w:p>
    <w:p w14:paraId="6201399D" w14:textId="77777777" w:rsidR="004942D1" w:rsidRPr="00EF5F5D" w:rsidRDefault="004942D1">
      <w:pPr>
        <w:rPr>
          <w:sz w:val="24"/>
          <w:szCs w:val="24"/>
        </w:rPr>
      </w:pPr>
    </w:p>
    <w:sectPr w:rsidR="004942D1" w:rsidRPr="00EF5F5D" w:rsidSect="00D33F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ED6"/>
    <w:rsid w:val="00033068"/>
    <w:rsid w:val="001014AE"/>
    <w:rsid w:val="0011004B"/>
    <w:rsid w:val="00255744"/>
    <w:rsid w:val="002A41C0"/>
    <w:rsid w:val="003D4EAC"/>
    <w:rsid w:val="003D6988"/>
    <w:rsid w:val="00425519"/>
    <w:rsid w:val="00444DF6"/>
    <w:rsid w:val="00466162"/>
    <w:rsid w:val="00475BEA"/>
    <w:rsid w:val="004942D1"/>
    <w:rsid w:val="004F658D"/>
    <w:rsid w:val="00536498"/>
    <w:rsid w:val="0055364B"/>
    <w:rsid w:val="005B0686"/>
    <w:rsid w:val="005C1F7D"/>
    <w:rsid w:val="00605CCB"/>
    <w:rsid w:val="00691404"/>
    <w:rsid w:val="006A0523"/>
    <w:rsid w:val="007E0ED6"/>
    <w:rsid w:val="007E212A"/>
    <w:rsid w:val="00806F28"/>
    <w:rsid w:val="009D5B33"/>
    <w:rsid w:val="00B674EB"/>
    <w:rsid w:val="00B85091"/>
    <w:rsid w:val="00C01D56"/>
    <w:rsid w:val="00CD059C"/>
    <w:rsid w:val="00CD1392"/>
    <w:rsid w:val="00CE723C"/>
    <w:rsid w:val="00D33F3A"/>
    <w:rsid w:val="00D560AB"/>
    <w:rsid w:val="00D637ED"/>
    <w:rsid w:val="00EB5401"/>
    <w:rsid w:val="00EC20C8"/>
    <w:rsid w:val="00EF5F5D"/>
    <w:rsid w:val="00FB4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AF6C9"/>
  <w15:chartTrackingRefBased/>
  <w15:docId w15:val="{63794E0B-D962-4BCD-89F3-61B49C27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E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0E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0E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0E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0E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0E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E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E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E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E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0E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0E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0E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0E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0E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E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E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ED6"/>
    <w:rPr>
      <w:rFonts w:eastAsiaTheme="majorEastAsia" w:cstheme="majorBidi"/>
      <w:color w:val="272727" w:themeColor="text1" w:themeTint="D8"/>
    </w:rPr>
  </w:style>
  <w:style w:type="paragraph" w:styleId="Title">
    <w:name w:val="Title"/>
    <w:basedOn w:val="Normal"/>
    <w:next w:val="Normal"/>
    <w:link w:val="TitleChar"/>
    <w:uiPriority w:val="10"/>
    <w:qFormat/>
    <w:rsid w:val="007E0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E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E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ED6"/>
    <w:pPr>
      <w:spacing w:before="160"/>
      <w:jc w:val="center"/>
    </w:pPr>
    <w:rPr>
      <w:i/>
      <w:iCs/>
      <w:color w:val="404040" w:themeColor="text1" w:themeTint="BF"/>
    </w:rPr>
  </w:style>
  <w:style w:type="character" w:customStyle="1" w:styleId="QuoteChar">
    <w:name w:val="Quote Char"/>
    <w:basedOn w:val="DefaultParagraphFont"/>
    <w:link w:val="Quote"/>
    <w:uiPriority w:val="29"/>
    <w:rsid w:val="007E0ED6"/>
    <w:rPr>
      <w:i/>
      <w:iCs/>
      <w:color w:val="404040" w:themeColor="text1" w:themeTint="BF"/>
    </w:rPr>
  </w:style>
  <w:style w:type="paragraph" w:styleId="ListParagraph">
    <w:name w:val="List Paragraph"/>
    <w:basedOn w:val="Normal"/>
    <w:uiPriority w:val="34"/>
    <w:qFormat/>
    <w:rsid w:val="007E0ED6"/>
    <w:pPr>
      <w:ind w:left="720"/>
      <w:contextualSpacing/>
    </w:pPr>
  </w:style>
  <w:style w:type="character" w:styleId="IntenseEmphasis">
    <w:name w:val="Intense Emphasis"/>
    <w:basedOn w:val="DefaultParagraphFont"/>
    <w:uiPriority w:val="21"/>
    <w:qFormat/>
    <w:rsid w:val="007E0ED6"/>
    <w:rPr>
      <w:i/>
      <w:iCs/>
      <w:color w:val="2F5496" w:themeColor="accent1" w:themeShade="BF"/>
    </w:rPr>
  </w:style>
  <w:style w:type="paragraph" w:styleId="IntenseQuote">
    <w:name w:val="Intense Quote"/>
    <w:basedOn w:val="Normal"/>
    <w:next w:val="Normal"/>
    <w:link w:val="IntenseQuoteChar"/>
    <w:uiPriority w:val="30"/>
    <w:qFormat/>
    <w:rsid w:val="007E0E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0ED6"/>
    <w:rPr>
      <w:i/>
      <w:iCs/>
      <w:color w:val="2F5496" w:themeColor="accent1" w:themeShade="BF"/>
    </w:rPr>
  </w:style>
  <w:style w:type="character" w:styleId="IntenseReference">
    <w:name w:val="Intense Reference"/>
    <w:basedOn w:val="DefaultParagraphFont"/>
    <w:uiPriority w:val="32"/>
    <w:qFormat/>
    <w:rsid w:val="007E0ED6"/>
    <w:rPr>
      <w:b/>
      <w:bCs/>
      <w:smallCaps/>
      <w:color w:val="2F5496" w:themeColor="accent1" w:themeShade="BF"/>
      <w:spacing w:val="5"/>
    </w:rPr>
  </w:style>
  <w:style w:type="character" w:styleId="Hyperlink">
    <w:name w:val="Hyperlink"/>
    <w:basedOn w:val="DefaultParagraphFont"/>
    <w:uiPriority w:val="99"/>
    <w:unhideWhenUsed/>
    <w:rsid w:val="007E0ED6"/>
    <w:rPr>
      <w:color w:val="0563C1" w:themeColor="hyperlink"/>
      <w:u w:val="single"/>
    </w:rPr>
  </w:style>
  <w:style w:type="character" w:styleId="UnresolvedMention">
    <w:name w:val="Unresolved Mention"/>
    <w:basedOn w:val="DefaultParagraphFont"/>
    <w:uiPriority w:val="99"/>
    <w:semiHidden/>
    <w:unhideWhenUsed/>
    <w:rsid w:val="007E0ED6"/>
    <w:rPr>
      <w:color w:val="605E5C"/>
      <w:shd w:val="clear" w:color="auto" w:fill="E1DFDD"/>
    </w:rPr>
  </w:style>
  <w:style w:type="character" w:styleId="FollowedHyperlink">
    <w:name w:val="FollowedHyperlink"/>
    <w:basedOn w:val="DefaultParagraphFont"/>
    <w:uiPriority w:val="99"/>
    <w:semiHidden/>
    <w:unhideWhenUsed/>
    <w:rsid w:val="003D4EAC"/>
    <w:rPr>
      <w:color w:val="954F72" w:themeColor="followedHyperlink"/>
      <w:u w:val="single"/>
    </w:rPr>
  </w:style>
  <w:style w:type="paragraph" w:styleId="NoSpacing">
    <w:name w:val="No Spacing"/>
    <w:link w:val="NoSpacingChar"/>
    <w:uiPriority w:val="1"/>
    <w:qFormat/>
    <w:rsid w:val="00D33F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3F3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pam.22221" TargetMode="External"/><Relationship Id="rId13" Type="http://schemas.openxmlformats.org/officeDocument/2006/relationships/hyperlink" Target="https://www.bjs.gov/content/pub/pdf/cv20.pdf" TargetMode="External"/><Relationship Id="rId18" Type="http://schemas.openxmlformats.org/officeDocument/2006/relationships/hyperlink" Target="https://doi.org/10.18235/001321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11/hojo.12147" TargetMode="External"/><Relationship Id="rId7" Type="http://schemas.openxmlformats.org/officeDocument/2006/relationships/hyperlink" Target="https://doi.org/10.1002/pam.22221" TargetMode="External"/><Relationship Id="rId12" Type="http://schemas.openxmlformats.org/officeDocument/2006/relationships/hyperlink" Target="https://doi.org/10.1080/23311886.2021.2002542" TargetMode="External"/><Relationship Id="rId17" Type="http://schemas.openxmlformats.org/officeDocument/2006/relationships/hyperlink" Target="https://doi.org/10.18235/0013215"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doi.org/10.18235/0013215" TargetMode="External"/><Relationship Id="rId20" Type="http://schemas.openxmlformats.org/officeDocument/2006/relationships/hyperlink" Target="https://doi.org/10.1177/0002764218823844" TargetMode="External"/><Relationship Id="rId1" Type="http://schemas.openxmlformats.org/officeDocument/2006/relationships/customXml" Target="../customXml/item1.xml"/><Relationship Id="rId6" Type="http://schemas.openxmlformats.org/officeDocument/2006/relationships/hyperlink" Target="https://doi.org/10.1007/s10610-009-9109-8" TargetMode="External"/><Relationship Id="rId11" Type="http://schemas.openxmlformats.org/officeDocument/2006/relationships/hyperlink" Target="https://doi.org/10.1177/08862605211045333" TargetMode="External"/><Relationship Id="rId24" Type="http://schemas.openxmlformats.org/officeDocument/2006/relationships/fontTable" Target="fontTable.xml"/><Relationship Id="rId5" Type="http://schemas.openxmlformats.org/officeDocument/2006/relationships/hyperlink" Target="https://summit.sfu.ca/item/39078" TargetMode="External"/><Relationship Id="rId15" Type="http://schemas.openxmlformats.org/officeDocument/2006/relationships/hyperlink" Target="https://doi.org/10.5204/ijcjsd.1851" TargetMode="External"/><Relationship Id="rId23" Type="http://schemas.openxmlformats.org/officeDocument/2006/relationships/hyperlink" Target="https://doi.org/10.5093/pi2023a8" TargetMode="External"/><Relationship Id="rId10" Type="http://schemas.openxmlformats.org/officeDocument/2006/relationships/hyperlink" Target="https://doi.org/10.1177/08862605211045333" TargetMode="External"/><Relationship Id="rId19" Type="http://schemas.openxmlformats.org/officeDocument/2006/relationships/hyperlink" Target="https://doi.org/10.1177/0002764218823844" TargetMode="External"/><Relationship Id="rId4" Type="http://schemas.openxmlformats.org/officeDocument/2006/relationships/webSettings" Target="webSettings.xml"/><Relationship Id="rId9" Type="http://schemas.openxmlformats.org/officeDocument/2006/relationships/hyperlink" Target="https://doi.org/10.1093/wber/lhac022" TargetMode="External"/><Relationship Id="rId14" Type="http://schemas.openxmlformats.org/officeDocument/2006/relationships/hyperlink" Target="https://doi.org/10.5204/ijcjsd.1851" TargetMode="External"/><Relationship Id="rId22" Type="http://schemas.openxmlformats.org/officeDocument/2006/relationships/hyperlink" Target="https://doi.org/10.5093/pi2023a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20660D9E0348599DF9729CBA562A97"/>
        <w:category>
          <w:name w:val="General"/>
          <w:gallery w:val="placeholder"/>
        </w:category>
        <w:types>
          <w:type w:val="bbPlcHdr"/>
        </w:types>
        <w:behaviors>
          <w:behavior w:val="content"/>
        </w:behaviors>
        <w:guid w:val="{74B98DE5-E9D5-4462-B88F-860B6AD55183}"/>
      </w:docPartPr>
      <w:docPartBody>
        <w:p w:rsidR="00A960B6" w:rsidRDefault="00A960B6" w:rsidP="00A960B6">
          <w:pPr>
            <w:pStyle w:val="9120660D9E0348599DF9729CBA562A97"/>
          </w:pPr>
          <w:r>
            <w:rPr>
              <w:rFonts w:asciiTheme="majorHAnsi" w:eastAsiaTheme="majorEastAsia" w:hAnsiTheme="majorHAnsi" w:cstheme="majorBidi"/>
              <w:color w:val="4472C4" w:themeColor="accent1"/>
              <w:sz w:val="88"/>
              <w:szCs w:val="88"/>
            </w:rPr>
            <w:t>[Document title]</w:t>
          </w:r>
        </w:p>
      </w:docPartBody>
    </w:docPart>
    <w:docPart>
      <w:docPartPr>
        <w:name w:val="48ECC74D1B6C45E3B0DA055448EF39A1"/>
        <w:category>
          <w:name w:val="General"/>
          <w:gallery w:val="placeholder"/>
        </w:category>
        <w:types>
          <w:type w:val="bbPlcHdr"/>
        </w:types>
        <w:behaviors>
          <w:behavior w:val="content"/>
        </w:behaviors>
        <w:guid w:val="{1D141DC2-AD2B-42E0-887A-17E82290DD27}"/>
      </w:docPartPr>
      <w:docPartBody>
        <w:p w:rsidR="00A960B6" w:rsidRDefault="00A960B6" w:rsidP="00A960B6">
          <w:pPr>
            <w:pStyle w:val="48ECC74D1B6C45E3B0DA055448EF39A1"/>
          </w:pPr>
          <w:r>
            <w:rPr>
              <w:color w:val="4472C4" w:themeColor="accent1"/>
              <w:sz w:val="28"/>
              <w:szCs w:val="28"/>
            </w:rPr>
            <w:t>[Author name]</w:t>
          </w:r>
        </w:p>
      </w:docPartBody>
    </w:docPart>
    <w:docPart>
      <w:docPartPr>
        <w:name w:val="52D786504C134F85B8C3726DD412F36E"/>
        <w:category>
          <w:name w:val="General"/>
          <w:gallery w:val="placeholder"/>
        </w:category>
        <w:types>
          <w:type w:val="bbPlcHdr"/>
        </w:types>
        <w:behaviors>
          <w:behavior w:val="content"/>
        </w:behaviors>
        <w:guid w:val="{EF1003FF-80E6-4156-86EB-EC4EBAACE9A2}"/>
      </w:docPartPr>
      <w:docPartBody>
        <w:p w:rsidR="00A960B6" w:rsidRDefault="00A960B6" w:rsidP="00A960B6">
          <w:pPr>
            <w:pStyle w:val="52D786504C134F85B8C3726DD412F36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0B6"/>
    <w:rsid w:val="00806F28"/>
    <w:rsid w:val="00A9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20660D9E0348599DF9729CBA562A97">
    <w:name w:val="9120660D9E0348599DF9729CBA562A97"/>
    <w:rsid w:val="00A960B6"/>
  </w:style>
  <w:style w:type="paragraph" w:customStyle="1" w:styleId="48ECC74D1B6C45E3B0DA055448EF39A1">
    <w:name w:val="48ECC74D1B6C45E3B0DA055448EF39A1"/>
    <w:rsid w:val="00A960B6"/>
  </w:style>
  <w:style w:type="paragraph" w:customStyle="1" w:styleId="52D786504C134F85B8C3726DD412F36E">
    <w:name w:val="52D786504C134F85B8C3726DD412F36E"/>
    <w:rsid w:val="00A960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2310510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2303</Words>
  <Characters>13129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Underreporting of crime</dc:title>
  <dc:subject/>
  <dc:creator>Tim Nicholas</dc:creator>
  <cp:keywords/>
  <dc:description/>
  <cp:lastModifiedBy>Tim Nicholas</cp:lastModifiedBy>
  <cp:revision>2</cp:revision>
  <dcterms:created xsi:type="dcterms:W3CDTF">2025-03-07T13:34:00Z</dcterms:created>
  <dcterms:modified xsi:type="dcterms:W3CDTF">2025-03-07T13:34:00Z</dcterms:modified>
</cp:coreProperties>
</file>