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8C01A"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087E698F"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74A44AB1"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5DD26DE5"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6CCEE54C"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583F7F28"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16FE06C3"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2A562987" w14:textId="77777777" w:rsid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4E21FB47" w14:textId="2E6F24E1" w:rsidR="008362BA" w:rsidRPr="008362BA" w:rsidRDefault="008362BA" w:rsidP="008362BA">
      <w:pPr>
        <w:spacing w:after="0" w:line="480" w:lineRule="auto"/>
        <w:contextualSpacing/>
        <w:jc w:val="center"/>
        <w:rPr>
          <w:rFonts w:ascii="Times New Roman" w:hAnsi="Times New Roman" w:cs="Times New Roman"/>
          <w:b/>
          <w:color w:val="000000" w:themeColor="text1"/>
          <w:sz w:val="24"/>
          <w:szCs w:val="24"/>
        </w:rPr>
      </w:pPr>
      <w:r w:rsidRPr="008362BA">
        <w:rPr>
          <w:rFonts w:ascii="Times New Roman" w:hAnsi="Times New Roman" w:cs="Times New Roman"/>
          <w:b/>
          <w:color w:val="000000" w:themeColor="text1"/>
          <w:sz w:val="24"/>
          <w:szCs w:val="24"/>
        </w:rPr>
        <w:t>[Student Name</w:t>
      </w:r>
      <w:r w:rsidR="00126080">
        <w:rPr>
          <w:rFonts w:ascii="Times New Roman" w:hAnsi="Times New Roman" w:cs="Times New Roman"/>
          <w:b/>
          <w:color w:val="000000" w:themeColor="text1"/>
          <w:sz w:val="24"/>
          <w:szCs w:val="24"/>
        </w:rPr>
        <w:t>: NASSON MSONI</w:t>
      </w:r>
      <w:r w:rsidRPr="008362BA">
        <w:rPr>
          <w:rFonts w:ascii="Times New Roman" w:hAnsi="Times New Roman" w:cs="Times New Roman"/>
          <w:b/>
          <w:color w:val="000000" w:themeColor="text1"/>
          <w:sz w:val="24"/>
          <w:szCs w:val="24"/>
        </w:rPr>
        <w:t>]</w:t>
      </w:r>
    </w:p>
    <w:p w14:paraId="08B1A059" w14:textId="2EF7BF10" w:rsidR="008362BA" w:rsidRPr="008362BA" w:rsidRDefault="008362BA" w:rsidP="008362BA">
      <w:pPr>
        <w:spacing w:after="0" w:line="480" w:lineRule="auto"/>
        <w:contextualSpacing/>
        <w:jc w:val="center"/>
        <w:rPr>
          <w:rFonts w:ascii="Times New Roman" w:hAnsi="Times New Roman" w:cs="Times New Roman"/>
          <w:b/>
          <w:color w:val="000000" w:themeColor="text1"/>
          <w:sz w:val="24"/>
          <w:szCs w:val="24"/>
        </w:rPr>
      </w:pPr>
      <w:r w:rsidRPr="008362BA">
        <w:rPr>
          <w:rFonts w:ascii="Times New Roman" w:hAnsi="Times New Roman" w:cs="Times New Roman"/>
          <w:b/>
          <w:color w:val="000000" w:themeColor="text1"/>
          <w:sz w:val="24"/>
          <w:szCs w:val="24"/>
        </w:rPr>
        <w:t>[Student ID</w:t>
      </w:r>
      <w:r w:rsidR="00126080">
        <w:rPr>
          <w:rFonts w:ascii="Times New Roman" w:hAnsi="Times New Roman" w:cs="Times New Roman"/>
          <w:b/>
          <w:color w:val="000000" w:themeColor="text1"/>
          <w:sz w:val="24"/>
          <w:szCs w:val="24"/>
        </w:rPr>
        <w:t>: 2244265</w:t>
      </w:r>
      <w:r w:rsidRPr="008362BA">
        <w:rPr>
          <w:rFonts w:ascii="Times New Roman" w:hAnsi="Times New Roman" w:cs="Times New Roman"/>
          <w:b/>
          <w:color w:val="000000" w:themeColor="text1"/>
          <w:sz w:val="24"/>
          <w:szCs w:val="24"/>
        </w:rPr>
        <w:t>]</w:t>
      </w:r>
    </w:p>
    <w:p w14:paraId="216129BC" w14:textId="7C5834EC" w:rsidR="008362BA" w:rsidRPr="008362BA" w:rsidRDefault="008362BA" w:rsidP="008362BA">
      <w:pPr>
        <w:spacing w:after="0" w:line="480" w:lineRule="auto"/>
        <w:contextualSpacing/>
        <w:jc w:val="center"/>
        <w:rPr>
          <w:rFonts w:ascii="Times New Roman" w:hAnsi="Times New Roman" w:cs="Times New Roman"/>
          <w:b/>
          <w:color w:val="000000" w:themeColor="text1"/>
          <w:sz w:val="24"/>
          <w:szCs w:val="24"/>
        </w:rPr>
      </w:pPr>
    </w:p>
    <w:p w14:paraId="278ADC01" w14:textId="78F858BC" w:rsidR="008362BA" w:rsidRPr="008362BA" w:rsidRDefault="008362BA" w:rsidP="008362BA">
      <w:pPr>
        <w:spacing w:after="0" w:line="480" w:lineRule="auto"/>
        <w:contextualSpacing/>
        <w:jc w:val="center"/>
        <w:rPr>
          <w:rFonts w:ascii="Times New Roman" w:hAnsi="Times New Roman" w:cs="Times New Roman"/>
          <w:b/>
          <w:color w:val="000000" w:themeColor="text1"/>
          <w:sz w:val="24"/>
          <w:szCs w:val="24"/>
        </w:rPr>
      </w:pPr>
      <w:r w:rsidRPr="008362BA">
        <w:rPr>
          <w:rFonts w:ascii="Times New Roman" w:hAnsi="Times New Roman" w:cs="Times New Roman"/>
          <w:b/>
          <w:color w:val="000000" w:themeColor="text1"/>
          <w:sz w:val="24"/>
          <w:szCs w:val="24"/>
        </w:rPr>
        <w:t>Date of Submission</w:t>
      </w:r>
      <w:r w:rsidR="00126080">
        <w:rPr>
          <w:rFonts w:ascii="Times New Roman" w:hAnsi="Times New Roman" w:cs="Times New Roman"/>
          <w:b/>
          <w:color w:val="000000" w:themeColor="text1"/>
          <w:sz w:val="24"/>
          <w:szCs w:val="24"/>
        </w:rPr>
        <w:t xml:space="preserve"> 07/07/23</w:t>
      </w:r>
    </w:p>
    <w:p w14:paraId="1526C983" w14:textId="77777777" w:rsidR="008362BA" w:rsidRPr="008362BA" w:rsidRDefault="008362BA" w:rsidP="008362BA">
      <w:pPr>
        <w:spacing w:after="0" w:line="480" w:lineRule="auto"/>
        <w:contextualSpacing/>
        <w:jc w:val="center"/>
        <w:rPr>
          <w:rFonts w:ascii="Times New Roman" w:hAnsi="Times New Roman" w:cs="Times New Roman"/>
          <w:b/>
          <w:color w:val="000000" w:themeColor="text1"/>
          <w:sz w:val="24"/>
          <w:szCs w:val="24"/>
        </w:rPr>
      </w:pPr>
      <w:r w:rsidRPr="008362BA">
        <w:rPr>
          <w:rFonts w:ascii="Times New Roman" w:hAnsi="Times New Roman" w:cs="Times New Roman"/>
          <w:b/>
          <w:color w:val="000000" w:themeColor="text1"/>
          <w:sz w:val="24"/>
          <w:szCs w:val="24"/>
        </w:rPr>
        <w:t>Word Count: 1500</w:t>
      </w:r>
    </w:p>
    <w:p w14:paraId="0C0D7472" w14:textId="77777777" w:rsidR="008362BA" w:rsidRDefault="008362BA">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sdt>
      <w:sdtPr>
        <w:rPr>
          <w:rFonts w:asciiTheme="minorHAnsi" w:eastAsiaTheme="minorHAnsi" w:hAnsiTheme="minorHAnsi" w:cstheme="minorBidi"/>
          <w:b/>
          <w:color w:val="000000" w:themeColor="text1"/>
          <w:sz w:val="22"/>
          <w:szCs w:val="22"/>
        </w:rPr>
        <w:id w:val="-771470656"/>
        <w:docPartObj>
          <w:docPartGallery w:val="Table of Contents"/>
          <w:docPartUnique/>
        </w:docPartObj>
      </w:sdtPr>
      <w:sdtEndPr>
        <w:rPr>
          <w:bCs/>
          <w:noProof/>
          <w:color w:val="auto"/>
        </w:rPr>
      </w:sdtEndPr>
      <w:sdtContent>
        <w:p w14:paraId="7B38E252" w14:textId="77777777" w:rsidR="008362BA" w:rsidRPr="008362BA" w:rsidRDefault="008362BA" w:rsidP="008362BA">
          <w:pPr>
            <w:pStyle w:val="TOCHeading"/>
            <w:spacing w:before="0" w:line="480" w:lineRule="auto"/>
            <w:contextualSpacing/>
            <w:jc w:val="center"/>
            <w:rPr>
              <w:rFonts w:ascii="Times New Roman" w:hAnsi="Times New Roman" w:cs="Times New Roman"/>
              <w:b/>
              <w:color w:val="000000" w:themeColor="text1"/>
              <w:sz w:val="24"/>
              <w:szCs w:val="24"/>
            </w:rPr>
          </w:pPr>
          <w:r w:rsidRPr="008362BA">
            <w:rPr>
              <w:rFonts w:ascii="Times New Roman" w:hAnsi="Times New Roman" w:cs="Times New Roman"/>
              <w:b/>
              <w:color w:val="000000" w:themeColor="text1"/>
              <w:sz w:val="24"/>
              <w:szCs w:val="24"/>
            </w:rPr>
            <w:t>Table of Contents</w:t>
          </w:r>
        </w:p>
        <w:p w14:paraId="504F6ABC" w14:textId="77777777" w:rsidR="008362BA" w:rsidRPr="008362BA" w:rsidRDefault="008362BA" w:rsidP="008362BA">
          <w:pPr>
            <w:pStyle w:val="TOC1"/>
            <w:tabs>
              <w:tab w:val="right" w:leader="dot" w:pos="9350"/>
            </w:tabs>
            <w:spacing w:after="0" w:line="480" w:lineRule="auto"/>
            <w:contextualSpacing/>
            <w:rPr>
              <w:rFonts w:ascii="Times New Roman" w:hAnsi="Times New Roman" w:cs="Times New Roman"/>
              <w:noProof/>
              <w:color w:val="000000" w:themeColor="text1"/>
              <w:sz w:val="24"/>
              <w:szCs w:val="24"/>
            </w:rPr>
          </w:pPr>
          <w:r w:rsidRPr="008362BA">
            <w:rPr>
              <w:rFonts w:ascii="Times New Roman" w:hAnsi="Times New Roman" w:cs="Times New Roman"/>
              <w:color w:val="000000" w:themeColor="text1"/>
              <w:sz w:val="24"/>
              <w:szCs w:val="24"/>
            </w:rPr>
            <w:fldChar w:fldCharType="begin"/>
          </w:r>
          <w:r w:rsidRPr="008362BA">
            <w:rPr>
              <w:rFonts w:ascii="Times New Roman" w:hAnsi="Times New Roman" w:cs="Times New Roman"/>
              <w:color w:val="000000" w:themeColor="text1"/>
              <w:sz w:val="24"/>
              <w:szCs w:val="24"/>
            </w:rPr>
            <w:instrText xml:space="preserve"> TOC \o "1-3" \h \z \u </w:instrText>
          </w:r>
          <w:r w:rsidRPr="008362BA">
            <w:rPr>
              <w:rFonts w:ascii="Times New Roman" w:hAnsi="Times New Roman" w:cs="Times New Roman"/>
              <w:color w:val="000000" w:themeColor="text1"/>
              <w:sz w:val="24"/>
              <w:szCs w:val="24"/>
            </w:rPr>
            <w:fldChar w:fldCharType="separate"/>
          </w:r>
          <w:hyperlink w:anchor="_Toc139542973" w:history="1">
            <w:r w:rsidRPr="008362BA">
              <w:rPr>
                <w:rStyle w:val="Hyperlink"/>
                <w:rFonts w:ascii="Times New Roman" w:hAnsi="Times New Roman" w:cs="Times New Roman"/>
                <w:noProof/>
                <w:color w:val="000000" w:themeColor="text1"/>
                <w:sz w:val="24"/>
                <w:szCs w:val="24"/>
              </w:rPr>
              <w:t>Introduction</w:t>
            </w:r>
            <w:r w:rsidRPr="008362BA">
              <w:rPr>
                <w:rFonts w:ascii="Times New Roman" w:hAnsi="Times New Roman" w:cs="Times New Roman"/>
                <w:noProof/>
                <w:webHidden/>
                <w:color w:val="000000" w:themeColor="text1"/>
                <w:sz w:val="24"/>
                <w:szCs w:val="24"/>
              </w:rPr>
              <w:tab/>
            </w:r>
            <w:r w:rsidRPr="008362BA">
              <w:rPr>
                <w:rFonts w:ascii="Times New Roman" w:hAnsi="Times New Roman" w:cs="Times New Roman"/>
                <w:noProof/>
                <w:webHidden/>
                <w:color w:val="000000" w:themeColor="text1"/>
                <w:sz w:val="24"/>
                <w:szCs w:val="24"/>
              </w:rPr>
              <w:fldChar w:fldCharType="begin"/>
            </w:r>
            <w:r w:rsidRPr="008362BA">
              <w:rPr>
                <w:rFonts w:ascii="Times New Roman" w:hAnsi="Times New Roman" w:cs="Times New Roman"/>
                <w:noProof/>
                <w:webHidden/>
                <w:color w:val="000000" w:themeColor="text1"/>
                <w:sz w:val="24"/>
                <w:szCs w:val="24"/>
              </w:rPr>
              <w:instrText xml:space="preserve"> PAGEREF _Toc139542973 \h </w:instrText>
            </w:r>
            <w:r w:rsidRPr="008362BA">
              <w:rPr>
                <w:rFonts w:ascii="Times New Roman" w:hAnsi="Times New Roman" w:cs="Times New Roman"/>
                <w:noProof/>
                <w:webHidden/>
                <w:color w:val="000000" w:themeColor="text1"/>
                <w:sz w:val="24"/>
                <w:szCs w:val="24"/>
              </w:rPr>
            </w:r>
            <w:r w:rsidRPr="008362BA">
              <w:rPr>
                <w:rFonts w:ascii="Times New Roman" w:hAnsi="Times New Roman" w:cs="Times New Roman"/>
                <w:noProof/>
                <w:webHidden/>
                <w:color w:val="000000" w:themeColor="text1"/>
                <w:sz w:val="24"/>
                <w:szCs w:val="24"/>
              </w:rPr>
              <w:fldChar w:fldCharType="separate"/>
            </w:r>
            <w:r w:rsidRPr="008362BA">
              <w:rPr>
                <w:rFonts w:ascii="Times New Roman" w:hAnsi="Times New Roman" w:cs="Times New Roman"/>
                <w:noProof/>
                <w:webHidden/>
                <w:color w:val="000000" w:themeColor="text1"/>
                <w:sz w:val="24"/>
                <w:szCs w:val="24"/>
              </w:rPr>
              <w:t>3</w:t>
            </w:r>
            <w:r w:rsidRPr="008362BA">
              <w:rPr>
                <w:rFonts w:ascii="Times New Roman" w:hAnsi="Times New Roman" w:cs="Times New Roman"/>
                <w:noProof/>
                <w:webHidden/>
                <w:color w:val="000000" w:themeColor="text1"/>
                <w:sz w:val="24"/>
                <w:szCs w:val="24"/>
              </w:rPr>
              <w:fldChar w:fldCharType="end"/>
            </w:r>
          </w:hyperlink>
        </w:p>
        <w:p w14:paraId="11BE8D62" w14:textId="77777777" w:rsidR="008362BA" w:rsidRPr="008362BA" w:rsidRDefault="00000000" w:rsidP="008362BA">
          <w:pPr>
            <w:pStyle w:val="TOC2"/>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4" w:history="1">
            <w:r w:rsidR="008362BA" w:rsidRPr="008362BA">
              <w:rPr>
                <w:rStyle w:val="Hyperlink"/>
                <w:rFonts w:ascii="Times New Roman" w:hAnsi="Times New Roman" w:cs="Times New Roman"/>
                <w:noProof/>
                <w:color w:val="000000" w:themeColor="text1"/>
                <w:sz w:val="24"/>
                <w:szCs w:val="24"/>
              </w:rPr>
              <w:t>Paula's Liability and Defenses</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_Toc139542974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3</w:t>
            </w:r>
            <w:r w:rsidR="008362BA" w:rsidRPr="008362BA">
              <w:rPr>
                <w:rFonts w:ascii="Times New Roman" w:hAnsi="Times New Roman" w:cs="Times New Roman"/>
                <w:noProof/>
                <w:webHidden/>
                <w:color w:val="000000" w:themeColor="text1"/>
                <w:sz w:val="24"/>
                <w:szCs w:val="24"/>
              </w:rPr>
              <w:fldChar w:fldCharType="end"/>
            </w:r>
          </w:hyperlink>
        </w:p>
        <w:p w14:paraId="5642AF55" w14:textId="77777777" w:rsidR="008362BA" w:rsidRPr="008362BA" w:rsidRDefault="00000000" w:rsidP="008362BA">
          <w:pPr>
            <w:pStyle w:val="TOC2"/>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5" w:history="1">
            <w:r w:rsidR="008362BA" w:rsidRPr="008362BA">
              <w:rPr>
                <w:rStyle w:val="Hyperlink"/>
                <w:rFonts w:ascii="Times New Roman" w:hAnsi="Times New Roman" w:cs="Times New Roman"/>
                <w:noProof/>
                <w:color w:val="000000" w:themeColor="text1"/>
                <w:sz w:val="24"/>
                <w:szCs w:val="24"/>
              </w:rPr>
              <w:t>Harriet's Liability and Defenses</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_Toc139542975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5</w:t>
            </w:r>
            <w:r w:rsidR="008362BA" w:rsidRPr="008362BA">
              <w:rPr>
                <w:rFonts w:ascii="Times New Roman" w:hAnsi="Times New Roman" w:cs="Times New Roman"/>
                <w:noProof/>
                <w:webHidden/>
                <w:color w:val="000000" w:themeColor="text1"/>
                <w:sz w:val="24"/>
                <w:szCs w:val="24"/>
              </w:rPr>
              <w:fldChar w:fldCharType="end"/>
            </w:r>
          </w:hyperlink>
        </w:p>
        <w:p w14:paraId="574D3BB3" w14:textId="77777777" w:rsidR="008362BA" w:rsidRPr="008362BA" w:rsidRDefault="00000000" w:rsidP="008362BA">
          <w:pPr>
            <w:pStyle w:val="TOC2"/>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6" w:history="1">
            <w:r w:rsidR="008362BA" w:rsidRPr="008362BA">
              <w:rPr>
                <w:rStyle w:val="Hyperlink"/>
                <w:rFonts w:ascii="Times New Roman" w:hAnsi="Times New Roman" w:cs="Times New Roman"/>
                <w:noProof/>
                <w:color w:val="000000" w:themeColor="text1"/>
                <w:sz w:val="24"/>
                <w:szCs w:val="24"/>
              </w:rPr>
              <w:t>Paula's Potential Criminal Liability</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_Toc139542976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5</w:t>
            </w:r>
            <w:r w:rsidR="008362BA" w:rsidRPr="008362BA">
              <w:rPr>
                <w:rFonts w:ascii="Times New Roman" w:hAnsi="Times New Roman" w:cs="Times New Roman"/>
                <w:noProof/>
                <w:webHidden/>
                <w:color w:val="000000" w:themeColor="text1"/>
                <w:sz w:val="24"/>
                <w:szCs w:val="24"/>
              </w:rPr>
              <w:fldChar w:fldCharType="end"/>
            </w:r>
          </w:hyperlink>
        </w:p>
        <w:p w14:paraId="48F82A7A" w14:textId="77777777" w:rsidR="008362BA" w:rsidRPr="008362BA" w:rsidRDefault="00000000" w:rsidP="008362BA">
          <w:pPr>
            <w:pStyle w:val="TOC2"/>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7" w:history="1">
            <w:r w:rsidR="008362BA" w:rsidRPr="008362BA">
              <w:rPr>
                <w:rStyle w:val="Hyperlink"/>
                <w:rFonts w:ascii="Times New Roman" w:hAnsi="Times New Roman" w:cs="Times New Roman"/>
                <w:noProof/>
                <w:color w:val="000000" w:themeColor="text1"/>
                <w:sz w:val="24"/>
                <w:szCs w:val="24"/>
              </w:rPr>
              <w:t>Harriet's Potential Criminal Liability</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_Toc139542977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6</w:t>
            </w:r>
            <w:r w:rsidR="008362BA" w:rsidRPr="008362BA">
              <w:rPr>
                <w:rFonts w:ascii="Times New Roman" w:hAnsi="Times New Roman" w:cs="Times New Roman"/>
                <w:noProof/>
                <w:webHidden/>
                <w:color w:val="000000" w:themeColor="text1"/>
                <w:sz w:val="24"/>
                <w:szCs w:val="24"/>
              </w:rPr>
              <w:fldChar w:fldCharType="end"/>
            </w:r>
          </w:hyperlink>
        </w:p>
        <w:p w14:paraId="73826C19" w14:textId="77777777" w:rsidR="008362BA" w:rsidRPr="008362BA" w:rsidRDefault="00000000" w:rsidP="008362BA">
          <w:pPr>
            <w:pStyle w:val="TOC1"/>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8" w:history="1">
            <w:r w:rsidR="008362BA" w:rsidRPr="008362BA">
              <w:rPr>
                <w:rStyle w:val="Hyperlink"/>
                <w:rFonts w:ascii="Times New Roman" w:hAnsi="Times New Roman" w:cs="Times New Roman"/>
                <w:noProof/>
                <w:color w:val="000000" w:themeColor="text1"/>
                <w:sz w:val="24"/>
                <w:szCs w:val="24"/>
              </w:rPr>
              <w:t>Conclusion</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_Toc139542978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7</w:t>
            </w:r>
            <w:r w:rsidR="008362BA" w:rsidRPr="008362BA">
              <w:rPr>
                <w:rFonts w:ascii="Times New Roman" w:hAnsi="Times New Roman" w:cs="Times New Roman"/>
                <w:noProof/>
                <w:webHidden/>
                <w:color w:val="000000" w:themeColor="text1"/>
                <w:sz w:val="24"/>
                <w:szCs w:val="24"/>
              </w:rPr>
              <w:fldChar w:fldCharType="end"/>
            </w:r>
          </w:hyperlink>
        </w:p>
        <w:p w14:paraId="6D79FCDB" w14:textId="77777777" w:rsidR="008362BA" w:rsidRPr="008362BA" w:rsidRDefault="00000000" w:rsidP="008362BA">
          <w:pPr>
            <w:pStyle w:val="TOC1"/>
            <w:tabs>
              <w:tab w:val="right" w:leader="dot" w:pos="9350"/>
            </w:tabs>
            <w:spacing w:after="0" w:line="480" w:lineRule="auto"/>
            <w:contextualSpacing/>
            <w:rPr>
              <w:rFonts w:ascii="Times New Roman" w:hAnsi="Times New Roman" w:cs="Times New Roman"/>
              <w:noProof/>
              <w:color w:val="000000" w:themeColor="text1"/>
              <w:sz w:val="24"/>
              <w:szCs w:val="24"/>
            </w:rPr>
          </w:pPr>
          <w:hyperlink w:anchor="_Toc139542979" w:history="1">
            <w:r w:rsidR="008362BA" w:rsidRPr="008362BA">
              <w:rPr>
                <w:rStyle w:val="Hyperlink"/>
                <w:rFonts w:ascii="Times New Roman" w:hAnsi="Times New Roman" w:cs="Times New Roman"/>
                <w:noProof/>
                <w:color w:val="000000" w:themeColor="text1"/>
                <w:sz w:val="24"/>
                <w:szCs w:val="24"/>
              </w:rPr>
              <w:t>References</w:t>
            </w:r>
            <w:r w:rsidR="008362BA" w:rsidRPr="008362BA">
              <w:rPr>
                <w:rFonts w:ascii="Times New Roman" w:hAnsi="Times New Roman" w:cs="Times New Roman"/>
                <w:noProof/>
                <w:webHidden/>
                <w:color w:val="000000" w:themeColor="text1"/>
                <w:sz w:val="24"/>
                <w:szCs w:val="24"/>
              </w:rPr>
              <w:tab/>
            </w:r>
            <w:r w:rsidR="008362BA" w:rsidRPr="008362BA">
              <w:rPr>
                <w:rFonts w:ascii="Times New Roman" w:hAnsi="Times New Roman" w:cs="Times New Roman"/>
                <w:noProof/>
                <w:webHidden/>
                <w:color w:val="000000" w:themeColor="text1"/>
                <w:sz w:val="24"/>
                <w:szCs w:val="24"/>
              </w:rPr>
              <w:fldChar w:fldCharType="begin"/>
            </w:r>
            <w:r w:rsidR="008362BA" w:rsidRPr="008362BA">
              <w:rPr>
                <w:rFonts w:ascii="Times New Roman" w:hAnsi="Times New Roman" w:cs="Times New Roman"/>
                <w:noProof/>
                <w:webHidden/>
                <w:color w:val="000000" w:themeColor="text1"/>
                <w:sz w:val="24"/>
                <w:szCs w:val="24"/>
              </w:rPr>
              <w:instrText xml:space="preserve"> PAGEREF _Toc139542979 \h </w:instrText>
            </w:r>
            <w:r w:rsidR="008362BA" w:rsidRPr="008362BA">
              <w:rPr>
                <w:rFonts w:ascii="Times New Roman" w:hAnsi="Times New Roman" w:cs="Times New Roman"/>
                <w:noProof/>
                <w:webHidden/>
                <w:color w:val="000000" w:themeColor="text1"/>
                <w:sz w:val="24"/>
                <w:szCs w:val="24"/>
              </w:rPr>
            </w:r>
            <w:r w:rsidR="008362BA" w:rsidRPr="008362BA">
              <w:rPr>
                <w:rFonts w:ascii="Times New Roman" w:hAnsi="Times New Roman" w:cs="Times New Roman"/>
                <w:noProof/>
                <w:webHidden/>
                <w:color w:val="000000" w:themeColor="text1"/>
                <w:sz w:val="24"/>
                <w:szCs w:val="24"/>
              </w:rPr>
              <w:fldChar w:fldCharType="separate"/>
            </w:r>
            <w:r w:rsidR="008362BA" w:rsidRPr="008362BA">
              <w:rPr>
                <w:rFonts w:ascii="Times New Roman" w:hAnsi="Times New Roman" w:cs="Times New Roman"/>
                <w:noProof/>
                <w:webHidden/>
                <w:color w:val="000000" w:themeColor="text1"/>
                <w:sz w:val="24"/>
                <w:szCs w:val="24"/>
              </w:rPr>
              <w:t>9</w:t>
            </w:r>
            <w:r w:rsidR="008362BA" w:rsidRPr="008362BA">
              <w:rPr>
                <w:rFonts w:ascii="Times New Roman" w:hAnsi="Times New Roman" w:cs="Times New Roman"/>
                <w:noProof/>
                <w:webHidden/>
                <w:color w:val="000000" w:themeColor="text1"/>
                <w:sz w:val="24"/>
                <w:szCs w:val="24"/>
              </w:rPr>
              <w:fldChar w:fldCharType="end"/>
            </w:r>
          </w:hyperlink>
        </w:p>
        <w:p w14:paraId="7BE64E79" w14:textId="77777777" w:rsidR="008362BA" w:rsidRDefault="008362BA" w:rsidP="008362BA">
          <w:pPr>
            <w:spacing w:after="0" w:line="480" w:lineRule="auto"/>
            <w:contextualSpacing/>
          </w:pPr>
          <w:r w:rsidRPr="008362BA">
            <w:rPr>
              <w:rFonts w:ascii="Times New Roman" w:hAnsi="Times New Roman" w:cs="Times New Roman"/>
              <w:b/>
              <w:bCs/>
              <w:noProof/>
              <w:color w:val="000000" w:themeColor="text1"/>
              <w:sz w:val="24"/>
              <w:szCs w:val="24"/>
            </w:rPr>
            <w:fldChar w:fldCharType="end"/>
          </w:r>
        </w:p>
      </w:sdtContent>
    </w:sdt>
    <w:p w14:paraId="4D5D6DF8" w14:textId="77777777" w:rsidR="008362BA" w:rsidRDefault="008362BA">
      <w:pPr>
        <w:rPr>
          <w:rFonts w:ascii="Times New Roman" w:eastAsiaTheme="majorEastAsia"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1450A03C" w14:textId="77777777" w:rsidR="006E3CCE" w:rsidRPr="008362BA" w:rsidRDefault="00C33260" w:rsidP="008362BA">
      <w:pPr>
        <w:pStyle w:val="Heading1"/>
        <w:spacing w:before="0" w:line="480" w:lineRule="auto"/>
        <w:rPr>
          <w:rFonts w:ascii="Times New Roman" w:hAnsi="Times New Roman" w:cs="Times New Roman"/>
          <w:b/>
          <w:color w:val="000000" w:themeColor="text1"/>
          <w:sz w:val="24"/>
          <w:szCs w:val="24"/>
        </w:rPr>
      </w:pPr>
      <w:bookmarkStart w:id="0" w:name="_Toc139542973"/>
      <w:r w:rsidRPr="008362BA">
        <w:rPr>
          <w:rFonts w:ascii="Times New Roman" w:hAnsi="Times New Roman" w:cs="Times New Roman"/>
          <w:b/>
          <w:color w:val="000000" w:themeColor="text1"/>
          <w:sz w:val="24"/>
          <w:szCs w:val="24"/>
        </w:rPr>
        <w:lastRenderedPageBreak/>
        <w:t>Introduction</w:t>
      </w:r>
      <w:bookmarkEnd w:id="0"/>
      <w:r w:rsidRPr="008362BA">
        <w:rPr>
          <w:rFonts w:ascii="Times New Roman" w:hAnsi="Times New Roman" w:cs="Times New Roman"/>
          <w:b/>
          <w:color w:val="000000" w:themeColor="text1"/>
          <w:sz w:val="24"/>
          <w:szCs w:val="24"/>
        </w:rPr>
        <w:t xml:space="preserve"> </w:t>
      </w:r>
    </w:p>
    <w:p w14:paraId="741FC8CE" w14:textId="77777777" w:rsidR="00820F31"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When assessing whether Paula and Harriet are criminally culpable, a variety of aspects of English criminal law, pertinent case law, and alternative defences must be considered. This study will examine these ideas in the context of theft, vandalism, and violence.</w:t>
      </w:r>
    </w:p>
    <w:p w14:paraId="02676AB8" w14:textId="77777777" w:rsidR="00820F31" w:rsidRPr="008362BA" w:rsidRDefault="00C33260" w:rsidP="008362BA">
      <w:pPr>
        <w:pStyle w:val="Heading2"/>
        <w:spacing w:before="0" w:line="480" w:lineRule="auto"/>
        <w:rPr>
          <w:rFonts w:ascii="Times New Roman" w:hAnsi="Times New Roman" w:cs="Times New Roman"/>
          <w:b/>
          <w:color w:val="000000" w:themeColor="text1"/>
          <w:sz w:val="24"/>
        </w:rPr>
      </w:pPr>
      <w:bookmarkStart w:id="1" w:name="_Toc139542974"/>
      <w:r w:rsidRPr="008362BA">
        <w:rPr>
          <w:rFonts w:ascii="Times New Roman" w:hAnsi="Times New Roman" w:cs="Times New Roman"/>
          <w:b/>
          <w:color w:val="000000" w:themeColor="text1"/>
          <w:sz w:val="24"/>
        </w:rPr>
        <w:t>Paula's Liability and Defenses</w:t>
      </w:r>
      <w:bookmarkEnd w:id="1"/>
    </w:p>
    <w:p w14:paraId="5475CD44" w14:textId="77777777" w:rsidR="00820F31"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Paula's activities are theft under Section 1 of the Theft Act of 1968 because they include the dishonest appropriation of property to deprive the owner of it permanently.</w:t>
      </w:r>
      <w:r w:rsidRPr="008362BA">
        <w:rPr>
          <w:rStyle w:val="FootnoteReference"/>
          <w:rFonts w:ascii="Times New Roman" w:hAnsi="Times New Roman" w:cs="Times New Roman"/>
          <w:color w:val="000000" w:themeColor="text1"/>
          <w:sz w:val="24"/>
          <w:szCs w:val="24"/>
        </w:rPr>
        <w:footnoteReference w:id="1"/>
      </w:r>
      <w:r w:rsidRPr="008362BA">
        <w:rPr>
          <w:rFonts w:ascii="Times New Roman" w:hAnsi="Times New Roman" w:cs="Times New Roman"/>
          <w:color w:val="000000" w:themeColor="text1"/>
          <w:sz w:val="24"/>
          <w:szCs w:val="24"/>
        </w:rPr>
        <w:t>Paula lied to steal Christine's wallet (Morris [1983]) and deprive her of it permanently (section 6 of the Theft Act 1968). The fact that she purposefully took the bag from her vehicle and hid it under it shows that she did it intentionally. Ghosh's (1982) "two-limb test" gives Paula an exit if she is being dishonest. Ghosh was overturned in Ivey v. Genting Casinos [2017], which established objective, rather than subjective, grounds for dishonesty</w:t>
      </w:r>
      <w:r w:rsidRPr="008362BA">
        <w:rPr>
          <w:rStyle w:val="FootnoteReference"/>
          <w:rFonts w:ascii="Times New Roman" w:hAnsi="Times New Roman" w:cs="Times New Roman"/>
          <w:color w:val="000000" w:themeColor="text1"/>
          <w:sz w:val="24"/>
          <w:szCs w:val="24"/>
        </w:rPr>
        <w:footnoteReference w:id="2"/>
      </w:r>
      <w:r w:rsidRPr="008362BA">
        <w:rPr>
          <w:rFonts w:ascii="Times New Roman" w:hAnsi="Times New Roman" w:cs="Times New Roman"/>
          <w:color w:val="000000" w:themeColor="text1"/>
          <w:sz w:val="24"/>
          <w:szCs w:val="24"/>
        </w:rPr>
        <w:t>. The court would want to determine if an honest and reasonable person would consider Paula's actions unethical, and the answer is yes.</w:t>
      </w:r>
    </w:p>
    <w:p w14:paraId="46507AED" w14:textId="77777777" w:rsidR="00036E96"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 xml:space="preserve">The idea of "dishonesty" is critical to the definition of theft under Section 1 of the Theft Act 1968 and hence plays a significant role in the issue of theft and Paula's possible criminal responsibility. Theft is "the dishonest taking of another person's property with the intent to deprive that person permanently of that property." Paula may have participated in similar behaviour when she concealed Christine's pocketbook with the idea of retrieving it later. However, the concept of "dishonesty" in English law has evolved dramatically over time, which may impact Paula's </w:t>
      </w:r>
      <w:r w:rsidRPr="008362BA">
        <w:rPr>
          <w:rFonts w:ascii="Times New Roman" w:hAnsi="Times New Roman" w:cs="Times New Roman"/>
          <w:color w:val="000000" w:themeColor="text1"/>
          <w:sz w:val="24"/>
          <w:szCs w:val="24"/>
        </w:rPr>
        <w:lastRenderedPageBreak/>
        <w:t>prospective case. In the instance of R v Ghosh [1982], a two-stage (or two-limb) test for dishonesty was first created. If reasonable and honest individuals consider the defendant's actions dishonest, they fail the Ghosh test's objective component. If affirmative, we go to the subjective element of the trial, which examines whether the defendant had any cause to think her acts were dishonest. Paula may avoid punishment under the Ghosh test by claiming that she did not intend for her shows to be fraudulent.</w:t>
      </w:r>
      <w:r w:rsidRPr="008362BA">
        <w:rPr>
          <w:rStyle w:val="FootnoteReference"/>
          <w:rFonts w:ascii="Times New Roman" w:hAnsi="Times New Roman" w:cs="Times New Roman"/>
          <w:color w:val="000000" w:themeColor="text1"/>
          <w:sz w:val="24"/>
          <w:szCs w:val="24"/>
        </w:rPr>
        <w:footnoteReference w:id="3"/>
      </w:r>
      <w:r w:rsidRPr="008362BA">
        <w:rPr>
          <w:rFonts w:ascii="Times New Roman" w:hAnsi="Times New Roman" w:cs="Times New Roman"/>
          <w:color w:val="000000" w:themeColor="text1"/>
          <w:sz w:val="24"/>
          <w:szCs w:val="24"/>
        </w:rPr>
        <w:t xml:space="preserve">. Paula may argue that she wasn't being purposefully dishonest, even though it seemed that way to others who knew her well. </w:t>
      </w:r>
    </w:p>
    <w:p w14:paraId="1888C30C" w14:textId="77777777" w:rsidR="00036E96"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The Supreme Court ruled in Ivey v. Genting Casinos (UK) Ltd [2017] that this method was unconstitutional</w:t>
      </w:r>
      <w:r w:rsidRPr="008362BA">
        <w:rPr>
          <w:rStyle w:val="FootnoteReference"/>
          <w:rFonts w:ascii="Times New Roman" w:hAnsi="Times New Roman" w:cs="Times New Roman"/>
          <w:color w:val="000000" w:themeColor="text1"/>
          <w:sz w:val="24"/>
          <w:szCs w:val="24"/>
        </w:rPr>
        <w:footnoteReference w:id="4"/>
      </w:r>
      <w:r w:rsidRPr="008362BA">
        <w:rPr>
          <w:rFonts w:ascii="Times New Roman" w:hAnsi="Times New Roman" w:cs="Times New Roman"/>
          <w:color w:val="000000" w:themeColor="text1"/>
          <w:sz w:val="24"/>
          <w:szCs w:val="24"/>
        </w:rPr>
        <w:t xml:space="preserve">. Because the second subjective element of the Ghosh test perverted the law, the court concluded that objective standards should be employed to determine whether or not a defendant was dishonest. While deciding whether or not the defendant in Ivey was dishonest, the court evaluated what "ordinary decent people" would perceive as the norm. It makes no difference whether or not the defendant knew her conduct was dishonest. A court may judge Paula's activities as fraudulent in light of the Ivey judgement. She stole the pocketbook, concealed it, and then left the premises with it without the owner's knowledge or approval. Whatever Paula thinks about it, honest people would consider this unethical. The objective test may unfairly penalise persons whose beliefs and ideas vary from those of "ordinary, reasonable people," whether owing to </w:t>
      </w:r>
      <w:r w:rsidRPr="008362BA">
        <w:rPr>
          <w:rFonts w:ascii="Times New Roman" w:hAnsi="Times New Roman" w:cs="Times New Roman"/>
          <w:color w:val="000000" w:themeColor="text1"/>
          <w:sz w:val="24"/>
          <w:szCs w:val="24"/>
        </w:rPr>
        <w:lastRenderedPageBreak/>
        <w:t>cultural, societal, or personal considerations.</w:t>
      </w:r>
      <w:r w:rsidRPr="008362BA">
        <w:rPr>
          <w:rStyle w:val="FootnoteReference"/>
          <w:rFonts w:ascii="Times New Roman" w:hAnsi="Times New Roman" w:cs="Times New Roman"/>
          <w:color w:val="000000" w:themeColor="text1"/>
          <w:sz w:val="24"/>
          <w:szCs w:val="24"/>
        </w:rPr>
        <w:footnoteReference w:id="5"/>
      </w:r>
      <w:r w:rsidRPr="008362BA">
        <w:rPr>
          <w:rFonts w:ascii="Times New Roman" w:hAnsi="Times New Roman" w:cs="Times New Roman"/>
          <w:color w:val="000000" w:themeColor="text1"/>
          <w:sz w:val="24"/>
          <w:szCs w:val="24"/>
        </w:rPr>
        <w:t>. At least until September 2021, the Ivey decision seems to be the foundation upon which English courts will build their assessments of dishonesty.</w:t>
      </w:r>
    </w:p>
    <w:p w14:paraId="51AF5AE1" w14:textId="77777777" w:rsidR="00820F31" w:rsidRPr="008362BA" w:rsidRDefault="00C33260" w:rsidP="008362BA">
      <w:pPr>
        <w:pStyle w:val="Heading2"/>
        <w:spacing w:before="0" w:line="480" w:lineRule="auto"/>
        <w:rPr>
          <w:rFonts w:ascii="Times New Roman" w:hAnsi="Times New Roman" w:cs="Times New Roman"/>
          <w:b/>
          <w:color w:val="000000" w:themeColor="text1"/>
          <w:sz w:val="24"/>
          <w:szCs w:val="24"/>
        </w:rPr>
      </w:pPr>
      <w:bookmarkStart w:id="2" w:name="_Toc139542975"/>
      <w:r w:rsidRPr="008362BA">
        <w:rPr>
          <w:rFonts w:ascii="Times New Roman" w:hAnsi="Times New Roman" w:cs="Times New Roman"/>
          <w:b/>
          <w:color w:val="000000" w:themeColor="text1"/>
          <w:sz w:val="24"/>
          <w:szCs w:val="24"/>
        </w:rPr>
        <w:t>Harriet's Liability and Defenses</w:t>
      </w:r>
      <w:bookmarkEnd w:id="2"/>
    </w:p>
    <w:p w14:paraId="4F3E5A6E" w14:textId="77777777" w:rsidR="00820F31"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Harriet may have breached the law if she willfully or negligently destroyed someone else's property, as stated in section 1(1) of the Criminal Harm Act of 1971. Both breaking the glass in Christine's kitchen (Hardman v Chief Constable of Avon and Somerset [1986]) and hurting Daniel in a fight (Fiak [2005]) qualify as criminal acts. Intoxication might be Harriet's defence. Her lack of choice may be used to defend her illegal behaviour since she claims she did not drink on purpose. Voluntary drunkenness may serve as a defence in some instances, such as R v. Bailey (1983), but not in others, such as DPP v. Majewski (1977). Harriet might claim she was operating on autopilot (Cahill, 1993). Harriet might be charged with grievous bodily injury under section 20 of the Offences Against the Person Act 1861 if the shattered cheekbone is used as evidence. The fact that she mistook Daniel for an intruder due to hallucinations is a weak defence (A (A Juvenile) v R [1978]). Under shared corporate responsibility (R v Gnango [2011]), Leon might be investigated for his alleged part in the spiking of Harriet's drink.</w:t>
      </w:r>
    </w:p>
    <w:p w14:paraId="26200EFF" w14:textId="77777777" w:rsidR="00820F31" w:rsidRPr="008362BA" w:rsidRDefault="00C33260" w:rsidP="008362BA">
      <w:pPr>
        <w:pStyle w:val="Heading2"/>
        <w:spacing w:before="0" w:line="480" w:lineRule="auto"/>
        <w:rPr>
          <w:rFonts w:ascii="Times New Roman" w:hAnsi="Times New Roman" w:cs="Times New Roman"/>
          <w:b/>
          <w:color w:val="000000" w:themeColor="text1"/>
          <w:sz w:val="24"/>
          <w:szCs w:val="24"/>
        </w:rPr>
      </w:pPr>
      <w:bookmarkStart w:id="3" w:name="_Toc139542976"/>
      <w:r w:rsidRPr="008362BA">
        <w:rPr>
          <w:rFonts w:ascii="Times New Roman" w:hAnsi="Times New Roman" w:cs="Times New Roman"/>
          <w:b/>
          <w:color w:val="000000" w:themeColor="text1"/>
          <w:sz w:val="24"/>
          <w:szCs w:val="24"/>
        </w:rPr>
        <w:t>Paula's Potential Criminal Liability</w:t>
      </w:r>
      <w:bookmarkEnd w:id="3"/>
    </w:p>
    <w:p w14:paraId="36EC08BB" w14:textId="77777777" w:rsidR="00820F31"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 xml:space="preserve">According to Section 1 of the Theft Act of 1968, theft is defined as the unauthorised taking of another person's property to deprive the owner of the property permanently. Such a conclusion may be drawn from Paula's conduct. When she took Christine's purse without her knowledge or agreement, she appropriated it (Morris [1983]). She was dishonest in removing the bag under section 2(1) of the Act since she did not think she had the authority to do so. She pulled Christine's </w:t>
      </w:r>
      <w:r w:rsidRPr="008362BA">
        <w:rPr>
          <w:rFonts w:ascii="Times New Roman" w:hAnsi="Times New Roman" w:cs="Times New Roman"/>
          <w:color w:val="000000" w:themeColor="text1"/>
          <w:sz w:val="24"/>
          <w:szCs w:val="24"/>
        </w:rPr>
        <w:lastRenderedPageBreak/>
        <w:t>suitcases, stuffed them under her vehicle, and drove away to demonstrate that she would always retain them. Morris explained that the appropriation was complete when she owned the bag. But whether Paula is dishonest or not is debatable. Ghosh's [1982] two-pronged approach to finding dishonesty entails first considering if the defendant's acts were fraudulent about those of reasonable and honest persons and then determining whether the defendant was aware of the deceit of their actions. Paula may be exonerated if she can demonstrate that she did not intend for her acts to be dishonest.</w:t>
      </w:r>
      <w:r w:rsidRPr="008362BA">
        <w:rPr>
          <w:rStyle w:val="FootnoteReference"/>
          <w:rFonts w:ascii="Times New Roman" w:hAnsi="Times New Roman" w:cs="Times New Roman"/>
          <w:color w:val="000000" w:themeColor="text1"/>
          <w:sz w:val="24"/>
          <w:szCs w:val="24"/>
        </w:rPr>
        <w:footnoteReference w:id="6"/>
      </w:r>
      <w:r w:rsidRPr="008362BA">
        <w:rPr>
          <w:rFonts w:ascii="Times New Roman" w:hAnsi="Times New Roman" w:cs="Times New Roman"/>
          <w:color w:val="000000" w:themeColor="text1"/>
          <w:sz w:val="24"/>
          <w:szCs w:val="24"/>
        </w:rPr>
        <w:t>. However, the case of Ivey v. Genting Casinos [2017] may put this logic to the test. Following the Supreme Court's decision in Ivey, the Ghosh test may only be used to establish whether Paula's actions were dishonest from the standpoint of a reasonable and honest person. Given these precedents, Paula's defence is destined to fail.</w:t>
      </w:r>
    </w:p>
    <w:p w14:paraId="1817BB56" w14:textId="77777777" w:rsidR="00036E96" w:rsidRPr="008362BA" w:rsidRDefault="00C33260" w:rsidP="008362BA">
      <w:pPr>
        <w:pStyle w:val="Heading2"/>
        <w:spacing w:before="0" w:line="480" w:lineRule="auto"/>
        <w:rPr>
          <w:rFonts w:ascii="Times New Roman" w:hAnsi="Times New Roman" w:cs="Times New Roman"/>
          <w:b/>
          <w:color w:val="000000" w:themeColor="text1"/>
          <w:sz w:val="24"/>
          <w:szCs w:val="24"/>
        </w:rPr>
      </w:pPr>
      <w:bookmarkStart w:id="4" w:name="_Toc139542977"/>
      <w:r w:rsidRPr="008362BA">
        <w:rPr>
          <w:rFonts w:ascii="Times New Roman" w:hAnsi="Times New Roman" w:cs="Times New Roman"/>
          <w:b/>
          <w:color w:val="000000" w:themeColor="text1"/>
          <w:sz w:val="24"/>
          <w:szCs w:val="24"/>
        </w:rPr>
        <w:t>Harriet's Potential Criminal Liability</w:t>
      </w:r>
      <w:bookmarkEnd w:id="4"/>
    </w:p>
    <w:p w14:paraId="617A9E11" w14:textId="77777777" w:rsidR="00036E96"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 xml:space="preserve">Harriet's conduct may be covered under Section 1(1) of the Criminal Damage Act of 1971. Criminal property damage may include smashing the windows of Christine's kitchen, according to Hardman v. Chief Constable of Avon and Somerset [1986]. The mental state of Harriet at the time of the crime, known as her mens rea, is critical. Not In this scenario, though, a defence may be offered. Harriet was not inebriated; Leon had tainted her drink because she wanted to be. In the case of involuntary drunkenness, R v Bailey [1984] established the lack of mens rea as a defence. Harriet might be prosecuted with GBH for attacking Daniel and breaking his cheekbone, according to section 20 of the Crimes Against the Person Act of 1861. Harriet claimed she was defending </w:t>
      </w:r>
      <w:r w:rsidRPr="008362BA">
        <w:rPr>
          <w:rFonts w:ascii="Times New Roman" w:hAnsi="Times New Roman" w:cs="Times New Roman"/>
          <w:color w:val="000000" w:themeColor="text1"/>
          <w:sz w:val="24"/>
          <w:szCs w:val="24"/>
        </w:rPr>
        <w:lastRenderedPageBreak/>
        <w:t>herself while supposedly inebriated (A (a juvenile) v R [1978]). Because the danger was overblown, this may not be a defence (R v Williams [1984]).</w:t>
      </w:r>
    </w:p>
    <w:p w14:paraId="380EEB7C" w14:textId="77777777" w:rsidR="00036E96"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Harriet's conduct may have resulted in two felonies: criminal damage and assault with the intent to commit ABH. Harriet may be held accountable for smashed bi-fold door glass under the Criminal Damage Act 1971 (R v. Fiak [2005])</w:t>
      </w:r>
      <w:r w:rsidRPr="008362BA">
        <w:rPr>
          <w:rStyle w:val="FootnoteReference"/>
          <w:rFonts w:ascii="Times New Roman" w:hAnsi="Times New Roman" w:cs="Times New Roman"/>
          <w:color w:val="000000" w:themeColor="text1"/>
          <w:sz w:val="24"/>
          <w:szCs w:val="24"/>
        </w:rPr>
        <w:footnoteReference w:id="7"/>
      </w:r>
      <w:r w:rsidRPr="008362BA">
        <w:rPr>
          <w:rFonts w:ascii="Times New Roman" w:hAnsi="Times New Roman" w:cs="Times New Roman"/>
          <w:color w:val="000000" w:themeColor="text1"/>
          <w:sz w:val="24"/>
          <w:szCs w:val="24"/>
        </w:rPr>
        <w:t>. In line with section 47 of the Offences Against the Person Act 1861 (R v. Roberts [1971]), she may be guilty of assault and battery for shattering Daniel's cheekbone. Men's rea, or criminal intent, is required to commit both crimes. Because of the poison in her drink and her hallucinations, Harriet may or may not have had the essential mens rea. The drunkenness defence has suddenly gained credibility. In the circumstances like Harriet's, the men's rea criterion may be fulfilled when drunkenness was unintentional, according to R v. Kingston [1994]. Harriet may be able to avoid culpability for both potential charges because she lacked the necessary men's rea due to the spiking of her drink. However, this does not account for offences with "basic intent," in which carelessness is sufficient for men's rea (DPP v Majewski [1977]). The court's ruling on whether Harriet acted recklessly by drinking from an unsecured container may undermine her case.</w:t>
      </w:r>
    </w:p>
    <w:p w14:paraId="2F6CD0CF" w14:textId="77777777" w:rsidR="00036E96" w:rsidRPr="008362BA" w:rsidRDefault="00C33260" w:rsidP="008362BA">
      <w:pPr>
        <w:pStyle w:val="Heading1"/>
        <w:spacing w:before="0" w:line="480" w:lineRule="auto"/>
        <w:rPr>
          <w:rFonts w:ascii="Times New Roman" w:hAnsi="Times New Roman" w:cs="Times New Roman"/>
          <w:b/>
          <w:color w:val="000000" w:themeColor="text1"/>
          <w:sz w:val="24"/>
          <w:szCs w:val="24"/>
        </w:rPr>
      </w:pPr>
      <w:bookmarkStart w:id="5" w:name="_Toc139542978"/>
      <w:r w:rsidRPr="008362BA">
        <w:rPr>
          <w:rFonts w:ascii="Times New Roman" w:hAnsi="Times New Roman" w:cs="Times New Roman"/>
          <w:b/>
          <w:color w:val="000000" w:themeColor="text1"/>
          <w:sz w:val="24"/>
          <w:szCs w:val="24"/>
        </w:rPr>
        <w:t>Conclusion</w:t>
      </w:r>
      <w:bookmarkEnd w:id="5"/>
      <w:r w:rsidRPr="008362BA">
        <w:rPr>
          <w:rFonts w:ascii="Times New Roman" w:hAnsi="Times New Roman" w:cs="Times New Roman"/>
          <w:b/>
          <w:color w:val="000000" w:themeColor="text1"/>
          <w:sz w:val="24"/>
          <w:szCs w:val="24"/>
        </w:rPr>
        <w:t xml:space="preserve"> </w:t>
      </w:r>
    </w:p>
    <w:p w14:paraId="7C936A17" w14:textId="77777777" w:rsidR="00036E96" w:rsidRPr="008362BA" w:rsidRDefault="00C33260" w:rsidP="008362BA">
      <w:pPr>
        <w:spacing w:after="0" w:line="480" w:lineRule="auto"/>
        <w:contextualSpacing/>
        <w:jc w:val="both"/>
        <w:rPr>
          <w:rFonts w:ascii="Times New Roman" w:hAnsi="Times New Roman" w:cs="Times New Roman"/>
          <w:color w:val="000000" w:themeColor="text1"/>
          <w:sz w:val="24"/>
          <w:szCs w:val="24"/>
        </w:rPr>
      </w:pPr>
      <w:r w:rsidRPr="008362BA">
        <w:rPr>
          <w:rFonts w:ascii="Times New Roman" w:hAnsi="Times New Roman" w:cs="Times New Roman"/>
          <w:color w:val="000000" w:themeColor="text1"/>
          <w:sz w:val="24"/>
          <w:szCs w:val="24"/>
        </w:rPr>
        <w:t>To summarise, if Paula's dishonesty is considered, she may be found guilty of stealing. Harriet may be able to avoid charges of criminal damage and ABH if she claims she was involuntarily inebriated. This may be questioned if other individuals saw her actions as harmful. The ultimate findings in these evaluations will be based on the specifics of the relevant English law and how the courts interpret that legislation in light of the facts at hand.</w:t>
      </w:r>
      <w:r w:rsidR="00F44C36" w:rsidRPr="008362BA">
        <w:rPr>
          <w:rFonts w:ascii="Times New Roman" w:hAnsi="Times New Roman" w:cs="Times New Roman"/>
          <w:color w:val="000000" w:themeColor="text1"/>
          <w:sz w:val="24"/>
          <w:szCs w:val="24"/>
        </w:rPr>
        <w:t xml:space="preserve"> To summarise, Paula may be found </w:t>
      </w:r>
      <w:r w:rsidR="00F44C36" w:rsidRPr="008362BA">
        <w:rPr>
          <w:rFonts w:ascii="Times New Roman" w:hAnsi="Times New Roman" w:cs="Times New Roman"/>
          <w:color w:val="000000" w:themeColor="text1"/>
          <w:sz w:val="24"/>
          <w:szCs w:val="24"/>
        </w:rPr>
        <w:lastRenderedPageBreak/>
        <w:t>criminally accountable for stealing, whereas Harriet may be held legally liable for criminal damage and perhaps GBH. Defences based on the Ghosh test, drunkenness, and misguided self-defence may be available, but their success is dubious given the facts and case law. For clarity, this study reduces complex legal concerns. Various events may influence real-life results, and Paula and Harriet should obtain legal counsel.</w:t>
      </w:r>
      <w:r w:rsidRPr="008362BA">
        <w:rPr>
          <w:rStyle w:val="FootnoteReference"/>
          <w:rFonts w:ascii="Times New Roman" w:hAnsi="Times New Roman" w:cs="Times New Roman"/>
          <w:color w:val="000000" w:themeColor="text1"/>
          <w:sz w:val="24"/>
          <w:szCs w:val="24"/>
        </w:rPr>
        <w:footnoteReference w:id="8"/>
      </w:r>
      <w:r w:rsidR="00F44C36" w:rsidRPr="008362BA">
        <w:rPr>
          <w:rFonts w:ascii="Times New Roman" w:hAnsi="Times New Roman" w:cs="Times New Roman"/>
          <w:color w:val="000000" w:themeColor="text1"/>
          <w:sz w:val="24"/>
          <w:szCs w:val="24"/>
        </w:rPr>
        <w:t>. This counsel is not intended to replace the advice of a legal expert.</w:t>
      </w:r>
    </w:p>
    <w:p w14:paraId="3E59ECD7" w14:textId="77777777" w:rsidR="001A241D" w:rsidRDefault="00C33260">
      <w:r>
        <w:br w:type="page"/>
      </w:r>
    </w:p>
    <w:p w14:paraId="1ADFD0F2" w14:textId="77777777" w:rsidR="00036E96" w:rsidRPr="00D615D5" w:rsidRDefault="00C33260" w:rsidP="00D615D5">
      <w:pPr>
        <w:pStyle w:val="Heading1"/>
        <w:spacing w:before="0" w:line="360" w:lineRule="auto"/>
        <w:contextualSpacing/>
        <w:jc w:val="center"/>
        <w:rPr>
          <w:rFonts w:ascii="Times New Roman" w:hAnsi="Times New Roman" w:cs="Times New Roman"/>
          <w:b/>
          <w:color w:val="000000" w:themeColor="text1"/>
          <w:sz w:val="24"/>
          <w:szCs w:val="24"/>
        </w:rPr>
      </w:pPr>
      <w:bookmarkStart w:id="6" w:name="_Toc139542979"/>
      <w:r w:rsidRPr="00D615D5">
        <w:rPr>
          <w:rFonts w:ascii="Times New Roman" w:hAnsi="Times New Roman" w:cs="Times New Roman"/>
          <w:b/>
          <w:color w:val="000000" w:themeColor="text1"/>
          <w:sz w:val="24"/>
          <w:szCs w:val="24"/>
        </w:rPr>
        <w:lastRenderedPageBreak/>
        <w:t>References</w:t>
      </w:r>
      <w:bookmarkEnd w:id="6"/>
    </w:p>
    <w:p w14:paraId="175F896A"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'Privatisation of public space the displacement of street vendors in Guatemala City' (2020) </w:t>
      </w:r>
      <w:r w:rsidRPr="00D615D5">
        <w:rPr>
          <w:i/>
          <w:iCs/>
          <w:color w:val="000000" w:themeColor="text1"/>
        </w:rPr>
        <w:t>Securing the City</w:t>
      </w:r>
      <w:r w:rsidRPr="00D615D5">
        <w:rPr>
          <w:color w:val="000000" w:themeColor="text1"/>
        </w:rPr>
        <w:t xml:space="preserve">, pp. 83–100. doi:10.1515/9780822393924-006. </w:t>
      </w:r>
    </w:p>
    <w:p w14:paraId="47277582"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Dempsey, M.M. (2021) ‘Coercion, consent, and Time’, </w:t>
      </w:r>
      <w:r w:rsidRPr="00D615D5">
        <w:rPr>
          <w:i/>
          <w:iCs/>
          <w:color w:val="000000" w:themeColor="text1"/>
        </w:rPr>
        <w:t>Ethics</w:t>
      </w:r>
      <w:r w:rsidRPr="00D615D5">
        <w:rPr>
          <w:color w:val="000000" w:themeColor="text1"/>
        </w:rPr>
        <w:t xml:space="preserve">, 131(2), pp. 345–368. doi:10.1086/711212. </w:t>
      </w:r>
    </w:p>
    <w:p w14:paraId="4FD3D970"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Graham, T. and Russell, D. (2022) ‘Exemption clauses in the modern age: Do they result in an “Institution in crisis”?’, </w:t>
      </w:r>
      <w:r w:rsidRPr="00D615D5">
        <w:rPr>
          <w:i/>
          <w:iCs/>
          <w:color w:val="000000" w:themeColor="text1"/>
        </w:rPr>
        <w:t>Trusts &amp;amp; Trustees</w:t>
      </w:r>
      <w:r w:rsidRPr="00D615D5">
        <w:rPr>
          <w:color w:val="000000" w:themeColor="text1"/>
        </w:rPr>
        <w:t xml:space="preserve">, 28(2), pp. 54–63. doi:10.1093/tandt/ttac011. </w:t>
      </w:r>
    </w:p>
    <w:p w14:paraId="0D497608"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Gurnham, D. (2019) ‘“hell has no flames, only windows that won’t open”: Justice as escape in law and literature’, </w:t>
      </w:r>
      <w:r w:rsidRPr="00D615D5">
        <w:rPr>
          <w:i/>
          <w:iCs/>
          <w:color w:val="000000" w:themeColor="text1"/>
        </w:rPr>
        <w:t>Law and Humanities</w:t>
      </w:r>
      <w:r w:rsidRPr="00D615D5">
        <w:rPr>
          <w:color w:val="000000" w:themeColor="text1"/>
        </w:rPr>
        <w:t xml:space="preserve">, 13(2), pp. 269–293. doi:10.1080/17521483.2019.1670900. </w:t>
      </w:r>
    </w:p>
    <w:p w14:paraId="5641CA4D"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Hoogendijk, E.O. </w:t>
      </w:r>
      <w:r w:rsidRPr="00D615D5">
        <w:rPr>
          <w:i/>
          <w:iCs/>
          <w:color w:val="000000" w:themeColor="text1"/>
        </w:rPr>
        <w:t>et al.</w:t>
      </w:r>
      <w:r w:rsidRPr="00D615D5">
        <w:rPr>
          <w:color w:val="000000" w:themeColor="text1"/>
        </w:rPr>
        <w:t xml:space="preserve"> (2023) ‘Optimising the care for older persons with complex chronic conditions in-home care and nursing homes: Design and protocol of I-CARE4OLD, an observational study using real-world data', </w:t>
      </w:r>
      <w:r w:rsidRPr="00D615D5">
        <w:rPr>
          <w:i/>
          <w:iCs/>
          <w:color w:val="000000" w:themeColor="text1"/>
        </w:rPr>
        <w:t>BMJ Open</w:t>
      </w:r>
      <w:r w:rsidRPr="00D615D5">
        <w:rPr>
          <w:color w:val="000000" w:themeColor="text1"/>
        </w:rPr>
        <w:t xml:space="preserve">, 13(6). doi:10.1136/bmjopen-2023-072399. </w:t>
      </w:r>
    </w:p>
    <w:p w14:paraId="34FACB0F"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Leung, G.K.K. (2019) 'Criminalising medical research fraud: Towards an appropriate legal framework and policy response', </w:t>
      </w:r>
      <w:r w:rsidRPr="00D615D5">
        <w:rPr>
          <w:i/>
          <w:iCs/>
          <w:color w:val="000000" w:themeColor="text1"/>
        </w:rPr>
        <w:t>Medical Law International</w:t>
      </w:r>
      <w:r w:rsidRPr="00D615D5">
        <w:rPr>
          <w:color w:val="000000" w:themeColor="text1"/>
        </w:rPr>
        <w:t xml:space="preserve">, 19(1), pp. 3–31. doi:10.1177/0968533219836274. </w:t>
      </w:r>
    </w:p>
    <w:p w14:paraId="144CC52F"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color w:val="000000" w:themeColor="text1"/>
        </w:rPr>
        <w:t xml:space="preserve">Steel, A. (2017) ‘Dishonesty outside of England and Wales: Ivey in international comparison’, </w:t>
      </w:r>
      <w:r w:rsidRPr="00D615D5">
        <w:rPr>
          <w:i/>
          <w:iCs/>
          <w:color w:val="000000" w:themeColor="text1"/>
        </w:rPr>
        <w:t>UK Supreme Court Yearbook Volume 1</w:t>
      </w:r>
      <w:r w:rsidRPr="00D615D5">
        <w:rPr>
          <w:color w:val="000000" w:themeColor="text1"/>
        </w:rPr>
        <w:t xml:space="preserve">, pp. 341–379. doi:10.19152/ukscy.758. </w:t>
      </w:r>
    </w:p>
    <w:p w14:paraId="60356188" w14:textId="77777777" w:rsidR="00D615D5" w:rsidRPr="00D615D5" w:rsidRDefault="00C33260" w:rsidP="00D615D5">
      <w:pPr>
        <w:pStyle w:val="NormalWeb"/>
        <w:spacing w:before="0" w:beforeAutospacing="0" w:after="0" w:afterAutospacing="0" w:line="360" w:lineRule="auto"/>
        <w:ind w:left="567" w:hanging="567"/>
        <w:contextualSpacing/>
        <w:rPr>
          <w:color w:val="000000" w:themeColor="text1"/>
        </w:rPr>
      </w:pPr>
      <w:r w:rsidRPr="00D615D5">
        <w:rPr>
          <w:color w:val="000000" w:themeColor="text1"/>
        </w:rPr>
        <w:t>Website</w:t>
      </w:r>
    </w:p>
    <w:p w14:paraId="7AEB86DA" w14:textId="77777777" w:rsidR="00D615D5" w:rsidRPr="00D615D5" w:rsidRDefault="00C33260" w:rsidP="00D615D5">
      <w:pPr>
        <w:pStyle w:val="NormalWeb"/>
        <w:spacing w:before="0" w:beforeAutospacing="0" w:after="0" w:afterAutospacing="0" w:line="360" w:lineRule="auto"/>
        <w:ind w:left="567" w:hanging="567"/>
        <w:contextualSpacing/>
        <w:jc w:val="both"/>
        <w:rPr>
          <w:color w:val="000000" w:themeColor="text1"/>
        </w:rPr>
      </w:pPr>
      <w:r w:rsidRPr="00D615D5">
        <w:rPr>
          <w:i/>
          <w:iCs/>
          <w:color w:val="000000" w:themeColor="text1"/>
        </w:rPr>
        <w:t>R v flak, [2005] EWCA Crim 2381: England and Wales Court of Appeal (Criminal Division), Judgment, law, Casemine.com</w:t>
      </w:r>
      <w:r w:rsidRPr="00D615D5">
        <w:rPr>
          <w:color w:val="000000" w:themeColor="text1"/>
        </w:rPr>
        <w:t xml:space="preserve"> (no date) </w:t>
      </w:r>
      <w:r w:rsidRPr="00D615D5">
        <w:rPr>
          <w:i/>
          <w:iCs/>
          <w:color w:val="000000" w:themeColor="text1"/>
        </w:rPr>
        <w:t>https://www.casemine.com</w:t>
      </w:r>
      <w:r w:rsidRPr="00D615D5">
        <w:rPr>
          <w:color w:val="000000" w:themeColor="text1"/>
        </w:rPr>
        <w:t xml:space="preserve">. Available at: https://www.casemine.com/judgement/uk/5b46f2072c94e0775e7f0c1d (Accessed: 06 July 2023). </w:t>
      </w:r>
    </w:p>
    <w:p w14:paraId="38A16157" w14:textId="77777777" w:rsidR="001A241D" w:rsidRPr="00D615D5" w:rsidRDefault="001A241D" w:rsidP="00D615D5">
      <w:pPr>
        <w:spacing w:after="0" w:line="360" w:lineRule="auto"/>
        <w:contextualSpacing/>
        <w:jc w:val="both"/>
        <w:rPr>
          <w:rFonts w:ascii="Times New Roman" w:hAnsi="Times New Roman" w:cs="Times New Roman"/>
          <w:color w:val="000000" w:themeColor="text1"/>
          <w:sz w:val="24"/>
          <w:szCs w:val="24"/>
        </w:rPr>
      </w:pPr>
    </w:p>
    <w:sectPr w:rsidR="001A241D" w:rsidRPr="00D615D5" w:rsidSect="008362BA">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8710F" w14:textId="77777777" w:rsidR="00E464A4" w:rsidRDefault="00E464A4">
      <w:pPr>
        <w:spacing w:after="0" w:line="240" w:lineRule="auto"/>
      </w:pPr>
      <w:r>
        <w:separator/>
      </w:r>
    </w:p>
  </w:endnote>
  <w:endnote w:type="continuationSeparator" w:id="0">
    <w:p w14:paraId="3B5331CA" w14:textId="77777777" w:rsidR="00E464A4" w:rsidRDefault="00E46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36AD1" w14:textId="77777777" w:rsidR="00E464A4" w:rsidRDefault="00E464A4" w:rsidP="001A241D">
      <w:pPr>
        <w:spacing w:after="0" w:line="240" w:lineRule="auto"/>
      </w:pPr>
      <w:r>
        <w:separator/>
      </w:r>
    </w:p>
  </w:footnote>
  <w:footnote w:type="continuationSeparator" w:id="0">
    <w:p w14:paraId="28F3BF46" w14:textId="77777777" w:rsidR="00E464A4" w:rsidRDefault="00E464A4" w:rsidP="001A241D">
      <w:pPr>
        <w:spacing w:after="0" w:line="240" w:lineRule="auto"/>
      </w:pPr>
      <w:r>
        <w:continuationSeparator/>
      </w:r>
    </w:p>
  </w:footnote>
  <w:footnote w:id="1">
    <w:p w14:paraId="26489673" w14:textId="77777777" w:rsidR="001A241D" w:rsidRDefault="00C33260" w:rsidP="001A241D">
      <w:pPr>
        <w:pStyle w:val="NormalWeb"/>
        <w:ind w:left="567" w:hanging="567"/>
      </w:pPr>
      <w:r>
        <w:rPr>
          <w:rStyle w:val="FootnoteReference"/>
        </w:rPr>
        <w:footnoteRef/>
      </w:r>
      <w:r>
        <w:t xml:space="preserve"> 'Privatisation of public space the displacement of street vendors in Guatemala City' (2020) </w:t>
      </w:r>
      <w:r>
        <w:rPr>
          <w:i/>
          <w:iCs/>
        </w:rPr>
        <w:t>Securing the City</w:t>
      </w:r>
      <w:r>
        <w:t xml:space="preserve">, pp. 83–100. doi:10.1515/9780822393924-006. </w:t>
      </w:r>
    </w:p>
    <w:p w14:paraId="49C06FE0" w14:textId="77777777" w:rsidR="001A241D" w:rsidRDefault="001A241D">
      <w:pPr>
        <w:pStyle w:val="FootnoteText"/>
      </w:pPr>
    </w:p>
  </w:footnote>
  <w:footnote w:id="2">
    <w:p w14:paraId="7690C3C1" w14:textId="77777777" w:rsidR="001A241D" w:rsidRDefault="00C33260" w:rsidP="001A241D">
      <w:pPr>
        <w:pStyle w:val="NormalWeb"/>
        <w:ind w:left="567" w:hanging="567"/>
      </w:pPr>
      <w:r>
        <w:rPr>
          <w:rStyle w:val="FootnoteReference"/>
        </w:rPr>
        <w:footnoteRef/>
      </w:r>
      <w:r>
        <w:t xml:space="preserve"> Steel, A. (2017) ‘Dishonesty outside of England and Wales: Ivey in international comparison’, </w:t>
      </w:r>
      <w:r>
        <w:rPr>
          <w:i/>
          <w:iCs/>
        </w:rPr>
        <w:t>UK Supreme Court Yearbook Volume 1</w:t>
      </w:r>
      <w:r>
        <w:t xml:space="preserve">, pp. 341–379. doi:10.19152/ukscy.758. </w:t>
      </w:r>
    </w:p>
  </w:footnote>
  <w:footnote w:id="3">
    <w:p w14:paraId="2AB2CC15" w14:textId="77777777" w:rsidR="001A241D" w:rsidRDefault="00C33260" w:rsidP="001A241D">
      <w:pPr>
        <w:pStyle w:val="NormalWeb"/>
        <w:ind w:left="567" w:hanging="567"/>
      </w:pPr>
      <w:r>
        <w:rPr>
          <w:rStyle w:val="FootnoteReference"/>
        </w:rPr>
        <w:footnoteRef/>
      </w:r>
      <w:r>
        <w:t xml:space="preserve"> Leung, G.K.K. (2019) 'Criminalising medical research fraud: Towards an appropriate legal framework and policy response', </w:t>
      </w:r>
      <w:r>
        <w:rPr>
          <w:i/>
          <w:iCs/>
        </w:rPr>
        <w:t>Medical Law International</w:t>
      </w:r>
      <w:r>
        <w:t xml:space="preserve">, 19(1), pp. 3–31. doi:10.1177/0968533219836274. </w:t>
      </w:r>
    </w:p>
    <w:p w14:paraId="284C1CF8" w14:textId="77777777" w:rsidR="001A241D" w:rsidRDefault="001A241D">
      <w:pPr>
        <w:pStyle w:val="FootnoteText"/>
      </w:pPr>
    </w:p>
  </w:footnote>
  <w:footnote w:id="4">
    <w:p w14:paraId="0B0019AF" w14:textId="77777777" w:rsidR="001A241D" w:rsidRDefault="00C33260" w:rsidP="00D615D5">
      <w:pPr>
        <w:pStyle w:val="NormalWeb"/>
        <w:ind w:left="567" w:hanging="567"/>
      </w:pPr>
      <w:r>
        <w:rPr>
          <w:rStyle w:val="FootnoteReference"/>
        </w:rPr>
        <w:footnoteRef/>
      </w:r>
      <w:r>
        <w:t xml:space="preserve"> Gurnham, D. (2019) ‘“hell has no flames, only windows that won’t open”: Justice as escape in law and literature’, </w:t>
      </w:r>
      <w:r>
        <w:rPr>
          <w:i/>
          <w:iCs/>
        </w:rPr>
        <w:t>Law and Humanities</w:t>
      </w:r>
      <w:r>
        <w:t xml:space="preserve">, 13(2), pp. 269–293. doi:10.1080/17521483.2019.1670900. </w:t>
      </w:r>
    </w:p>
  </w:footnote>
  <w:footnote w:id="5">
    <w:p w14:paraId="1DE5FBE9" w14:textId="77777777" w:rsidR="00D615D5" w:rsidRDefault="00C33260" w:rsidP="00D615D5">
      <w:pPr>
        <w:pStyle w:val="NormalWeb"/>
        <w:ind w:left="567" w:hanging="567"/>
      </w:pPr>
      <w:r>
        <w:rPr>
          <w:rStyle w:val="FootnoteReference"/>
        </w:rPr>
        <w:footnoteRef/>
      </w:r>
      <w:r>
        <w:t xml:space="preserve"> Dempsey, M.M. (2021) ‘Coercion, consent, and Time’, </w:t>
      </w:r>
      <w:r>
        <w:rPr>
          <w:i/>
          <w:iCs/>
        </w:rPr>
        <w:t>Ethics</w:t>
      </w:r>
      <w:r>
        <w:t xml:space="preserve">, 131(2), pp. 345–368. doi:10.1086/711212. </w:t>
      </w:r>
    </w:p>
    <w:p w14:paraId="1AFDC900" w14:textId="77777777" w:rsidR="00D615D5" w:rsidRDefault="00D615D5">
      <w:pPr>
        <w:pStyle w:val="FootnoteText"/>
      </w:pPr>
    </w:p>
  </w:footnote>
  <w:footnote w:id="6">
    <w:p w14:paraId="1514D70D" w14:textId="77777777" w:rsidR="00D615D5" w:rsidRDefault="00C33260" w:rsidP="00D615D5">
      <w:pPr>
        <w:pStyle w:val="NormalWeb"/>
        <w:ind w:left="567" w:hanging="567"/>
      </w:pPr>
      <w:r>
        <w:rPr>
          <w:rStyle w:val="FootnoteReference"/>
        </w:rPr>
        <w:footnoteRef/>
      </w:r>
      <w:r>
        <w:t xml:space="preserve"> Graham, T. and Russell, D. (2022) ‘Exemption clauses in the modern age: Do they result in an “Institution in crisis”?’, </w:t>
      </w:r>
      <w:r>
        <w:rPr>
          <w:i/>
          <w:iCs/>
        </w:rPr>
        <w:t>Trusts &amp;amp; Trustees</w:t>
      </w:r>
      <w:r>
        <w:t xml:space="preserve">, 28(2), pp. 54–63. doi:10.1093/tandt/ttac011. </w:t>
      </w:r>
    </w:p>
    <w:p w14:paraId="5B8ABD3A" w14:textId="77777777" w:rsidR="00D615D5" w:rsidRDefault="00D615D5">
      <w:pPr>
        <w:pStyle w:val="FootnoteText"/>
      </w:pPr>
    </w:p>
  </w:footnote>
  <w:footnote w:id="7">
    <w:p w14:paraId="748A3A0D" w14:textId="77777777" w:rsidR="00D615D5" w:rsidRPr="00D615D5" w:rsidRDefault="00C33260" w:rsidP="00D615D5">
      <w:pPr>
        <w:pStyle w:val="NormalWeb"/>
        <w:spacing w:before="0" w:beforeAutospacing="0" w:after="0" w:afterAutospacing="0"/>
        <w:ind w:left="562" w:hanging="562"/>
        <w:contextualSpacing/>
        <w:jc w:val="both"/>
        <w:rPr>
          <w:color w:val="000000" w:themeColor="text1"/>
          <w:sz w:val="18"/>
        </w:rPr>
      </w:pPr>
      <w:r w:rsidRPr="00D615D5">
        <w:rPr>
          <w:rStyle w:val="FootnoteReference"/>
          <w:color w:val="000000" w:themeColor="text1"/>
          <w:sz w:val="18"/>
        </w:rPr>
        <w:footnoteRef/>
      </w:r>
      <w:r w:rsidRPr="00D615D5">
        <w:rPr>
          <w:color w:val="000000" w:themeColor="text1"/>
          <w:sz w:val="18"/>
        </w:rPr>
        <w:t xml:space="preserve"> </w:t>
      </w:r>
      <w:r w:rsidRPr="00D615D5">
        <w:rPr>
          <w:i/>
          <w:iCs/>
          <w:color w:val="000000" w:themeColor="text1"/>
          <w:sz w:val="18"/>
        </w:rPr>
        <w:t>R v flak, [2005] EWCA Crim 2381: England and Wales Court of Appeal (Criminal Division), Judgment, law, Casemine.com</w:t>
      </w:r>
      <w:r w:rsidRPr="00D615D5">
        <w:rPr>
          <w:color w:val="000000" w:themeColor="text1"/>
          <w:sz w:val="18"/>
        </w:rPr>
        <w:t xml:space="preserve"> (no date) </w:t>
      </w:r>
      <w:r w:rsidRPr="00D615D5">
        <w:rPr>
          <w:i/>
          <w:iCs/>
          <w:color w:val="000000" w:themeColor="text1"/>
          <w:sz w:val="18"/>
        </w:rPr>
        <w:t>https://www.casemine.com</w:t>
      </w:r>
      <w:r w:rsidRPr="00D615D5">
        <w:rPr>
          <w:color w:val="000000" w:themeColor="text1"/>
          <w:sz w:val="18"/>
        </w:rPr>
        <w:t xml:space="preserve">. Available at: https://www.casemine.com/judgement/uk/5b46f2072c94e0775e7f0c1d (Accessed: 06 July 2023). </w:t>
      </w:r>
    </w:p>
  </w:footnote>
  <w:footnote w:id="8">
    <w:p w14:paraId="75E1F8B5" w14:textId="77777777" w:rsidR="00D615D5" w:rsidRDefault="00C33260" w:rsidP="00D615D5">
      <w:pPr>
        <w:pStyle w:val="NormalWeb"/>
        <w:ind w:left="567" w:hanging="567"/>
      </w:pPr>
      <w:r>
        <w:rPr>
          <w:rStyle w:val="FootnoteReference"/>
        </w:rPr>
        <w:footnoteRef/>
      </w:r>
      <w:r>
        <w:t xml:space="preserve"> Hoogendijk, E.O. </w:t>
      </w:r>
      <w:r>
        <w:rPr>
          <w:i/>
          <w:iCs/>
        </w:rPr>
        <w:t>et al.</w:t>
      </w:r>
      <w:r>
        <w:t xml:space="preserve"> (2023) ‘Optimising the care for older persons with complex chronic conditions in-home care and nursing homes: Design and protocol of I-CARE4OLD, an observational study using real-world data', </w:t>
      </w:r>
      <w:r>
        <w:rPr>
          <w:i/>
          <w:iCs/>
        </w:rPr>
        <w:t>BMJ Open</w:t>
      </w:r>
      <w:r>
        <w:t xml:space="preserve">, 13(6). doi:10.1136/bmjopen-2023-072399. </w:t>
      </w:r>
    </w:p>
    <w:p w14:paraId="790F3ED9" w14:textId="77777777" w:rsidR="00D615D5" w:rsidRDefault="00D615D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F31"/>
    <w:rsid w:val="00036E96"/>
    <w:rsid w:val="00126080"/>
    <w:rsid w:val="00127546"/>
    <w:rsid w:val="001A241D"/>
    <w:rsid w:val="006E3CCE"/>
    <w:rsid w:val="00820F31"/>
    <w:rsid w:val="008362BA"/>
    <w:rsid w:val="00C33260"/>
    <w:rsid w:val="00D615D5"/>
    <w:rsid w:val="00E464A4"/>
    <w:rsid w:val="00F44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5D7CD"/>
  <w15:chartTrackingRefBased/>
  <w15:docId w15:val="{12AC5582-9752-4334-969C-0B8D03F99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5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15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241D"/>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1A24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241D"/>
    <w:rPr>
      <w:sz w:val="20"/>
      <w:szCs w:val="20"/>
    </w:rPr>
  </w:style>
  <w:style w:type="character" w:styleId="FootnoteReference">
    <w:name w:val="footnote reference"/>
    <w:basedOn w:val="DefaultParagraphFont"/>
    <w:uiPriority w:val="99"/>
    <w:semiHidden/>
    <w:unhideWhenUsed/>
    <w:rsid w:val="001A241D"/>
    <w:rPr>
      <w:vertAlign w:val="superscript"/>
    </w:rPr>
  </w:style>
  <w:style w:type="character" w:customStyle="1" w:styleId="Heading1Char">
    <w:name w:val="Heading 1 Char"/>
    <w:basedOn w:val="DefaultParagraphFont"/>
    <w:link w:val="Heading1"/>
    <w:uiPriority w:val="9"/>
    <w:rsid w:val="00D615D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615D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362BA"/>
    <w:pPr>
      <w:outlineLvl w:val="9"/>
    </w:pPr>
  </w:style>
  <w:style w:type="paragraph" w:styleId="TOC1">
    <w:name w:val="toc 1"/>
    <w:basedOn w:val="Normal"/>
    <w:next w:val="Normal"/>
    <w:autoRedefine/>
    <w:uiPriority w:val="39"/>
    <w:unhideWhenUsed/>
    <w:rsid w:val="008362BA"/>
    <w:pPr>
      <w:spacing w:after="100"/>
    </w:pPr>
  </w:style>
  <w:style w:type="paragraph" w:styleId="TOC2">
    <w:name w:val="toc 2"/>
    <w:basedOn w:val="Normal"/>
    <w:next w:val="Normal"/>
    <w:autoRedefine/>
    <w:uiPriority w:val="39"/>
    <w:unhideWhenUsed/>
    <w:rsid w:val="008362BA"/>
    <w:pPr>
      <w:spacing w:after="100"/>
      <w:ind w:left="220"/>
    </w:pPr>
  </w:style>
  <w:style w:type="character" w:styleId="Hyperlink">
    <w:name w:val="Hyperlink"/>
    <w:basedOn w:val="DefaultParagraphFont"/>
    <w:uiPriority w:val="99"/>
    <w:unhideWhenUsed/>
    <w:rsid w:val="008362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544AB-3FBB-43B1-BF70-9E65263CB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PCS</dc:creator>
  <cp:lastModifiedBy>Divine Rescue</cp:lastModifiedBy>
  <cp:revision>2</cp:revision>
  <dcterms:created xsi:type="dcterms:W3CDTF">2023-07-07T04:23:00Z</dcterms:created>
  <dcterms:modified xsi:type="dcterms:W3CDTF">2023-07-07T04:23:00Z</dcterms:modified>
</cp:coreProperties>
</file>