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9346B" w14:textId="77777777" w:rsidR="004A2A6F" w:rsidRDefault="006908EB" w:rsidP="006C1D6A">
      <w:pPr>
        <w:spacing w:after="360" w:line="360" w:lineRule="auto"/>
        <w:jc w:val="center"/>
      </w:pPr>
      <w:r>
        <w:rPr>
          <w:b/>
          <w:sz w:val="32"/>
        </w:rPr>
        <w:t>Reflective Report on Principles of Health and Social Care Practice</w:t>
      </w:r>
    </w:p>
    <w:p w14:paraId="56EC9A20" w14:textId="77777777" w:rsidR="004A2A6F" w:rsidRDefault="006908EB" w:rsidP="006C1D6A">
      <w:pPr>
        <w:spacing w:after="80" w:line="360" w:lineRule="auto"/>
        <w:jc w:val="center"/>
      </w:pPr>
      <w:r>
        <w:t>Programme: BSc Health and Social Care</w:t>
      </w:r>
    </w:p>
    <w:p w14:paraId="4DE1B2BD" w14:textId="77777777" w:rsidR="004A2A6F" w:rsidRDefault="006908EB" w:rsidP="006C1D6A">
      <w:pPr>
        <w:spacing w:after="80" w:line="360" w:lineRule="auto"/>
        <w:jc w:val="center"/>
      </w:pPr>
      <w:r>
        <w:t>Module Code and Title: BMHP5016 – Principles of Health and Social Care Practice</w:t>
      </w:r>
    </w:p>
    <w:p w14:paraId="6692D2D3" w14:textId="77777777" w:rsidR="004A2A6F" w:rsidRDefault="006908EB" w:rsidP="006C1D6A">
      <w:pPr>
        <w:spacing w:after="80" w:line="360" w:lineRule="auto"/>
        <w:jc w:val="center"/>
      </w:pPr>
      <w:r>
        <w:t>Assignment Title: Component 1 – Written Assignment (Reflective Report)</w:t>
      </w:r>
    </w:p>
    <w:p w14:paraId="29AEE483" w14:textId="77777777" w:rsidR="004A2A6F" w:rsidRDefault="006908EB" w:rsidP="006C1D6A">
      <w:pPr>
        <w:spacing w:after="80" w:line="360" w:lineRule="auto"/>
        <w:jc w:val="center"/>
      </w:pPr>
      <w:r>
        <w:t>Case Study: Robyn’s Story</w:t>
      </w:r>
    </w:p>
    <w:p w14:paraId="358132BB" w14:textId="0488D30D" w:rsidR="004A2A6F" w:rsidRDefault="006908EB" w:rsidP="006C1D6A">
      <w:pPr>
        <w:spacing w:after="80" w:line="360" w:lineRule="auto"/>
        <w:jc w:val="center"/>
      </w:pPr>
      <w:r>
        <w:t xml:space="preserve">Word Count: </w:t>
      </w:r>
      <w:r w:rsidR="00E10303">
        <w:t xml:space="preserve"> 1998</w:t>
      </w:r>
    </w:p>
    <w:p w14:paraId="07F32572" w14:textId="77777777" w:rsidR="00CB55BA" w:rsidRDefault="006908EB" w:rsidP="00CB55BA">
      <w:pPr>
        <w:spacing w:after="80" w:line="360" w:lineRule="auto"/>
        <w:jc w:val="center"/>
      </w:pPr>
      <w:r>
        <w:t>Student Name:</w:t>
      </w:r>
      <w:r w:rsidR="00CB55BA">
        <w:t xml:space="preserve"> Sabeel Saddique</w:t>
      </w:r>
    </w:p>
    <w:p w14:paraId="3DB9B41E" w14:textId="09DF8E08" w:rsidR="004A2A6F" w:rsidRDefault="006908EB" w:rsidP="009C49E5">
      <w:pPr>
        <w:spacing w:after="80" w:line="360" w:lineRule="auto"/>
        <w:jc w:val="center"/>
      </w:pPr>
      <w:r>
        <w:t>Student Number:</w:t>
      </w:r>
      <w:r w:rsidR="00CB55BA">
        <w:t xml:space="preserve"> 2420177</w:t>
      </w:r>
    </w:p>
    <w:p w14:paraId="183FBB17" w14:textId="77777777" w:rsidR="004A2A6F" w:rsidRDefault="006908EB" w:rsidP="006C1D6A">
      <w:pPr>
        <w:spacing w:after="80" w:line="360" w:lineRule="auto"/>
        <w:jc w:val="center"/>
      </w:pPr>
      <w:r>
        <w:t>Submission Deadline: Sunday 5 July 2026, 14:00</w:t>
      </w:r>
    </w:p>
    <w:p w14:paraId="30254BFD" w14:textId="77777777" w:rsidR="006C1D6A" w:rsidRDefault="006C1D6A">
      <w:r>
        <w:br w:type="page"/>
      </w:r>
    </w:p>
    <w:sdt>
      <w:sdtPr>
        <w:rPr>
          <w:rFonts w:ascii="Arial" w:eastAsia="Arial" w:hAnsi="Arial" w:cstheme="minorBidi"/>
          <w:b w:val="0"/>
          <w:bCs w:val="0"/>
          <w:sz w:val="22"/>
          <w:szCs w:val="22"/>
        </w:rPr>
        <w:id w:val="811217833"/>
        <w:docPartObj>
          <w:docPartGallery w:val="Table of Contents"/>
          <w:docPartUnique/>
        </w:docPartObj>
      </w:sdtPr>
      <w:sdtEndPr>
        <w:rPr>
          <w:noProof/>
        </w:rPr>
      </w:sdtEndPr>
      <w:sdtContent>
        <w:p w14:paraId="7A90144A" w14:textId="10BFE0D0" w:rsidR="006C1D6A" w:rsidRDefault="006C1D6A">
          <w:pPr>
            <w:pStyle w:val="TOCHeading"/>
          </w:pPr>
          <w:r>
            <w:t>Table of Contents</w:t>
          </w:r>
        </w:p>
        <w:p w14:paraId="5F32FF82" w14:textId="7FCE162D" w:rsidR="006C1D6A" w:rsidRDefault="006C1D6A">
          <w:pPr>
            <w:pStyle w:val="TOC1"/>
            <w:tabs>
              <w:tab w:val="right" w:leader="dot" w:pos="9350"/>
            </w:tabs>
            <w:rPr>
              <w:noProof/>
            </w:rPr>
          </w:pPr>
          <w:r>
            <w:fldChar w:fldCharType="begin"/>
          </w:r>
          <w:r>
            <w:instrText xml:space="preserve"> TOC \o "1-3" \h \z \u </w:instrText>
          </w:r>
          <w:r>
            <w:fldChar w:fldCharType="separate"/>
          </w:r>
          <w:hyperlink w:anchor="_Toc233407901" w:history="1">
            <w:r w:rsidRPr="00CD29F6">
              <w:rPr>
                <w:rStyle w:val="Hyperlink"/>
                <w:noProof/>
              </w:rPr>
              <w:t>Introduction</w:t>
            </w:r>
            <w:r>
              <w:rPr>
                <w:noProof/>
                <w:webHidden/>
              </w:rPr>
              <w:tab/>
            </w:r>
            <w:r>
              <w:rPr>
                <w:noProof/>
                <w:webHidden/>
              </w:rPr>
              <w:fldChar w:fldCharType="begin"/>
            </w:r>
            <w:r>
              <w:rPr>
                <w:noProof/>
                <w:webHidden/>
              </w:rPr>
              <w:instrText xml:space="preserve"> PAGEREF _Toc233407901 \h </w:instrText>
            </w:r>
            <w:r>
              <w:rPr>
                <w:noProof/>
                <w:webHidden/>
              </w:rPr>
            </w:r>
            <w:r>
              <w:rPr>
                <w:noProof/>
                <w:webHidden/>
              </w:rPr>
              <w:fldChar w:fldCharType="separate"/>
            </w:r>
            <w:r>
              <w:rPr>
                <w:noProof/>
                <w:webHidden/>
              </w:rPr>
              <w:t>3</w:t>
            </w:r>
            <w:r>
              <w:rPr>
                <w:noProof/>
                <w:webHidden/>
              </w:rPr>
              <w:fldChar w:fldCharType="end"/>
            </w:r>
          </w:hyperlink>
        </w:p>
        <w:p w14:paraId="4280F84A" w14:textId="4A8C0801" w:rsidR="006C1D6A" w:rsidRDefault="006C1D6A">
          <w:pPr>
            <w:pStyle w:val="TOC1"/>
            <w:tabs>
              <w:tab w:val="right" w:leader="dot" w:pos="9350"/>
            </w:tabs>
            <w:rPr>
              <w:noProof/>
            </w:rPr>
          </w:pPr>
          <w:hyperlink w:anchor="_Toc233407902" w:history="1">
            <w:r w:rsidRPr="00CD29F6">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_Toc233407902 \h </w:instrText>
            </w:r>
            <w:r>
              <w:rPr>
                <w:noProof/>
                <w:webHidden/>
              </w:rPr>
            </w:r>
            <w:r>
              <w:rPr>
                <w:noProof/>
                <w:webHidden/>
              </w:rPr>
              <w:fldChar w:fldCharType="separate"/>
            </w:r>
            <w:r>
              <w:rPr>
                <w:noProof/>
                <w:webHidden/>
              </w:rPr>
              <w:t>3</w:t>
            </w:r>
            <w:r>
              <w:rPr>
                <w:noProof/>
                <w:webHidden/>
              </w:rPr>
              <w:fldChar w:fldCharType="end"/>
            </w:r>
          </w:hyperlink>
        </w:p>
        <w:p w14:paraId="68C21575" w14:textId="3E82863E" w:rsidR="006C1D6A" w:rsidRDefault="006C1D6A">
          <w:pPr>
            <w:pStyle w:val="TOC1"/>
            <w:tabs>
              <w:tab w:val="right" w:leader="dot" w:pos="9350"/>
            </w:tabs>
            <w:rPr>
              <w:noProof/>
            </w:rPr>
          </w:pPr>
          <w:hyperlink w:anchor="_Toc233407903" w:history="1">
            <w:r w:rsidRPr="00CD29F6">
              <w:rPr>
                <w:rStyle w:val="Hyperlink"/>
                <w:noProof/>
              </w:rPr>
              <w:t>Task 2: Practical Examples of Concepts in Practice: Robyn’s Story</w:t>
            </w:r>
            <w:r>
              <w:rPr>
                <w:noProof/>
                <w:webHidden/>
              </w:rPr>
              <w:tab/>
            </w:r>
            <w:r>
              <w:rPr>
                <w:noProof/>
                <w:webHidden/>
              </w:rPr>
              <w:fldChar w:fldCharType="begin"/>
            </w:r>
            <w:r>
              <w:rPr>
                <w:noProof/>
                <w:webHidden/>
              </w:rPr>
              <w:instrText xml:space="preserve"> PAGEREF _Toc233407903 \h </w:instrText>
            </w:r>
            <w:r>
              <w:rPr>
                <w:noProof/>
                <w:webHidden/>
              </w:rPr>
            </w:r>
            <w:r>
              <w:rPr>
                <w:noProof/>
                <w:webHidden/>
              </w:rPr>
              <w:fldChar w:fldCharType="separate"/>
            </w:r>
            <w:r>
              <w:rPr>
                <w:noProof/>
                <w:webHidden/>
              </w:rPr>
              <w:t>4</w:t>
            </w:r>
            <w:r>
              <w:rPr>
                <w:noProof/>
                <w:webHidden/>
              </w:rPr>
              <w:fldChar w:fldCharType="end"/>
            </w:r>
          </w:hyperlink>
        </w:p>
        <w:p w14:paraId="78BE1CE4" w14:textId="292031DA" w:rsidR="006C1D6A" w:rsidRDefault="006C1D6A">
          <w:pPr>
            <w:pStyle w:val="TOC1"/>
            <w:tabs>
              <w:tab w:val="right" w:leader="dot" w:pos="9350"/>
            </w:tabs>
            <w:rPr>
              <w:noProof/>
            </w:rPr>
          </w:pPr>
          <w:hyperlink w:anchor="_Toc233407904" w:history="1">
            <w:r w:rsidRPr="00CD29F6">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_Toc233407904 \h </w:instrText>
            </w:r>
            <w:r>
              <w:rPr>
                <w:noProof/>
                <w:webHidden/>
              </w:rPr>
            </w:r>
            <w:r>
              <w:rPr>
                <w:noProof/>
                <w:webHidden/>
              </w:rPr>
              <w:fldChar w:fldCharType="separate"/>
            </w:r>
            <w:r>
              <w:rPr>
                <w:noProof/>
                <w:webHidden/>
              </w:rPr>
              <w:t>5</w:t>
            </w:r>
            <w:r>
              <w:rPr>
                <w:noProof/>
                <w:webHidden/>
              </w:rPr>
              <w:fldChar w:fldCharType="end"/>
            </w:r>
          </w:hyperlink>
        </w:p>
        <w:p w14:paraId="30674C8B" w14:textId="582B0790" w:rsidR="006C1D6A" w:rsidRDefault="006C1D6A">
          <w:pPr>
            <w:pStyle w:val="TOC1"/>
            <w:tabs>
              <w:tab w:val="right" w:leader="dot" w:pos="9350"/>
            </w:tabs>
            <w:rPr>
              <w:noProof/>
            </w:rPr>
          </w:pPr>
          <w:hyperlink w:anchor="_Toc233407905" w:history="1">
            <w:r w:rsidRPr="00CD29F6">
              <w:rPr>
                <w:rStyle w:val="Hyperlink"/>
                <w:noProof/>
              </w:rPr>
              <w:t>Conclusion</w:t>
            </w:r>
            <w:r>
              <w:rPr>
                <w:noProof/>
                <w:webHidden/>
              </w:rPr>
              <w:tab/>
            </w:r>
            <w:r>
              <w:rPr>
                <w:noProof/>
                <w:webHidden/>
              </w:rPr>
              <w:fldChar w:fldCharType="begin"/>
            </w:r>
            <w:r>
              <w:rPr>
                <w:noProof/>
                <w:webHidden/>
              </w:rPr>
              <w:instrText xml:space="preserve"> PAGEREF _Toc233407905 \h </w:instrText>
            </w:r>
            <w:r>
              <w:rPr>
                <w:noProof/>
                <w:webHidden/>
              </w:rPr>
            </w:r>
            <w:r>
              <w:rPr>
                <w:noProof/>
                <w:webHidden/>
              </w:rPr>
              <w:fldChar w:fldCharType="separate"/>
            </w:r>
            <w:r>
              <w:rPr>
                <w:noProof/>
                <w:webHidden/>
              </w:rPr>
              <w:t>7</w:t>
            </w:r>
            <w:r>
              <w:rPr>
                <w:noProof/>
                <w:webHidden/>
              </w:rPr>
              <w:fldChar w:fldCharType="end"/>
            </w:r>
          </w:hyperlink>
        </w:p>
        <w:p w14:paraId="05F031C3" w14:textId="4C7CC094" w:rsidR="006C1D6A" w:rsidRDefault="006C1D6A">
          <w:pPr>
            <w:pStyle w:val="TOC1"/>
            <w:tabs>
              <w:tab w:val="right" w:leader="dot" w:pos="9350"/>
            </w:tabs>
            <w:rPr>
              <w:noProof/>
            </w:rPr>
          </w:pPr>
          <w:hyperlink w:anchor="_Toc233407906" w:history="1">
            <w:r w:rsidRPr="00CD29F6">
              <w:rPr>
                <w:rStyle w:val="Hyperlink"/>
                <w:noProof/>
              </w:rPr>
              <w:t>References</w:t>
            </w:r>
            <w:r>
              <w:rPr>
                <w:noProof/>
                <w:webHidden/>
              </w:rPr>
              <w:tab/>
            </w:r>
            <w:r>
              <w:rPr>
                <w:noProof/>
                <w:webHidden/>
              </w:rPr>
              <w:fldChar w:fldCharType="begin"/>
            </w:r>
            <w:r>
              <w:rPr>
                <w:noProof/>
                <w:webHidden/>
              </w:rPr>
              <w:instrText xml:space="preserve"> PAGEREF _Toc233407906 \h </w:instrText>
            </w:r>
            <w:r>
              <w:rPr>
                <w:noProof/>
                <w:webHidden/>
              </w:rPr>
            </w:r>
            <w:r>
              <w:rPr>
                <w:noProof/>
                <w:webHidden/>
              </w:rPr>
              <w:fldChar w:fldCharType="separate"/>
            </w:r>
            <w:r>
              <w:rPr>
                <w:noProof/>
                <w:webHidden/>
              </w:rPr>
              <w:t>8</w:t>
            </w:r>
            <w:r>
              <w:rPr>
                <w:noProof/>
                <w:webHidden/>
              </w:rPr>
              <w:fldChar w:fldCharType="end"/>
            </w:r>
          </w:hyperlink>
        </w:p>
        <w:p w14:paraId="046760C9" w14:textId="68F4C1E8" w:rsidR="006C1D6A" w:rsidRDefault="006C1D6A">
          <w:r>
            <w:rPr>
              <w:b/>
              <w:bCs/>
              <w:noProof/>
            </w:rPr>
            <w:fldChar w:fldCharType="end"/>
          </w:r>
        </w:p>
      </w:sdtContent>
    </w:sdt>
    <w:p w14:paraId="5FF9332D" w14:textId="194967F1" w:rsidR="004A2A6F" w:rsidRDefault="006908EB" w:rsidP="006C1D6A">
      <w:pPr>
        <w:spacing w:line="360" w:lineRule="auto"/>
        <w:jc w:val="both"/>
      </w:pPr>
      <w:r>
        <w:br w:type="page"/>
      </w:r>
    </w:p>
    <w:p w14:paraId="762D2CAC" w14:textId="77777777" w:rsidR="004A2A6F" w:rsidRDefault="006908EB" w:rsidP="006C1D6A">
      <w:pPr>
        <w:pStyle w:val="Heading1"/>
        <w:jc w:val="both"/>
      </w:pPr>
      <w:bookmarkStart w:id="0" w:name="_Toc233407901"/>
      <w:r w:rsidRPr="00193AE8">
        <w:t>Introduction</w:t>
      </w:r>
      <w:bookmarkEnd w:id="0"/>
    </w:p>
    <w:p w14:paraId="3E17AED5" w14:textId="0947D195" w:rsidR="004A2A6F" w:rsidRDefault="00193AE8" w:rsidP="006C1D6A">
      <w:pPr>
        <w:spacing w:after="120" w:line="360" w:lineRule="auto"/>
        <w:jc w:val="both"/>
      </w:pPr>
      <w:r w:rsidRPr="00193AE8">
        <w:t>This reflective report explores and considers the impact of person-centred care, partnership working and ethics on safe and dignified health and social care practice in UK. It uses theory, legislation and evidence in relation to Robyn's case study, which transformed care from a simple risk management to meaningful life support. The last section will be a reflection on how these principles will influence my practice, strengths and development as a future health and social care practitioner.</w:t>
      </w:r>
    </w:p>
    <w:p w14:paraId="2D9AEE08" w14:textId="77777777" w:rsidR="004A2A6F" w:rsidRDefault="006908EB" w:rsidP="006C1D6A">
      <w:pPr>
        <w:pStyle w:val="Heading1"/>
        <w:jc w:val="both"/>
      </w:pPr>
      <w:bookmarkStart w:id="1" w:name="_Toc233407902"/>
      <w:r w:rsidRPr="00193AE8">
        <w:t>Task</w:t>
      </w:r>
      <w:r>
        <w:t xml:space="preserve"> 1: Reflection on the Importance of Principles of Health and Social Care</w:t>
      </w:r>
      <w:bookmarkEnd w:id="1"/>
    </w:p>
    <w:p w14:paraId="013B39FC" w14:textId="77777777" w:rsidR="00193AE8" w:rsidRDefault="00193AE8" w:rsidP="006C1D6A">
      <w:pPr>
        <w:spacing w:after="120" w:line="360" w:lineRule="auto"/>
        <w:jc w:val="both"/>
      </w:pPr>
      <w:r>
        <w:t>The significance of person centred care is that it involves the person as an active participant and not simply a recipient of services. It asks who and what are important to the person, their relationships, routines, communication requirements, culture, strengths and future plans. In UK practice, this principle helps to uphold dignity and autonomy, as well as considerations of the person's own understanding of a good life - not just the professionals' assessments of risk. If person-centredness is not clearly defined, trained and evaluated by organisations as to whether the individual does have a choice and is involved, it can become a slogan. (Byrne, Baldwin, &amp; Harvey, 2020).</w:t>
      </w:r>
    </w:p>
    <w:p w14:paraId="582C1E89" w14:textId="77777777" w:rsidR="00193AE8" w:rsidRDefault="00193AE8" w:rsidP="006C1D6A">
      <w:pPr>
        <w:spacing w:after="120" w:line="360" w:lineRule="auto"/>
        <w:jc w:val="both"/>
      </w:pPr>
      <w:r>
        <w:t>The importance of having a quality care that goes beyond just catering to biological survival can be understood using Maslow's hierarchy of needs. People must feel safe and cared for physiologically, but they must also feel belonging, valued and provided for in their need for self-fulfilment. In health and social care, this is important as a service user may be physically safe but emotionally unsupported or unable to pursue a meaningful life. In reviews of person-centred care, recognition, being heard and shared responsibility are features of good practice that appear frequently (Feldthusen et al., 2022). There is also some evidence that person centred interventions can positively impact self-efficacy and enhance quality of life, although the effects vary across context and quality of implementation (Nkhoma et al., 2022).</w:t>
      </w:r>
    </w:p>
    <w:p w14:paraId="2F9C4B22" w14:textId="77777777" w:rsidR="00193AE8" w:rsidRDefault="00193AE8" w:rsidP="006C1D6A">
      <w:pPr>
        <w:spacing w:after="120" w:line="360" w:lineRule="auto"/>
        <w:jc w:val="both"/>
      </w:pPr>
      <w:r>
        <w:t>Partnership working is important as complex care does not always exist in one professional domain. Part of the solution might be nurses, social workers, therapists, commissioners, personal assistants, family members and voluntary services. Wellbeing is at the heart of adult care and support, the Care Act 2014 requires people to be considered in terms of their wellbeing and it is not just about immediate physical needs (Care Act 2014). Role clarity and being able to communicate and share goals is important for strengthening interprofessional collaboration, but poor role clarity and lack of shared information can have a negative impact on continuity (Rawlinson et al., 2021).</w:t>
      </w:r>
    </w:p>
    <w:p w14:paraId="6B5ADE79" w14:textId="52702F6F" w:rsidR="004A2A6F" w:rsidRDefault="00193AE8" w:rsidP="006C1D6A">
      <w:pPr>
        <w:spacing w:after="120" w:line="360" w:lineRule="auto"/>
        <w:jc w:val="both"/>
      </w:pPr>
      <w:r>
        <w:t>There is a disciplined approach to balancing choice, safety, resources, and professional responsibility, which is provided by ethics. The four principles of autonomy, beneficence, non-maleficence, and justice guide practitioners in determining if an action is respectful, beneficial, avoids unnecessary harm and is just (Varkey, 2021). The guidance for shared decision making also supports this, as it will involve professionals and people using services talking to each other about options, risks, and consequences (National Institute for Health and Care Excellence, 2021). Hence, person-centred care, partnership working and ethics are linked: values determine the direction of care, working in partnership determines the pathway towards implementation of person centred care, and ethics helps to ensure that care is not paternalistic or unsafe. A critically reflective practitioner should also be alert to the organisational issues that are likely to hinder improvement, including inadequate appointments, staffing levels and eligibility criteria, as principles must be translated into practice, resources and follow up to enhance care.</w:t>
      </w:r>
    </w:p>
    <w:p w14:paraId="04D84BC2" w14:textId="3E8FD07C" w:rsidR="004A2A6F" w:rsidRDefault="006908EB" w:rsidP="006C1D6A">
      <w:pPr>
        <w:pStyle w:val="Heading1"/>
        <w:jc w:val="both"/>
      </w:pPr>
      <w:bookmarkStart w:id="2" w:name="_Toc233407903"/>
      <w:r>
        <w:t xml:space="preserve">Task 2: </w:t>
      </w:r>
      <w:r w:rsidRPr="00193AE8">
        <w:t>Practical</w:t>
      </w:r>
      <w:r>
        <w:t xml:space="preserve"> Examples of Concepts in Practice: Robyn’s Story</w:t>
      </w:r>
      <w:bookmarkEnd w:id="2"/>
    </w:p>
    <w:p w14:paraId="6564CC35" w14:textId="77777777" w:rsidR="00193AE8" w:rsidRDefault="00193AE8" w:rsidP="006C1D6A">
      <w:pPr>
        <w:spacing w:line="360" w:lineRule="auto"/>
        <w:jc w:val="both"/>
      </w:pPr>
      <w:r>
        <w:t>The difference between being safe and being enabled to live is Robyn's story. A spinal injury rendered her tetraplegic and she needed 24 hours care using Continuing Healthcare and the local authority. At first, agency care was reasonably effective but problems with growth and recruitment of staff and staff change affected quality. There were 36 different personal assistants with Robyn in 2014, including some who were unable to drive or were unsuitable due to allergies or fear of animals. Her needs were met, but her identity, independence and routines were limited.</w:t>
      </w:r>
    </w:p>
    <w:p w14:paraId="66FAF494" w14:textId="77777777" w:rsidR="00193AE8" w:rsidRDefault="00193AE8" w:rsidP="006C1D6A">
      <w:pPr>
        <w:spacing w:line="360" w:lineRule="auto"/>
        <w:jc w:val="both"/>
      </w:pPr>
      <w:r>
        <w:t>The agency model had an inadequate focus on person-centred care, as support was organized to address staffing deficits instead of Robyn's outcomes. Her animals, her stables, her friends and her career goals were not accessories, but what the young woman's existence and sense of self was built from. The personal health budget did this, by providing an agreed personalised plan for care and support and also enables Robyn to have more choice over how her assessed needs are met (NHS England, n.d.-a). It was also important for ethical care to consider identifying Robyn's values rather than assuming that physical safety was sufficient to meet the needs of all (Tringale et al., 2022).</w:t>
      </w:r>
    </w:p>
    <w:p w14:paraId="4485BE1D" w14:textId="77777777" w:rsidR="00193AE8" w:rsidRDefault="00193AE8" w:rsidP="006C1D6A">
      <w:pPr>
        <w:spacing w:line="360" w:lineRule="auto"/>
        <w:jc w:val="both"/>
      </w:pPr>
      <w:r>
        <w:t>Partnership working is seen when going from being dependent on an agency to having a jointly planned personal health budget. CHC, local authority, PHB nurse and Personal Budget Support Service provided a range of expertise and skills including clinical assessment, funding, support planning, recruitment, payroll and employer advice. Robyn's situation is relevant to adults who are eligible for NHS Continuing Healthcare and are living at home, who have had a legal right to a personal health budget since October 2014 (NHS England, n.d.-b). This demonstrates partnership working which is not working in silos. It also signals that, besides attending meetings, healthcare professionals are involved in collaboration through relational work, in negotiating and establishing boundaries and in the practical coordination of tasks in the process (Schot, Tummers, &amp; Noordegraaf, 2020).</w:t>
      </w:r>
    </w:p>
    <w:p w14:paraId="1D2887F7" w14:textId="07909163" w:rsidR="00193AE8" w:rsidRPr="00193AE8" w:rsidRDefault="00193AE8" w:rsidP="006C1D6A">
      <w:pPr>
        <w:spacing w:line="360" w:lineRule="auto"/>
        <w:jc w:val="both"/>
      </w:pPr>
      <w:r>
        <w:t>Ethical complexity is also evident in the case. Robyn has achieved autonomy by employing PAs directly, but this took 18 months and sometimes she was not given any information, reducing transparency and trust. The first care plan was technically adequate but not meaningful to her, therefore co-production must be genuine, understandable and sustained is the moral. Some of the prior updates, a more transparent trajectory and access to peer support from other PHB holders may have minimized uncertainty and assisted Robyn in comprehending the employer role prior to the direct payment. Research into patient safety indicates that person-centred care has a potential to contribute to safer care through enhanced communication and engagement around risk (Rossiter, Levett-Jones, &amp; Pich, 2020). This is reflected in Robyn's outcome: two regular live-in PAs, backup arrangements, work, animal related activity and policy co-production, continuity of and an improvement in quality of life.</w:t>
      </w:r>
    </w:p>
    <w:p w14:paraId="78DEFA76" w14:textId="77777777" w:rsidR="004A2A6F" w:rsidRDefault="006908EB" w:rsidP="006C1D6A">
      <w:pPr>
        <w:pStyle w:val="Heading1"/>
        <w:jc w:val="both"/>
      </w:pPr>
      <w:bookmarkStart w:id="3" w:name="_Toc233407904"/>
      <w:r>
        <w:t>Task 3: Self-Reflection as a Health and Social Care Professional</w:t>
      </w:r>
      <w:bookmarkEnd w:id="3"/>
    </w:p>
    <w:p w14:paraId="1B40A3DB" w14:textId="77777777" w:rsidR="006C1D6A" w:rsidRDefault="006C1D6A" w:rsidP="006C1D6A">
      <w:pPr>
        <w:spacing w:after="120" w:line="360" w:lineRule="auto"/>
        <w:jc w:val="both"/>
      </w:pPr>
      <w:r>
        <w:t>These principles would have guided my speech, listening, recording and challenging unhelpful practice in my daily work. I would start conversations by introducing myself and inquiring as to their name and how they would like to be addressed and asking what was important to them that day. HCPC standards mandate that professionals approach service users as individuals, respecting their rights to privacy and dignity, to communicate effectively, to seek consent and to work in partnership (Health and Care Professions Council, 2024). Professionalism is not just doing things, it's doing things safely, respectfully and accountably.</w:t>
      </w:r>
    </w:p>
    <w:p w14:paraId="19DAC866" w14:textId="77777777" w:rsidR="006C1D6A" w:rsidRDefault="006C1D6A" w:rsidP="006C1D6A">
      <w:pPr>
        <w:spacing w:after="120" w:line="360" w:lineRule="auto"/>
        <w:jc w:val="both"/>
      </w:pPr>
      <w:r>
        <w:t>My strengths are being able to put myself in someone else's shoes, being patient, and being willing to listen to others before forming opinions. These strengths would help me not be a reductionist about a person or a package of care. The Robyn case reminds me that a professional might consider that care is being provided when in fact, the service user is feeling trapped as their social, emotional and occupational life is being taken away. During assessments and handovers I would use person centred questions such as 'what I want to be able to do' and 'what support has helped in the past' and 'what would make it unacceptable for the person to receive care?'</w:t>
      </w:r>
    </w:p>
    <w:p w14:paraId="7946C199" w14:textId="77777777" w:rsidR="006C1D6A" w:rsidRDefault="006C1D6A" w:rsidP="006C1D6A">
      <w:pPr>
        <w:spacing w:after="120" w:line="360" w:lineRule="auto"/>
        <w:jc w:val="both"/>
      </w:pPr>
      <w:r>
        <w:t>I also acknowledge that teamwork is one of the strengths that I have to work on purposefully. Clear handovers, respectful escalation and clear accountability for action are needed for good partnership. Wei et al. (2022) conducted a systematic meta-review, which revealed that facilitators and barriers to interprofessional collaboration exist at the individual, team and organisational levels. In practice, I'd contribute by sharing accurate observations, asking for clarification when responsibility is unclear and engaging the person as opposed to talking about responsibility as if he or she is not part of the decision-making.</w:t>
      </w:r>
    </w:p>
    <w:p w14:paraId="2A7E14E7" w14:textId="77777777" w:rsidR="006C1D6A" w:rsidRDefault="006C1D6A" w:rsidP="006C1D6A">
      <w:pPr>
        <w:spacing w:after="120" w:line="360" w:lineRule="auto"/>
        <w:jc w:val="both"/>
      </w:pPr>
      <w:r>
        <w:t>An area of development is confidence in disagreeing and taking risk. For instance, a service user might select an option that is deemed to be risky by the professionals, or relatives might not agree with the service user's choice. Need to develop understanding of consent, capacity, safeguarding and local escalation pathways to enable to balance autonomy with duty of care. The Health and Care Act 2022 is relevant as it builds on the expectation that organisations collaborate across the boundaries of NHS and social care (Health and Care Act 2022). Having the system would give me the confidence that I would be able to take concerns to the right place and not leave issues unresolved.</w:t>
      </w:r>
    </w:p>
    <w:p w14:paraId="41F4A162" w14:textId="77777777" w:rsidR="006C1D6A" w:rsidRDefault="006C1D6A" w:rsidP="006C1D6A">
      <w:pPr>
        <w:spacing w:after="120" w:line="360" w:lineRule="auto"/>
        <w:jc w:val="both"/>
      </w:pPr>
      <w:r>
        <w:t>Another development need is knowledge of the impact of team systems on individual care. There is evidence that team-effectiveness interventions can be valuable for healthcare teams to become more effective in the sense of their improved working capacity, as it is shown that training, tools, leadership and structured communication have a positive impact (Buljac-Samardzic, Doekhie, &amp; van Wijngaarden, 2020). To build competence I would attend training on safeguarding and person centred planning and observe multidisciplinary meetings and have a reflective log after complex interactions. Would ask three questions regarding the person's priorities with the log: Did I hear the person's priorities? Is the information shared appropriately? Was I up to my job? I would also request a supervisor to go through individual selected entries as it will be more beneficial when the feedback is provided, rather than just to help me feel better about myself.</w:t>
      </w:r>
    </w:p>
    <w:p w14:paraId="60E000AB" w14:textId="77777777" w:rsidR="006C1D6A" w:rsidRDefault="006C1D6A" w:rsidP="006C1D6A">
      <w:pPr>
        <w:spacing w:after="120" w:line="360" w:lineRule="auto"/>
        <w:jc w:val="both"/>
      </w:pPr>
      <w:r>
        <w:t>The third development need that I have is critical awareness of outcomes. I must not take it for granted that partnership working has worked if more than one professional was involved. A systematic review identified that interprofessional working can impact on the health of patients, and the impact depends on how interprofessional working is designed and undertaken (Bouton et al., 2023). This would help me to find evidence of impact - less repetition of assessment, more continuity, more clarity of care plans, and increase in the person's confidence. For Robyn, it wasn't just about having PAs, it was about taking control, getting back to work, relationships, animal activities and feeling good about herself again.</w:t>
      </w:r>
    </w:p>
    <w:p w14:paraId="28FCD600" w14:textId="0C8698AF" w:rsidR="004A2A6F" w:rsidRDefault="006C1D6A" w:rsidP="006C1D6A">
      <w:pPr>
        <w:spacing w:after="120" w:line="360" w:lineRule="auto"/>
        <w:jc w:val="both"/>
      </w:pPr>
      <w:r>
        <w:t>I would like to integrate compassion and analytical thought into my future practice. I will keep building my documentation, communication and cultural humility skills and developing my legal literacy. The importance of cultural humility is that users of the service may have a different definition of independence, family involvement, privacy and quality of life than I do, and I must not regard my assumptions as neutral service facts. I will also question task-oriented care in its absence of consideration for identity, choice or independence. The story of Robyn demonstrates that principled practice can change the nature of care when power is shared and processes are explained and supported by professionals to help people to take charge of their own lives.</w:t>
      </w:r>
    </w:p>
    <w:p w14:paraId="06AA96A5" w14:textId="77777777" w:rsidR="004A2A6F" w:rsidRDefault="006908EB" w:rsidP="006C1D6A">
      <w:pPr>
        <w:pStyle w:val="Heading1"/>
        <w:jc w:val="both"/>
      </w:pPr>
      <w:bookmarkStart w:id="4" w:name="_Toc233407905"/>
      <w:r>
        <w:t>Conclusion</w:t>
      </w:r>
      <w:bookmarkEnd w:id="4"/>
    </w:p>
    <w:p w14:paraId="5961E6D8" w14:textId="22CC1714" w:rsidR="004A2A6F" w:rsidRDefault="006C1D6A" w:rsidP="006C1D6A">
      <w:pPr>
        <w:spacing w:after="120" w:line="360" w:lineRule="auto"/>
        <w:jc w:val="both"/>
      </w:pPr>
      <w:r w:rsidRPr="006C1D6A">
        <w:t>To summarise, person centred, partnership working and ethics are vital to health and social care as they link safety to dignity, autonomy and support. In Robyn's case, caring is meeting basic needs, and yet it is not fulfilling the person, because it is not consistent, it has no control, and it does not have any meaningful goals. I see that I have a lot more to learn as a reflective practitioner who listens, works cooperatively, has an understanding of legal responsibilities and applies evidence to enhance their day-to-day decisions. These habits will enable me to give care, which is not only in accordance with the regulations but also humane and coordinated and meaningful.</w:t>
      </w:r>
    </w:p>
    <w:p w14:paraId="1BE1E16F" w14:textId="77777777" w:rsidR="004A2A6F" w:rsidRDefault="006908EB" w:rsidP="006C1D6A">
      <w:pPr>
        <w:spacing w:line="360" w:lineRule="auto"/>
        <w:jc w:val="both"/>
      </w:pPr>
      <w:r>
        <w:br w:type="page"/>
      </w:r>
    </w:p>
    <w:p w14:paraId="4392278E" w14:textId="77777777" w:rsidR="004A2A6F" w:rsidRDefault="006908EB" w:rsidP="006C1D6A">
      <w:pPr>
        <w:pStyle w:val="Heading1"/>
        <w:jc w:val="both"/>
      </w:pPr>
      <w:bookmarkStart w:id="5" w:name="_Toc233407906"/>
      <w:r>
        <w:t>References</w:t>
      </w:r>
      <w:bookmarkEnd w:id="5"/>
    </w:p>
    <w:p w14:paraId="59045052" w14:textId="1361A445" w:rsidR="004A2A6F" w:rsidRDefault="006908EB" w:rsidP="006C1D6A">
      <w:pPr>
        <w:spacing w:after="120" w:line="360" w:lineRule="auto"/>
        <w:ind w:left="720" w:hanging="720"/>
        <w:jc w:val="both"/>
      </w:pPr>
      <w:r>
        <w:t xml:space="preserve">Bouton, C., Journeaux, M., Jourdain, M., Angibaud, M., Huon, J.-F., &amp; Rat, C. (2023). Interprofessional collaboration in primary care: What effect on patient health? A systematic literature review. BMC Primary Care, 24, Article 253. </w:t>
      </w:r>
      <w:hyperlink r:id="rId8" w:history="1">
        <w:r w:rsidR="00193AE8" w:rsidRPr="0002036C">
          <w:rPr>
            <w:rStyle w:val="Hyperlink"/>
          </w:rPr>
          <w:t>https://doi.org/10.1186/s12875-023-02189-0</w:t>
        </w:r>
      </w:hyperlink>
      <w:r w:rsidR="00193AE8">
        <w:t xml:space="preserve"> </w:t>
      </w:r>
    </w:p>
    <w:p w14:paraId="158A3C8C" w14:textId="451DEC3F" w:rsidR="004A2A6F" w:rsidRDefault="006908EB" w:rsidP="006C1D6A">
      <w:pPr>
        <w:spacing w:after="120" w:line="360" w:lineRule="auto"/>
        <w:ind w:left="720" w:hanging="720"/>
        <w:jc w:val="both"/>
      </w:pPr>
      <w:r>
        <w:t xml:space="preserve">Buljac-Samardzic, M., Doekhie, K. D., &amp; van Wijngaarden, J. D. H. (2020). Interventions to improve team effectiveness within health care: A systematic review of the past decade. Human Resources for Health, 18, Article 2. </w:t>
      </w:r>
      <w:hyperlink r:id="rId9" w:history="1">
        <w:r w:rsidR="00193AE8" w:rsidRPr="0002036C">
          <w:rPr>
            <w:rStyle w:val="Hyperlink"/>
          </w:rPr>
          <w:t>https://doi.org/10.1186/s12960-019-0411-3</w:t>
        </w:r>
      </w:hyperlink>
      <w:r w:rsidR="00193AE8">
        <w:t xml:space="preserve"> </w:t>
      </w:r>
    </w:p>
    <w:p w14:paraId="734189C4" w14:textId="08C3E432" w:rsidR="004A2A6F" w:rsidRDefault="006908EB" w:rsidP="006C1D6A">
      <w:pPr>
        <w:spacing w:after="120" w:line="360" w:lineRule="auto"/>
        <w:ind w:left="720" w:hanging="720"/>
        <w:jc w:val="both"/>
      </w:pPr>
      <w:r>
        <w:t xml:space="preserve">Byrne, A.-L., Baldwin, A., &amp; Harvey, C. (2020). Whose centre is it anyway? Defining person-centred care in nursing: An integrative review. PLOS ONE, 15(3), Article e0229923. </w:t>
      </w:r>
      <w:hyperlink r:id="rId10" w:history="1">
        <w:r w:rsidR="00193AE8" w:rsidRPr="0002036C">
          <w:rPr>
            <w:rStyle w:val="Hyperlink"/>
          </w:rPr>
          <w:t>https://doi.org/10.1371/journal.pone.0229923</w:t>
        </w:r>
      </w:hyperlink>
      <w:r w:rsidR="00193AE8">
        <w:t xml:space="preserve"> </w:t>
      </w:r>
    </w:p>
    <w:p w14:paraId="344F2C46" w14:textId="422B0114" w:rsidR="004A2A6F" w:rsidRDefault="006908EB" w:rsidP="006C1D6A">
      <w:pPr>
        <w:spacing w:after="120" w:line="360" w:lineRule="auto"/>
        <w:ind w:left="720" w:hanging="720"/>
        <w:jc w:val="both"/>
      </w:pPr>
      <w:r>
        <w:t xml:space="preserve">Care Act 2014, c. 23. </w:t>
      </w:r>
      <w:hyperlink r:id="rId11" w:history="1">
        <w:r w:rsidR="00193AE8" w:rsidRPr="0002036C">
          <w:rPr>
            <w:rStyle w:val="Hyperlink"/>
          </w:rPr>
          <w:t>https://www.legislation.gov.uk/ukpga/2014/23/contents</w:t>
        </w:r>
      </w:hyperlink>
      <w:r w:rsidR="00193AE8">
        <w:t xml:space="preserve"> </w:t>
      </w:r>
    </w:p>
    <w:p w14:paraId="5C624DDF" w14:textId="2FD4F072" w:rsidR="004A2A6F" w:rsidRDefault="006908EB" w:rsidP="006C1D6A">
      <w:pPr>
        <w:spacing w:after="120" w:line="360" w:lineRule="auto"/>
        <w:ind w:left="720" w:hanging="720"/>
        <w:jc w:val="both"/>
      </w:pPr>
      <w:r w:rsidRPr="00193AE8">
        <w:rPr>
          <w:lang w:val="de-DE"/>
        </w:rPr>
        <w:t xml:space="preserve">Feldthusen, C., Forsgren, E., Wallström, S., Andersson, V., Löfqvist, N., Sawatzky, R., Öhlén, J., &amp; Ung, E. J. (2022). </w:t>
      </w:r>
      <w:r>
        <w:t xml:space="preserve">Centredness in health care: A systematic overview of reviews. Health Expectations, 25(3), 885-901. </w:t>
      </w:r>
      <w:hyperlink r:id="rId12" w:history="1">
        <w:r w:rsidR="00193AE8" w:rsidRPr="0002036C">
          <w:rPr>
            <w:rStyle w:val="Hyperlink"/>
          </w:rPr>
          <w:t>https://doi.org/10.1111/hex.13461</w:t>
        </w:r>
      </w:hyperlink>
      <w:r w:rsidR="00193AE8">
        <w:t xml:space="preserve"> </w:t>
      </w:r>
    </w:p>
    <w:p w14:paraId="4252590D" w14:textId="718181FE" w:rsidR="004A2A6F" w:rsidRDefault="006908EB" w:rsidP="006C1D6A">
      <w:pPr>
        <w:spacing w:after="120" w:line="360" w:lineRule="auto"/>
        <w:ind w:left="720" w:hanging="720"/>
        <w:jc w:val="both"/>
      </w:pPr>
      <w:r>
        <w:t xml:space="preserve">Health and Care Act 2022, c. 31. </w:t>
      </w:r>
      <w:hyperlink r:id="rId13" w:history="1">
        <w:r w:rsidR="00193AE8" w:rsidRPr="0002036C">
          <w:rPr>
            <w:rStyle w:val="Hyperlink"/>
          </w:rPr>
          <w:t>https://www.legislation.gov.uk/ukpga/2022/31/contents</w:t>
        </w:r>
      </w:hyperlink>
      <w:r w:rsidR="00193AE8">
        <w:t xml:space="preserve"> </w:t>
      </w:r>
    </w:p>
    <w:p w14:paraId="6C2F16EB" w14:textId="35817ECF" w:rsidR="004A2A6F" w:rsidRDefault="006908EB" w:rsidP="006C1D6A">
      <w:pPr>
        <w:spacing w:after="120" w:line="360" w:lineRule="auto"/>
        <w:ind w:left="720" w:hanging="720"/>
        <w:jc w:val="both"/>
      </w:pPr>
      <w:r>
        <w:t xml:space="preserve">Health and Care Professions Council. (2024). Standards of conduct, performance and ethics. </w:t>
      </w:r>
      <w:hyperlink r:id="rId14" w:history="1">
        <w:r w:rsidR="00193AE8" w:rsidRPr="0002036C">
          <w:rPr>
            <w:rStyle w:val="Hyperlink"/>
          </w:rPr>
          <w:t>https://www.hcpc-uk.org/standards/standards-of-conduct-performance-and-ethics/</w:t>
        </w:r>
      </w:hyperlink>
      <w:r w:rsidR="00193AE8">
        <w:t xml:space="preserve"> </w:t>
      </w:r>
    </w:p>
    <w:p w14:paraId="658F3559" w14:textId="258CDA06" w:rsidR="004A2A6F" w:rsidRDefault="006908EB" w:rsidP="006C1D6A">
      <w:pPr>
        <w:spacing w:after="120" w:line="360" w:lineRule="auto"/>
        <w:ind w:left="720" w:hanging="720"/>
        <w:jc w:val="both"/>
      </w:pPr>
      <w:r>
        <w:t xml:space="preserve">National Institute for Health and Care Excellence. (2021). Shared decision making (NICE guideline NG197). </w:t>
      </w:r>
      <w:hyperlink r:id="rId15" w:history="1">
        <w:r w:rsidR="00193AE8" w:rsidRPr="0002036C">
          <w:rPr>
            <w:rStyle w:val="Hyperlink"/>
          </w:rPr>
          <w:t>https://www.nice.org.uk/guidance/ng197</w:t>
        </w:r>
      </w:hyperlink>
      <w:r w:rsidR="00193AE8">
        <w:t xml:space="preserve"> </w:t>
      </w:r>
    </w:p>
    <w:p w14:paraId="41FE7A76" w14:textId="54027DAB" w:rsidR="004A2A6F" w:rsidRDefault="006908EB" w:rsidP="006C1D6A">
      <w:pPr>
        <w:spacing w:after="120" w:line="360" w:lineRule="auto"/>
        <w:ind w:left="720" w:hanging="720"/>
        <w:jc w:val="both"/>
      </w:pPr>
      <w:r>
        <w:t xml:space="preserve">NHS England. (n.d.-a). Personal health budgets. Retrieved June 26, 2026, from </w:t>
      </w:r>
      <w:hyperlink r:id="rId16" w:history="1">
        <w:r w:rsidR="00193AE8" w:rsidRPr="0002036C">
          <w:rPr>
            <w:rStyle w:val="Hyperlink"/>
          </w:rPr>
          <w:t>https://www.england.nhs.uk/personalisedcare/personal-health-budgets/</w:t>
        </w:r>
      </w:hyperlink>
      <w:r w:rsidR="00193AE8">
        <w:t xml:space="preserve"> </w:t>
      </w:r>
    </w:p>
    <w:p w14:paraId="5AACE69E" w14:textId="2D8ADCE7" w:rsidR="004A2A6F" w:rsidRDefault="006908EB" w:rsidP="006C1D6A">
      <w:pPr>
        <w:spacing w:after="120" w:line="360" w:lineRule="auto"/>
        <w:ind w:left="720" w:hanging="720"/>
        <w:jc w:val="both"/>
      </w:pPr>
      <w:r w:rsidRPr="00193AE8">
        <w:rPr>
          <w:lang w:val="de-DE"/>
        </w:rPr>
        <w:t xml:space="preserve">NHS England. (n.d.-b). </w:t>
      </w:r>
      <w:r>
        <w:t xml:space="preserve">Personal health budgets in NHS Continuing Healthcare (CHC). Retrieved June 26, 2026, from </w:t>
      </w:r>
      <w:hyperlink r:id="rId17" w:history="1">
        <w:r w:rsidR="00193AE8" w:rsidRPr="0002036C">
          <w:rPr>
            <w:rStyle w:val="Hyperlink"/>
          </w:rPr>
          <w:t>https://www.england.nhs.uk/personalisedcare/personal-health-budgets/personal-health-budgets-in-nhs-continuing-healthcare/</w:t>
        </w:r>
      </w:hyperlink>
      <w:r w:rsidR="00193AE8">
        <w:t xml:space="preserve"> </w:t>
      </w:r>
    </w:p>
    <w:p w14:paraId="36182EDD" w14:textId="5780F960" w:rsidR="004A2A6F" w:rsidRDefault="006908EB" w:rsidP="006C1D6A">
      <w:pPr>
        <w:spacing w:after="120" w:line="360" w:lineRule="auto"/>
        <w:ind w:left="720" w:hanging="720"/>
        <w:jc w:val="both"/>
      </w:pPr>
      <w:r>
        <w:t xml:space="preserve">Nkhoma, K. B., Cook, A., Giusti, A., Farrant, L., Petrus, R., Petersen, I., Gwyther, L., Venkatapuram, S., &amp; Harding, R. (2022). A systematic review of impact of person-centred interventions for serious physical illness in terms of outcomes and costs. BMJ Open, 12(7), Article e054386. </w:t>
      </w:r>
      <w:hyperlink r:id="rId18" w:history="1">
        <w:r w:rsidR="00193AE8" w:rsidRPr="0002036C">
          <w:rPr>
            <w:rStyle w:val="Hyperlink"/>
          </w:rPr>
          <w:t>https://doi.org/10.1136/bmjopen-2021-054386</w:t>
        </w:r>
      </w:hyperlink>
      <w:r w:rsidR="00193AE8">
        <w:t xml:space="preserve"> </w:t>
      </w:r>
    </w:p>
    <w:p w14:paraId="58CAAA9A" w14:textId="0944AC86" w:rsidR="004A2A6F" w:rsidRDefault="006908EB" w:rsidP="006C1D6A">
      <w:pPr>
        <w:spacing w:after="120" w:line="360" w:lineRule="auto"/>
        <w:ind w:left="720" w:hanging="720"/>
        <w:jc w:val="both"/>
      </w:pPr>
      <w:r>
        <w:t xml:space="preserve">Rawlinson, C., Carron, T., Cohidon, C., Arditi, C., Hong, Q. N., Pluye, P., Peytremann-Bridevaux, I., &amp; Gilles, I. (2021). An overview of reviews on interprofessional collaboration in primary care: Barriers and facilitators. International Journal of Integrated Care, 21(2), Article 32. </w:t>
      </w:r>
      <w:hyperlink r:id="rId19" w:history="1">
        <w:r w:rsidR="00193AE8" w:rsidRPr="0002036C">
          <w:rPr>
            <w:rStyle w:val="Hyperlink"/>
          </w:rPr>
          <w:t>https://doi.org/10.5334/ijic.5589</w:t>
        </w:r>
      </w:hyperlink>
      <w:r w:rsidR="00193AE8">
        <w:t xml:space="preserve"> </w:t>
      </w:r>
    </w:p>
    <w:p w14:paraId="71FFB95F" w14:textId="4209C895" w:rsidR="004A2A6F" w:rsidRDefault="006908EB" w:rsidP="006C1D6A">
      <w:pPr>
        <w:spacing w:after="120" w:line="360" w:lineRule="auto"/>
        <w:ind w:left="720" w:hanging="720"/>
        <w:jc w:val="both"/>
      </w:pPr>
      <w:r>
        <w:t xml:space="preserve">Rossiter, C., Levett-Jones, T., &amp; Pich, J. (2020). The impact of person-centred care on patient safety: An umbrella review of systematic reviews. International Journal of Nursing Studies, 109, Article 103658. </w:t>
      </w:r>
      <w:hyperlink r:id="rId20" w:history="1">
        <w:r w:rsidR="00193AE8" w:rsidRPr="0002036C">
          <w:rPr>
            <w:rStyle w:val="Hyperlink"/>
          </w:rPr>
          <w:t>https://doi.org/10.1016/j.ijnurstu.2020.103658</w:t>
        </w:r>
      </w:hyperlink>
      <w:r w:rsidR="00193AE8">
        <w:t xml:space="preserve"> </w:t>
      </w:r>
    </w:p>
    <w:p w14:paraId="7A777322" w14:textId="2E4A36A1" w:rsidR="004A2A6F" w:rsidRDefault="006908EB" w:rsidP="006C1D6A">
      <w:pPr>
        <w:spacing w:after="120" w:line="360" w:lineRule="auto"/>
        <w:ind w:left="720" w:hanging="720"/>
        <w:jc w:val="both"/>
      </w:pPr>
      <w:r>
        <w:t>Schot, E., Tummers, L., &amp; Noordegraaf, M. (2020). Working on working together: A systematic review on how healthcare professionals contribute to interprofessional collaboration. Journal of Interprofessional Care, 34(3), 332-342</w:t>
      </w:r>
      <w:r w:rsidR="00193AE8">
        <w:t>.</w:t>
      </w:r>
      <w:r>
        <w:t xml:space="preserve"> </w:t>
      </w:r>
      <w:hyperlink r:id="rId21" w:history="1">
        <w:r w:rsidR="00193AE8" w:rsidRPr="0002036C">
          <w:rPr>
            <w:rStyle w:val="Hyperlink"/>
          </w:rPr>
          <w:t>https://doi.org/10.1080/13561820.2019.1636007</w:t>
        </w:r>
      </w:hyperlink>
      <w:r w:rsidR="00193AE8">
        <w:t xml:space="preserve"> </w:t>
      </w:r>
    </w:p>
    <w:p w14:paraId="5388E8D8" w14:textId="0AD8848B" w:rsidR="004A2A6F" w:rsidRDefault="006908EB" w:rsidP="006C1D6A">
      <w:pPr>
        <w:spacing w:after="120" w:line="360" w:lineRule="auto"/>
        <w:ind w:left="720" w:hanging="720"/>
        <w:jc w:val="both"/>
      </w:pPr>
      <w:r>
        <w:t xml:space="preserve">Tringale, M., Stephen, G., Boylan, A.-M., &amp; Heneghan, C. (2022). Integrating patient values and preferences in healthcare: A systematic review of qualitative evidence. BMJ Open, 12(11), Article e067268. </w:t>
      </w:r>
      <w:hyperlink r:id="rId22" w:history="1">
        <w:r w:rsidR="00193AE8" w:rsidRPr="0002036C">
          <w:rPr>
            <w:rStyle w:val="Hyperlink"/>
          </w:rPr>
          <w:t>https://doi.org/10.1136/bmjopen-2022-067268</w:t>
        </w:r>
      </w:hyperlink>
      <w:r w:rsidR="00193AE8">
        <w:t xml:space="preserve"> </w:t>
      </w:r>
    </w:p>
    <w:p w14:paraId="46598C4C" w14:textId="3C488794" w:rsidR="004A2A6F" w:rsidRDefault="006908EB" w:rsidP="006C1D6A">
      <w:pPr>
        <w:spacing w:after="120" w:line="360" w:lineRule="auto"/>
        <w:ind w:left="720" w:hanging="720"/>
        <w:jc w:val="both"/>
      </w:pPr>
      <w:r>
        <w:t xml:space="preserve">Varkey, B. (2021). Principles of clinical ethics and their application to practice. Medical Principles and Practice, 30(1), 17-28. </w:t>
      </w:r>
      <w:hyperlink r:id="rId23" w:history="1">
        <w:r w:rsidR="00193AE8" w:rsidRPr="0002036C">
          <w:rPr>
            <w:rStyle w:val="Hyperlink"/>
          </w:rPr>
          <w:t>https://doi.org/10.1159/000509119</w:t>
        </w:r>
      </w:hyperlink>
      <w:r w:rsidR="00193AE8">
        <w:t xml:space="preserve"> </w:t>
      </w:r>
    </w:p>
    <w:p w14:paraId="746813AD" w14:textId="1F2CABC7" w:rsidR="004A2A6F" w:rsidRDefault="006908EB" w:rsidP="006C1D6A">
      <w:pPr>
        <w:spacing w:after="120" w:line="360" w:lineRule="auto"/>
        <w:ind w:left="720" w:hanging="720"/>
        <w:jc w:val="both"/>
      </w:pPr>
      <w:r>
        <w:t xml:space="preserve">Wei, H., Horns, P., Sears, S. F., Huang, K., Smith, C. M., &amp; Wei, T. L. (2022). A systematic meta-review of systematic reviews about interprofessional collaboration: Facilitators, barriers, and outcomes. Journal of Interprofessional Care, 36(5), 735-749. </w:t>
      </w:r>
      <w:hyperlink r:id="rId24" w:history="1">
        <w:r w:rsidR="00193AE8" w:rsidRPr="0002036C">
          <w:rPr>
            <w:rStyle w:val="Hyperlink"/>
          </w:rPr>
          <w:t>https://doi.org/10.1080/13561820.2021.1973975</w:t>
        </w:r>
      </w:hyperlink>
      <w:r w:rsidR="00193AE8">
        <w:t xml:space="preserve"> </w:t>
      </w:r>
    </w:p>
    <w:sectPr w:rsidR="004A2A6F" w:rsidSect="00034616">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9C339" w14:textId="77777777" w:rsidR="00372077" w:rsidRDefault="00372077">
      <w:pPr>
        <w:spacing w:after="0" w:line="240" w:lineRule="auto"/>
      </w:pPr>
      <w:r>
        <w:separator/>
      </w:r>
    </w:p>
  </w:endnote>
  <w:endnote w:type="continuationSeparator" w:id="0">
    <w:p w14:paraId="10F12E24" w14:textId="77777777" w:rsidR="00372077" w:rsidRDefault="00372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10455" w14:textId="77777777" w:rsidR="004A2A6F" w:rsidRDefault="006908EB">
    <w:pPr>
      <w:pStyle w:val="Footer"/>
      <w:jc w:val="center"/>
    </w:pPr>
    <w:r>
      <w:rPr>
        <w:sz w:val="18"/>
      </w:rPr>
      <w:t xml:space="preserve">Page </w:t>
    </w:r>
    <w:r>
      <w:rPr>
        <w:sz w:val="18"/>
      </w:rPr>
      <w:fldChar w:fldCharType="begin"/>
    </w:r>
    <w:r>
      <w:rPr>
        <w:sz w:val="18"/>
      </w:rPr>
      <w:instrText>PAGE</w:instrText>
    </w:r>
    <w:r>
      <w:rPr>
        <w:sz w:val="18"/>
      </w:rPr>
      <w:fldChar w:fldCharType="separate"/>
    </w:r>
    <w:r w:rsidR="00193AE8">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97E4D" w14:textId="77777777" w:rsidR="00372077" w:rsidRDefault="00372077">
      <w:pPr>
        <w:spacing w:after="0" w:line="240" w:lineRule="auto"/>
      </w:pPr>
      <w:r>
        <w:separator/>
      </w:r>
    </w:p>
  </w:footnote>
  <w:footnote w:type="continuationSeparator" w:id="0">
    <w:p w14:paraId="798666D5" w14:textId="77777777" w:rsidR="00372077" w:rsidRDefault="003720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82268422">
    <w:abstractNumId w:val="8"/>
  </w:num>
  <w:num w:numId="2" w16cid:durableId="1009604298">
    <w:abstractNumId w:val="6"/>
  </w:num>
  <w:num w:numId="3" w16cid:durableId="1710497046">
    <w:abstractNumId w:val="5"/>
  </w:num>
  <w:num w:numId="4" w16cid:durableId="1964771369">
    <w:abstractNumId w:val="4"/>
  </w:num>
  <w:num w:numId="5" w16cid:durableId="290283517">
    <w:abstractNumId w:val="7"/>
  </w:num>
  <w:num w:numId="6" w16cid:durableId="1822891430">
    <w:abstractNumId w:val="3"/>
  </w:num>
  <w:num w:numId="7" w16cid:durableId="681250783">
    <w:abstractNumId w:val="2"/>
  </w:num>
  <w:num w:numId="8" w16cid:durableId="1494877449">
    <w:abstractNumId w:val="1"/>
  </w:num>
  <w:num w:numId="9" w16cid:durableId="1049064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226F"/>
    <w:rsid w:val="0009374A"/>
    <w:rsid w:val="0015074B"/>
    <w:rsid w:val="00193AE8"/>
    <w:rsid w:val="0029639D"/>
    <w:rsid w:val="00326F90"/>
    <w:rsid w:val="00372077"/>
    <w:rsid w:val="004A2A6F"/>
    <w:rsid w:val="0055080C"/>
    <w:rsid w:val="006908EB"/>
    <w:rsid w:val="006C1D6A"/>
    <w:rsid w:val="00846286"/>
    <w:rsid w:val="00864609"/>
    <w:rsid w:val="009C49E5"/>
    <w:rsid w:val="00AA1D8D"/>
    <w:rsid w:val="00B47730"/>
    <w:rsid w:val="00B976AA"/>
    <w:rsid w:val="00CB0664"/>
    <w:rsid w:val="00CB55BA"/>
    <w:rsid w:val="00E1030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F5BBA5"/>
  <w14:defaultImageDpi w14:val="300"/>
  <w15:docId w15:val="{4385ED4F-113E-4EB7-87B4-02073C686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193AE8"/>
    <w:pPr>
      <w:keepNext/>
      <w:keepLines/>
      <w:spacing w:before="480" w:after="0" w:line="360" w:lineRule="auto"/>
      <w:outlineLvl w:val="0"/>
    </w:pPr>
    <w:rPr>
      <w:rFonts w:asciiTheme="minorBidi" w:eastAsiaTheme="majorEastAsia" w:hAnsiTheme="minorBid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93AE8"/>
    <w:rPr>
      <w:rFonts w:asciiTheme="minorBidi" w:eastAsiaTheme="majorEastAsia" w:hAnsiTheme="minorBidi" w:cstheme="majorBidi"/>
      <w:b/>
      <w:bCs/>
      <w:sz w:val="26"/>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93AE8"/>
    <w:rPr>
      <w:color w:val="0000FF" w:themeColor="hyperlink"/>
      <w:u w:val="single"/>
    </w:rPr>
  </w:style>
  <w:style w:type="character" w:styleId="UnresolvedMention">
    <w:name w:val="Unresolved Mention"/>
    <w:basedOn w:val="DefaultParagraphFont"/>
    <w:uiPriority w:val="99"/>
    <w:semiHidden/>
    <w:unhideWhenUsed/>
    <w:rsid w:val="00193AE8"/>
    <w:rPr>
      <w:color w:val="605E5C"/>
      <w:shd w:val="clear" w:color="auto" w:fill="E1DFDD"/>
    </w:rPr>
  </w:style>
  <w:style w:type="paragraph" w:styleId="TOC1">
    <w:name w:val="toc 1"/>
    <w:basedOn w:val="Normal"/>
    <w:next w:val="Normal"/>
    <w:autoRedefine/>
    <w:uiPriority w:val="39"/>
    <w:unhideWhenUsed/>
    <w:rsid w:val="006C1D6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5-023-02189-0" TargetMode="External" /><Relationship Id="rId13" Type="http://schemas.openxmlformats.org/officeDocument/2006/relationships/hyperlink" Target="https://www.legislation.gov.uk/ukpga/2022/31/contents" TargetMode="External" /><Relationship Id="rId18" Type="http://schemas.openxmlformats.org/officeDocument/2006/relationships/hyperlink" Target="https://doi.org/10.1136/bmjopen-2021-054386"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080/13561820.2019.1636007" TargetMode="External" /><Relationship Id="rId7" Type="http://schemas.openxmlformats.org/officeDocument/2006/relationships/endnotes" Target="endnotes.xml" /><Relationship Id="rId12" Type="http://schemas.openxmlformats.org/officeDocument/2006/relationships/hyperlink" Target="https://doi.org/10.1111/hex.13461" TargetMode="External" /><Relationship Id="rId17" Type="http://schemas.openxmlformats.org/officeDocument/2006/relationships/hyperlink" Target="https://www.england.nhs.uk/personalisedcare/personal-health-budgets/personal-health-budgets-in-nhs-continuing-healthcare/"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england.nhs.uk/personalisedcare/personal-health-budgets/" TargetMode="External" /><Relationship Id="rId20" Type="http://schemas.openxmlformats.org/officeDocument/2006/relationships/hyperlink" Target="https://doi.org/10.1016/j.ijnurstu.2020.10365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egislation.gov.uk/ukpga/2014/23/contents" TargetMode="External" /><Relationship Id="rId24" Type="http://schemas.openxmlformats.org/officeDocument/2006/relationships/hyperlink" Target="https://doi.org/10.1080/13561820.2021.1973975" TargetMode="External" /><Relationship Id="rId5" Type="http://schemas.openxmlformats.org/officeDocument/2006/relationships/webSettings" Target="webSettings.xml" /><Relationship Id="rId15" Type="http://schemas.openxmlformats.org/officeDocument/2006/relationships/hyperlink" Target="https://www.nice.org.uk/guidance/ng197" TargetMode="External" /><Relationship Id="rId23" Type="http://schemas.openxmlformats.org/officeDocument/2006/relationships/hyperlink" Target="https://doi.org/10.1159/000509119" TargetMode="External" /><Relationship Id="rId10" Type="http://schemas.openxmlformats.org/officeDocument/2006/relationships/hyperlink" Target="https://doi.org/10.1371/journal.pone.0229923" TargetMode="External" /><Relationship Id="rId19" Type="http://schemas.openxmlformats.org/officeDocument/2006/relationships/hyperlink" Target="https://doi.org/10.5334/ijic.5589" TargetMode="External" /><Relationship Id="rId4" Type="http://schemas.openxmlformats.org/officeDocument/2006/relationships/settings" Target="settings.xml" /><Relationship Id="rId9" Type="http://schemas.openxmlformats.org/officeDocument/2006/relationships/hyperlink" Target="https://doi.org/10.1186/s12960-019-0411-3" TargetMode="External" /><Relationship Id="rId14" Type="http://schemas.openxmlformats.org/officeDocument/2006/relationships/hyperlink" Target="https://www.hcpc-uk.org/standards/standards-of-conduct-performance-and-ethics/" TargetMode="External" /><Relationship Id="rId22" Type="http://schemas.openxmlformats.org/officeDocument/2006/relationships/hyperlink" Target="https://doi.org/10.1136/bmjopen-2022-067268"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Reflective Report on Principles of Health and Social Care Practice</vt:lpstr>
    </vt:vector>
  </TitlesOfParts>
  <Manager/>
  <Company/>
  <LinksUpToDate>false</LinksUpToDate>
  <CharactersWithSpaces>18896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Principles of Health and Social Care Practice</dc:title>
  <dc:subject>BMHP5016 Reflective Report using Robyn's story</dc:subject>
  <dc:creator>HP Laptop</dc:creator>
  <cp:keywords/>
  <dc:description/>
  <cp:lastModifiedBy>SSS Housing</cp:lastModifiedBy>
  <cp:revision>2</cp:revision>
  <dcterms:created xsi:type="dcterms:W3CDTF">2026-07-01T08:56:00Z</dcterms:created>
  <dcterms:modified xsi:type="dcterms:W3CDTF">2026-07-01T08:56:00Z</dcterms:modified>
  <cp:category/>
</cp:coreProperties>
</file>