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90684" w14:textId="4B0539DC" w:rsidR="00E51B07" w:rsidRPr="0051308A" w:rsidRDefault="00E51B07" w:rsidP="00E51B07">
      <w:pPr>
        <w:jc w:val="both"/>
        <w:rPr>
          <w:rFonts w:ascii="Arial" w:hAnsi="Arial" w:cs="Arial"/>
          <w:b/>
          <w:szCs w:val="24"/>
        </w:rPr>
      </w:pPr>
    </w:p>
    <w:tbl>
      <w:tblPr>
        <w:tblStyle w:val="TableGrid"/>
        <w:tblW w:w="0" w:type="auto"/>
        <w:tblLook w:val="01E0" w:firstRow="1" w:lastRow="1" w:firstColumn="1" w:lastColumn="1" w:noHBand="0" w:noVBand="0"/>
      </w:tblPr>
      <w:tblGrid>
        <w:gridCol w:w="9016"/>
      </w:tblGrid>
      <w:tr w:rsidR="00E51B07" w:rsidRPr="00A31228" w14:paraId="239A0236" w14:textId="77777777" w:rsidTr="002E55C3">
        <w:tc>
          <w:tcPr>
            <w:tcW w:w="11182" w:type="dxa"/>
            <w:tcBorders>
              <w:top w:val="single" w:sz="4" w:space="0" w:color="auto"/>
              <w:left w:val="single" w:sz="4" w:space="0" w:color="auto"/>
              <w:bottom w:val="single" w:sz="4" w:space="0" w:color="auto"/>
              <w:right w:val="single" w:sz="4" w:space="0" w:color="auto"/>
            </w:tcBorders>
            <w:shd w:val="clear" w:color="auto" w:fill="auto"/>
          </w:tcPr>
          <w:p w14:paraId="72CBB484" w14:textId="77777777" w:rsidR="00E51B07" w:rsidRPr="00A31228" w:rsidRDefault="00E51B07" w:rsidP="002E55C3">
            <w:pPr>
              <w:rPr>
                <w:rFonts w:ascii="Times New Roman" w:hAnsi="Times New Roman"/>
                <w:szCs w:val="24"/>
                <w:lang w:eastAsia="en-GB"/>
              </w:rPr>
            </w:pPr>
          </w:p>
          <w:p w14:paraId="0BD91F7F" w14:textId="77777777" w:rsidR="00E51B07" w:rsidRPr="00A31228" w:rsidRDefault="00E51B07" w:rsidP="002E55C3">
            <w:pPr>
              <w:rPr>
                <w:rFonts w:ascii="Tahoma" w:hAnsi="Tahoma" w:cs="Tahoma"/>
                <w:b/>
                <w:bCs/>
                <w:sz w:val="32"/>
                <w:szCs w:val="32"/>
                <w:lang w:eastAsia="en-GB"/>
              </w:rPr>
            </w:pPr>
            <w:r w:rsidRPr="00A31228">
              <w:rPr>
                <w:rFonts w:ascii="Times New Roman" w:hAnsi="Times New Roman"/>
                <w:noProof/>
                <w:szCs w:val="24"/>
                <w:lang w:eastAsia="en-GB"/>
              </w:rPr>
              <w:drawing>
                <wp:inline distT="0" distB="0" distL="0" distR="0" wp14:anchorId="53E148BE" wp14:editId="04B07B8A">
                  <wp:extent cx="2486175" cy="611652"/>
                  <wp:effectExtent l="0" t="0" r="0" b="0"/>
                  <wp:docPr id="2" name="Picture 2"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tc>
      </w:tr>
      <w:tr w:rsidR="00E51B07" w:rsidRPr="00A31228" w14:paraId="3C317CFE" w14:textId="77777777" w:rsidTr="002E55C3">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653987F" w14:textId="77777777" w:rsidR="00E51B07" w:rsidRPr="00A31228" w:rsidRDefault="00E51B07" w:rsidP="002E55C3">
            <w:pPr>
              <w:rPr>
                <w:rFonts w:ascii="Tahoma" w:hAnsi="Tahoma" w:cs="Tahoma"/>
                <w:b/>
                <w:bCs/>
                <w:sz w:val="28"/>
                <w:szCs w:val="28"/>
                <w:lang w:eastAsia="en-GB"/>
              </w:rPr>
            </w:pPr>
            <w:r w:rsidRPr="00A31228">
              <w:rPr>
                <w:rFonts w:ascii="Tahoma" w:hAnsi="Tahoma" w:cs="Tahoma"/>
                <w:b/>
                <w:bCs/>
                <w:sz w:val="28"/>
                <w:szCs w:val="28"/>
                <w:lang w:eastAsia="en-GB"/>
              </w:rPr>
              <w:t xml:space="preserve">Level </w:t>
            </w:r>
            <w:r>
              <w:rPr>
                <w:rFonts w:ascii="Tahoma" w:hAnsi="Tahoma" w:cs="Tahoma"/>
                <w:b/>
                <w:bCs/>
                <w:sz w:val="28"/>
                <w:szCs w:val="28"/>
                <w:lang w:eastAsia="en-GB"/>
              </w:rPr>
              <w:t>4</w:t>
            </w:r>
            <w:r w:rsidRPr="00A31228">
              <w:rPr>
                <w:rFonts w:ascii="Tahoma" w:hAnsi="Tahoma" w:cs="Tahoma"/>
                <w:b/>
                <w:bCs/>
                <w:sz w:val="28"/>
                <w:szCs w:val="28"/>
                <w:lang w:eastAsia="en-GB"/>
              </w:rPr>
              <w:t xml:space="preserve"> Learning Log </w:t>
            </w:r>
          </w:p>
          <w:p w14:paraId="300E39E6" w14:textId="77777777" w:rsidR="00E51B07" w:rsidRPr="00A31228" w:rsidRDefault="00E51B07" w:rsidP="002E55C3">
            <w:pPr>
              <w:tabs>
                <w:tab w:val="left" w:pos="7640"/>
              </w:tabs>
              <w:rPr>
                <w:rFonts w:ascii="Tahoma" w:hAnsi="Tahoma" w:cs="Tahoma"/>
                <w:b/>
                <w:bCs/>
                <w:sz w:val="28"/>
                <w:szCs w:val="28"/>
                <w:lang w:eastAsia="en-GB"/>
              </w:rPr>
            </w:pPr>
            <w:r>
              <w:rPr>
                <w:rFonts w:ascii="Tahoma" w:hAnsi="Tahoma" w:cs="Tahoma"/>
                <w:b/>
                <w:bCs/>
                <w:sz w:val="28"/>
                <w:szCs w:val="28"/>
                <w:lang w:eastAsia="en-GB"/>
              </w:rPr>
              <w:t>Kitchen and Food and Beverage</w:t>
            </w:r>
            <w:r w:rsidRPr="00A31228">
              <w:rPr>
                <w:rFonts w:ascii="Tahoma" w:hAnsi="Tahoma" w:cs="Tahoma"/>
                <w:b/>
                <w:bCs/>
                <w:sz w:val="28"/>
                <w:szCs w:val="28"/>
                <w:lang w:eastAsia="en-GB"/>
              </w:rPr>
              <w:t xml:space="preserve"> </w:t>
            </w:r>
          </w:p>
          <w:p w14:paraId="68CA83DC" w14:textId="46AB0DF3" w:rsidR="00E51B07" w:rsidRPr="00E51B07" w:rsidRDefault="00E51B07" w:rsidP="00E51B07">
            <w:pPr>
              <w:rPr>
                <w:rFonts w:ascii="Tahoma" w:hAnsi="Tahoma" w:cs="Tahoma"/>
                <w:sz w:val="28"/>
                <w:szCs w:val="28"/>
                <w:lang w:eastAsia="en-GB"/>
              </w:rPr>
            </w:pPr>
            <w:r w:rsidRPr="00A31228">
              <w:rPr>
                <w:rFonts w:ascii="Tahoma" w:hAnsi="Tahoma" w:cs="Tahoma"/>
                <w:sz w:val="28"/>
                <w:szCs w:val="28"/>
                <w:lang w:eastAsia="en-GB"/>
              </w:rPr>
              <w:t>(</w:t>
            </w:r>
            <w:r>
              <w:rPr>
                <w:rFonts w:ascii="Tahoma" w:hAnsi="Tahoma" w:cs="Tahoma"/>
                <w:sz w:val="28"/>
                <w:szCs w:val="28"/>
                <w:lang w:eastAsia="en-GB"/>
              </w:rPr>
              <w:t>7</w:t>
            </w:r>
            <w:r w:rsidRPr="00A31228">
              <w:rPr>
                <w:rFonts w:ascii="Tahoma" w:hAnsi="Tahoma" w:cs="Tahoma"/>
                <w:sz w:val="28"/>
                <w:szCs w:val="28"/>
                <w:lang w:eastAsia="en-GB"/>
              </w:rPr>
              <w:t>50 Words)</w:t>
            </w:r>
          </w:p>
        </w:tc>
      </w:tr>
      <w:tr w:rsidR="00E51B07" w:rsidRPr="00935FD9" w14:paraId="505A53B7" w14:textId="77777777" w:rsidTr="002E55C3">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9B87375" w14:textId="2038E6E9" w:rsidR="00E51B07" w:rsidRPr="00935FD9" w:rsidRDefault="00E51B07" w:rsidP="00E51B07">
            <w:pPr>
              <w:rPr>
                <w:rFonts w:ascii="Tahoma" w:hAnsi="Tahoma" w:cs="Tahoma"/>
                <w:b/>
                <w:bCs/>
                <w:szCs w:val="24"/>
                <w:lang w:eastAsia="en-GB"/>
              </w:rPr>
            </w:pPr>
            <w:r w:rsidRPr="00935FD9">
              <w:rPr>
                <w:rFonts w:ascii="Tahoma" w:hAnsi="Tahoma" w:cs="Tahoma"/>
                <w:b/>
                <w:bCs/>
                <w:szCs w:val="24"/>
                <w:lang w:eastAsia="en-GB"/>
              </w:rPr>
              <w:t>Student Name:</w:t>
            </w:r>
            <w:r w:rsidR="00935FD9" w:rsidRPr="00935FD9">
              <w:rPr>
                <w:rFonts w:ascii="Tahoma" w:hAnsi="Tahoma" w:cs="Tahoma"/>
                <w:b/>
                <w:bCs/>
                <w:szCs w:val="24"/>
                <w:lang w:eastAsia="en-GB"/>
              </w:rPr>
              <w:t xml:space="preserve"> Md Saiful I</w:t>
            </w:r>
            <w:r w:rsidR="00935FD9">
              <w:rPr>
                <w:rFonts w:ascii="Tahoma" w:hAnsi="Tahoma" w:cs="Tahoma"/>
                <w:b/>
                <w:bCs/>
                <w:szCs w:val="24"/>
                <w:lang w:eastAsia="en-GB"/>
              </w:rPr>
              <w:t>slam</w:t>
            </w:r>
          </w:p>
          <w:p w14:paraId="52F65CFE" w14:textId="31DB0B0D" w:rsidR="00E51B07" w:rsidRPr="00935FD9" w:rsidRDefault="00E51B07" w:rsidP="00E51B07">
            <w:pPr>
              <w:rPr>
                <w:rFonts w:ascii="Tahoma" w:hAnsi="Tahoma" w:cs="Tahoma"/>
                <w:b/>
                <w:bCs/>
                <w:szCs w:val="24"/>
                <w:lang w:val="nl-NL" w:eastAsia="en-GB"/>
              </w:rPr>
            </w:pPr>
            <w:r w:rsidRPr="00935FD9">
              <w:rPr>
                <w:rFonts w:ascii="Tahoma" w:hAnsi="Tahoma" w:cs="Tahoma"/>
                <w:b/>
                <w:bCs/>
                <w:szCs w:val="24"/>
                <w:lang w:val="nl-NL" w:eastAsia="en-GB"/>
              </w:rPr>
              <w:t xml:space="preserve">Student </w:t>
            </w:r>
            <w:proofErr w:type="spellStart"/>
            <w:r w:rsidRPr="00935FD9">
              <w:rPr>
                <w:rFonts w:ascii="Tahoma" w:hAnsi="Tahoma" w:cs="Tahoma"/>
                <w:b/>
                <w:bCs/>
                <w:szCs w:val="24"/>
                <w:lang w:val="nl-NL" w:eastAsia="en-GB"/>
              </w:rPr>
              <w:t>Number</w:t>
            </w:r>
            <w:proofErr w:type="spellEnd"/>
            <w:r w:rsidRPr="00935FD9">
              <w:rPr>
                <w:rFonts w:ascii="Tahoma" w:hAnsi="Tahoma" w:cs="Tahoma"/>
                <w:b/>
                <w:bCs/>
                <w:szCs w:val="24"/>
                <w:lang w:val="nl-NL" w:eastAsia="en-GB"/>
              </w:rPr>
              <w:t xml:space="preserve">: </w:t>
            </w:r>
            <w:r w:rsidR="00935FD9">
              <w:rPr>
                <w:rFonts w:ascii="Tahoma" w:hAnsi="Tahoma" w:cs="Tahoma"/>
                <w:b/>
                <w:bCs/>
                <w:szCs w:val="24"/>
                <w:lang w:val="nl-NL" w:eastAsia="en-GB"/>
              </w:rPr>
              <w:t>2016119</w:t>
            </w:r>
          </w:p>
        </w:tc>
      </w:tr>
      <w:tr w:rsidR="00E51B07" w:rsidRPr="00A31228" w14:paraId="745E22BD" w14:textId="77777777" w:rsidTr="002E55C3">
        <w:trPr>
          <w:trHeight w:val="1341"/>
        </w:trPr>
        <w:tc>
          <w:tcPr>
            <w:tcW w:w="11182" w:type="dxa"/>
            <w:tcBorders>
              <w:top w:val="single" w:sz="4" w:space="0" w:color="auto"/>
              <w:bottom w:val="single" w:sz="4" w:space="0" w:color="auto"/>
              <w:right w:val="single" w:sz="4" w:space="0" w:color="auto"/>
            </w:tcBorders>
          </w:tcPr>
          <w:p w14:paraId="34DC6427" w14:textId="77777777" w:rsidR="00C1646B" w:rsidRPr="00C1646B" w:rsidRDefault="00C1646B" w:rsidP="00C1646B">
            <w:pPr>
              <w:spacing w:after="160" w:line="360" w:lineRule="auto"/>
              <w:jc w:val="both"/>
              <w:rPr>
                <w:rFonts w:ascii="Arial" w:hAnsi="Arial" w:cs="Vrinda"/>
                <w:color w:val="000000"/>
                <w:sz w:val="24"/>
              </w:rPr>
            </w:pPr>
            <w:r w:rsidRPr="00C1646B">
              <w:rPr>
                <w:rFonts w:ascii="Arial" w:hAnsi="Arial" w:cs="Vrinda"/>
                <w:color w:val="000000"/>
                <w:sz w:val="24"/>
              </w:rPr>
              <w:t xml:space="preserve">Food and beverage </w:t>
            </w:r>
            <w:proofErr w:type="gramStart"/>
            <w:r w:rsidRPr="00C1646B">
              <w:rPr>
                <w:rFonts w:ascii="Arial" w:hAnsi="Arial" w:cs="Vrinda"/>
                <w:color w:val="000000"/>
                <w:sz w:val="24"/>
              </w:rPr>
              <w:t>is</w:t>
            </w:r>
            <w:proofErr w:type="gramEnd"/>
            <w:r w:rsidRPr="00C1646B">
              <w:rPr>
                <w:rFonts w:ascii="Arial" w:hAnsi="Arial" w:cs="Vrinda"/>
                <w:color w:val="000000"/>
                <w:sz w:val="24"/>
              </w:rPr>
              <w:t xml:space="preserve"> an important part of guest service that aims to deliver a satisfying appetite to guests during their travel (</w:t>
            </w:r>
            <w:proofErr w:type="spellStart"/>
            <w:r w:rsidRPr="00C1646B">
              <w:rPr>
                <w:rFonts w:ascii="Arial" w:hAnsi="Arial" w:cs="Vrinda"/>
                <w:color w:val="000000"/>
                <w:sz w:val="24"/>
              </w:rPr>
              <w:t>Pantelidis</w:t>
            </w:r>
            <w:proofErr w:type="spellEnd"/>
            <w:r w:rsidRPr="00C1646B">
              <w:rPr>
                <w:rFonts w:ascii="Arial" w:hAnsi="Arial" w:cs="Vrinda"/>
                <w:color w:val="000000"/>
                <w:sz w:val="24"/>
              </w:rPr>
              <w:t xml:space="preserve"> et al., 2018). The kitchen primarily controls these operations and is responsible for menu designing. How the kitchen works on food and beverage is a subject to learn to design a good menu that incorporates the right beverage with the right dish. I’ll share the application of knowledge on food, beverage and kitchen operations as well as their importance in the hospitality industry based on my experience at Marriott in Marconi Way, </w:t>
            </w:r>
            <w:proofErr w:type="spellStart"/>
            <w:r w:rsidRPr="00C1646B">
              <w:rPr>
                <w:rFonts w:ascii="Arial" w:hAnsi="Arial" w:cs="Vrinda"/>
                <w:color w:val="000000"/>
                <w:sz w:val="24"/>
              </w:rPr>
              <w:t>MetroCentre</w:t>
            </w:r>
            <w:proofErr w:type="spellEnd"/>
            <w:r w:rsidRPr="00C1646B">
              <w:rPr>
                <w:rFonts w:ascii="Arial" w:hAnsi="Arial" w:cs="Vrinda"/>
                <w:color w:val="000000"/>
                <w:sz w:val="24"/>
              </w:rPr>
              <w:t xml:space="preserve">, Gateshead, Newcastle NE11 9XF United Kingdom. </w:t>
            </w:r>
          </w:p>
          <w:p w14:paraId="05FB03C3" w14:textId="44F1B373" w:rsidR="00C1646B" w:rsidRPr="00C1646B" w:rsidRDefault="00C1646B" w:rsidP="00C1646B">
            <w:pPr>
              <w:spacing w:after="160" w:line="360" w:lineRule="auto"/>
              <w:jc w:val="both"/>
              <w:rPr>
                <w:rFonts w:ascii="Arial" w:hAnsi="Arial" w:cs="Vrinda"/>
                <w:color w:val="000000"/>
                <w:sz w:val="24"/>
              </w:rPr>
            </w:pPr>
            <w:r w:rsidRPr="00C1646B">
              <w:rPr>
                <w:rFonts w:ascii="Arial" w:hAnsi="Arial" w:cs="Vrinda"/>
                <w:color w:val="000000"/>
                <w:sz w:val="24"/>
              </w:rPr>
              <w:t>Beverages are liquids for human consumption other than water which can be of two types: non-alcoholic and alcoholic (Lee, 2016). The non-alcoholic segment includes popular liquids like tea and coffee. The flavour of the coffee depends on the species: Arabica and Robusta as well as the roasting level. Marriott also places their coffee menu under the “Beverages” segment where they offer a minimum of 10 varies on cold and hot coff</w:t>
            </w:r>
            <w:r w:rsidR="00601B73">
              <w:rPr>
                <w:rFonts w:ascii="Arial" w:hAnsi="Arial" w:cs="Vrinda"/>
                <w:color w:val="000000"/>
                <w:sz w:val="24"/>
              </w:rPr>
              <w:t>e</w:t>
            </w:r>
            <w:r w:rsidRPr="00C1646B">
              <w:rPr>
                <w:rFonts w:ascii="Arial" w:hAnsi="Arial" w:cs="Vrinda"/>
                <w:color w:val="000000"/>
                <w:sz w:val="24"/>
              </w:rPr>
              <w:t>e. Their hot coffees include cappuccino, latte, americano, mocha, macchiato, decaffeinated coffee in 220 ml as well as expresso 30 ml and ristretto 20ml (</w:t>
            </w:r>
            <w:proofErr w:type="spellStart"/>
            <w:r w:rsidRPr="00C1646B">
              <w:rPr>
                <w:rFonts w:ascii="Arial" w:hAnsi="Arial" w:cs="Vrinda"/>
                <w:color w:val="000000"/>
                <w:sz w:val="24"/>
              </w:rPr>
              <w:t>Ninemeier</w:t>
            </w:r>
            <w:proofErr w:type="spellEnd"/>
            <w:r w:rsidRPr="00C1646B">
              <w:rPr>
                <w:rFonts w:ascii="Arial" w:hAnsi="Arial" w:cs="Vrinda"/>
                <w:color w:val="000000"/>
                <w:sz w:val="24"/>
              </w:rPr>
              <w:t xml:space="preserve">, 2017). Their cold coffees are ice cappuccino and regular cold coffee in 260ml as colds are consumed more than hot coffees. I was trained to make coffees for orders where I applied the knowledge. I had to make about six verities that required different grinding, distributing, tamping, inserting and brewing techniques to match Marriott standards as well as to meet guest requirements. </w:t>
            </w:r>
            <w:proofErr w:type="gramStart"/>
            <w:r w:rsidRPr="00C1646B">
              <w:rPr>
                <w:rFonts w:ascii="Arial" w:hAnsi="Arial" w:cs="Vrinda"/>
                <w:color w:val="000000"/>
                <w:sz w:val="24"/>
              </w:rPr>
              <w:t>So</w:t>
            </w:r>
            <w:proofErr w:type="gramEnd"/>
            <w:r w:rsidRPr="00C1646B">
              <w:rPr>
                <w:rFonts w:ascii="Arial" w:hAnsi="Arial" w:cs="Vrinda"/>
                <w:color w:val="000000"/>
                <w:sz w:val="24"/>
              </w:rPr>
              <w:t xml:space="preserve"> </w:t>
            </w:r>
            <w:r w:rsidRPr="00C1646B">
              <w:rPr>
                <w:rFonts w:ascii="Arial" w:hAnsi="Arial" w:cs="Vrinda"/>
                <w:color w:val="000000"/>
                <w:sz w:val="24"/>
              </w:rPr>
              <w:lastRenderedPageBreak/>
              <w:t xml:space="preserve">the knowledge helps to make adjustments in the process and ingredients to create genuine flavours and customise for guests. </w:t>
            </w:r>
          </w:p>
          <w:p w14:paraId="09CC1048" w14:textId="77777777" w:rsidR="00C1646B" w:rsidRPr="00C1646B" w:rsidRDefault="00C1646B" w:rsidP="00C1646B">
            <w:pPr>
              <w:spacing w:after="160" w:line="360" w:lineRule="auto"/>
              <w:jc w:val="both"/>
              <w:rPr>
                <w:rFonts w:ascii="Arial" w:hAnsi="Arial" w:cs="Vrinda"/>
                <w:color w:val="000000"/>
                <w:sz w:val="24"/>
              </w:rPr>
            </w:pPr>
            <w:r w:rsidRPr="00C1646B">
              <w:rPr>
                <w:rFonts w:ascii="Arial" w:hAnsi="Arial" w:cs="Vrinda"/>
                <w:color w:val="000000"/>
                <w:sz w:val="24"/>
              </w:rPr>
              <w:t>Secondly, the most popular beverage is tea. Tea service experience depends on the blend of tea, milk, sugar and water (</w:t>
            </w:r>
            <w:proofErr w:type="spellStart"/>
            <w:r w:rsidRPr="00C1646B">
              <w:rPr>
                <w:rFonts w:ascii="Arial" w:hAnsi="Arial" w:cs="Vrinda"/>
                <w:color w:val="000000"/>
                <w:sz w:val="24"/>
              </w:rPr>
              <w:t>Pantelidis</w:t>
            </w:r>
            <w:proofErr w:type="spellEnd"/>
            <w:r w:rsidRPr="00C1646B">
              <w:rPr>
                <w:rFonts w:ascii="Arial" w:hAnsi="Arial" w:cs="Vrinda"/>
                <w:color w:val="000000"/>
                <w:sz w:val="24"/>
              </w:rPr>
              <w:t xml:space="preserve"> et al., 2018). Besides these, different blends are also added for creating a unique flavour or enhance the original one. I learned flavouring black, green, white teas and caffeine-free infusions with orange pekoe, Chinese black loose-leaf, Darjeeling black tea, spearmint tea, Jasmin pearls, mint, rose etc. to create Marriott special luxury flavoured teas. The knowledge of tea service helps to understand notes and create flavours to bring verities to the menu. </w:t>
            </w:r>
          </w:p>
          <w:p w14:paraId="749955B9" w14:textId="16A12C07" w:rsidR="00C1646B" w:rsidRPr="00C1646B" w:rsidRDefault="00C1646B" w:rsidP="00C1646B">
            <w:pPr>
              <w:spacing w:after="160" w:line="360" w:lineRule="auto"/>
              <w:jc w:val="both"/>
              <w:rPr>
                <w:rFonts w:ascii="Arial" w:hAnsi="Arial" w:cs="Vrinda"/>
                <w:color w:val="000000"/>
                <w:sz w:val="24"/>
              </w:rPr>
            </w:pPr>
            <w:r w:rsidRPr="00C1646B">
              <w:rPr>
                <w:rFonts w:ascii="Arial" w:hAnsi="Arial" w:cs="Vrinda"/>
                <w:color w:val="000000"/>
                <w:sz w:val="24"/>
              </w:rPr>
              <w:t xml:space="preserve">The most famous alcoholic drink is the wine that can be of fortified, unfortified, still and sparking type (Skelton, 2013). </w:t>
            </w:r>
            <w:r w:rsidR="003F7178">
              <w:rPr>
                <w:rFonts w:ascii="Arial" w:hAnsi="Arial" w:cs="Vrinda"/>
                <w:color w:val="000000"/>
                <w:sz w:val="24"/>
              </w:rPr>
              <w:t>T</w:t>
            </w:r>
            <w:r w:rsidRPr="00C1646B">
              <w:rPr>
                <w:rFonts w:ascii="Arial" w:hAnsi="Arial" w:cs="Vrinda"/>
                <w:color w:val="000000"/>
                <w:sz w:val="24"/>
              </w:rPr>
              <w:t>hey also follow the main styles of wine to categorize their offerings</w:t>
            </w:r>
            <w:r w:rsidR="003F7178">
              <w:rPr>
                <w:rFonts w:ascii="Arial" w:hAnsi="Arial" w:cs="Vrinda"/>
                <w:color w:val="000000"/>
                <w:sz w:val="24"/>
              </w:rPr>
              <w:t xml:space="preserve"> such as </w:t>
            </w:r>
            <w:r w:rsidRPr="00C1646B">
              <w:rPr>
                <w:rFonts w:ascii="Arial" w:hAnsi="Arial" w:cs="Vrinda"/>
                <w:color w:val="000000"/>
                <w:sz w:val="24"/>
              </w:rPr>
              <w:t xml:space="preserve">sparkling wine and champaign, sweet white/blush wine, light intensity white/rose wine, fuller intensity white wine, lighter intensity red wine and fuller intensity red wines. </w:t>
            </w:r>
            <w:r w:rsidR="003F7178" w:rsidRPr="003F7178">
              <w:rPr>
                <w:rFonts w:ascii="Arial" w:hAnsi="Arial" w:cs="Vrinda"/>
                <w:color w:val="000000"/>
                <w:sz w:val="24"/>
              </w:rPr>
              <w:t xml:space="preserve">During my internship, </w:t>
            </w:r>
            <w:r w:rsidR="003F7178">
              <w:rPr>
                <w:rFonts w:ascii="Arial" w:hAnsi="Arial" w:cs="Vrinda"/>
                <w:color w:val="000000"/>
                <w:sz w:val="24"/>
              </w:rPr>
              <w:t>t</w:t>
            </w:r>
            <w:r w:rsidRPr="00C1646B">
              <w:rPr>
                <w:rFonts w:ascii="Arial" w:hAnsi="Arial" w:cs="Vrinda"/>
                <w:color w:val="000000"/>
                <w:sz w:val="24"/>
              </w:rPr>
              <w:t xml:space="preserve">hey </w:t>
            </w:r>
            <w:r w:rsidR="003F7178">
              <w:rPr>
                <w:rFonts w:ascii="Arial" w:hAnsi="Arial" w:cs="Vrinda"/>
                <w:color w:val="000000"/>
                <w:sz w:val="24"/>
              </w:rPr>
              <w:t xml:space="preserve">allocated us the task of </w:t>
            </w:r>
            <w:r w:rsidRPr="00C1646B">
              <w:rPr>
                <w:rFonts w:ascii="Arial" w:hAnsi="Arial" w:cs="Vrinda"/>
                <w:color w:val="000000"/>
                <w:sz w:val="24"/>
              </w:rPr>
              <w:t>paring wines so that we can</w:t>
            </w:r>
            <w:r w:rsidR="003F7178">
              <w:rPr>
                <w:rFonts w:ascii="Arial" w:hAnsi="Arial" w:cs="Vrinda"/>
                <w:color w:val="000000"/>
                <w:sz w:val="24"/>
              </w:rPr>
              <w:t xml:space="preserve"> learn </w:t>
            </w:r>
            <w:r w:rsidRPr="00C1646B">
              <w:rPr>
                <w:rFonts w:ascii="Arial" w:hAnsi="Arial" w:cs="Vrinda"/>
                <w:color w:val="000000"/>
                <w:sz w:val="24"/>
              </w:rPr>
              <w:t>suggest</w:t>
            </w:r>
            <w:r w:rsidR="003F7178">
              <w:rPr>
                <w:rFonts w:ascii="Arial" w:hAnsi="Arial" w:cs="Vrinda"/>
                <w:color w:val="000000"/>
                <w:sz w:val="24"/>
              </w:rPr>
              <w:t>ing</w:t>
            </w:r>
            <w:r w:rsidRPr="00C1646B">
              <w:rPr>
                <w:rFonts w:ascii="Arial" w:hAnsi="Arial" w:cs="Vrinda"/>
                <w:color w:val="000000"/>
                <w:sz w:val="24"/>
              </w:rPr>
              <w:t xml:space="preserve"> guests according to the foods t</w:t>
            </w:r>
            <w:r w:rsidR="003F7178">
              <w:rPr>
                <w:rFonts w:ascii="Arial" w:hAnsi="Arial" w:cs="Vrinda"/>
                <w:color w:val="000000"/>
                <w:sz w:val="24"/>
              </w:rPr>
              <w:t>hey</w:t>
            </w:r>
            <w:r w:rsidRPr="00C1646B">
              <w:rPr>
                <w:rFonts w:ascii="Arial" w:hAnsi="Arial" w:cs="Vrinda"/>
                <w:color w:val="000000"/>
                <w:sz w:val="24"/>
              </w:rPr>
              <w:t xml:space="preserve"> have ordered</w:t>
            </w:r>
            <w:r w:rsidR="003F7178">
              <w:rPr>
                <w:rFonts w:ascii="Arial" w:hAnsi="Arial" w:cs="Vrinda"/>
                <w:color w:val="000000"/>
                <w:sz w:val="24"/>
              </w:rPr>
              <w:t xml:space="preserve"> </w:t>
            </w:r>
            <w:r w:rsidRPr="00C1646B">
              <w:rPr>
                <w:rFonts w:ascii="Arial" w:hAnsi="Arial" w:cs="Vrinda"/>
                <w:color w:val="000000"/>
                <w:sz w:val="24"/>
              </w:rPr>
              <w:t xml:space="preserve">such as dry white wine best compliments vegetables and fishes; medium red compliments roasted veggies, hard cheese, white-red-cured meats; sparkling complements veggies, hard-soft cheese, starch, fishes; both sweet white and dessert wine suit sweets and cured meats etc. (W., 2016). </w:t>
            </w:r>
            <w:r w:rsidR="003F7178" w:rsidRPr="003F7178">
              <w:rPr>
                <w:rFonts w:ascii="Arial" w:hAnsi="Arial" w:cs="Vrinda"/>
                <w:color w:val="000000"/>
                <w:sz w:val="24"/>
              </w:rPr>
              <w:t xml:space="preserve">I used the </w:t>
            </w:r>
            <w:proofErr w:type="spellStart"/>
            <w:r w:rsidR="003F7178" w:rsidRPr="003F7178">
              <w:rPr>
                <w:rFonts w:ascii="Arial" w:hAnsi="Arial" w:cs="Vrinda"/>
                <w:color w:val="000000"/>
                <w:sz w:val="24"/>
              </w:rPr>
              <w:t>Vivino</w:t>
            </w:r>
            <w:proofErr w:type="spellEnd"/>
            <w:r w:rsidR="003F7178" w:rsidRPr="003F7178">
              <w:rPr>
                <w:rFonts w:ascii="Arial" w:hAnsi="Arial" w:cs="Vrinda"/>
                <w:color w:val="000000"/>
                <w:sz w:val="24"/>
              </w:rPr>
              <w:t xml:space="preserve"> app to study their wines before serving a table</w:t>
            </w:r>
            <w:r w:rsidR="003F7178">
              <w:rPr>
                <w:rFonts w:ascii="Arial" w:hAnsi="Arial" w:cs="Vrinda"/>
                <w:color w:val="000000"/>
                <w:sz w:val="24"/>
              </w:rPr>
              <w:t xml:space="preserve">. </w:t>
            </w:r>
            <w:r w:rsidRPr="00C1646B">
              <w:rPr>
                <w:rFonts w:ascii="Arial" w:hAnsi="Arial" w:cs="Vrinda"/>
                <w:color w:val="000000"/>
                <w:sz w:val="24"/>
              </w:rPr>
              <w:t xml:space="preserve">The learning can be applied for pairing food with correct wine which can enhance the consumption experience for guests. </w:t>
            </w:r>
          </w:p>
          <w:p w14:paraId="397A838F" w14:textId="77777777" w:rsidR="00C1646B" w:rsidRPr="00C1646B" w:rsidRDefault="00C1646B" w:rsidP="00C1646B">
            <w:pPr>
              <w:spacing w:after="160" w:line="360" w:lineRule="auto"/>
              <w:jc w:val="both"/>
              <w:rPr>
                <w:rFonts w:ascii="Arial" w:hAnsi="Arial" w:cs="Vrinda"/>
                <w:color w:val="000000"/>
                <w:sz w:val="24"/>
              </w:rPr>
            </w:pPr>
            <w:r w:rsidRPr="00C1646B">
              <w:rPr>
                <w:rFonts w:ascii="Arial" w:hAnsi="Arial" w:cs="Vrinda"/>
                <w:color w:val="000000"/>
                <w:sz w:val="24"/>
              </w:rPr>
              <w:t>Now menu, cooking, pairing, suggesting are roles of kitchen operations where staff hierarchy starts with executive chef and ends with kitchen hand (</w:t>
            </w:r>
            <w:proofErr w:type="spellStart"/>
            <w:r w:rsidRPr="00C1646B">
              <w:rPr>
                <w:rFonts w:ascii="Arial" w:hAnsi="Arial" w:cs="Vrinda"/>
                <w:color w:val="000000"/>
                <w:sz w:val="24"/>
              </w:rPr>
              <w:t>Tavernarakis</w:t>
            </w:r>
            <w:proofErr w:type="spellEnd"/>
            <w:r w:rsidRPr="00C1646B">
              <w:rPr>
                <w:rFonts w:ascii="Arial" w:hAnsi="Arial" w:cs="Vrinda"/>
                <w:color w:val="000000"/>
                <w:sz w:val="24"/>
              </w:rPr>
              <w:t>, 2018). The kitchen layout must facilitate the 4C’s of food safety: cooking, cleaning, chilling and cross-contamination, altogether important for end quality of serving. Food safety secures guests from biological, chemical, physical and allergenic hazards. Marriott kitchen has a 39-points’ checklist that includes handwashing, hygiene, principles of cooling and reheating, covering, dating, and marking (</w:t>
            </w:r>
            <w:proofErr w:type="spellStart"/>
            <w:r w:rsidRPr="00C1646B">
              <w:rPr>
                <w:rFonts w:ascii="Arial" w:hAnsi="Arial" w:cs="Vrinda"/>
                <w:color w:val="000000"/>
                <w:sz w:val="24"/>
              </w:rPr>
              <w:t>Cuihua</w:t>
            </w:r>
            <w:proofErr w:type="spellEnd"/>
            <w:r w:rsidRPr="00C1646B">
              <w:rPr>
                <w:rFonts w:ascii="Arial" w:hAnsi="Arial" w:cs="Vrinda"/>
                <w:color w:val="000000"/>
                <w:sz w:val="24"/>
              </w:rPr>
              <w:t xml:space="preserve">, 2014). Everyday monthly chosen sanitation manager trained us daily for 15-minutes for kitchen and food hygiene. In the kitchen, the hazardous foods were reheated to a minimum of 165°F, and leftovers were cooled to 41°F or below by 4 hours to </w:t>
            </w:r>
            <w:r w:rsidRPr="00C1646B">
              <w:rPr>
                <w:rFonts w:ascii="Arial" w:hAnsi="Arial" w:cs="Vrinda"/>
                <w:color w:val="000000"/>
                <w:sz w:val="24"/>
              </w:rPr>
              <w:lastRenderedPageBreak/>
              <w:t xml:space="preserve">irradicate food hazards. Marriott is certified to </w:t>
            </w:r>
            <w:proofErr w:type="spellStart"/>
            <w:r w:rsidRPr="00C1646B">
              <w:rPr>
                <w:rFonts w:ascii="Arial" w:hAnsi="Arial" w:cs="Vrinda"/>
                <w:color w:val="000000"/>
                <w:sz w:val="24"/>
              </w:rPr>
              <w:t>ServSafe</w:t>
            </w:r>
            <w:proofErr w:type="spellEnd"/>
            <w:r w:rsidRPr="00C1646B">
              <w:rPr>
                <w:rFonts w:ascii="Arial" w:hAnsi="Arial" w:cs="Vrinda"/>
                <w:color w:val="000000"/>
                <w:sz w:val="24"/>
              </w:rPr>
              <w:t xml:space="preserve"> and their maintenance engineering for refrigerators, ovens, storages are </w:t>
            </w:r>
            <w:proofErr w:type="spellStart"/>
            <w:r w:rsidRPr="00C1646B">
              <w:rPr>
                <w:rFonts w:ascii="Arial" w:hAnsi="Arial" w:cs="Vrinda"/>
                <w:color w:val="000000"/>
                <w:sz w:val="24"/>
              </w:rPr>
              <w:t>ServSafe</w:t>
            </w:r>
            <w:proofErr w:type="spellEnd"/>
            <w:r w:rsidRPr="00C1646B">
              <w:rPr>
                <w:rFonts w:ascii="Arial" w:hAnsi="Arial" w:cs="Vrinda"/>
                <w:color w:val="000000"/>
                <w:sz w:val="24"/>
              </w:rPr>
              <w:t xml:space="preserve"> certified (</w:t>
            </w:r>
            <w:proofErr w:type="spellStart"/>
            <w:r w:rsidRPr="00C1646B">
              <w:rPr>
                <w:rFonts w:ascii="Arial" w:hAnsi="Arial" w:cs="Vrinda"/>
                <w:color w:val="000000"/>
                <w:sz w:val="24"/>
              </w:rPr>
              <w:t>Gravani</w:t>
            </w:r>
            <w:proofErr w:type="spellEnd"/>
            <w:r w:rsidRPr="00C1646B">
              <w:rPr>
                <w:rFonts w:ascii="Arial" w:hAnsi="Arial" w:cs="Vrinda"/>
                <w:color w:val="000000"/>
                <w:sz w:val="24"/>
              </w:rPr>
              <w:t xml:space="preserve"> et al., 2015). The sanitation manager reported to the executive chef who further reported to the Quality Assurance Director for hygiene data audit. The learning for kitchen layout, food and hygiene fundamentals are crucial for maintaining the ultimate food and beverage quality served to guests. </w:t>
            </w:r>
          </w:p>
          <w:p w14:paraId="344A6C59" w14:textId="2C15C76A" w:rsidR="00E51B07" w:rsidRDefault="00C1646B" w:rsidP="00C1646B">
            <w:pPr>
              <w:spacing w:line="360" w:lineRule="auto"/>
              <w:jc w:val="both"/>
              <w:rPr>
                <w:rFonts w:ascii="Tahoma" w:hAnsi="Tahoma" w:cs="Tahoma"/>
                <w:sz w:val="20"/>
                <w:szCs w:val="20"/>
                <w:lang w:eastAsia="en-GB"/>
              </w:rPr>
            </w:pPr>
            <w:r w:rsidRPr="00C1646B">
              <w:rPr>
                <w:rFonts w:ascii="Arial" w:hAnsi="Arial" w:cs="Vrinda"/>
                <w:color w:val="000000"/>
                <w:sz w:val="24"/>
              </w:rPr>
              <w:t>In the hospitality industry, food and beverage operations are not only important for the health of the guests but also add to their experience. Knowledge of food and beverage types, styles, pairing as well as hygiene of the kitchen where they are produced helps to create a menu that guests will appreciate and ensure their health safety. Food and beverage service is considered as important as accommodation in the hospitality industry. Marriott believes that training is possibly the most essential aspect of introducing and continuing food safety. So, In-job training by inspecting and correcting at the same time is the most effective way to apply the food and beverage operation knowledge in practice for better hospitality service.</w:t>
            </w:r>
          </w:p>
          <w:p w14:paraId="262B5625" w14:textId="077E19B3" w:rsidR="00E51B07" w:rsidRDefault="00E51B07" w:rsidP="002E55C3">
            <w:pPr>
              <w:rPr>
                <w:rFonts w:ascii="Tahoma" w:hAnsi="Tahoma" w:cs="Tahoma"/>
                <w:sz w:val="20"/>
                <w:szCs w:val="20"/>
                <w:lang w:eastAsia="en-GB"/>
              </w:rPr>
            </w:pPr>
          </w:p>
          <w:p w14:paraId="0BAC901E" w14:textId="76218931" w:rsidR="00601B73" w:rsidRDefault="00601B73" w:rsidP="002E55C3">
            <w:pPr>
              <w:rPr>
                <w:rFonts w:ascii="Tahoma" w:hAnsi="Tahoma" w:cs="Tahoma"/>
                <w:sz w:val="20"/>
                <w:szCs w:val="20"/>
                <w:lang w:eastAsia="en-GB"/>
              </w:rPr>
            </w:pPr>
          </w:p>
          <w:p w14:paraId="7F9902C6" w14:textId="2C0C6E60" w:rsidR="00601B73" w:rsidRDefault="00601B73" w:rsidP="002E55C3">
            <w:pPr>
              <w:rPr>
                <w:rFonts w:ascii="Tahoma" w:hAnsi="Tahoma" w:cs="Tahoma"/>
                <w:sz w:val="20"/>
                <w:szCs w:val="20"/>
                <w:lang w:eastAsia="en-GB"/>
              </w:rPr>
            </w:pPr>
          </w:p>
          <w:p w14:paraId="73F329DF" w14:textId="529A3769" w:rsidR="00601B73" w:rsidRDefault="00601B73" w:rsidP="002E55C3">
            <w:pPr>
              <w:rPr>
                <w:rFonts w:ascii="Tahoma" w:hAnsi="Tahoma" w:cs="Tahoma"/>
                <w:sz w:val="20"/>
                <w:szCs w:val="20"/>
                <w:lang w:eastAsia="en-GB"/>
              </w:rPr>
            </w:pPr>
          </w:p>
          <w:p w14:paraId="014CAA77" w14:textId="7534393F" w:rsidR="00601B73" w:rsidRDefault="00601B73" w:rsidP="002E55C3">
            <w:pPr>
              <w:rPr>
                <w:rFonts w:ascii="Tahoma" w:hAnsi="Tahoma" w:cs="Tahoma"/>
                <w:sz w:val="20"/>
                <w:szCs w:val="20"/>
                <w:lang w:eastAsia="en-GB"/>
              </w:rPr>
            </w:pPr>
          </w:p>
          <w:p w14:paraId="6F85118F" w14:textId="5EFF8113" w:rsidR="00601B73" w:rsidRDefault="00601B73" w:rsidP="002E55C3">
            <w:pPr>
              <w:rPr>
                <w:rFonts w:ascii="Tahoma" w:hAnsi="Tahoma" w:cs="Tahoma"/>
                <w:sz w:val="20"/>
                <w:szCs w:val="20"/>
                <w:lang w:eastAsia="en-GB"/>
              </w:rPr>
            </w:pPr>
          </w:p>
          <w:p w14:paraId="0B07A5EC" w14:textId="3F75176A" w:rsidR="00601B73" w:rsidRDefault="00601B73" w:rsidP="002E55C3">
            <w:pPr>
              <w:rPr>
                <w:rFonts w:ascii="Tahoma" w:hAnsi="Tahoma" w:cs="Tahoma"/>
                <w:sz w:val="20"/>
                <w:szCs w:val="20"/>
                <w:lang w:eastAsia="en-GB"/>
              </w:rPr>
            </w:pPr>
          </w:p>
          <w:p w14:paraId="0A101EB2" w14:textId="27763655" w:rsidR="00601B73" w:rsidRDefault="00601B73" w:rsidP="002E55C3">
            <w:pPr>
              <w:rPr>
                <w:rFonts w:ascii="Tahoma" w:hAnsi="Tahoma" w:cs="Tahoma"/>
                <w:sz w:val="20"/>
                <w:szCs w:val="20"/>
                <w:lang w:eastAsia="en-GB"/>
              </w:rPr>
            </w:pPr>
          </w:p>
          <w:p w14:paraId="7D0F2009" w14:textId="484CEC36" w:rsidR="00601B73" w:rsidRDefault="00601B73" w:rsidP="002E55C3">
            <w:pPr>
              <w:rPr>
                <w:rFonts w:ascii="Tahoma" w:hAnsi="Tahoma" w:cs="Tahoma"/>
                <w:sz w:val="20"/>
                <w:szCs w:val="20"/>
                <w:lang w:eastAsia="en-GB"/>
              </w:rPr>
            </w:pPr>
          </w:p>
          <w:p w14:paraId="4A0E9FAB" w14:textId="2E104AF9" w:rsidR="00601B73" w:rsidRDefault="00601B73" w:rsidP="002E55C3">
            <w:pPr>
              <w:rPr>
                <w:rFonts w:ascii="Tahoma" w:hAnsi="Tahoma" w:cs="Tahoma"/>
                <w:sz w:val="20"/>
                <w:szCs w:val="20"/>
                <w:lang w:eastAsia="en-GB"/>
              </w:rPr>
            </w:pPr>
          </w:p>
          <w:p w14:paraId="421902DB" w14:textId="548F6193" w:rsidR="00601B73" w:rsidRDefault="00601B73" w:rsidP="002E55C3">
            <w:pPr>
              <w:rPr>
                <w:rFonts w:ascii="Tahoma" w:hAnsi="Tahoma" w:cs="Tahoma"/>
                <w:sz w:val="20"/>
                <w:szCs w:val="20"/>
                <w:lang w:eastAsia="en-GB"/>
              </w:rPr>
            </w:pPr>
          </w:p>
          <w:p w14:paraId="1B9F3253" w14:textId="455A5F89" w:rsidR="00601B73" w:rsidRDefault="00601B73" w:rsidP="002E55C3">
            <w:pPr>
              <w:rPr>
                <w:rFonts w:ascii="Tahoma" w:hAnsi="Tahoma" w:cs="Tahoma"/>
                <w:sz w:val="20"/>
                <w:szCs w:val="20"/>
                <w:lang w:eastAsia="en-GB"/>
              </w:rPr>
            </w:pPr>
          </w:p>
          <w:p w14:paraId="370FEC41" w14:textId="78E73926" w:rsidR="00601B73" w:rsidRDefault="00601B73" w:rsidP="002E55C3">
            <w:pPr>
              <w:rPr>
                <w:rFonts w:ascii="Tahoma" w:hAnsi="Tahoma" w:cs="Tahoma"/>
                <w:sz w:val="20"/>
                <w:szCs w:val="20"/>
                <w:lang w:eastAsia="en-GB"/>
              </w:rPr>
            </w:pPr>
          </w:p>
          <w:p w14:paraId="59886834" w14:textId="61128767" w:rsidR="00601B73" w:rsidRDefault="00601B73" w:rsidP="002E55C3">
            <w:pPr>
              <w:rPr>
                <w:rFonts w:ascii="Tahoma" w:hAnsi="Tahoma" w:cs="Tahoma"/>
                <w:sz w:val="20"/>
                <w:szCs w:val="20"/>
                <w:lang w:eastAsia="en-GB"/>
              </w:rPr>
            </w:pPr>
          </w:p>
          <w:p w14:paraId="1EE16591" w14:textId="48023BC6" w:rsidR="00601B73" w:rsidRDefault="00601B73" w:rsidP="002E55C3">
            <w:pPr>
              <w:rPr>
                <w:rFonts w:ascii="Tahoma" w:hAnsi="Tahoma" w:cs="Tahoma"/>
                <w:sz w:val="20"/>
                <w:szCs w:val="20"/>
                <w:lang w:eastAsia="en-GB"/>
              </w:rPr>
            </w:pPr>
          </w:p>
          <w:p w14:paraId="7ED3FF53" w14:textId="0CACD50F" w:rsidR="00601B73" w:rsidRPr="00836DD8" w:rsidRDefault="00601B73" w:rsidP="00836DD8">
            <w:pPr>
              <w:rPr>
                <w:rFonts w:ascii="Arial" w:hAnsi="Arial" w:cs="Arial"/>
                <w:sz w:val="24"/>
                <w:szCs w:val="24"/>
                <w:lang w:eastAsia="en-GB"/>
              </w:rPr>
            </w:pPr>
            <w:r w:rsidRPr="00836DD8">
              <w:rPr>
                <w:rFonts w:ascii="Arial" w:hAnsi="Arial" w:cs="Arial"/>
                <w:sz w:val="24"/>
                <w:szCs w:val="24"/>
                <w:lang w:eastAsia="en-GB"/>
              </w:rPr>
              <w:lastRenderedPageBreak/>
              <w:t xml:space="preserve">References </w:t>
            </w:r>
          </w:p>
          <w:p w14:paraId="252A7F4B" w14:textId="77777777" w:rsidR="00601B73" w:rsidRPr="00601B73" w:rsidRDefault="00601B73" w:rsidP="00601B73">
            <w:pPr>
              <w:spacing w:after="160" w:line="360" w:lineRule="auto"/>
              <w:jc w:val="both"/>
              <w:rPr>
                <w:rFonts w:ascii="Arial" w:hAnsi="Arial" w:cs="Vrinda"/>
                <w:color w:val="000000"/>
                <w:sz w:val="24"/>
              </w:rPr>
            </w:pPr>
            <w:proofErr w:type="spellStart"/>
            <w:r w:rsidRPr="00601B73">
              <w:rPr>
                <w:rFonts w:ascii="Arial" w:hAnsi="Arial" w:cs="Vrinda"/>
                <w:color w:val="000000"/>
                <w:sz w:val="24"/>
              </w:rPr>
              <w:t>Cuihua</w:t>
            </w:r>
            <w:proofErr w:type="spellEnd"/>
            <w:r w:rsidRPr="00601B73">
              <w:rPr>
                <w:rFonts w:ascii="Arial" w:hAnsi="Arial" w:cs="Vrinda"/>
                <w:color w:val="000000"/>
                <w:sz w:val="24"/>
              </w:rPr>
              <w:t>, Q., 2014. Establish Central Kitchen under HACCP Control in Food and Beverage Industry to Ensure Food Safety and Hygiene. SHS Web of Conferences, 6, p.03005.</w:t>
            </w:r>
          </w:p>
          <w:p w14:paraId="6A623271" w14:textId="77777777" w:rsidR="00601B73" w:rsidRPr="00601B73" w:rsidRDefault="00601B73" w:rsidP="00601B73">
            <w:pPr>
              <w:spacing w:after="160" w:line="360" w:lineRule="auto"/>
              <w:jc w:val="both"/>
              <w:rPr>
                <w:rFonts w:ascii="Arial" w:hAnsi="Arial" w:cs="Vrinda"/>
                <w:color w:val="000000"/>
                <w:sz w:val="24"/>
              </w:rPr>
            </w:pPr>
            <w:r w:rsidRPr="00601B73">
              <w:rPr>
                <w:rFonts w:ascii="Arial" w:hAnsi="Arial" w:cs="Vrinda"/>
                <w:color w:val="000000"/>
                <w:sz w:val="24"/>
              </w:rPr>
              <w:t xml:space="preserve">Davis, B., Lockwood, A., Alcott, P. and </w:t>
            </w:r>
            <w:bookmarkStart w:id="0" w:name="_Hlk87746305"/>
            <w:proofErr w:type="spellStart"/>
            <w:r w:rsidRPr="00601B73">
              <w:rPr>
                <w:rFonts w:ascii="Arial" w:hAnsi="Arial" w:cs="Vrinda"/>
                <w:color w:val="000000"/>
                <w:sz w:val="24"/>
              </w:rPr>
              <w:t>Pantelidis</w:t>
            </w:r>
            <w:bookmarkEnd w:id="0"/>
            <w:proofErr w:type="spellEnd"/>
            <w:r w:rsidRPr="00601B73">
              <w:rPr>
                <w:rFonts w:ascii="Arial" w:hAnsi="Arial" w:cs="Vrinda"/>
                <w:color w:val="000000"/>
                <w:sz w:val="24"/>
              </w:rPr>
              <w:t>, I., 2018. Food and Beverage Management. 6th ed.</w:t>
            </w:r>
          </w:p>
          <w:p w14:paraId="5435FCDB" w14:textId="77777777" w:rsidR="00601B73" w:rsidRPr="00601B73" w:rsidRDefault="00601B73" w:rsidP="00601B73">
            <w:pPr>
              <w:spacing w:after="160" w:line="360" w:lineRule="auto"/>
              <w:jc w:val="both"/>
              <w:rPr>
                <w:rFonts w:ascii="Arial" w:hAnsi="Arial" w:cs="Vrinda"/>
                <w:color w:val="000000"/>
                <w:sz w:val="24"/>
              </w:rPr>
            </w:pPr>
            <w:r w:rsidRPr="00601B73">
              <w:rPr>
                <w:rFonts w:ascii="Arial" w:hAnsi="Arial" w:cs="Vrinda"/>
                <w:color w:val="000000"/>
                <w:sz w:val="24"/>
              </w:rPr>
              <w:t xml:space="preserve">Lee, N., 2016. Food Allergy, a Newly Emerging Food Epidemic: Is the Current Regulation </w:t>
            </w:r>
            <w:proofErr w:type="gramStart"/>
            <w:r w:rsidRPr="00601B73">
              <w:rPr>
                <w:rFonts w:ascii="Arial" w:hAnsi="Arial" w:cs="Vrinda"/>
                <w:color w:val="000000"/>
                <w:sz w:val="24"/>
              </w:rPr>
              <w:t>Adequate?.</w:t>
            </w:r>
            <w:proofErr w:type="gramEnd"/>
            <w:r w:rsidRPr="00601B73">
              <w:rPr>
                <w:rFonts w:ascii="Arial" w:hAnsi="Arial" w:cs="Vrinda"/>
                <w:color w:val="000000"/>
                <w:sz w:val="24"/>
              </w:rPr>
              <w:t xml:space="preserve"> Journal of Food Hygiene and Safety, 27(4), pp.325-331.</w:t>
            </w:r>
          </w:p>
          <w:p w14:paraId="3632354D" w14:textId="77777777" w:rsidR="00601B73" w:rsidRPr="00601B73" w:rsidRDefault="00601B73" w:rsidP="00601B73">
            <w:pPr>
              <w:spacing w:after="160" w:line="360" w:lineRule="auto"/>
              <w:jc w:val="both"/>
              <w:rPr>
                <w:rFonts w:ascii="Arial" w:hAnsi="Arial" w:cs="Vrinda"/>
                <w:color w:val="000000"/>
                <w:sz w:val="24"/>
              </w:rPr>
            </w:pPr>
            <w:r w:rsidRPr="00601B73">
              <w:rPr>
                <w:rFonts w:ascii="Arial" w:hAnsi="Arial" w:cs="Vrinda"/>
                <w:color w:val="000000"/>
                <w:sz w:val="24"/>
              </w:rPr>
              <w:t xml:space="preserve">Marriott, N., Schilling, M. and </w:t>
            </w:r>
            <w:proofErr w:type="spellStart"/>
            <w:r w:rsidRPr="00601B73">
              <w:rPr>
                <w:rFonts w:ascii="Arial" w:hAnsi="Arial" w:cs="Vrinda"/>
                <w:color w:val="000000"/>
                <w:sz w:val="24"/>
              </w:rPr>
              <w:t>Gravani</w:t>
            </w:r>
            <w:proofErr w:type="spellEnd"/>
            <w:r w:rsidRPr="00601B73">
              <w:rPr>
                <w:rFonts w:ascii="Arial" w:hAnsi="Arial" w:cs="Vrinda"/>
                <w:color w:val="000000"/>
                <w:sz w:val="24"/>
              </w:rPr>
              <w:t>, R., 2015. Principles of food sanitation.</w:t>
            </w:r>
          </w:p>
          <w:p w14:paraId="3F339959" w14:textId="77777777" w:rsidR="00601B73" w:rsidRPr="00601B73" w:rsidRDefault="00601B73" w:rsidP="00601B73">
            <w:pPr>
              <w:spacing w:after="160" w:line="360" w:lineRule="auto"/>
              <w:jc w:val="both"/>
              <w:rPr>
                <w:rFonts w:ascii="Arial" w:hAnsi="Arial" w:cs="Vrinda"/>
                <w:color w:val="000000"/>
                <w:sz w:val="24"/>
              </w:rPr>
            </w:pPr>
            <w:proofErr w:type="spellStart"/>
            <w:r w:rsidRPr="00601B73">
              <w:rPr>
                <w:rFonts w:ascii="Arial" w:hAnsi="Arial" w:cs="Vrinda"/>
                <w:color w:val="000000"/>
                <w:sz w:val="24"/>
              </w:rPr>
              <w:t>Ninemeier</w:t>
            </w:r>
            <w:proofErr w:type="spellEnd"/>
            <w:r w:rsidRPr="00601B73">
              <w:rPr>
                <w:rFonts w:ascii="Arial" w:hAnsi="Arial" w:cs="Vrinda"/>
                <w:color w:val="000000"/>
                <w:sz w:val="24"/>
              </w:rPr>
              <w:t>, J., 2017. Management of food and beverage operations. 4th ed.</w:t>
            </w:r>
          </w:p>
          <w:p w14:paraId="398EC506" w14:textId="77777777" w:rsidR="00601B73" w:rsidRPr="00601B73" w:rsidRDefault="00601B73" w:rsidP="00601B73">
            <w:pPr>
              <w:spacing w:after="160" w:line="360" w:lineRule="auto"/>
              <w:jc w:val="both"/>
              <w:rPr>
                <w:rFonts w:ascii="Arial" w:hAnsi="Arial" w:cs="Vrinda"/>
                <w:color w:val="000000"/>
                <w:sz w:val="24"/>
              </w:rPr>
            </w:pPr>
            <w:r w:rsidRPr="00601B73">
              <w:rPr>
                <w:rFonts w:ascii="Arial" w:hAnsi="Arial" w:cs="Vrinda"/>
                <w:color w:val="000000"/>
                <w:sz w:val="24"/>
              </w:rPr>
              <w:t>Skelton, S., 2013. Making sense of wine tasting: your essential guide to enjoying wine. Journal of Wine Research, 24(1), pp.78-79.</w:t>
            </w:r>
          </w:p>
          <w:p w14:paraId="35293AEA" w14:textId="77777777" w:rsidR="00601B73" w:rsidRPr="00601B73" w:rsidRDefault="00601B73" w:rsidP="00601B73">
            <w:pPr>
              <w:spacing w:after="160" w:line="360" w:lineRule="auto"/>
              <w:jc w:val="both"/>
              <w:rPr>
                <w:rFonts w:ascii="Arial" w:hAnsi="Arial" w:cs="Vrinda"/>
                <w:color w:val="000000"/>
                <w:sz w:val="24"/>
              </w:rPr>
            </w:pPr>
            <w:proofErr w:type="spellStart"/>
            <w:r w:rsidRPr="00601B73">
              <w:rPr>
                <w:rFonts w:ascii="Arial" w:hAnsi="Arial" w:cs="Vrinda"/>
                <w:color w:val="000000"/>
                <w:sz w:val="24"/>
              </w:rPr>
              <w:t>Tavernarakis</w:t>
            </w:r>
            <w:proofErr w:type="spellEnd"/>
            <w:r w:rsidRPr="00601B73">
              <w:rPr>
                <w:rFonts w:ascii="Arial" w:hAnsi="Arial" w:cs="Vrinda"/>
                <w:color w:val="000000"/>
                <w:sz w:val="24"/>
              </w:rPr>
              <w:t>, D., 2018. Equipment sanitary design and food safety. Journal of Food: Microbiology, Safety &amp; Hygiene, 03.</w:t>
            </w:r>
          </w:p>
          <w:p w14:paraId="09C604A5" w14:textId="77777777" w:rsidR="00601B73" w:rsidRPr="00601B73" w:rsidRDefault="00601B73" w:rsidP="00601B73">
            <w:pPr>
              <w:spacing w:after="160" w:line="360" w:lineRule="auto"/>
              <w:jc w:val="both"/>
              <w:rPr>
                <w:rFonts w:ascii="Arial" w:hAnsi="Arial" w:cs="Vrinda"/>
                <w:color w:val="000000"/>
                <w:sz w:val="24"/>
              </w:rPr>
            </w:pPr>
            <w:r w:rsidRPr="00601B73">
              <w:rPr>
                <w:rFonts w:ascii="Arial" w:hAnsi="Arial" w:cs="Vrinda"/>
                <w:color w:val="000000"/>
                <w:sz w:val="24"/>
              </w:rPr>
              <w:t>W., G., 2016. Book Review: The Professional Chef's Guide to Kitchen Management. Cornell Hotel and Restaurant Administration Quarterly, 26(3), pp.86-86.</w:t>
            </w:r>
          </w:p>
          <w:p w14:paraId="67948BAD" w14:textId="77777777" w:rsidR="00E51B07" w:rsidRDefault="00E51B07" w:rsidP="002E55C3">
            <w:pPr>
              <w:rPr>
                <w:rFonts w:ascii="Tahoma" w:hAnsi="Tahoma" w:cs="Tahoma"/>
                <w:sz w:val="20"/>
                <w:szCs w:val="20"/>
                <w:lang w:eastAsia="en-GB"/>
              </w:rPr>
            </w:pPr>
          </w:p>
          <w:p w14:paraId="48BF5B91" w14:textId="77777777" w:rsidR="00E51B07" w:rsidRDefault="00E51B07" w:rsidP="002E55C3">
            <w:pPr>
              <w:rPr>
                <w:rFonts w:ascii="Tahoma" w:hAnsi="Tahoma" w:cs="Tahoma"/>
                <w:sz w:val="20"/>
                <w:szCs w:val="20"/>
                <w:lang w:eastAsia="en-GB"/>
              </w:rPr>
            </w:pPr>
          </w:p>
          <w:p w14:paraId="70289CD8" w14:textId="77777777" w:rsidR="00E51B07" w:rsidRDefault="00E51B07" w:rsidP="002E55C3">
            <w:pPr>
              <w:rPr>
                <w:rFonts w:ascii="Tahoma" w:hAnsi="Tahoma" w:cs="Tahoma"/>
                <w:sz w:val="20"/>
                <w:szCs w:val="20"/>
                <w:lang w:eastAsia="en-GB"/>
              </w:rPr>
            </w:pPr>
          </w:p>
          <w:p w14:paraId="6115FC22" w14:textId="77777777" w:rsidR="00E51B07" w:rsidRDefault="00E51B07" w:rsidP="002E55C3">
            <w:pPr>
              <w:rPr>
                <w:rFonts w:ascii="Tahoma" w:hAnsi="Tahoma" w:cs="Tahoma"/>
                <w:sz w:val="20"/>
                <w:szCs w:val="20"/>
                <w:lang w:eastAsia="en-GB"/>
              </w:rPr>
            </w:pPr>
          </w:p>
          <w:p w14:paraId="23769353" w14:textId="77777777" w:rsidR="00E51B07" w:rsidRDefault="00E51B07" w:rsidP="002E55C3">
            <w:pPr>
              <w:rPr>
                <w:rFonts w:ascii="Tahoma" w:hAnsi="Tahoma" w:cs="Tahoma"/>
                <w:sz w:val="20"/>
                <w:szCs w:val="20"/>
                <w:lang w:eastAsia="en-GB"/>
              </w:rPr>
            </w:pPr>
          </w:p>
          <w:p w14:paraId="16FE8B01" w14:textId="77777777" w:rsidR="00E51B07" w:rsidRDefault="00E51B07" w:rsidP="002E55C3">
            <w:pPr>
              <w:rPr>
                <w:rFonts w:ascii="Tahoma" w:hAnsi="Tahoma" w:cs="Tahoma"/>
                <w:sz w:val="20"/>
                <w:szCs w:val="20"/>
                <w:lang w:eastAsia="en-GB"/>
              </w:rPr>
            </w:pPr>
          </w:p>
          <w:p w14:paraId="3E277384" w14:textId="77777777" w:rsidR="00E51B07" w:rsidRDefault="00E51B07" w:rsidP="002E55C3">
            <w:pPr>
              <w:rPr>
                <w:rFonts w:ascii="Tahoma" w:hAnsi="Tahoma" w:cs="Tahoma"/>
                <w:sz w:val="20"/>
                <w:szCs w:val="20"/>
                <w:lang w:eastAsia="en-GB"/>
              </w:rPr>
            </w:pPr>
          </w:p>
          <w:p w14:paraId="0A8753BE" w14:textId="77777777" w:rsidR="00E51B07" w:rsidRDefault="00E51B07" w:rsidP="002E55C3">
            <w:pPr>
              <w:rPr>
                <w:rFonts w:ascii="Tahoma" w:hAnsi="Tahoma" w:cs="Tahoma"/>
                <w:sz w:val="20"/>
                <w:szCs w:val="20"/>
                <w:lang w:eastAsia="en-GB"/>
              </w:rPr>
            </w:pPr>
          </w:p>
          <w:p w14:paraId="04A449C3" w14:textId="77777777" w:rsidR="00E51B07" w:rsidRDefault="00E51B07" w:rsidP="002E55C3">
            <w:pPr>
              <w:rPr>
                <w:rFonts w:ascii="Tahoma" w:hAnsi="Tahoma" w:cs="Tahoma"/>
                <w:sz w:val="20"/>
                <w:szCs w:val="20"/>
                <w:lang w:eastAsia="en-GB"/>
              </w:rPr>
            </w:pPr>
          </w:p>
          <w:p w14:paraId="2DAE77FC" w14:textId="77777777" w:rsidR="00E51B07" w:rsidRDefault="00E51B07" w:rsidP="002E55C3">
            <w:pPr>
              <w:rPr>
                <w:rFonts w:ascii="Tahoma" w:hAnsi="Tahoma" w:cs="Tahoma"/>
                <w:sz w:val="20"/>
                <w:szCs w:val="20"/>
                <w:lang w:eastAsia="en-GB"/>
              </w:rPr>
            </w:pPr>
          </w:p>
          <w:p w14:paraId="193DD697" w14:textId="77777777" w:rsidR="00E51B07" w:rsidRPr="00A31228" w:rsidRDefault="00E51B07" w:rsidP="002E55C3">
            <w:pPr>
              <w:rPr>
                <w:rFonts w:ascii="Tahoma" w:hAnsi="Tahoma" w:cs="Tahoma"/>
                <w:sz w:val="20"/>
                <w:szCs w:val="20"/>
                <w:lang w:eastAsia="en-GB"/>
              </w:rPr>
            </w:pPr>
          </w:p>
        </w:tc>
      </w:tr>
    </w:tbl>
    <w:p w14:paraId="7D4BBE83" w14:textId="77777777" w:rsidR="00A9704F" w:rsidRDefault="00D72CA9"/>
    <w:sectPr w:rsidR="00A970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2MDM2MTG2MDQ1MDRR0lEKTi0uzszPAykwrgUAGSw7LCwAAAA="/>
  </w:docVars>
  <w:rsids>
    <w:rsidRoot w:val="00E51B07"/>
    <w:rsid w:val="00012133"/>
    <w:rsid w:val="00156EA4"/>
    <w:rsid w:val="001A4C4E"/>
    <w:rsid w:val="003268DD"/>
    <w:rsid w:val="003D3349"/>
    <w:rsid w:val="003F7178"/>
    <w:rsid w:val="00601B73"/>
    <w:rsid w:val="00836DD8"/>
    <w:rsid w:val="00935FD9"/>
    <w:rsid w:val="00A3515A"/>
    <w:rsid w:val="00C1646B"/>
    <w:rsid w:val="00D72CA9"/>
    <w:rsid w:val="00E51B07"/>
    <w:rsid w:val="00F52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009BB"/>
  <w15:chartTrackingRefBased/>
  <w15:docId w15:val="{F6F156A8-A2AE-4116-B44A-6B6126660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B07"/>
    <w:pPr>
      <w:spacing w:after="200" w:line="276" w:lineRule="auto"/>
    </w:pPr>
    <w:rPr>
      <w:rFonts w:ascii="Calibri" w:eastAsia="Calibri" w:hAnsi="Calibri"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E51B07"/>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6" ma:contentTypeDescription="Create a new document." ma:contentTypeScope="" ma:versionID="e9279d972e138ed6383450caf60170a6">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f116013d5b905d42dc77b7d04adbd1e9"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CEEA12-58CF-4E3D-B400-E3EDDFD388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DE1B88-9BD9-4DC5-AC66-60C2752775D9}">
  <ds:schemaRefs>
    <ds:schemaRef ds:uri="http://schemas.microsoft.com/sharepoint/v3/contenttype/forms"/>
  </ds:schemaRefs>
</ds:datastoreItem>
</file>

<file path=customXml/itemProps3.xml><?xml version="1.0" encoding="utf-8"?>
<ds:datastoreItem xmlns:ds="http://schemas.openxmlformats.org/officeDocument/2006/customXml" ds:itemID="{FE4D1A1C-7F38-4B26-89C5-570A034D10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4</Pages>
  <Words>968</Words>
  <Characters>5520</Characters>
  <Application>Microsoft Office Word</Application>
  <DocSecurity>0</DocSecurity>
  <Lines>46</Lines>
  <Paragraphs>12</Paragraphs>
  <ScaleCrop>false</ScaleCrop>
  <Company/>
  <LinksUpToDate>false</LinksUpToDate>
  <CharactersWithSpaces>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Williams</dc:creator>
  <cp:keywords/>
  <dc:description/>
  <cp:lastModifiedBy>Md Saiful Islam (2016119)</cp:lastModifiedBy>
  <cp:revision>9</cp:revision>
  <dcterms:created xsi:type="dcterms:W3CDTF">2021-10-14T10:30:00Z</dcterms:created>
  <dcterms:modified xsi:type="dcterms:W3CDTF">2021-12-09T01:31:00Z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ies>
</file>