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BE31CC" w14:textId="572321B2" w:rsidR="00A6741B" w:rsidRDefault="00A6741B">
      <w:pPr>
        <w:spacing w:line="259" w:lineRule="auto"/>
        <w:jc w:val="left"/>
        <w:rPr>
          <w:rFonts w:ascii="Arial" w:hAnsi="Arial" w:cs="Arial"/>
          <w:sz w:val="22"/>
        </w:rPr>
      </w:pPr>
      <w:r>
        <w:rPr>
          <w:rFonts w:ascii="Arial" w:hAnsi="Arial" w:cs="Arial"/>
          <w:sz w:val="22"/>
        </w:rPr>
        <w:br w:type="page"/>
      </w:r>
    </w:p>
    <w:p w14:paraId="79D09AE1" w14:textId="77777777" w:rsidR="00160F4F" w:rsidRPr="00BD63C0" w:rsidRDefault="00160F4F">
      <w:pPr>
        <w:spacing w:line="259" w:lineRule="auto"/>
        <w:jc w:val="left"/>
        <w:rPr>
          <w:rFonts w:ascii="Arial" w:hAnsi="Arial" w:cs="Arial"/>
          <w:sz w:val="22"/>
        </w:rPr>
      </w:pPr>
    </w:p>
    <w:p w14:paraId="6D2EC7D9" w14:textId="77777777" w:rsidR="00160F4F" w:rsidRPr="00BD63C0" w:rsidRDefault="00160F4F">
      <w:pPr>
        <w:spacing w:line="259" w:lineRule="auto"/>
        <w:jc w:val="left"/>
        <w:rPr>
          <w:rFonts w:ascii="Arial" w:hAnsi="Arial" w:cs="Arial"/>
          <w:sz w:val="22"/>
        </w:rPr>
      </w:pPr>
    </w:p>
    <w:p w14:paraId="58A3330A" w14:textId="77777777" w:rsidR="00BD63C0" w:rsidRPr="00BD63C0" w:rsidRDefault="00BD63C0" w:rsidP="00BD63C0">
      <w:pPr>
        <w:spacing w:line="259" w:lineRule="auto"/>
        <w:jc w:val="center"/>
        <w:rPr>
          <w:rFonts w:ascii="Arial" w:hAnsi="Arial" w:cs="Arial"/>
          <w:b/>
          <w:bCs/>
          <w:sz w:val="22"/>
        </w:rPr>
      </w:pPr>
      <w:r w:rsidRPr="00BD63C0">
        <w:rPr>
          <w:rFonts w:ascii="Arial" w:hAnsi="Arial" w:cs="Arial"/>
          <w:b/>
          <w:bCs/>
          <w:sz w:val="22"/>
        </w:rPr>
        <w:t>Strategic Analysis and Formulation for Ford Motor Company</w:t>
      </w:r>
    </w:p>
    <w:p w14:paraId="744905A3" w14:textId="77777777" w:rsidR="00160F4F" w:rsidRPr="00BD63C0" w:rsidRDefault="00160F4F" w:rsidP="00BD63C0">
      <w:pPr>
        <w:spacing w:line="259" w:lineRule="auto"/>
        <w:jc w:val="center"/>
        <w:rPr>
          <w:rFonts w:ascii="Arial" w:hAnsi="Arial" w:cs="Arial"/>
          <w:sz w:val="22"/>
        </w:rPr>
      </w:pPr>
    </w:p>
    <w:p w14:paraId="69868C02" w14:textId="3AA81582" w:rsidR="00BD63C0" w:rsidRPr="00BD63C0" w:rsidRDefault="00BD63C0" w:rsidP="00BD63C0">
      <w:pPr>
        <w:spacing w:line="259" w:lineRule="auto"/>
        <w:jc w:val="center"/>
        <w:rPr>
          <w:rFonts w:ascii="Arial" w:hAnsi="Arial" w:cs="Arial"/>
          <w:sz w:val="22"/>
        </w:rPr>
      </w:pPr>
      <w:proofErr w:type="spellStart"/>
      <w:r w:rsidRPr="00BD63C0">
        <w:rPr>
          <w:rFonts w:ascii="Arial" w:hAnsi="Arial" w:cs="Arial"/>
          <w:sz w:val="22"/>
        </w:rPr>
        <w:t>Programme</w:t>
      </w:r>
      <w:proofErr w:type="spellEnd"/>
      <w:r w:rsidRPr="00BD63C0">
        <w:rPr>
          <w:rFonts w:ascii="Arial" w:hAnsi="Arial" w:cs="Arial"/>
          <w:sz w:val="22"/>
        </w:rPr>
        <w:t>: BA (Hon) Business Management</w:t>
      </w:r>
    </w:p>
    <w:p w14:paraId="26985E7A" w14:textId="20B5623D" w:rsidR="00160F4F" w:rsidRPr="00BD63C0" w:rsidRDefault="00160F4F" w:rsidP="00BD63C0">
      <w:pPr>
        <w:spacing w:line="259" w:lineRule="auto"/>
        <w:jc w:val="center"/>
        <w:rPr>
          <w:rFonts w:ascii="Arial" w:hAnsi="Arial" w:cs="Arial"/>
          <w:sz w:val="22"/>
        </w:rPr>
      </w:pPr>
      <w:r w:rsidRPr="00BD63C0">
        <w:rPr>
          <w:rFonts w:ascii="Arial" w:hAnsi="Arial" w:cs="Arial"/>
          <w:sz w:val="22"/>
        </w:rPr>
        <w:t>Module: Strategic Management and Sustainability</w:t>
      </w:r>
    </w:p>
    <w:p w14:paraId="6E74C931" w14:textId="0FB33C84" w:rsidR="00160F4F" w:rsidRPr="00BD63C0" w:rsidRDefault="00160F4F" w:rsidP="00BD63C0">
      <w:pPr>
        <w:spacing w:line="259" w:lineRule="auto"/>
        <w:jc w:val="center"/>
        <w:rPr>
          <w:rFonts w:ascii="Arial" w:hAnsi="Arial" w:cs="Arial"/>
          <w:sz w:val="22"/>
        </w:rPr>
      </w:pPr>
      <w:r w:rsidRPr="00BD63C0">
        <w:rPr>
          <w:rFonts w:ascii="Arial" w:hAnsi="Arial" w:cs="Arial"/>
          <w:sz w:val="22"/>
        </w:rPr>
        <w:t>Module code: LCBB6004</w:t>
      </w:r>
    </w:p>
    <w:p w14:paraId="53597222" w14:textId="77777777" w:rsidR="003D32DA" w:rsidRPr="00BD63C0" w:rsidRDefault="003D32DA" w:rsidP="00BD63C0">
      <w:pPr>
        <w:spacing w:line="259" w:lineRule="auto"/>
        <w:jc w:val="center"/>
        <w:rPr>
          <w:rFonts w:ascii="Arial" w:hAnsi="Arial" w:cs="Arial"/>
          <w:b/>
          <w:bCs/>
          <w:sz w:val="22"/>
        </w:rPr>
      </w:pPr>
    </w:p>
    <w:p w14:paraId="35937D37" w14:textId="09847C7A" w:rsidR="002C6F37" w:rsidRPr="00BD63C0" w:rsidRDefault="00BD63C0" w:rsidP="00BD63C0">
      <w:pPr>
        <w:spacing w:line="259" w:lineRule="auto"/>
        <w:jc w:val="center"/>
        <w:rPr>
          <w:rFonts w:ascii="Arial" w:hAnsi="Arial" w:cs="Arial"/>
          <w:b/>
          <w:bCs/>
          <w:sz w:val="22"/>
        </w:rPr>
      </w:pPr>
      <w:r>
        <w:rPr>
          <w:rFonts w:ascii="Arial" w:hAnsi="Arial" w:cs="Arial"/>
          <w:b/>
          <w:bCs/>
          <w:sz w:val="22"/>
        </w:rPr>
        <w:t>Submitted to: Dr Masud Ibrahim</w:t>
      </w:r>
    </w:p>
    <w:p w14:paraId="4B91FBBC" w14:textId="77777777" w:rsidR="002C6F37" w:rsidRPr="00BD63C0" w:rsidRDefault="002C6F37" w:rsidP="00BD63C0">
      <w:pPr>
        <w:spacing w:line="259" w:lineRule="auto"/>
        <w:jc w:val="center"/>
        <w:rPr>
          <w:rFonts w:ascii="Arial" w:hAnsi="Arial" w:cs="Arial"/>
          <w:b/>
          <w:bCs/>
          <w:sz w:val="22"/>
        </w:rPr>
      </w:pPr>
    </w:p>
    <w:p w14:paraId="11FE99EF" w14:textId="61987110" w:rsidR="002C6F37" w:rsidRPr="00BD63C0" w:rsidRDefault="002C6F37" w:rsidP="00BD63C0">
      <w:pPr>
        <w:spacing w:line="259" w:lineRule="auto"/>
        <w:jc w:val="center"/>
        <w:rPr>
          <w:rFonts w:ascii="Arial" w:hAnsi="Arial" w:cs="Arial"/>
          <w:sz w:val="22"/>
        </w:rPr>
      </w:pPr>
      <w:r w:rsidRPr="00BD63C0">
        <w:rPr>
          <w:rFonts w:ascii="Arial" w:hAnsi="Arial" w:cs="Arial"/>
          <w:sz w:val="22"/>
        </w:rPr>
        <w:t>S</w:t>
      </w:r>
      <w:r w:rsidR="00BD63C0" w:rsidRPr="00BD63C0">
        <w:rPr>
          <w:rFonts w:ascii="Arial" w:hAnsi="Arial" w:cs="Arial"/>
          <w:sz w:val="22"/>
        </w:rPr>
        <w:t>ubmitted By</w:t>
      </w:r>
      <w:r w:rsidRPr="00BD63C0">
        <w:rPr>
          <w:rFonts w:ascii="Arial" w:hAnsi="Arial" w:cs="Arial"/>
          <w:sz w:val="22"/>
        </w:rPr>
        <w:t>:</w:t>
      </w:r>
      <w:r w:rsidR="00BD63C0" w:rsidRPr="00BD63C0">
        <w:rPr>
          <w:rFonts w:ascii="Arial" w:hAnsi="Arial" w:cs="Arial"/>
          <w:sz w:val="22"/>
        </w:rPr>
        <w:t xml:space="preserve"> Md </w:t>
      </w:r>
      <w:proofErr w:type="spellStart"/>
      <w:r w:rsidR="00BD63C0" w:rsidRPr="00BD63C0">
        <w:rPr>
          <w:rFonts w:ascii="Arial" w:hAnsi="Arial" w:cs="Arial"/>
          <w:sz w:val="22"/>
        </w:rPr>
        <w:t>Abidur</w:t>
      </w:r>
      <w:proofErr w:type="spellEnd"/>
      <w:r w:rsidR="00BD63C0" w:rsidRPr="00BD63C0">
        <w:rPr>
          <w:rFonts w:ascii="Arial" w:hAnsi="Arial" w:cs="Arial"/>
          <w:sz w:val="22"/>
        </w:rPr>
        <w:t xml:space="preserve"> Rahman</w:t>
      </w:r>
    </w:p>
    <w:p w14:paraId="048201D5" w14:textId="77777777" w:rsidR="00BD63C0" w:rsidRPr="00BD63C0" w:rsidRDefault="002C6F37" w:rsidP="00BD63C0">
      <w:pPr>
        <w:spacing w:line="259" w:lineRule="auto"/>
        <w:jc w:val="center"/>
        <w:rPr>
          <w:rFonts w:ascii="Arial" w:hAnsi="Arial" w:cs="Arial"/>
          <w:sz w:val="22"/>
        </w:rPr>
      </w:pPr>
      <w:r w:rsidRPr="00BD63C0">
        <w:rPr>
          <w:rFonts w:ascii="Arial" w:hAnsi="Arial" w:cs="Arial"/>
          <w:sz w:val="22"/>
        </w:rPr>
        <w:t>ID:</w:t>
      </w:r>
      <w:r w:rsidR="00BD63C0" w:rsidRPr="00BD63C0">
        <w:rPr>
          <w:rFonts w:ascii="Arial" w:hAnsi="Arial" w:cs="Arial"/>
          <w:sz w:val="22"/>
        </w:rPr>
        <w:t xml:space="preserve"> 1815081</w:t>
      </w:r>
    </w:p>
    <w:p w14:paraId="49177535" w14:textId="3E7B9974" w:rsidR="00160F4F" w:rsidRPr="00BD63C0" w:rsidRDefault="00BD63C0" w:rsidP="00BD63C0">
      <w:pPr>
        <w:spacing w:line="259" w:lineRule="auto"/>
        <w:jc w:val="center"/>
        <w:rPr>
          <w:rFonts w:ascii="Arial" w:hAnsi="Arial" w:cs="Arial"/>
          <w:sz w:val="22"/>
        </w:rPr>
      </w:pPr>
      <w:r w:rsidRPr="00BD63C0">
        <w:rPr>
          <w:rFonts w:ascii="Arial" w:hAnsi="Arial" w:cs="Arial"/>
          <w:sz w:val="22"/>
        </w:rPr>
        <w:t>Date: 20/10/2025</w:t>
      </w:r>
      <w:r w:rsidR="00160F4F" w:rsidRPr="00BD63C0">
        <w:rPr>
          <w:rFonts w:ascii="Arial" w:hAnsi="Arial" w:cs="Arial"/>
          <w:sz w:val="22"/>
        </w:rPr>
        <w:br w:type="page"/>
      </w:r>
    </w:p>
    <w:sdt>
      <w:sdtPr>
        <w:rPr>
          <w:rFonts w:ascii="Arial" w:eastAsiaTheme="minorHAnsi" w:hAnsi="Arial" w:cs="Arial"/>
          <w:color w:val="auto"/>
          <w:sz w:val="22"/>
          <w:szCs w:val="22"/>
        </w:rPr>
        <w:id w:val="6023948"/>
        <w:docPartObj>
          <w:docPartGallery w:val="Table of Contents"/>
          <w:docPartUnique/>
        </w:docPartObj>
      </w:sdtPr>
      <w:sdtEndPr>
        <w:rPr>
          <w:b/>
          <w:bCs/>
          <w:noProof/>
        </w:rPr>
      </w:sdtEndPr>
      <w:sdtContent>
        <w:p w14:paraId="1F09287E" w14:textId="11EBF5B0" w:rsidR="00B4268A" w:rsidRPr="00BD63C0" w:rsidRDefault="00B4268A">
          <w:pPr>
            <w:pStyle w:val="TOCHeading"/>
            <w:rPr>
              <w:rFonts w:ascii="Arial" w:hAnsi="Arial" w:cs="Arial"/>
              <w:sz w:val="22"/>
              <w:szCs w:val="22"/>
            </w:rPr>
          </w:pPr>
          <w:r w:rsidRPr="00BD63C0">
            <w:rPr>
              <w:rFonts w:ascii="Arial" w:hAnsi="Arial" w:cs="Arial"/>
              <w:sz w:val="22"/>
              <w:szCs w:val="22"/>
            </w:rPr>
            <w:t>Table of Contents</w:t>
          </w:r>
        </w:p>
        <w:p w14:paraId="31D1B03B" w14:textId="4D524035" w:rsidR="002E447C" w:rsidRPr="00BD63C0" w:rsidRDefault="00B4268A">
          <w:pPr>
            <w:pStyle w:val="TOC1"/>
            <w:tabs>
              <w:tab w:val="right" w:leader="dot" w:pos="9350"/>
            </w:tabs>
            <w:rPr>
              <w:rFonts w:ascii="Arial" w:eastAsiaTheme="minorEastAsia" w:hAnsi="Arial" w:cs="Arial"/>
              <w:noProof/>
              <w:sz w:val="22"/>
              <w:lang w:bidi="bn-IN"/>
            </w:rPr>
          </w:pPr>
          <w:r w:rsidRPr="00BD63C0">
            <w:rPr>
              <w:rFonts w:ascii="Arial" w:hAnsi="Arial" w:cs="Arial"/>
              <w:sz w:val="22"/>
            </w:rPr>
            <w:fldChar w:fldCharType="begin"/>
          </w:r>
          <w:r w:rsidRPr="00BD63C0">
            <w:rPr>
              <w:rFonts w:ascii="Arial" w:hAnsi="Arial" w:cs="Arial"/>
              <w:sz w:val="22"/>
            </w:rPr>
            <w:instrText xml:space="preserve"> TOC \o "1-3" \h \z \u </w:instrText>
          </w:r>
          <w:r w:rsidRPr="00BD63C0">
            <w:rPr>
              <w:rFonts w:ascii="Arial" w:hAnsi="Arial" w:cs="Arial"/>
              <w:sz w:val="22"/>
            </w:rPr>
            <w:fldChar w:fldCharType="separate"/>
          </w:r>
          <w:hyperlink w:anchor="_Toc211805698" w:history="1">
            <w:r w:rsidR="002E447C" w:rsidRPr="00BD63C0">
              <w:rPr>
                <w:rStyle w:val="Hyperlink"/>
                <w:rFonts w:ascii="Arial" w:hAnsi="Arial" w:cs="Arial"/>
                <w:noProof/>
                <w:sz w:val="22"/>
              </w:rPr>
              <w:t>Executive Summary</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_Toc211805698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3</w:t>
            </w:r>
            <w:r w:rsidR="002E447C" w:rsidRPr="00BD63C0">
              <w:rPr>
                <w:rFonts w:ascii="Arial" w:hAnsi="Arial" w:cs="Arial"/>
                <w:noProof/>
                <w:webHidden/>
                <w:sz w:val="22"/>
              </w:rPr>
              <w:fldChar w:fldCharType="end"/>
            </w:r>
          </w:hyperlink>
        </w:p>
        <w:p w14:paraId="5462A1CC" w14:textId="399F6658" w:rsidR="002E447C" w:rsidRPr="00BD63C0" w:rsidRDefault="00000000">
          <w:pPr>
            <w:pStyle w:val="TOC1"/>
            <w:tabs>
              <w:tab w:val="right" w:leader="dot" w:pos="9350"/>
            </w:tabs>
            <w:rPr>
              <w:rFonts w:ascii="Arial" w:eastAsiaTheme="minorEastAsia" w:hAnsi="Arial" w:cs="Arial"/>
              <w:noProof/>
              <w:sz w:val="22"/>
              <w:lang w:bidi="bn-IN"/>
            </w:rPr>
          </w:pPr>
          <w:hyperlink w:anchor="_Toc211805699" w:history="1">
            <w:r w:rsidR="002E447C" w:rsidRPr="00BD63C0">
              <w:rPr>
                <w:rStyle w:val="Hyperlink"/>
                <w:rFonts w:ascii="Arial" w:hAnsi="Arial" w:cs="Arial"/>
                <w:noProof/>
                <w:sz w:val="22"/>
              </w:rPr>
              <w:t>Introduction</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_Toc211805699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3</w:t>
            </w:r>
            <w:r w:rsidR="002E447C" w:rsidRPr="00BD63C0">
              <w:rPr>
                <w:rFonts w:ascii="Arial" w:hAnsi="Arial" w:cs="Arial"/>
                <w:noProof/>
                <w:webHidden/>
                <w:sz w:val="22"/>
              </w:rPr>
              <w:fldChar w:fldCharType="end"/>
            </w:r>
          </w:hyperlink>
        </w:p>
        <w:p w14:paraId="66E5F995" w14:textId="56B71A04" w:rsidR="002E447C" w:rsidRPr="00BD63C0" w:rsidRDefault="00000000">
          <w:pPr>
            <w:pStyle w:val="TOC1"/>
            <w:tabs>
              <w:tab w:val="right" w:leader="dot" w:pos="9350"/>
            </w:tabs>
            <w:rPr>
              <w:rFonts w:ascii="Arial" w:eastAsiaTheme="minorEastAsia" w:hAnsi="Arial" w:cs="Arial"/>
              <w:noProof/>
              <w:sz w:val="22"/>
              <w:lang w:bidi="bn-IN"/>
            </w:rPr>
          </w:pPr>
          <w:hyperlink w:anchor="_Toc211805700" w:history="1">
            <w:r w:rsidR="002E447C" w:rsidRPr="00BD63C0">
              <w:rPr>
                <w:rStyle w:val="Hyperlink"/>
                <w:rFonts w:ascii="Arial" w:hAnsi="Arial" w:cs="Arial"/>
                <w:noProof/>
                <w:sz w:val="22"/>
              </w:rPr>
              <w:t>Overview of the company</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_Toc211805700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4</w:t>
            </w:r>
            <w:r w:rsidR="002E447C" w:rsidRPr="00BD63C0">
              <w:rPr>
                <w:rFonts w:ascii="Arial" w:hAnsi="Arial" w:cs="Arial"/>
                <w:noProof/>
                <w:webHidden/>
                <w:sz w:val="22"/>
              </w:rPr>
              <w:fldChar w:fldCharType="end"/>
            </w:r>
          </w:hyperlink>
        </w:p>
        <w:p w14:paraId="1FA4A73E" w14:textId="1C5AADDF" w:rsidR="002E447C" w:rsidRPr="00BD63C0" w:rsidRDefault="00000000">
          <w:pPr>
            <w:pStyle w:val="TOC1"/>
            <w:tabs>
              <w:tab w:val="right" w:leader="dot" w:pos="9350"/>
            </w:tabs>
            <w:rPr>
              <w:rFonts w:ascii="Arial" w:eastAsiaTheme="minorEastAsia" w:hAnsi="Arial" w:cs="Arial"/>
              <w:noProof/>
              <w:sz w:val="22"/>
              <w:lang w:bidi="bn-IN"/>
            </w:rPr>
          </w:pPr>
          <w:hyperlink w:anchor="_Toc211805701" w:history="1">
            <w:r w:rsidR="002E447C" w:rsidRPr="00BD63C0">
              <w:rPr>
                <w:rStyle w:val="Hyperlink"/>
                <w:rFonts w:ascii="Arial" w:hAnsi="Arial" w:cs="Arial"/>
                <w:noProof/>
                <w:sz w:val="22"/>
              </w:rPr>
              <w:t>Strategy Analysis of Ford Motor Company</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_Toc211805701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5</w:t>
            </w:r>
            <w:r w:rsidR="002E447C" w:rsidRPr="00BD63C0">
              <w:rPr>
                <w:rFonts w:ascii="Arial" w:hAnsi="Arial" w:cs="Arial"/>
                <w:noProof/>
                <w:webHidden/>
                <w:sz w:val="22"/>
              </w:rPr>
              <w:fldChar w:fldCharType="end"/>
            </w:r>
          </w:hyperlink>
        </w:p>
        <w:p w14:paraId="0AB0AE66" w14:textId="1DA38C8A" w:rsidR="002E447C" w:rsidRPr="00BD63C0" w:rsidRDefault="00000000">
          <w:pPr>
            <w:pStyle w:val="TOC1"/>
            <w:tabs>
              <w:tab w:val="right" w:leader="dot" w:pos="9350"/>
            </w:tabs>
            <w:rPr>
              <w:rFonts w:ascii="Arial" w:eastAsiaTheme="minorEastAsia" w:hAnsi="Arial" w:cs="Arial"/>
              <w:noProof/>
              <w:sz w:val="22"/>
              <w:lang w:bidi="bn-IN"/>
            </w:rPr>
          </w:pPr>
          <w:hyperlink w:anchor="_Toc211805702" w:history="1">
            <w:r w:rsidR="002E447C" w:rsidRPr="00BD63C0">
              <w:rPr>
                <w:rStyle w:val="Hyperlink"/>
                <w:rFonts w:ascii="Arial" w:hAnsi="Arial" w:cs="Arial"/>
                <w:noProof/>
                <w:sz w:val="22"/>
              </w:rPr>
              <w:t>External Environment Audit</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_Toc211805702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5</w:t>
            </w:r>
            <w:r w:rsidR="002E447C" w:rsidRPr="00BD63C0">
              <w:rPr>
                <w:rFonts w:ascii="Arial" w:hAnsi="Arial" w:cs="Arial"/>
                <w:noProof/>
                <w:webHidden/>
                <w:sz w:val="22"/>
              </w:rPr>
              <w:fldChar w:fldCharType="end"/>
            </w:r>
          </w:hyperlink>
        </w:p>
        <w:p w14:paraId="371F2D5C" w14:textId="630D743B" w:rsidR="002E447C" w:rsidRPr="00BD63C0" w:rsidRDefault="00000000">
          <w:pPr>
            <w:pStyle w:val="TOC2"/>
            <w:tabs>
              <w:tab w:val="right" w:leader="dot" w:pos="9350"/>
            </w:tabs>
            <w:rPr>
              <w:rFonts w:ascii="Arial" w:eastAsiaTheme="minorEastAsia" w:hAnsi="Arial" w:cs="Arial"/>
              <w:noProof/>
              <w:sz w:val="22"/>
              <w:lang w:bidi="bn-IN"/>
            </w:rPr>
          </w:pPr>
          <w:hyperlink w:anchor="_Toc211805703" w:history="1">
            <w:r w:rsidR="002E447C" w:rsidRPr="00BD63C0">
              <w:rPr>
                <w:rStyle w:val="Hyperlink"/>
                <w:rFonts w:ascii="Arial" w:hAnsi="Arial" w:cs="Arial"/>
                <w:noProof/>
                <w:sz w:val="22"/>
              </w:rPr>
              <w:t>PESTLE Analysis</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_Toc211805703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5</w:t>
            </w:r>
            <w:r w:rsidR="002E447C" w:rsidRPr="00BD63C0">
              <w:rPr>
                <w:rFonts w:ascii="Arial" w:hAnsi="Arial" w:cs="Arial"/>
                <w:noProof/>
                <w:webHidden/>
                <w:sz w:val="22"/>
              </w:rPr>
              <w:fldChar w:fldCharType="end"/>
            </w:r>
          </w:hyperlink>
        </w:p>
        <w:p w14:paraId="421C0600" w14:textId="6AE88ACC" w:rsidR="002E447C" w:rsidRPr="00BD63C0" w:rsidRDefault="00000000">
          <w:pPr>
            <w:pStyle w:val="TOC2"/>
            <w:tabs>
              <w:tab w:val="right" w:leader="dot" w:pos="9350"/>
            </w:tabs>
            <w:rPr>
              <w:rFonts w:ascii="Arial" w:eastAsiaTheme="minorEastAsia" w:hAnsi="Arial" w:cs="Arial"/>
              <w:noProof/>
              <w:sz w:val="22"/>
              <w:lang w:bidi="bn-IN"/>
            </w:rPr>
          </w:pPr>
          <w:hyperlink w:anchor="_Toc211805704" w:history="1">
            <w:r w:rsidR="002E447C" w:rsidRPr="00BD63C0">
              <w:rPr>
                <w:rStyle w:val="Hyperlink"/>
                <w:rFonts w:ascii="Arial" w:hAnsi="Arial" w:cs="Arial"/>
                <w:noProof/>
                <w:sz w:val="22"/>
              </w:rPr>
              <w:t>Porter’s Five Forces Analysis</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_Toc211805704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7</w:t>
            </w:r>
            <w:r w:rsidR="002E447C" w:rsidRPr="00BD63C0">
              <w:rPr>
                <w:rFonts w:ascii="Arial" w:hAnsi="Arial" w:cs="Arial"/>
                <w:noProof/>
                <w:webHidden/>
                <w:sz w:val="22"/>
              </w:rPr>
              <w:fldChar w:fldCharType="end"/>
            </w:r>
          </w:hyperlink>
        </w:p>
        <w:p w14:paraId="481F1733" w14:textId="03AAEE6F" w:rsidR="002E447C" w:rsidRPr="00BD63C0" w:rsidRDefault="00000000">
          <w:pPr>
            <w:pStyle w:val="TOC1"/>
            <w:tabs>
              <w:tab w:val="right" w:leader="dot" w:pos="9350"/>
            </w:tabs>
            <w:rPr>
              <w:rFonts w:ascii="Arial" w:eastAsiaTheme="minorEastAsia" w:hAnsi="Arial" w:cs="Arial"/>
              <w:noProof/>
              <w:sz w:val="22"/>
              <w:lang w:bidi="bn-IN"/>
            </w:rPr>
          </w:pPr>
          <w:hyperlink w:anchor="_Toc211805705" w:history="1">
            <w:r w:rsidR="002E447C" w:rsidRPr="00BD63C0">
              <w:rPr>
                <w:rStyle w:val="Hyperlink"/>
                <w:rFonts w:ascii="Arial" w:hAnsi="Arial" w:cs="Arial"/>
                <w:noProof/>
                <w:sz w:val="22"/>
              </w:rPr>
              <w:t>Internal Environment Audit</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_Toc211805705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8</w:t>
            </w:r>
            <w:r w:rsidR="002E447C" w:rsidRPr="00BD63C0">
              <w:rPr>
                <w:rFonts w:ascii="Arial" w:hAnsi="Arial" w:cs="Arial"/>
                <w:noProof/>
                <w:webHidden/>
                <w:sz w:val="22"/>
              </w:rPr>
              <w:fldChar w:fldCharType="end"/>
            </w:r>
          </w:hyperlink>
        </w:p>
        <w:p w14:paraId="6BC9DA43" w14:textId="75B5399F" w:rsidR="002E447C" w:rsidRPr="00BD63C0" w:rsidRDefault="00000000">
          <w:pPr>
            <w:pStyle w:val="TOC2"/>
            <w:tabs>
              <w:tab w:val="right" w:leader="dot" w:pos="9350"/>
            </w:tabs>
            <w:rPr>
              <w:rFonts w:ascii="Arial" w:eastAsiaTheme="minorEastAsia" w:hAnsi="Arial" w:cs="Arial"/>
              <w:noProof/>
              <w:sz w:val="22"/>
              <w:lang w:bidi="bn-IN"/>
            </w:rPr>
          </w:pPr>
          <w:hyperlink w:anchor="_Toc211805706" w:history="1">
            <w:r w:rsidR="002E447C" w:rsidRPr="00BD63C0">
              <w:rPr>
                <w:rStyle w:val="Hyperlink"/>
                <w:rFonts w:ascii="Arial" w:hAnsi="Arial" w:cs="Arial"/>
                <w:noProof/>
                <w:sz w:val="22"/>
              </w:rPr>
              <w:t>Value Chain Analysis</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_Toc211805706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8</w:t>
            </w:r>
            <w:r w:rsidR="002E447C" w:rsidRPr="00BD63C0">
              <w:rPr>
                <w:rFonts w:ascii="Arial" w:hAnsi="Arial" w:cs="Arial"/>
                <w:noProof/>
                <w:webHidden/>
                <w:sz w:val="22"/>
              </w:rPr>
              <w:fldChar w:fldCharType="end"/>
            </w:r>
          </w:hyperlink>
        </w:p>
        <w:p w14:paraId="39C73B45" w14:textId="2CD2F703" w:rsidR="002E447C" w:rsidRPr="00BD63C0" w:rsidRDefault="00000000">
          <w:pPr>
            <w:pStyle w:val="TOC2"/>
            <w:tabs>
              <w:tab w:val="right" w:leader="dot" w:pos="9350"/>
            </w:tabs>
            <w:rPr>
              <w:rFonts w:ascii="Arial" w:eastAsiaTheme="minorEastAsia" w:hAnsi="Arial" w:cs="Arial"/>
              <w:noProof/>
              <w:sz w:val="22"/>
              <w:lang w:bidi="bn-IN"/>
            </w:rPr>
          </w:pPr>
          <w:hyperlink w:anchor="_Toc211805707" w:history="1">
            <w:r w:rsidR="002E447C" w:rsidRPr="00BD63C0">
              <w:rPr>
                <w:rStyle w:val="Hyperlink"/>
                <w:rFonts w:ascii="Arial" w:hAnsi="Arial" w:cs="Arial"/>
                <w:noProof/>
                <w:sz w:val="22"/>
              </w:rPr>
              <w:t>Resource-Based View (RBV) and VRIO Analysis</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_Toc211805707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9</w:t>
            </w:r>
            <w:r w:rsidR="002E447C" w:rsidRPr="00BD63C0">
              <w:rPr>
                <w:rFonts w:ascii="Arial" w:hAnsi="Arial" w:cs="Arial"/>
                <w:noProof/>
                <w:webHidden/>
                <w:sz w:val="22"/>
              </w:rPr>
              <w:fldChar w:fldCharType="end"/>
            </w:r>
          </w:hyperlink>
        </w:p>
        <w:p w14:paraId="2B399485" w14:textId="2223F475" w:rsidR="002E447C" w:rsidRPr="00BD63C0" w:rsidRDefault="00000000">
          <w:pPr>
            <w:pStyle w:val="TOC2"/>
            <w:tabs>
              <w:tab w:val="right" w:leader="dot" w:pos="9350"/>
            </w:tabs>
            <w:rPr>
              <w:rFonts w:ascii="Arial" w:eastAsiaTheme="minorEastAsia" w:hAnsi="Arial" w:cs="Arial"/>
              <w:noProof/>
              <w:sz w:val="22"/>
              <w:lang w:bidi="bn-IN"/>
            </w:rPr>
          </w:pPr>
          <w:hyperlink w:anchor="_Toc211805708" w:history="1">
            <w:r w:rsidR="002E447C" w:rsidRPr="00BD63C0">
              <w:rPr>
                <w:rStyle w:val="Hyperlink"/>
                <w:rFonts w:ascii="Arial" w:hAnsi="Arial" w:cs="Arial"/>
                <w:noProof/>
                <w:sz w:val="22"/>
              </w:rPr>
              <w:t>SWOT Analysis</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_Toc211805708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10</w:t>
            </w:r>
            <w:r w:rsidR="002E447C" w:rsidRPr="00BD63C0">
              <w:rPr>
                <w:rFonts w:ascii="Arial" w:hAnsi="Arial" w:cs="Arial"/>
                <w:noProof/>
                <w:webHidden/>
                <w:sz w:val="22"/>
              </w:rPr>
              <w:fldChar w:fldCharType="end"/>
            </w:r>
          </w:hyperlink>
        </w:p>
        <w:p w14:paraId="5B036C9C" w14:textId="579C0E5D" w:rsidR="002E447C" w:rsidRPr="00BD63C0" w:rsidRDefault="00000000">
          <w:pPr>
            <w:pStyle w:val="TOC1"/>
            <w:tabs>
              <w:tab w:val="right" w:leader="dot" w:pos="9350"/>
            </w:tabs>
            <w:rPr>
              <w:rFonts w:ascii="Arial" w:eastAsiaTheme="minorEastAsia" w:hAnsi="Arial" w:cs="Arial"/>
              <w:noProof/>
              <w:sz w:val="22"/>
              <w:lang w:bidi="bn-IN"/>
            </w:rPr>
          </w:pPr>
          <w:hyperlink w:anchor="_Toc211805709" w:history="1">
            <w:r w:rsidR="002E447C" w:rsidRPr="00BD63C0">
              <w:rPr>
                <w:rStyle w:val="Hyperlink"/>
                <w:rFonts w:ascii="Arial" w:hAnsi="Arial" w:cs="Arial"/>
                <w:noProof/>
                <w:sz w:val="22"/>
              </w:rPr>
              <w:t>Strategy Formulation</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_Toc211805709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11</w:t>
            </w:r>
            <w:r w:rsidR="002E447C" w:rsidRPr="00BD63C0">
              <w:rPr>
                <w:rFonts w:ascii="Arial" w:hAnsi="Arial" w:cs="Arial"/>
                <w:noProof/>
                <w:webHidden/>
                <w:sz w:val="22"/>
              </w:rPr>
              <w:fldChar w:fldCharType="end"/>
            </w:r>
          </w:hyperlink>
        </w:p>
        <w:p w14:paraId="2D6A82A7" w14:textId="601428FA" w:rsidR="002E447C" w:rsidRPr="00BD63C0" w:rsidRDefault="00000000">
          <w:pPr>
            <w:pStyle w:val="TOC1"/>
            <w:tabs>
              <w:tab w:val="right" w:leader="dot" w:pos="9350"/>
            </w:tabs>
            <w:rPr>
              <w:rFonts w:ascii="Arial" w:eastAsiaTheme="minorEastAsia" w:hAnsi="Arial" w:cs="Arial"/>
              <w:noProof/>
              <w:sz w:val="22"/>
              <w:lang w:bidi="bn-IN"/>
            </w:rPr>
          </w:pPr>
          <w:hyperlink w:anchor="_Toc211805710" w:history="1">
            <w:r w:rsidR="002E447C" w:rsidRPr="00BD63C0">
              <w:rPr>
                <w:rStyle w:val="Hyperlink"/>
                <w:rFonts w:ascii="Arial" w:hAnsi="Arial" w:cs="Arial"/>
                <w:noProof/>
                <w:sz w:val="22"/>
              </w:rPr>
              <w:t>Conclusion and Recommendations.</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_Toc211805710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12</w:t>
            </w:r>
            <w:r w:rsidR="002E447C" w:rsidRPr="00BD63C0">
              <w:rPr>
                <w:rFonts w:ascii="Arial" w:hAnsi="Arial" w:cs="Arial"/>
                <w:noProof/>
                <w:webHidden/>
                <w:sz w:val="22"/>
              </w:rPr>
              <w:fldChar w:fldCharType="end"/>
            </w:r>
          </w:hyperlink>
        </w:p>
        <w:p w14:paraId="6A22FC4F" w14:textId="1E8BB2DA" w:rsidR="002E447C" w:rsidRPr="00BD63C0" w:rsidRDefault="00000000">
          <w:pPr>
            <w:pStyle w:val="TOC1"/>
            <w:tabs>
              <w:tab w:val="right" w:leader="dot" w:pos="9350"/>
            </w:tabs>
            <w:rPr>
              <w:rFonts w:ascii="Arial" w:eastAsiaTheme="minorEastAsia" w:hAnsi="Arial" w:cs="Arial"/>
              <w:noProof/>
              <w:sz w:val="22"/>
              <w:lang w:bidi="bn-IN"/>
            </w:rPr>
          </w:pPr>
          <w:hyperlink w:anchor="_Toc211805711" w:history="1">
            <w:r w:rsidR="002E447C" w:rsidRPr="00BD63C0">
              <w:rPr>
                <w:rStyle w:val="Hyperlink"/>
                <w:rFonts w:ascii="Arial" w:hAnsi="Arial" w:cs="Arial"/>
                <w:noProof/>
                <w:sz w:val="22"/>
              </w:rPr>
              <w:t>References</w:t>
            </w:r>
            <w:r w:rsidR="002E447C" w:rsidRPr="00BD63C0">
              <w:rPr>
                <w:rFonts w:ascii="Arial" w:hAnsi="Arial" w:cs="Arial"/>
                <w:noProof/>
                <w:webHidden/>
                <w:sz w:val="22"/>
              </w:rPr>
              <w:tab/>
            </w:r>
            <w:r w:rsidR="002E447C" w:rsidRPr="00BD63C0">
              <w:rPr>
                <w:rFonts w:ascii="Arial" w:hAnsi="Arial" w:cs="Arial"/>
                <w:noProof/>
                <w:webHidden/>
                <w:sz w:val="22"/>
              </w:rPr>
              <w:fldChar w:fldCharType="begin"/>
            </w:r>
            <w:r w:rsidR="002E447C" w:rsidRPr="00BD63C0">
              <w:rPr>
                <w:rFonts w:ascii="Arial" w:hAnsi="Arial" w:cs="Arial"/>
                <w:noProof/>
                <w:webHidden/>
                <w:sz w:val="22"/>
              </w:rPr>
              <w:instrText xml:space="preserve"> PAGEREF _Toc211805711 \h </w:instrText>
            </w:r>
            <w:r w:rsidR="002E447C" w:rsidRPr="00BD63C0">
              <w:rPr>
                <w:rFonts w:ascii="Arial" w:hAnsi="Arial" w:cs="Arial"/>
                <w:noProof/>
                <w:webHidden/>
                <w:sz w:val="22"/>
              </w:rPr>
            </w:r>
            <w:r w:rsidR="002E447C" w:rsidRPr="00BD63C0">
              <w:rPr>
                <w:rFonts w:ascii="Arial" w:hAnsi="Arial" w:cs="Arial"/>
                <w:noProof/>
                <w:webHidden/>
                <w:sz w:val="22"/>
              </w:rPr>
              <w:fldChar w:fldCharType="separate"/>
            </w:r>
            <w:r w:rsidR="002E447C" w:rsidRPr="00BD63C0">
              <w:rPr>
                <w:rFonts w:ascii="Arial" w:hAnsi="Arial" w:cs="Arial"/>
                <w:noProof/>
                <w:webHidden/>
                <w:sz w:val="22"/>
              </w:rPr>
              <w:t>13</w:t>
            </w:r>
            <w:r w:rsidR="002E447C" w:rsidRPr="00BD63C0">
              <w:rPr>
                <w:rFonts w:ascii="Arial" w:hAnsi="Arial" w:cs="Arial"/>
                <w:noProof/>
                <w:webHidden/>
                <w:sz w:val="22"/>
              </w:rPr>
              <w:fldChar w:fldCharType="end"/>
            </w:r>
          </w:hyperlink>
        </w:p>
        <w:p w14:paraId="3D63329B" w14:textId="5B365304" w:rsidR="00B4268A" w:rsidRPr="00BD63C0" w:rsidRDefault="00B4268A">
          <w:pPr>
            <w:rPr>
              <w:rFonts w:ascii="Arial" w:hAnsi="Arial" w:cs="Arial"/>
              <w:sz w:val="22"/>
            </w:rPr>
          </w:pPr>
          <w:r w:rsidRPr="00BD63C0">
            <w:rPr>
              <w:rFonts w:ascii="Arial" w:hAnsi="Arial" w:cs="Arial"/>
              <w:b/>
              <w:bCs/>
              <w:noProof/>
              <w:sz w:val="22"/>
            </w:rPr>
            <w:fldChar w:fldCharType="end"/>
          </w:r>
        </w:p>
      </w:sdtContent>
    </w:sdt>
    <w:p w14:paraId="76DD421F" w14:textId="77777777" w:rsidR="00B4268A" w:rsidRPr="00BD63C0" w:rsidRDefault="00B4268A">
      <w:pPr>
        <w:spacing w:line="259" w:lineRule="auto"/>
        <w:jc w:val="left"/>
        <w:rPr>
          <w:rFonts w:ascii="Arial" w:eastAsiaTheme="majorEastAsia" w:hAnsi="Arial" w:cs="Arial"/>
          <w:b/>
          <w:color w:val="44546A" w:themeColor="text2"/>
          <w:sz w:val="22"/>
        </w:rPr>
      </w:pPr>
      <w:r w:rsidRPr="00BD63C0">
        <w:rPr>
          <w:rFonts w:ascii="Arial" w:hAnsi="Arial" w:cs="Arial"/>
          <w:sz w:val="22"/>
        </w:rPr>
        <w:br w:type="page"/>
      </w:r>
    </w:p>
    <w:p w14:paraId="4EA7AA4D" w14:textId="2E2C5C4A" w:rsidR="00E5438B" w:rsidRPr="00BD63C0" w:rsidRDefault="00E5438B" w:rsidP="00BD63C0">
      <w:pPr>
        <w:pStyle w:val="Heading1"/>
        <w:rPr>
          <w:rFonts w:ascii="Arial" w:hAnsi="Arial" w:cs="Arial"/>
          <w:sz w:val="22"/>
          <w:szCs w:val="22"/>
        </w:rPr>
      </w:pPr>
      <w:bookmarkStart w:id="0" w:name="_Toc211805698"/>
      <w:r w:rsidRPr="00BD63C0">
        <w:rPr>
          <w:rFonts w:ascii="Arial" w:hAnsi="Arial" w:cs="Arial"/>
          <w:sz w:val="22"/>
          <w:szCs w:val="22"/>
        </w:rPr>
        <w:lastRenderedPageBreak/>
        <w:t>Executive Summary</w:t>
      </w:r>
      <w:bookmarkEnd w:id="0"/>
      <w:r w:rsidRPr="00BD63C0">
        <w:rPr>
          <w:rFonts w:ascii="Arial" w:hAnsi="Arial" w:cs="Arial"/>
          <w:sz w:val="22"/>
          <w:szCs w:val="22"/>
        </w:rPr>
        <w:t xml:space="preserve"> </w:t>
      </w:r>
    </w:p>
    <w:p w14:paraId="28728901" w14:textId="337806E4" w:rsidR="00977336" w:rsidRPr="00BD63C0" w:rsidRDefault="00977336" w:rsidP="00BD63C0">
      <w:pPr>
        <w:rPr>
          <w:rFonts w:ascii="Arial" w:hAnsi="Arial" w:cs="Arial"/>
          <w:sz w:val="22"/>
        </w:rPr>
      </w:pPr>
      <w:r w:rsidRPr="00BD63C0">
        <w:rPr>
          <w:rFonts w:ascii="Arial" w:hAnsi="Arial" w:cs="Arial"/>
          <w:sz w:val="22"/>
        </w:rPr>
        <w:t>Strategic management is relevant to organizations in the face of an ever-changing global environment in which they wish to achieve long-term growth and competitiveness. It assists firms to measure internal capabilities, forecast external issues, and come up with strategies that would ensure innovation and sustainability. Strategic management is in the middle of overcoming the evolving automotive industry, which is electrified, digitalized, and facing even more rigorous environmental demands, in the case of Ford Motor Company. It operates in over 100 countries in the world and was established in 1903 by Henry Ford in Dearborn, Michigan and is the company in which it is based. Ford has a vision, which it aims at helping to build a greater world where every human being enjoys the freedom to move and realize his or her dreams, and it has a mission of driving human progress through inventive, sustainable and reliable mobility. The strategic objectives of the company are to rank among the leaders in the electric and hybrid cars industry, to be carbon neutral by 2050, to be more digital, and to be more profitable and market share. Ford aims at maintaining its heritage, achieve more competitiveness in the international market and achieve sustainable growth in the long run using effective strategic management and innovation.</w:t>
      </w:r>
    </w:p>
    <w:p w14:paraId="4BC980C6" w14:textId="77777777" w:rsidR="00BD63C0" w:rsidRDefault="00BD63C0">
      <w:pPr>
        <w:spacing w:line="259" w:lineRule="auto"/>
        <w:jc w:val="left"/>
        <w:rPr>
          <w:rFonts w:ascii="Arial" w:eastAsiaTheme="majorEastAsia" w:hAnsi="Arial" w:cs="Arial"/>
          <w:b/>
          <w:color w:val="44546A" w:themeColor="text2"/>
          <w:sz w:val="22"/>
        </w:rPr>
      </w:pPr>
      <w:bookmarkStart w:id="1" w:name="_Toc211805699"/>
      <w:r>
        <w:rPr>
          <w:rFonts w:ascii="Arial" w:hAnsi="Arial" w:cs="Arial"/>
          <w:sz w:val="22"/>
        </w:rPr>
        <w:br w:type="page"/>
      </w:r>
    </w:p>
    <w:p w14:paraId="6F2ABDB4" w14:textId="24898BEB" w:rsidR="003820C6" w:rsidRPr="00BD63C0" w:rsidRDefault="003820C6" w:rsidP="00BD63C0">
      <w:pPr>
        <w:pStyle w:val="Heading1"/>
        <w:rPr>
          <w:rFonts w:ascii="Arial" w:hAnsi="Arial" w:cs="Arial"/>
          <w:sz w:val="22"/>
          <w:szCs w:val="22"/>
        </w:rPr>
      </w:pPr>
      <w:r w:rsidRPr="00BD63C0">
        <w:rPr>
          <w:rFonts w:ascii="Arial" w:hAnsi="Arial" w:cs="Arial"/>
          <w:sz w:val="22"/>
          <w:szCs w:val="22"/>
        </w:rPr>
        <w:lastRenderedPageBreak/>
        <w:t>Introduction</w:t>
      </w:r>
      <w:bookmarkEnd w:id="1"/>
      <w:r w:rsidRPr="00BD63C0">
        <w:rPr>
          <w:rFonts w:ascii="Arial" w:hAnsi="Arial" w:cs="Arial"/>
          <w:sz w:val="22"/>
          <w:szCs w:val="22"/>
        </w:rPr>
        <w:t xml:space="preserve"> </w:t>
      </w:r>
    </w:p>
    <w:p w14:paraId="162213F2" w14:textId="1CD3E797" w:rsidR="003820C6" w:rsidRPr="00BD63C0" w:rsidRDefault="00977336" w:rsidP="00BD63C0">
      <w:pPr>
        <w:rPr>
          <w:rFonts w:ascii="Arial" w:hAnsi="Arial" w:cs="Arial"/>
          <w:sz w:val="22"/>
        </w:rPr>
      </w:pPr>
      <w:r w:rsidRPr="00BD63C0">
        <w:rPr>
          <w:rFonts w:ascii="Arial" w:hAnsi="Arial" w:cs="Arial"/>
          <w:sz w:val="22"/>
        </w:rPr>
        <w:t xml:space="preserve">The modern competitive and fast-changing global environment is demanding that strategic management be the key to organizational success at the long run. It enables companies to perform an internal audit, solve external issues, and use resources in the most effective way to achieve sustainable growth and innovation. In the case of Ford Motor Company, strategic management is crucial when trying to </w:t>
      </w:r>
      <w:proofErr w:type="spellStart"/>
      <w:r w:rsidRPr="00BD63C0">
        <w:rPr>
          <w:rFonts w:ascii="Arial" w:hAnsi="Arial" w:cs="Arial"/>
          <w:sz w:val="22"/>
        </w:rPr>
        <w:t>manoeuvre</w:t>
      </w:r>
      <w:proofErr w:type="spellEnd"/>
      <w:r w:rsidRPr="00BD63C0">
        <w:rPr>
          <w:rFonts w:ascii="Arial" w:hAnsi="Arial" w:cs="Arial"/>
          <w:sz w:val="22"/>
        </w:rPr>
        <w:t xml:space="preserve"> through the volatile automotive industry that is informed by new technologies, environmental, and consumer trends of electric and connected cars. Using strategic planning and analysis, Ford will be able to balance its operations, innovation, and sustainability objectives to enhance its market presence (Grant, 2021). The strategy will help the company to adjust to industry changes, be more competitive, as well as secure long-term profitability without losing its image of one of the world leaders in automotive innovation and mobility solutions. </w:t>
      </w:r>
      <w:r w:rsidR="00E5438B" w:rsidRPr="00BD63C0">
        <w:rPr>
          <w:rFonts w:ascii="Arial" w:hAnsi="Arial" w:cs="Arial"/>
          <w:sz w:val="22"/>
        </w:rPr>
        <w:t xml:space="preserve">This report is a strategic analysis of Ford in terms of PESTLE, Porters Five Forces, Value Chain and VRIO frameworks with a final SWOT synthesis and strategic formulation conducted </w:t>
      </w:r>
      <w:r w:rsidR="00A2019D" w:rsidRPr="00BD63C0">
        <w:rPr>
          <w:rFonts w:ascii="Arial" w:hAnsi="Arial" w:cs="Arial"/>
          <w:sz w:val="22"/>
        </w:rPr>
        <w:t>to</w:t>
      </w:r>
      <w:r w:rsidR="00E5438B" w:rsidRPr="00BD63C0">
        <w:rPr>
          <w:rFonts w:ascii="Arial" w:hAnsi="Arial" w:cs="Arial"/>
          <w:sz w:val="22"/>
        </w:rPr>
        <w:t xml:space="preserve"> improve the competitiveness of Ford in the market and guarantee sustainable growth on a global platform.</w:t>
      </w:r>
    </w:p>
    <w:p w14:paraId="73B21831" w14:textId="77777777" w:rsidR="00A6741B" w:rsidRDefault="00A6741B">
      <w:pPr>
        <w:spacing w:line="259" w:lineRule="auto"/>
        <w:jc w:val="left"/>
        <w:rPr>
          <w:rFonts w:ascii="Arial" w:eastAsiaTheme="majorEastAsia" w:hAnsi="Arial" w:cs="Arial"/>
          <w:b/>
          <w:color w:val="44546A" w:themeColor="text2"/>
          <w:sz w:val="22"/>
        </w:rPr>
      </w:pPr>
      <w:bookmarkStart w:id="2" w:name="_Toc211805700"/>
      <w:r>
        <w:rPr>
          <w:rFonts w:ascii="Arial" w:hAnsi="Arial" w:cs="Arial"/>
          <w:sz w:val="22"/>
        </w:rPr>
        <w:br w:type="page"/>
      </w:r>
    </w:p>
    <w:p w14:paraId="58CCD276" w14:textId="52D2952F" w:rsidR="003820C6" w:rsidRPr="00BD63C0" w:rsidRDefault="00EA087F" w:rsidP="00BD63C0">
      <w:pPr>
        <w:pStyle w:val="Heading1"/>
        <w:rPr>
          <w:rFonts w:ascii="Arial" w:hAnsi="Arial" w:cs="Arial"/>
          <w:sz w:val="22"/>
          <w:szCs w:val="22"/>
        </w:rPr>
      </w:pPr>
      <w:r w:rsidRPr="00BD63C0">
        <w:rPr>
          <w:rFonts w:ascii="Arial" w:hAnsi="Arial" w:cs="Arial"/>
          <w:sz w:val="22"/>
          <w:szCs w:val="22"/>
        </w:rPr>
        <w:lastRenderedPageBreak/>
        <w:t>Overview of the company</w:t>
      </w:r>
      <w:bookmarkEnd w:id="2"/>
      <w:r w:rsidRPr="00BD63C0">
        <w:rPr>
          <w:rFonts w:ascii="Arial" w:hAnsi="Arial" w:cs="Arial"/>
          <w:sz w:val="22"/>
          <w:szCs w:val="22"/>
        </w:rPr>
        <w:t xml:space="preserve"> </w:t>
      </w:r>
    </w:p>
    <w:p w14:paraId="0B422344" w14:textId="0AAACC60" w:rsidR="003D32DA" w:rsidRPr="00BD63C0" w:rsidRDefault="003D32DA" w:rsidP="00BD63C0">
      <w:pPr>
        <w:jc w:val="center"/>
        <w:rPr>
          <w:rFonts w:ascii="Arial" w:hAnsi="Arial" w:cs="Arial"/>
          <w:sz w:val="22"/>
        </w:rPr>
      </w:pPr>
      <w:r w:rsidRPr="00BD63C0">
        <w:rPr>
          <w:rFonts w:ascii="Arial" w:hAnsi="Arial" w:cs="Arial"/>
          <w:noProof/>
          <w:sz w:val="22"/>
        </w:rPr>
        <w:drawing>
          <wp:inline distT="0" distB="0" distL="0" distR="0" wp14:anchorId="23B7E26E" wp14:editId="2620B28C">
            <wp:extent cx="3919008" cy="2414677"/>
            <wp:effectExtent l="0" t="0" r="5715" b="5080"/>
            <wp:docPr id="760908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5621" cy="2418752"/>
                    </a:xfrm>
                    <a:prstGeom prst="rect">
                      <a:avLst/>
                    </a:prstGeom>
                    <a:noFill/>
                  </pic:spPr>
                </pic:pic>
              </a:graphicData>
            </a:graphic>
          </wp:inline>
        </w:drawing>
      </w:r>
    </w:p>
    <w:p w14:paraId="18E4991F" w14:textId="1572636B" w:rsidR="003D32DA" w:rsidRPr="00BD63C0" w:rsidRDefault="003D32DA" w:rsidP="00BD63C0">
      <w:pPr>
        <w:jc w:val="center"/>
        <w:rPr>
          <w:rFonts w:ascii="Arial" w:hAnsi="Arial" w:cs="Arial"/>
          <w:i/>
          <w:iCs/>
          <w:sz w:val="22"/>
        </w:rPr>
      </w:pPr>
      <w:r w:rsidRPr="00BD63C0">
        <w:rPr>
          <w:rFonts w:ascii="Arial" w:hAnsi="Arial" w:cs="Arial"/>
          <w:i/>
          <w:iCs/>
          <w:sz w:val="22"/>
        </w:rPr>
        <w:t>Figure 1: Ford Motor Company</w:t>
      </w:r>
    </w:p>
    <w:p w14:paraId="68484AEB" w14:textId="12DEBE80" w:rsidR="003820C6" w:rsidRPr="00BD63C0" w:rsidRDefault="00EA087F" w:rsidP="00BD63C0">
      <w:pPr>
        <w:rPr>
          <w:rFonts w:ascii="Arial" w:hAnsi="Arial" w:cs="Arial"/>
          <w:sz w:val="22"/>
        </w:rPr>
      </w:pPr>
      <w:r w:rsidRPr="00BD63C0">
        <w:rPr>
          <w:rFonts w:ascii="Arial" w:hAnsi="Arial" w:cs="Arial"/>
          <w:sz w:val="22"/>
        </w:rPr>
        <w:t>The Ford Motor Company is a famous international motor vehicle manufacturer with its headquarters in Dearborn in Michigan, USA and was founded by Henry Ford in 1903. Ford manufactures diversified types of vehicles that include traditional combustion, hybrid cars, and electric vehicle (EV) in more than 100 nations. This legacy of continued innovation, which made the company the first to venture into mass production and convenient mobility, has remained a part of its contemporary strategic focus. The vision of Ford is, to assist in creating a better world, where every individual is at liberty to move and follow his or her dreams, and its mission is to innovate, create, and provide a sustainable mobility solution that is trusted</w:t>
      </w:r>
      <w:r w:rsidR="00A2019D" w:rsidRPr="00BD63C0">
        <w:rPr>
          <w:rFonts w:ascii="Arial" w:hAnsi="Arial" w:cs="Arial"/>
          <w:sz w:val="22"/>
        </w:rPr>
        <w:t xml:space="preserve"> (</w:t>
      </w:r>
      <w:proofErr w:type="spellStart"/>
      <w:r w:rsidR="00A2019D" w:rsidRPr="00BD63C0">
        <w:rPr>
          <w:rFonts w:ascii="Arial" w:hAnsi="Arial" w:cs="Arial"/>
          <w:sz w:val="22"/>
        </w:rPr>
        <w:t>Chervenkova</w:t>
      </w:r>
      <w:proofErr w:type="spellEnd"/>
      <w:r w:rsidR="00A2019D" w:rsidRPr="00BD63C0">
        <w:rPr>
          <w:rFonts w:ascii="Arial" w:hAnsi="Arial" w:cs="Arial"/>
          <w:sz w:val="22"/>
        </w:rPr>
        <w:t xml:space="preserve"> and Ivanov, 2023)</w:t>
      </w:r>
      <w:r w:rsidRPr="00BD63C0">
        <w:rPr>
          <w:rFonts w:ascii="Arial" w:hAnsi="Arial" w:cs="Arial"/>
          <w:sz w:val="22"/>
        </w:rPr>
        <w:t xml:space="preserve">. To carry out these dreams, Ford will grow its market leadership in electric and hybrid vehicles, be carbon neutral by 2050, advance digital transformation, with connected and autonomous technologies, and ensure profitability and market share across the globe. Based on these goals, Ford attempts to have </w:t>
      </w:r>
      <w:r w:rsidR="00A2019D" w:rsidRPr="00BD63C0">
        <w:rPr>
          <w:rFonts w:ascii="Arial" w:hAnsi="Arial" w:cs="Arial"/>
          <w:sz w:val="22"/>
        </w:rPr>
        <w:t>sustainable</w:t>
      </w:r>
      <w:r w:rsidRPr="00BD63C0">
        <w:rPr>
          <w:rFonts w:ascii="Arial" w:hAnsi="Arial" w:cs="Arial"/>
          <w:sz w:val="22"/>
        </w:rPr>
        <w:t xml:space="preserve"> growth and remain competitive.</w:t>
      </w:r>
    </w:p>
    <w:p w14:paraId="7BB39853" w14:textId="77777777" w:rsidR="00EF5EF2" w:rsidRPr="00BD63C0" w:rsidRDefault="00EF5EF2" w:rsidP="00BD63C0">
      <w:pPr>
        <w:jc w:val="left"/>
        <w:rPr>
          <w:rFonts w:ascii="Arial" w:eastAsiaTheme="majorEastAsia" w:hAnsi="Arial" w:cs="Arial"/>
          <w:b/>
          <w:color w:val="44546A" w:themeColor="text2"/>
          <w:sz w:val="22"/>
        </w:rPr>
      </w:pPr>
      <w:r w:rsidRPr="00BD63C0">
        <w:rPr>
          <w:rFonts w:ascii="Arial" w:hAnsi="Arial" w:cs="Arial"/>
          <w:sz w:val="22"/>
        </w:rPr>
        <w:br w:type="page"/>
      </w:r>
    </w:p>
    <w:p w14:paraId="37F7EBBC" w14:textId="7E0407FE" w:rsidR="00164750" w:rsidRPr="00BD63C0" w:rsidRDefault="00164750" w:rsidP="00BD63C0">
      <w:pPr>
        <w:pStyle w:val="Heading1"/>
        <w:rPr>
          <w:rFonts w:ascii="Arial" w:hAnsi="Arial" w:cs="Arial"/>
          <w:sz w:val="22"/>
          <w:szCs w:val="22"/>
        </w:rPr>
      </w:pPr>
      <w:bookmarkStart w:id="3" w:name="_Toc211805701"/>
      <w:r w:rsidRPr="00BD63C0">
        <w:rPr>
          <w:rFonts w:ascii="Arial" w:hAnsi="Arial" w:cs="Arial"/>
          <w:sz w:val="22"/>
          <w:szCs w:val="22"/>
        </w:rPr>
        <w:lastRenderedPageBreak/>
        <w:t>Strategy Analysis of Ford Motor Company</w:t>
      </w:r>
      <w:bookmarkEnd w:id="3"/>
    </w:p>
    <w:p w14:paraId="3D1B4EE2" w14:textId="3A733BBB" w:rsidR="00164750" w:rsidRPr="00BD63C0" w:rsidRDefault="00164750" w:rsidP="00BD63C0">
      <w:pPr>
        <w:pStyle w:val="Heading1"/>
        <w:rPr>
          <w:rFonts w:ascii="Arial" w:hAnsi="Arial" w:cs="Arial"/>
          <w:sz w:val="22"/>
          <w:szCs w:val="22"/>
        </w:rPr>
      </w:pPr>
      <w:bookmarkStart w:id="4" w:name="_Toc211805702"/>
      <w:r w:rsidRPr="00BD63C0">
        <w:rPr>
          <w:rFonts w:ascii="Arial" w:hAnsi="Arial" w:cs="Arial"/>
          <w:sz w:val="22"/>
          <w:szCs w:val="22"/>
        </w:rPr>
        <w:t>External Environment Audit</w:t>
      </w:r>
      <w:bookmarkEnd w:id="4"/>
    </w:p>
    <w:p w14:paraId="5BAE07CC" w14:textId="77777777" w:rsidR="00164750" w:rsidRPr="00BD63C0" w:rsidRDefault="00164750" w:rsidP="00BD63C0">
      <w:pPr>
        <w:pStyle w:val="Heading2"/>
        <w:rPr>
          <w:rFonts w:ascii="Arial" w:hAnsi="Arial" w:cs="Arial"/>
          <w:sz w:val="22"/>
          <w:szCs w:val="22"/>
        </w:rPr>
      </w:pPr>
      <w:bookmarkStart w:id="5" w:name="_Toc211805703"/>
      <w:r w:rsidRPr="00BD63C0">
        <w:rPr>
          <w:rFonts w:ascii="Arial" w:hAnsi="Arial" w:cs="Arial"/>
          <w:sz w:val="22"/>
          <w:szCs w:val="22"/>
        </w:rPr>
        <w:t>PESTLE Analysis</w:t>
      </w:r>
      <w:bookmarkEnd w:id="5"/>
    </w:p>
    <w:p w14:paraId="5689C2D3" w14:textId="63576915" w:rsidR="00EF5EF2" w:rsidRPr="00BD63C0" w:rsidRDefault="00EF5EF2" w:rsidP="00BD63C0">
      <w:pPr>
        <w:jc w:val="center"/>
        <w:rPr>
          <w:rFonts w:ascii="Arial" w:hAnsi="Arial" w:cs="Arial"/>
          <w:sz w:val="22"/>
        </w:rPr>
      </w:pPr>
      <w:r w:rsidRPr="00BD63C0">
        <w:rPr>
          <w:rFonts w:ascii="Arial" w:hAnsi="Arial" w:cs="Arial"/>
          <w:noProof/>
          <w:sz w:val="22"/>
        </w:rPr>
        <w:drawing>
          <wp:inline distT="0" distB="0" distL="0" distR="0" wp14:anchorId="1EDCE588" wp14:editId="01B2AE1D">
            <wp:extent cx="2479252" cy="2346296"/>
            <wp:effectExtent l="0" t="0" r="0" b="0"/>
            <wp:docPr id="13057443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91491" cy="2357879"/>
                    </a:xfrm>
                    <a:prstGeom prst="rect">
                      <a:avLst/>
                    </a:prstGeom>
                    <a:noFill/>
                  </pic:spPr>
                </pic:pic>
              </a:graphicData>
            </a:graphic>
          </wp:inline>
        </w:drawing>
      </w:r>
    </w:p>
    <w:p w14:paraId="70E59D1A" w14:textId="15CBB426" w:rsidR="00EF5EF2" w:rsidRPr="00BD63C0" w:rsidRDefault="00EF5EF2" w:rsidP="00BD63C0">
      <w:pPr>
        <w:jc w:val="center"/>
        <w:rPr>
          <w:rFonts w:ascii="Arial" w:hAnsi="Arial" w:cs="Arial"/>
          <w:i/>
          <w:iCs/>
          <w:sz w:val="22"/>
        </w:rPr>
      </w:pPr>
      <w:r w:rsidRPr="00BD63C0">
        <w:rPr>
          <w:rFonts w:ascii="Arial" w:hAnsi="Arial" w:cs="Arial"/>
          <w:i/>
          <w:iCs/>
          <w:sz w:val="22"/>
        </w:rPr>
        <w:t>Figure 2: PESTLE Analysis</w:t>
      </w:r>
    </w:p>
    <w:p w14:paraId="25BAC1AD" w14:textId="77777777" w:rsidR="00B54E61" w:rsidRPr="00BD63C0" w:rsidRDefault="00B54E61" w:rsidP="00BD63C0">
      <w:pPr>
        <w:rPr>
          <w:rFonts w:ascii="Arial" w:hAnsi="Arial" w:cs="Arial"/>
          <w:sz w:val="22"/>
        </w:rPr>
      </w:pPr>
      <w:r w:rsidRPr="00BD63C0">
        <w:rPr>
          <w:rFonts w:ascii="Arial" w:hAnsi="Arial" w:cs="Arial"/>
          <w:b/>
          <w:bCs/>
          <w:sz w:val="22"/>
        </w:rPr>
        <w:t>Political Factors:</w:t>
      </w:r>
      <w:r w:rsidRPr="00BD63C0">
        <w:rPr>
          <w:rFonts w:ascii="Arial" w:hAnsi="Arial" w:cs="Arial"/>
          <w:sz w:val="22"/>
        </w:rPr>
        <w:t xml:space="preserve"> Ford is a global company and this subject it to different types of political and trade environments. Emission, safety, and labor regulations are government regulations that impact a lot on operations. In the United States, the positive policies that encourage the production of electric vehicles and tax incentives help Ford to shift towards becoming more sustainable. Nevertheless, it could impact the supply chain of Ford and the cost of production in some countries of suppliers due to trade tension, importation tariffs on components, and political instability (</w:t>
      </w:r>
      <w:proofErr w:type="spellStart"/>
      <w:r w:rsidRPr="00BD63C0">
        <w:rPr>
          <w:rFonts w:ascii="Arial" w:hAnsi="Arial" w:cs="Arial"/>
          <w:sz w:val="22"/>
        </w:rPr>
        <w:t>Markulik</w:t>
      </w:r>
      <w:proofErr w:type="spellEnd"/>
      <w:r w:rsidRPr="00BD63C0">
        <w:rPr>
          <w:rFonts w:ascii="Arial" w:hAnsi="Arial" w:cs="Arial"/>
          <w:sz w:val="22"/>
        </w:rPr>
        <w:t xml:space="preserve"> et al., 2024).</w:t>
      </w:r>
    </w:p>
    <w:p w14:paraId="08A4C904" w14:textId="77777777" w:rsidR="00B54E61" w:rsidRPr="00BD63C0" w:rsidRDefault="00B54E61" w:rsidP="00BD63C0">
      <w:pPr>
        <w:rPr>
          <w:rFonts w:ascii="Arial" w:hAnsi="Arial" w:cs="Arial"/>
          <w:sz w:val="22"/>
        </w:rPr>
      </w:pPr>
      <w:r w:rsidRPr="00BD63C0">
        <w:rPr>
          <w:rFonts w:ascii="Arial" w:hAnsi="Arial" w:cs="Arial"/>
          <w:b/>
          <w:bCs/>
          <w:sz w:val="22"/>
        </w:rPr>
        <w:t>Economic Factors</w:t>
      </w:r>
      <w:r w:rsidRPr="00BD63C0">
        <w:rPr>
          <w:rFonts w:ascii="Arial" w:hAnsi="Arial" w:cs="Arial"/>
          <w:sz w:val="22"/>
        </w:rPr>
        <w:t>: The economic factors that influence the demand of vehicles include global inflation as well as the changing fuel and interest rates. Whenever the economy is on the decline, consumers decrease their expenditure on vehicles, especially the new and luxurious ones. Moreover, due to the presence of more than 100 countries in which it operates, Ford is susceptible to changes in exchange rates. To the good, the expanding middle-income population in the emerging markets and economic recovery after the pandemic opens the opportunities of higher vehicle sales and production growth.</w:t>
      </w:r>
    </w:p>
    <w:p w14:paraId="34C056A6" w14:textId="77777777" w:rsidR="00B54E61" w:rsidRPr="00BD63C0" w:rsidRDefault="00B54E61" w:rsidP="00BD63C0">
      <w:pPr>
        <w:rPr>
          <w:rFonts w:ascii="Arial" w:hAnsi="Arial" w:cs="Arial"/>
          <w:sz w:val="22"/>
        </w:rPr>
      </w:pPr>
      <w:r w:rsidRPr="00BD63C0">
        <w:rPr>
          <w:rFonts w:ascii="Arial" w:hAnsi="Arial" w:cs="Arial"/>
          <w:b/>
          <w:bCs/>
          <w:sz w:val="22"/>
        </w:rPr>
        <w:t>Social Factors:</w:t>
      </w:r>
      <w:r w:rsidRPr="00BD63C0">
        <w:rPr>
          <w:rFonts w:ascii="Arial" w:hAnsi="Arial" w:cs="Arial"/>
          <w:sz w:val="22"/>
        </w:rPr>
        <w:t xml:space="preserve"> Consumer tastes are moving towards sustainability, digital connectivity and greater safety. Consumers of younger age are more inclined towards hybrid and electric cars (EVs), which forces Ford to pioneer in these areas (Eierle et al., 2022). Shared mobility and ride-</w:t>
      </w:r>
      <w:r w:rsidRPr="00BD63C0">
        <w:rPr>
          <w:rFonts w:ascii="Arial" w:hAnsi="Arial" w:cs="Arial"/>
          <w:sz w:val="22"/>
        </w:rPr>
        <w:lastRenderedPageBreak/>
        <w:t>hailing services are also in increasing demand, and they are a challenge to the traditional car ownership model. These emerging social trends coincide with the investments that Ford has made in autonomous vehicles and mobility services.</w:t>
      </w:r>
    </w:p>
    <w:p w14:paraId="51C900FC" w14:textId="77777777" w:rsidR="00B54E61" w:rsidRPr="00BD63C0" w:rsidRDefault="00B54E61" w:rsidP="00BD63C0">
      <w:pPr>
        <w:rPr>
          <w:rFonts w:ascii="Arial" w:hAnsi="Arial" w:cs="Arial"/>
          <w:sz w:val="22"/>
        </w:rPr>
      </w:pPr>
      <w:r w:rsidRPr="00BD63C0">
        <w:rPr>
          <w:rFonts w:ascii="Arial" w:hAnsi="Arial" w:cs="Arial"/>
          <w:b/>
          <w:bCs/>
          <w:sz w:val="22"/>
        </w:rPr>
        <w:t>Technological Factors</w:t>
      </w:r>
      <w:r w:rsidRPr="00BD63C0">
        <w:rPr>
          <w:rFonts w:ascii="Arial" w:hAnsi="Arial" w:cs="Arial"/>
          <w:sz w:val="22"/>
        </w:rPr>
        <w:t xml:space="preserve">: Technological innovation is the focus of competitiveness of the automotive industry. Ford is spending much on automation, artificial intelligence (AI), and sophisticated manufacturing technologies. Innovation ability is empowered by the creation of EVs and connected car technologies, </w:t>
      </w:r>
      <w:proofErr w:type="spellStart"/>
      <w:r w:rsidRPr="00BD63C0">
        <w:rPr>
          <w:rFonts w:ascii="Arial" w:hAnsi="Arial" w:cs="Arial"/>
          <w:sz w:val="22"/>
        </w:rPr>
        <w:t>FordPass</w:t>
      </w:r>
      <w:proofErr w:type="spellEnd"/>
      <w:r w:rsidRPr="00BD63C0">
        <w:rPr>
          <w:rFonts w:ascii="Arial" w:hAnsi="Arial" w:cs="Arial"/>
          <w:sz w:val="22"/>
        </w:rPr>
        <w:t xml:space="preserve"> and Ford driver-assist systems. Nevertheless, there is also a threat of obsolescence in case Ford does not quickly follow the trends in the market or progress in the competitors (Eierle et al., 2022).</w:t>
      </w:r>
    </w:p>
    <w:p w14:paraId="2737A5DB" w14:textId="77777777" w:rsidR="00B54E61" w:rsidRPr="00BD63C0" w:rsidRDefault="00B54E61" w:rsidP="00BD63C0">
      <w:pPr>
        <w:rPr>
          <w:rFonts w:ascii="Arial" w:hAnsi="Arial" w:cs="Arial"/>
          <w:sz w:val="22"/>
        </w:rPr>
      </w:pPr>
      <w:r w:rsidRPr="00BD63C0">
        <w:rPr>
          <w:rFonts w:ascii="Arial" w:hAnsi="Arial" w:cs="Arial"/>
          <w:b/>
          <w:bCs/>
          <w:sz w:val="22"/>
        </w:rPr>
        <w:t>Legal Factors:</w:t>
      </w:r>
      <w:r w:rsidRPr="00BD63C0">
        <w:rPr>
          <w:rFonts w:ascii="Arial" w:hAnsi="Arial" w:cs="Arial"/>
          <w:sz w:val="22"/>
        </w:rPr>
        <w:t xml:space="preserve"> Ford is under a rigid legal adherence as far as its emissions, consumer protection, and safety standards are concerned. A lawsuit connected with the recall or defects of a product may lead to reputational and financial losses. Moreover, the policies of data privacy influence the digital services of Ford, as they insist on the strong policies of cybersecurity and ethical data usage (Henry, 2021).</w:t>
      </w:r>
    </w:p>
    <w:p w14:paraId="6DB79BD3" w14:textId="2CB9A85E" w:rsidR="00B54E61" w:rsidRPr="00BD63C0" w:rsidRDefault="00B54E61" w:rsidP="00BD63C0">
      <w:pPr>
        <w:rPr>
          <w:rFonts w:ascii="Arial" w:hAnsi="Arial" w:cs="Arial"/>
          <w:sz w:val="22"/>
        </w:rPr>
      </w:pPr>
      <w:r w:rsidRPr="00BD63C0">
        <w:rPr>
          <w:rFonts w:ascii="Arial" w:hAnsi="Arial" w:cs="Arial"/>
          <w:b/>
          <w:bCs/>
          <w:sz w:val="22"/>
        </w:rPr>
        <w:t>Environmental Factors:</w:t>
      </w:r>
      <w:r w:rsidRPr="00BD63C0">
        <w:rPr>
          <w:rFonts w:ascii="Arial" w:hAnsi="Arial" w:cs="Arial"/>
          <w:sz w:val="22"/>
        </w:rPr>
        <w:t xml:space="preserve"> Green sustainability has emerged as a major concern. There is a growing demand for low-emission vehicles and recyclable automobiles by governments and consumers. According to the sustainability strategy of Ford, a goal of becoming carbon neutral by the year 2050 is targeted by the program titled Road to Better, whose focus was on the management of a sustainable production and supply chain process, which is environmentally friendly. Nonetheless, environmental policies and lack of resources may raise the cost of doing business.</w:t>
      </w:r>
    </w:p>
    <w:p w14:paraId="7A3CB6D6" w14:textId="77777777" w:rsidR="00B54E61" w:rsidRPr="00BD63C0" w:rsidRDefault="00B54E61" w:rsidP="00BD63C0">
      <w:pPr>
        <w:jc w:val="left"/>
        <w:rPr>
          <w:rFonts w:ascii="Arial" w:eastAsiaTheme="majorEastAsia" w:hAnsi="Arial" w:cs="Arial"/>
          <w:b/>
          <w:color w:val="000000" w:themeColor="text1"/>
          <w:sz w:val="22"/>
        </w:rPr>
      </w:pPr>
      <w:r w:rsidRPr="00BD63C0">
        <w:rPr>
          <w:rFonts w:ascii="Arial" w:hAnsi="Arial" w:cs="Arial"/>
          <w:sz w:val="22"/>
        </w:rPr>
        <w:br w:type="page"/>
      </w:r>
    </w:p>
    <w:p w14:paraId="0066EE16" w14:textId="53EA9213" w:rsidR="00EF5EF2" w:rsidRPr="00BD63C0" w:rsidRDefault="00164750" w:rsidP="00BD63C0">
      <w:pPr>
        <w:pStyle w:val="Heading2"/>
        <w:rPr>
          <w:rFonts w:ascii="Arial" w:hAnsi="Arial" w:cs="Arial"/>
          <w:sz w:val="22"/>
          <w:szCs w:val="22"/>
        </w:rPr>
      </w:pPr>
      <w:bookmarkStart w:id="6" w:name="_Toc211805704"/>
      <w:r w:rsidRPr="00BD63C0">
        <w:rPr>
          <w:rFonts w:ascii="Arial" w:hAnsi="Arial" w:cs="Arial"/>
          <w:sz w:val="22"/>
          <w:szCs w:val="22"/>
        </w:rPr>
        <w:lastRenderedPageBreak/>
        <w:t>Porter’s Five Forces Analysis</w:t>
      </w:r>
      <w:bookmarkEnd w:id="6"/>
    </w:p>
    <w:p w14:paraId="302CCFD2" w14:textId="2DC9EB21" w:rsidR="00EF5EF2" w:rsidRPr="00BD63C0" w:rsidRDefault="00EF5EF2" w:rsidP="00BD63C0">
      <w:pPr>
        <w:jc w:val="center"/>
        <w:rPr>
          <w:rFonts w:ascii="Arial" w:hAnsi="Arial" w:cs="Arial"/>
          <w:sz w:val="22"/>
        </w:rPr>
      </w:pPr>
      <w:r w:rsidRPr="00BD63C0">
        <w:rPr>
          <w:rFonts w:ascii="Arial" w:hAnsi="Arial" w:cs="Arial"/>
          <w:noProof/>
          <w:sz w:val="22"/>
        </w:rPr>
        <w:drawing>
          <wp:inline distT="0" distB="0" distL="0" distR="0" wp14:anchorId="5FC14722" wp14:editId="12571421">
            <wp:extent cx="2929467" cy="2929467"/>
            <wp:effectExtent l="0" t="0" r="4445" b="4445"/>
            <wp:docPr id="1898563385" name="Picture 3" descr="Porter'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orter's Five Forces Analysis: Assessing The Competitive Environment -  Planium Pr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31931" cy="2931931"/>
                    </a:xfrm>
                    <a:prstGeom prst="rect">
                      <a:avLst/>
                    </a:prstGeom>
                    <a:noFill/>
                    <a:ln>
                      <a:noFill/>
                    </a:ln>
                  </pic:spPr>
                </pic:pic>
              </a:graphicData>
            </a:graphic>
          </wp:inline>
        </w:drawing>
      </w:r>
    </w:p>
    <w:p w14:paraId="65590FB4" w14:textId="2F76F0B1" w:rsidR="00EF5EF2" w:rsidRPr="00BD63C0" w:rsidRDefault="00EF5EF2" w:rsidP="00BD63C0">
      <w:pPr>
        <w:jc w:val="center"/>
        <w:rPr>
          <w:rFonts w:ascii="Arial" w:hAnsi="Arial" w:cs="Arial"/>
          <w:i/>
          <w:iCs/>
          <w:sz w:val="22"/>
        </w:rPr>
      </w:pPr>
      <w:r w:rsidRPr="00BD63C0">
        <w:rPr>
          <w:rFonts w:ascii="Arial" w:hAnsi="Arial" w:cs="Arial"/>
          <w:i/>
          <w:iCs/>
          <w:sz w:val="22"/>
        </w:rPr>
        <w:t>Figure 3: Porter’s Five Forces Analysis</w:t>
      </w:r>
    </w:p>
    <w:p w14:paraId="2F012C7C" w14:textId="1D386013" w:rsidR="000F4B8E" w:rsidRPr="00BD63C0" w:rsidRDefault="000F4B8E" w:rsidP="00BD63C0">
      <w:pPr>
        <w:rPr>
          <w:rFonts w:ascii="Arial" w:hAnsi="Arial" w:cs="Arial"/>
          <w:sz w:val="22"/>
        </w:rPr>
      </w:pPr>
      <w:r w:rsidRPr="00BD63C0">
        <w:rPr>
          <w:rFonts w:ascii="Arial" w:hAnsi="Arial" w:cs="Arial"/>
          <w:b/>
          <w:bCs/>
          <w:sz w:val="22"/>
        </w:rPr>
        <w:t>Threat of New Entrants- Low:</w:t>
      </w:r>
      <w:r w:rsidRPr="00BD63C0">
        <w:rPr>
          <w:rFonts w:ascii="Arial" w:hAnsi="Arial" w:cs="Arial"/>
          <w:sz w:val="22"/>
        </w:rPr>
        <w:t xml:space="preserve"> The cost of entering the automobile manufacturing industry is high and the supply chain is complicated, and the brand owns is a barrier to new entrants. Although newcomers such as Rivian and Tesla are posing a threat to the EV market, the size and history of Ford serve as effective barriers to entry (Kumar et al., 2023).</w:t>
      </w:r>
    </w:p>
    <w:p w14:paraId="5B1466D7" w14:textId="03312BD9" w:rsidR="000F4B8E" w:rsidRPr="00BD63C0" w:rsidRDefault="000F4B8E" w:rsidP="00BD63C0">
      <w:pPr>
        <w:rPr>
          <w:rFonts w:ascii="Arial" w:hAnsi="Arial" w:cs="Arial"/>
          <w:sz w:val="22"/>
        </w:rPr>
      </w:pPr>
      <w:r w:rsidRPr="00BD63C0">
        <w:rPr>
          <w:rFonts w:ascii="Arial" w:hAnsi="Arial" w:cs="Arial"/>
          <w:b/>
          <w:bCs/>
          <w:sz w:val="22"/>
        </w:rPr>
        <w:t>Bargaining Power of Suppliers- Moderate:</w:t>
      </w:r>
      <w:r w:rsidRPr="00BD63C0">
        <w:rPr>
          <w:rFonts w:ascii="Arial" w:hAnsi="Arial" w:cs="Arial"/>
          <w:sz w:val="22"/>
        </w:rPr>
        <w:t xml:space="preserve"> Ford has a lot of suppliers of components and raw materials. Semiconductors or battery suppliers are specialized suppliers that are more powerful as they have fewer alternative suppliers. Nonetheless, supplier power is alleviated because of Ford being on a global scale and </w:t>
      </w:r>
      <w:proofErr w:type="gramStart"/>
      <w:r w:rsidRPr="00BD63C0">
        <w:rPr>
          <w:rFonts w:ascii="Arial" w:hAnsi="Arial" w:cs="Arial"/>
          <w:sz w:val="22"/>
        </w:rPr>
        <w:t>longer term</w:t>
      </w:r>
      <w:proofErr w:type="gramEnd"/>
      <w:r w:rsidRPr="00BD63C0">
        <w:rPr>
          <w:rFonts w:ascii="Arial" w:hAnsi="Arial" w:cs="Arial"/>
          <w:sz w:val="22"/>
        </w:rPr>
        <w:t xml:space="preserve"> contracts (Fedotov, 2022).</w:t>
      </w:r>
    </w:p>
    <w:p w14:paraId="38BA1F1F" w14:textId="77777777" w:rsidR="000F4B8E" w:rsidRPr="00BD63C0" w:rsidRDefault="000F4B8E" w:rsidP="00BD63C0">
      <w:pPr>
        <w:rPr>
          <w:rFonts w:ascii="Arial" w:hAnsi="Arial" w:cs="Arial"/>
          <w:sz w:val="22"/>
        </w:rPr>
      </w:pPr>
      <w:r w:rsidRPr="00BD63C0">
        <w:rPr>
          <w:rFonts w:ascii="Arial" w:hAnsi="Arial" w:cs="Arial"/>
          <w:b/>
          <w:bCs/>
          <w:sz w:val="22"/>
        </w:rPr>
        <w:t>Buyers Power- High:</w:t>
      </w:r>
      <w:r w:rsidRPr="00BD63C0">
        <w:rPr>
          <w:rFonts w:ascii="Arial" w:hAnsi="Arial" w:cs="Arial"/>
          <w:sz w:val="22"/>
        </w:rPr>
        <w:t xml:space="preserve"> Customers are well equipped with options of brands of cars that have similar features and prices, thus they have great choice and power. Mass-market sensitivity in terms of price is forcing Ford to provide quality vehicles at affordable prices. Also, the online arena allows customers to make easy comparisons.</w:t>
      </w:r>
    </w:p>
    <w:p w14:paraId="5748BA02" w14:textId="77777777" w:rsidR="000F4B8E" w:rsidRPr="00BD63C0" w:rsidRDefault="000F4B8E" w:rsidP="00BD63C0">
      <w:pPr>
        <w:rPr>
          <w:rFonts w:ascii="Arial" w:hAnsi="Arial" w:cs="Arial"/>
          <w:sz w:val="22"/>
        </w:rPr>
      </w:pPr>
      <w:r w:rsidRPr="00BD63C0">
        <w:rPr>
          <w:rFonts w:ascii="Arial" w:hAnsi="Arial" w:cs="Arial"/>
          <w:b/>
          <w:bCs/>
          <w:sz w:val="22"/>
        </w:rPr>
        <w:t>Threat of Substitutes- Moderate</w:t>
      </w:r>
      <w:r w:rsidRPr="00BD63C0">
        <w:rPr>
          <w:rFonts w:ascii="Arial" w:hAnsi="Arial" w:cs="Arial"/>
          <w:sz w:val="22"/>
        </w:rPr>
        <w:t xml:space="preserve">: Public transport, Ride-hailing, and new micromobility products (e-bikes, scooters) are substitutes to owning a car. Nevertheless, personal cars are needed as convenient ones, especially in rural and suburban regions (Pangarkar and </w:t>
      </w:r>
      <w:proofErr w:type="spellStart"/>
      <w:r w:rsidRPr="00BD63C0">
        <w:rPr>
          <w:rFonts w:ascii="Arial" w:hAnsi="Arial" w:cs="Arial"/>
          <w:sz w:val="22"/>
        </w:rPr>
        <w:t>Prabhudesai</w:t>
      </w:r>
      <w:proofErr w:type="spellEnd"/>
      <w:r w:rsidRPr="00BD63C0">
        <w:rPr>
          <w:rFonts w:ascii="Arial" w:hAnsi="Arial" w:cs="Arial"/>
          <w:sz w:val="22"/>
        </w:rPr>
        <w:t>, 2024).</w:t>
      </w:r>
    </w:p>
    <w:p w14:paraId="185EEA0D" w14:textId="77777777" w:rsidR="00EF5EF2" w:rsidRPr="00BD63C0" w:rsidRDefault="000F4B8E" w:rsidP="00BD63C0">
      <w:pPr>
        <w:rPr>
          <w:rFonts w:ascii="Arial" w:hAnsi="Arial" w:cs="Arial"/>
          <w:sz w:val="22"/>
        </w:rPr>
      </w:pPr>
      <w:r w:rsidRPr="00BD63C0">
        <w:rPr>
          <w:rFonts w:ascii="Arial" w:hAnsi="Arial" w:cs="Arial"/>
          <w:b/>
          <w:bCs/>
          <w:sz w:val="22"/>
        </w:rPr>
        <w:t>Rivalry-Competitive:</w:t>
      </w:r>
      <w:r w:rsidRPr="00BD63C0">
        <w:rPr>
          <w:rFonts w:ascii="Arial" w:hAnsi="Arial" w:cs="Arial"/>
          <w:sz w:val="22"/>
        </w:rPr>
        <w:t xml:space="preserve"> There is a high degree of rivalry in the auto industry, which includes such giants as General Motors, Toyota, Tesla, and Volkswagen. Innovation in EVs, safety and the ability </w:t>
      </w:r>
      <w:r w:rsidRPr="00BD63C0">
        <w:rPr>
          <w:rFonts w:ascii="Arial" w:hAnsi="Arial" w:cs="Arial"/>
          <w:sz w:val="22"/>
        </w:rPr>
        <w:lastRenderedPageBreak/>
        <w:t>to stay connected digitally all play an increasingly important role in differentiation. The investments of Ford in the EV market, including Mustang Mach-E and F-150 Lightning, will enable the company to stay competitive.</w:t>
      </w:r>
    </w:p>
    <w:p w14:paraId="18D6C493" w14:textId="1B6F500E" w:rsidR="00164750" w:rsidRPr="00BD63C0" w:rsidRDefault="00164750" w:rsidP="00BD63C0">
      <w:pPr>
        <w:pStyle w:val="Heading1"/>
        <w:rPr>
          <w:rFonts w:ascii="Arial" w:hAnsi="Arial" w:cs="Arial"/>
          <w:sz w:val="22"/>
          <w:szCs w:val="22"/>
        </w:rPr>
      </w:pPr>
      <w:bookmarkStart w:id="7" w:name="_Toc211805705"/>
      <w:r w:rsidRPr="00BD63C0">
        <w:rPr>
          <w:rFonts w:ascii="Arial" w:hAnsi="Arial" w:cs="Arial"/>
          <w:sz w:val="22"/>
          <w:szCs w:val="22"/>
        </w:rPr>
        <w:t>Internal Environment Audit</w:t>
      </w:r>
      <w:bookmarkEnd w:id="7"/>
    </w:p>
    <w:p w14:paraId="024007AF" w14:textId="77777777" w:rsidR="00164750" w:rsidRPr="00BD63C0" w:rsidRDefault="00164750" w:rsidP="00BD63C0">
      <w:pPr>
        <w:pStyle w:val="Heading2"/>
        <w:rPr>
          <w:rFonts w:ascii="Arial" w:hAnsi="Arial" w:cs="Arial"/>
          <w:sz w:val="22"/>
          <w:szCs w:val="22"/>
        </w:rPr>
      </w:pPr>
      <w:bookmarkStart w:id="8" w:name="_Toc211805706"/>
      <w:r w:rsidRPr="00BD63C0">
        <w:rPr>
          <w:rFonts w:ascii="Arial" w:hAnsi="Arial" w:cs="Arial"/>
          <w:sz w:val="22"/>
          <w:szCs w:val="22"/>
        </w:rPr>
        <w:t>Value Chain Analysis</w:t>
      </w:r>
      <w:bookmarkEnd w:id="8"/>
    </w:p>
    <w:p w14:paraId="02F79AF1" w14:textId="77777777" w:rsidR="000F4B8E" w:rsidRPr="00BD63C0" w:rsidRDefault="000F4B8E" w:rsidP="00BD63C0">
      <w:pPr>
        <w:rPr>
          <w:rFonts w:ascii="Arial" w:hAnsi="Arial" w:cs="Arial"/>
          <w:sz w:val="22"/>
        </w:rPr>
      </w:pPr>
      <w:r w:rsidRPr="00BD63C0">
        <w:rPr>
          <w:rFonts w:ascii="Arial" w:hAnsi="Arial" w:cs="Arial"/>
          <w:b/>
          <w:bCs/>
          <w:sz w:val="22"/>
        </w:rPr>
        <w:t>Inbound Logistics:</w:t>
      </w:r>
      <w:r w:rsidRPr="00BD63C0">
        <w:rPr>
          <w:rFonts w:ascii="Arial" w:hAnsi="Arial" w:cs="Arial"/>
          <w:sz w:val="22"/>
        </w:rPr>
        <w:t xml:space="preserve"> The inbound logistics at Ford is very efficient with the global networks of suppliers as well as sophisticated inventory management systems. The just-in-time manufacturing model of the company minimizes the storage expense, which came under question during the COVID-19 crisis and during the shortage of chips (Dewa, 2025).</w:t>
      </w:r>
    </w:p>
    <w:p w14:paraId="6FFFD11C" w14:textId="77777777" w:rsidR="000F4B8E" w:rsidRPr="00BD63C0" w:rsidRDefault="000F4B8E" w:rsidP="00BD63C0">
      <w:pPr>
        <w:rPr>
          <w:rFonts w:ascii="Arial" w:hAnsi="Arial" w:cs="Arial"/>
          <w:sz w:val="22"/>
        </w:rPr>
      </w:pPr>
      <w:r w:rsidRPr="00BD63C0">
        <w:rPr>
          <w:rFonts w:ascii="Arial" w:hAnsi="Arial" w:cs="Arial"/>
          <w:b/>
          <w:bCs/>
          <w:sz w:val="22"/>
        </w:rPr>
        <w:t>Operations:</w:t>
      </w:r>
      <w:r w:rsidRPr="00BD63C0">
        <w:rPr>
          <w:rFonts w:ascii="Arial" w:hAnsi="Arial" w:cs="Arial"/>
          <w:sz w:val="22"/>
        </w:rPr>
        <w:t xml:space="preserve"> Ford has manufacturing plants all over the world and it focuses on automation and lean production systems. Its modern facilities (e.g., the </w:t>
      </w:r>
      <w:proofErr w:type="spellStart"/>
      <w:r w:rsidRPr="00BD63C0">
        <w:rPr>
          <w:rFonts w:ascii="Arial" w:hAnsi="Arial" w:cs="Arial"/>
          <w:sz w:val="22"/>
        </w:rPr>
        <w:t>BlueOval</w:t>
      </w:r>
      <w:proofErr w:type="spellEnd"/>
      <w:r w:rsidRPr="00BD63C0">
        <w:rPr>
          <w:rFonts w:ascii="Arial" w:hAnsi="Arial" w:cs="Arial"/>
          <w:sz w:val="22"/>
        </w:rPr>
        <w:t xml:space="preserve"> city in Tennessee) producing EVs prove their efficiency in production and care of sustainability.</w:t>
      </w:r>
    </w:p>
    <w:p w14:paraId="44061CE7" w14:textId="77777777" w:rsidR="000F4B8E" w:rsidRPr="00BD63C0" w:rsidRDefault="000F4B8E" w:rsidP="00BD63C0">
      <w:pPr>
        <w:rPr>
          <w:rFonts w:ascii="Arial" w:hAnsi="Arial" w:cs="Arial"/>
          <w:sz w:val="22"/>
        </w:rPr>
      </w:pPr>
      <w:r w:rsidRPr="00BD63C0">
        <w:rPr>
          <w:rFonts w:ascii="Arial" w:hAnsi="Arial" w:cs="Arial"/>
          <w:b/>
          <w:bCs/>
          <w:sz w:val="22"/>
        </w:rPr>
        <w:t>Outbound Logistics:</w:t>
      </w:r>
      <w:r w:rsidRPr="00BD63C0">
        <w:rPr>
          <w:rFonts w:ascii="Arial" w:hAnsi="Arial" w:cs="Arial"/>
          <w:sz w:val="22"/>
        </w:rPr>
        <w:t xml:space="preserve"> The vehicles are shipped using a large network of dealerships and regional distribution centers. Ford is also investing in online sales and direct-to-consumer to make its delivery easier and decrease the reliance on third-party dealerships (Dias et al., 2021).</w:t>
      </w:r>
    </w:p>
    <w:p w14:paraId="398FB2E5" w14:textId="77777777" w:rsidR="000F4B8E" w:rsidRPr="00BD63C0" w:rsidRDefault="000F4B8E" w:rsidP="00BD63C0">
      <w:pPr>
        <w:rPr>
          <w:rFonts w:ascii="Arial" w:hAnsi="Arial" w:cs="Arial"/>
          <w:sz w:val="22"/>
        </w:rPr>
      </w:pPr>
      <w:r w:rsidRPr="00BD63C0">
        <w:rPr>
          <w:rFonts w:ascii="Arial" w:hAnsi="Arial" w:cs="Arial"/>
          <w:b/>
          <w:bCs/>
          <w:sz w:val="22"/>
        </w:rPr>
        <w:t>Marketing and Sales:</w:t>
      </w:r>
      <w:r w:rsidRPr="00BD63C0">
        <w:rPr>
          <w:rFonts w:ascii="Arial" w:hAnsi="Arial" w:cs="Arial"/>
          <w:sz w:val="22"/>
        </w:rPr>
        <w:t xml:space="preserve"> The Ford brand is known all over the world as a dependable and innovative brand. The marketing policy is aimed at popularization of EVs, sustainability, and new technologies. Customer experience is improved via digital marketing and customer interactions using online applications such as </w:t>
      </w:r>
      <w:proofErr w:type="spellStart"/>
      <w:r w:rsidRPr="00BD63C0">
        <w:rPr>
          <w:rFonts w:ascii="Arial" w:hAnsi="Arial" w:cs="Arial"/>
          <w:sz w:val="22"/>
        </w:rPr>
        <w:t>FordPass</w:t>
      </w:r>
      <w:proofErr w:type="spellEnd"/>
      <w:r w:rsidRPr="00BD63C0">
        <w:rPr>
          <w:rFonts w:ascii="Arial" w:hAnsi="Arial" w:cs="Arial"/>
          <w:sz w:val="22"/>
        </w:rPr>
        <w:t xml:space="preserve"> (Kumar et al., 2023).</w:t>
      </w:r>
    </w:p>
    <w:p w14:paraId="38622423" w14:textId="58CEC106" w:rsidR="000F4B8E" w:rsidRPr="00BD63C0" w:rsidRDefault="000F4B8E" w:rsidP="00BD63C0">
      <w:pPr>
        <w:rPr>
          <w:rFonts w:ascii="Arial" w:hAnsi="Arial" w:cs="Arial"/>
          <w:sz w:val="22"/>
        </w:rPr>
      </w:pPr>
      <w:r w:rsidRPr="00BD63C0">
        <w:rPr>
          <w:rFonts w:ascii="Arial" w:hAnsi="Arial" w:cs="Arial"/>
          <w:b/>
          <w:bCs/>
          <w:sz w:val="22"/>
        </w:rPr>
        <w:t>Service:</w:t>
      </w:r>
      <w:r w:rsidRPr="00BD63C0">
        <w:rPr>
          <w:rFonts w:ascii="Arial" w:hAnsi="Arial" w:cs="Arial"/>
          <w:sz w:val="22"/>
        </w:rPr>
        <w:t xml:space="preserve"> Service warranty, after sales services, and vehicle servicing services are also a source of customer loyalty. The incorporation of mobile services in maintenance and making of service bookings by Ford supports the post-purchase relations.</w:t>
      </w:r>
    </w:p>
    <w:p w14:paraId="59084759" w14:textId="77777777" w:rsidR="000F4B8E" w:rsidRPr="00BD63C0" w:rsidRDefault="000F4B8E" w:rsidP="00BD63C0">
      <w:pPr>
        <w:jc w:val="left"/>
        <w:rPr>
          <w:rFonts w:ascii="Arial" w:eastAsiaTheme="majorEastAsia" w:hAnsi="Arial" w:cs="Arial"/>
          <w:b/>
          <w:color w:val="000000" w:themeColor="text1"/>
          <w:sz w:val="22"/>
        </w:rPr>
      </w:pPr>
      <w:r w:rsidRPr="00BD63C0">
        <w:rPr>
          <w:rFonts w:ascii="Arial" w:hAnsi="Arial" w:cs="Arial"/>
          <w:sz w:val="22"/>
        </w:rPr>
        <w:br w:type="page"/>
      </w:r>
    </w:p>
    <w:p w14:paraId="63666647" w14:textId="0ECFE81D" w:rsidR="00164750" w:rsidRPr="00BD63C0" w:rsidRDefault="00164750" w:rsidP="00BD63C0">
      <w:pPr>
        <w:pStyle w:val="Heading2"/>
        <w:rPr>
          <w:rFonts w:ascii="Arial" w:hAnsi="Arial" w:cs="Arial"/>
          <w:sz w:val="22"/>
          <w:szCs w:val="22"/>
        </w:rPr>
      </w:pPr>
      <w:bookmarkStart w:id="9" w:name="_Toc211805707"/>
      <w:r w:rsidRPr="00BD63C0">
        <w:rPr>
          <w:rFonts w:ascii="Arial" w:hAnsi="Arial" w:cs="Arial"/>
          <w:sz w:val="22"/>
          <w:szCs w:val="22"/>
        </w:rPr>
        <w:lastRenderedPageBreak/>
        <w:t>Resource-Based View (RBV) and VRIO Analysis</w:t>
      </w:r>
      <w:bookmarkEnd w:id="9"/>
    </w:p>
    <w:tbl>
      <w:tblPr>
        <w:tblStyle w:val="TableGrid"/>
        <w:tblW w:w="0" w:type="auto"/>
        <w:tblLook w:val="04A0" w:firstRow="1" w:lastRow="0" w:firstColumn="1" w:lastColumn="0" w:noHBand="0" w:noVBand="1"/>
      </w:tblPr>
      <w:tblGrid>
        <w:gridCol w:w="2712"/>
        <w:gridCol w:w="1056"/>
        <w:gridCol w:w="744"/>
        <w:gridCol w:w="1207"/>
        <w:gridCol w:w="1232"/>
        <w:gridCol w:w="2399"/>
      </w:tblGrid>
      <w:tr w:rsidR="00F749E8" w:rsidRPr="00BD63C0" w14:paraId="561DA81F" w14:textId="77777777" w:rsidTr="00F749E8">
        <w:tc>
          <w:tcPr>
            <w:tcW w:w="2723" w:type="dxa"/>
          </w:tcPr>
          <w:p w14:paraId="5004C62C" w14:textId="1B20868F" w:rsidR="00F749E8" w:rsidRPr="00BD63C0" w:rsidRDefault="00F749E8" w:rsidP="00BD63C0">
            <w:pPr>
              <w:rPr>
                <w:rFonts w:ascii="Arial" w:hAnsi="Arial" w:cs="Arial"/>
                <w:sz w:val="22"/>
              </w:rPr>
            </w:pPr>
            <w:r w:rsidRPr="00BD63C0">
              <w:rPr>
                <w:rFonts w:ascii="Arial" w:hAnsi="Arial" w:cs="Arial"/>
                <w:sz w:val="22"/>
              </w:rPr>
              <w:t>Resource</w:t>
            </w:r>
          </w:p>
        </w:tc>
        <w:tc>
          <w:tcPr>
            <w:tcW w:w="1056" w:type="dxa"/>
          </w:tcPr>
          <w:p w14:paraId="62335E66" w14:textId="49D6E7B4" w:rsidR="00F749E8" w:rsidRPr="00BD63C0" w:rsidRDefault="00F749E8" w:rsidP="00BD63C0">
            <w:pPr>
              <w:rPr>
                <w:rFonts w:ascii="Arial" w:hAnsi="Arial" w:cs="Arial"/>
                <w:sz w:val="22"/>
              </w:rPr>
            </w:pPr>
            <w:r w:rsidRPr="00BD63C0">
              <w:rPr>
                <w:rFonts w:ascii="Arial" w:hAnsi="Arial" w:cs="Arial"/>
                <w:sz w:val="22"/>
              </w:rPr>
              <w:t>Valuable</w:t>
            </w:r>
          </w:p>
        </w:tc>
        <w:tc>
          <w:tcPr>
            <w:tcW w:w="744" w:type="dxa"/>
          </w:tcPr>
          <w:p w14:paraId="67B955C7" w14:textId="5483B05E" w:rsidR="00F749E8" w:rsidRPr="00BD63C0" w:rsidRDefault="00F749E8" w:rsidP="00BD63C0">
            <w:pPr>
              <w:rPr>
                <w:rFonts w:ascii="Arial" w:hAnsi="Arial" w:cs="Arial"/>
                <w:sz w:val="22"/>
              </w:rPr>
            </w:pPr>
            <w:r w:rsidRPr="00BD63C0">
              <w:rPr>
                <w:rFonts w:ascii="Arial" w:hAnsi="Arial" w:cs="Arial"/>
                <w:sz w:val="22"/>
              </w:rPr>
              <w:t>Rare</w:t>
            </w:r>
          </w:p>
        </w:tc>
        <w:tc>
          <w:tcPr>
            <w:tcW w:w="1207" w:type="dxa"/>
          </w:tcPr>
          <w:p w14:paraId="4C1CB49E" w14:textId="5B11E708" w:rsidR="00F749E8" w:rsidRPr="00BD63C0" w:rsidRDefault="00F749E8" w:rsidP="00BD63C0">
            <w:pPr>
              <w:rPr>
                <w:rFonts w:ascii="Arial" w:hAnsi="Arial" w:cs="Arial"/>
                <w:sz w:val="22"/>
              </w:rPr>
            </w:pPr>
            <w:r w:rsidRPr="00BD63C0">
              <w:rPr>
                <w:rFonts w:ascii="Arial" w:hAnsi="Arial" w:cs="Arial"/>
                <w:sz w:val="22"/>
              </w:rPr>
              <w:t>Inimitable</w:t>
            </w:r>
          </w:p>
        </w:tc>
        <w:tc>
          <w:tcPr>
            <w:tcW w:w="1212" w:type="dxa"/>
          </w:tcPr>
          <w:p w14:paraId="0449FEDF" w14:textId="58D8F26D" w:rsidR="00F749E8" w:rsidRPr="00BD63C0" w:rsidRDefault="00F749E8" w:rsidP="00BD63C0">
            <w:pPr>
              <w:rPr>
                <w:rFonts w:ascii="Arial" w:hAnsi="Arial" w:cs="Arial"/>
                <w:sz w:val="22"/>
              </w:rPr>
            </w:pPr>
            <w:r w:rsidRPr="00BD63C0">
              <w:rPr>
                <w:rFonts w:ascii="Arial" w:hAnsi="Arial" w:cs="Arial"/>
                <w:sz w:val="22"/>
              </w:rPr>
              <w:t>Organized</w:t>
            </w:r>
          </w:p>
        </w:tc>
        <w:tc>
          <w:tcPr>
            <w:tcW w:w="2408" w:type="dxa"/>
          </w:tcPr>
          <w:p w14:paraId="25C372F3" w14:textId="15D9153E" w:rsidR="00F749E8" w:rsidRPr="00BD63C0" w:rsidRDefault="00F749E8" w:rsidP="00BD63C0">
            <w:pPr>
              <w:rPr>
                <w:rFonts w:ascii="Arial" w:hAnsi="Arial" w:cs="Arial"/>
                <w:sz w:val="22"/>
              </w:rPr>
            </w:pPr>
            <w:r w:rsidRPr="00BD63C0">
              <w:rPr>
                <w:rFonts w:ascii="Arial" w:hAnsi="Arial" w:cs="Arial"/>
                <w:sz w:val="22"/>
              </w:rPr>
              <w:t>Competitive Advantage</w:t>
            </w:r>
          </w:p>
        </w:tc>
      </w:tr>
      <w:tr w:rsidR="00F749E8" w:rsidRPr="00BD63C0" w14:paraId="7B3A6DC2" w14:textId="77777777" w:rsidTr="00F749E8">
        <w:tc>
          <w:tcPr>
            <w:tcW w:w="2723" w:type="dxa"/>
          </w:tcPr>
          <w:p w14:paraId="4AC790EA" w14:textId="4410B69A" w:rsidR="00F749E8" w:rsidRPr="00BD63C0" w:rsidRDefault="00F749E8" w:rsidP="00BD63C0">
            <w:pPr>
              <w:rPr>
                <w:rFonts w:ascii="Arial" w:hAnsi="Arial" w:cs="Arial"/>
                <w:sz w:val="22"/>
              </w:rPr>
            </w:pPr>
            <w:r w:rsidRPr="00BD63C0">
              <w:rPr>
                <w:rFonts w:ascii="Arial" w:hAnsi="Arial" w:cs="Arial"/>
                <w:sz w:val="22"/>
              </w:rPr>
              <w:t>Strong brand reputation</w:t>
            </w:r>
          </w:p>
        </w:tc>
        <w:tc>
          <w:tcPr>
            <w:tcW w:w="1056" w:type="dxa"/>
          </w:tcPr>
          <w:p w14:paraId="650F512C" w14:textId="503A0BEF"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744" w:type="dxa"/>
          </w:tcPr>
          <w:p w14:paraId="17AA01F8" w14:textId="5DE8AF6E"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1207" w:type="dxa"/>
          </w:tcPr>
          <w:p w14:paraId="701A39AB" w14:textId="429F0679"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1212" w:type="dxa"/>
          </w:tcPr>
          <w:p w14:paraId="39234643" w14:textId="69C81EEE"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2408" w:type="dxa"/>
          </w:tcPr>
          <w:p w14:paraId="194B5CF9" w14:textId="3D577B89" w:rsidR="00F749E8" w:rsidRPr="00BD63C0" w:rsidRDefault="00F749E8" w:rsidP="00BD63C0">
            <w:pPr>
              <w:rPr>
                <w:rFonts w:ascii="Arial" w:hAnsi="Arial" w:cs="Arial"/>
                <w:sz w:val="22"/>
              </w:rPr>
            </w:pPr>
            <w:r w:rsidRPr="00BD63C0">
              <w:rPr>
                <w:rFonts w:ascii="Arial" w:hAnsi="Arial" w:cs="Arial"/>
                <w:sz w:val="22"/>
              </w:rPr>
              <w:t>Sustained advantage</w:t>
            </w:r>
          </w:p>
        </w:tc>
      </w:tr>
      <w:tr w:rsidR="00F749E8" w:rsidRPr="00BD63C0" w14:paraId="72AC332F" w14:textId="77777777" w:rsidTr="00F749E8">
        <w:tc>
          <w:tcPr>
            <w:tcW w:w="2723" w:type="dxa"/>
          </w:tcPr>
          <w:p w14:paraId="0B919940" w14:textId="602AFFE6" w:rsidR="00F749E8" w:rsidRPr="00BD63C0" w:rsidRDefault="00F749E8" w:rsidP="00BD63C0">
            <w:pPr>
              <w:rPr>
                <w:rFonts w:ascii="Arial" w:hAnsi="Arial" w:cs="Arial"/>
                <w:sz w:val="22"/>
              </w:rPr>
            </w:pPr>
            <w:r w:rsidRPr="00BD63C0">
              <w:rPr>
                <w:rFonts w:ascii="Arial" w:hAnsi="Arial" w:cs="Arial"/>
                <w:sz w:val="22"/>
              </w:rPr>
              <w:t>Global manufacturing network</w:t>
            </w:r>
          </w:p>
        </w:tc>
        <w:tc>
          <w:tcPr>
            <w:tcW w:w="1056" w:type="dxa"/>
          </w:tcPr>
          <w:p w14:paraId="6BB0E3C5" w14:textId="6CA7FF2E"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744" w:type="dxa"/>
          </w:tcPr>
          <w:p w14:paraId="7C1EED41" w14:textId="03F585BF"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1207" w:type="dxa"/>
          </w:tcPr>
          <w:p w14:paraId="4980DE02" w14:textId="7D189194"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1212" w:type="dxa"/>
          </w:tcPr>
          <w:p w14:paraId="6FD1D541" w14:textId="3295C683"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2408" w:type="dxa"/>
          </w:tcPr>
          <w:p w14:paraId="5FEF1958" w14:textId="36ED7139" w:rsidR="00F749E8" w:rsidRPr="00BD63C0" w:rsidRDefault="00F749E8" w:rsidP="00BD63C0">
            <w:pPr>
              <w:rPr>
                <w:rFonts w:ascii="Arial" w:hAnsi="Arial" w:cs="Arial"/>
                <w:sz w:val="22"/>
              </w:rPr>
            </w:pPr>
            <w:r w:rsidRPr="00BD63C0">
              <w:rPr>
                <w:rFonts w:ascii="Arial" w:hAnsi="Arial" w:cs="Arial"/>
                <w:sz w:val="22"/>
              </w:rPr>
              <w:t>Temporary advantage</w:t>
            </w:r>
          </w:p>
        </w:tc>
      </w:tr>
      <w:tr w:rsidR="00F749E8" w:rsidRPr="00BD63C0" w14:paraId="3F84D649" w14:textId="77777777" w:rsidTr="00F749E8">
        <w:tc>
          <w:tcPr>
            <w:tcW w:w="2723" w:type="dxa"/>
          </w:tcPr>
          <w:p w14:paraId="533499B2" w14:textId="4E1D652F" w:rsidR="00F749E8" w:rsidRPr="00BD63C0" w:rsidRDefault="00F749E8" w:rsidP="00BD63C0">
            <w:pPr>
              <w:rPr>
                <w:rFonts w:ascii="Arial" w:hAnsi="Arial" w:cs="Arial"/>
                <w:sz w:val="22"/>
              </w:rPr>
            </w:pPr>
            <w:r w:rsidRPr="00BD63C0">
              <w:rPr>
                <w:rFonts w:ascii="Arial" w:hAnsi="Arial" w:cs="Arial"/>
                <w:sz w:val="22"/>
              </w:rPr>
              <w:t>EV and hybrid technology</w:t>
            </w:r>
          </w:p>
        </w:tc>
        <w:tc>
          <w:tcPr>
            <w:tcW w:w="1056" w:type="dxa"/>
          </w:tcPr>
          <w:p w14:paraId="23F912D0" w14:textId="58BF8EDE"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744" w:type="dxa"/>
          </w:tcPr>
          <w:p w14:paraId="2553848A" w14:textId="47D8CFD6"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1207" w:type="dxa"/>
          </w:tcPr>
          <w:p w14:paraId="101066D8" w14:textId="63AA21E0"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1212" w:type="dxa"/>
          </w:tcPr>
          <w:p w14:paraId="60463599" w14:textId="10E2861D"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2408" w:type="dxa"/>
          </w:tcPr>
          <w:p w14:paraId="00831337" w14:textId="5D3FC40D" w:rsidR="00F749E8" w:rsidRPr="00BD63C0" w:rsidRDefault="00F749E8" w:rsidP="00BD63C0">
            <w:pPr>
              <w:rPr>
                <w:rFonts w:ascii="Arial" w:hAnsi="Arial" w:cs="Arial"/>
                <w:sz w:val="22"/>
              </w:rPr>
            </w:pPr>
            <w:r w:rsidRPr="00BD63C0">
              <w:rPr>
                <w:rFonts w:ascii="Arial" w:hAnsi="Arial" w:cs="Arial"/>
                <w:sz w:val="22"/>
              </w:rPr>
              <w:t>Sustained advantage</w:t>
            </w:r>
          </w:p>
        </w:tc>
      </w:tr>
      <w:tr w:rsidR="00F749E8" w:rsidRPr="00BD63C0" w14:paraId="4A796FEB" w14:textId="77777777" w:rsidTr="00F749E8">
        <w:tc>
          <w:tcPr>
            <w:tcW w:w="2723" w:type="dxa"/>
          </w:tcPr>
          <w:p w14:paraId="661D75ED" w14:textId="7251056E" w:rsidR="00F749E8" w:rsidRPr="00BD63C0" w:rsidRDefault="00F749E8" w:rsidP="00BD63C0">
            <w:pPr>
              <w:rPr>
                <w:rFonts w:ascii="Arial" w:hAnsi="Arial" w:cs="Arial"/>
                <w:sz w:val="22"/>
              </w:rPr>
            </w:pPr>
            <w:r w:rsidRPr="00BD63C0">
              <w:rPr>
                <w:rFonts w:ascii="Arial" w:hAnsi="Arial" w:cs="Arial"/>
                <w:sz w:val="22"/>
              </w:rPr>
              <w:t>Strategic partnerships (e.g., with Volkswagen, SK On for batteries)</w:t>
            </w:r>
          </w:p>
        </w:tc>
        <w:tc>
          <w:tcPr>
            <w:tcW w:w="1056" w:type="dxa"/>
          </w:tcPr>
          <w:p w14:paraId="1341EE60" w14:textId="294A3D94"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744" w:type="dxa"/>
          </w:tcPr>
          <w:p w14:paraId="63629437" w14:textId="202930E8"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1207" w:type="dxa"/>
          </w:tcPr>
          <w:p w14:paraId="57DCFCC9" w14:textId="6745FB76"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1212" w:type="dxa"/>
          </w:tcPr>
          <w:p w14:paraId="53DAA00E" w14:textId="02CCCD24"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2408" w:type="dxa"/>
          </w:tcPr>
          <w:p w14:paraId="053B2EA7" w14:textId="05E68771" w:rsidR="00F749E8" w:rsidRPr="00BD63C0" w:rsidRDefault="00F749E8" w:rsidP="00BD63C0">
            <w:pPr>
              <w:rPr>
                <w:rFonts w:ascii="Arial" w:hAnsi="Arial" w:cs="Arial"/>
                <w:sz w:val="22"/>
              </w:rPr>
            </w:pPr>
            <w:r w:rsidRPr="00BD63C0">
              <w:rPr>
                <w:rFonts w:ascii="Arial" w:hAnsi="Arial" w:cs="Arial"/>
                <w:sz w:val="22"/>
              </w:rPr>
              <w:t>Sustained advantage</w:t>
            </w:r>
          </w:p>
        </w:tc>
      </w:tr>
      <w:tr w:rsidR="00F749E8" w:rsidRPr="00BD63C0" w14:paraId="0DD2C4AD" w14:textId="77777777" w:rsidTr="00F749E8">
        <w:tc>
          <w:tcPr>
            <w:tcW w:w="2723" w:type="dxa"/>
          </w:tcPr>
          <w:p w14:paraId="2FC76D81" w14:textId="77E6B7B7" w:rsidR="00F749E8" w:rsidRPr="00BD63C0" w:rsidRDefault="00F749E8" w:rsidP="00BD63C0">
            <w:pPr>
              <w:rPr>
                <w:rFonts w:ascii="Arial" w:hAnsi="Arial" w:cs="Arial"/>
                <w:sz w:val="22"/>
              </w:rPr>
            </w:pPr>
            <w:r w:rsidRPr="00BD63C0">
              <w:rPr>
                <w:rFonts w:ascii="Arial" w:hAnsi="Arial" w:cs="Arial"/>
                <w:sz w:val="22"/>
              </w:rPr>
              <w:t>Skilled workforce and leadership</w:t>
            </w:r>
          </w:p>
        </w:tc>
        <w:tc>
          <w:tcPr>
            <w:tcW w:w="1056" w:type="dxa"/>
          </w:tcPr>
          <w:p w14:paraId="10C0AD41" w14:textId="6922EB1E"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744" w:type="dxa"/>
          </w:tcPr>
          <w:p w14:paraId="4AC363B7" w14:textId="7BA2D45B"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1207" w:type="dxa"/>
          </w:tcPr>
          <w:p w14:paraId="44D539CC" w14:textId="30B9ADEE"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1212" w:type="dxa"/>
          </w:tcPr>
          <w:p w14:paraId="43172A8A" w14:textId="5E525B80"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2408" w:type="dxa"/>
          </w:tcPr>
          <w:p w14:paraId="6AC7CB65" w14:textId="188D27C0" w:rsidR="00F749E8" w:rsidRPr="00BD63C0" w:rsidRDefault="00F749E8" w:rsidP="00BD63C0">
            <w:pPr>
              <w:rPr>
                <w:rFonts w:ascii="Arial" w:hAnsi="Arial" w:cs="Arial"/>
                <w:sz w:val="22"/>
              </w:rPr>
            </w:pPr>
            <w:r w:rsidRPr="00BD63C0">
              <w:rPr>
                <w:rFonts w:ascii="Arial" w:hAnsi="Arial" w:cs="Arial"/>
                <w:sz w:val="22"/>
              </w:rPr>
              <w:t>Temporary advantage</w:t>
            </w:r>
          </w:p>
        </w:tc>
      </w:tr>
      <w:tr w:rsidR="00F749E8" w:rsidRPr="00BD63C0" w14:paraId="34184F93" w14:textId="77777777" w:rsidTr="00F749E8">
        <w:tc>
          <w:tcPr>
            <w:tcW w:w="2723" w:type="dxa"/>
          </w:tcPr>
          <w:p w14:paraId="77CF2FA9" w14:textId="7A3AB9F4" w:rsidR="00F749E8" w:rsidRPr="00BD63C0" w:rsidRDefault="00F749E8" w:rsidP="00BD63C0">
            <w:pPr>
              <w:rPr>
                <w:rFonts w:ascii="Arial" w:hAnsi="Arial" w:cs="Arial"/>
                <w:sz w:val="22"/>
              </w:rPr>
            </w:pPr>
            <w:r w:rsidRPr="00BD63C0">
              <w:rPr>
                <w:rFonts w:ascii="Arial" w:hAnsi="Arial" w:cs="Arial"/>
                <w:sz w:val="22"/>
              </w:rPr>
              <w:t>Data-driven digital services (</w:t>
            </w:r>
            <w:proofErr w:type="spellStart"/>
            <w:r w:rsidRPr="00BD63C0">
              <w:rPr>
                <w:rFonts w:ascii="Arial" w:hAnsi="Arial" w:cs="Arial"/>
                <w:sz w:val="22"/>
              </w:rPr>
              <w:t>FordPass</w:t>
            </w:r>
            <w:proofErr w:type="spellEnd"/>
            <w:r w:rsidRPr="00BD63C0">
              <w:rPr>
                <w:rFonts w:ascii="Arial" w:hAnsi="Arial" w:cs="Arial"/>
                <w:sz w:val="22"/>
              </w:rPr>
              <w:t>, connected vehicles)</w:t>
            </w:r>
          </w:p>
        </w:tc>
        <w:tc>
          <w:tcPr>
            <w:tcW w:w="1056" w:type="dxa"/>
          </w:tcPr>
          <w:p w14:paraId="6264653F" w14:textId="39FCB13D"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744" w:type="dxa"/>
          </w:tcPr>
          <w:p w14:paraId="408D0FA8" w14:textId="2E2844B5"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1207" w:type="dxa"/>
          </w:tcPr>
          <w:p w14:paraId="7E9E7DD7" w14:textId="59E09B89"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1212" w:type="dxa"/>
          </w:tcPr>
          <w:p w14:paraId="214E8AD5" w14:textId="18BBB110" w:rsidR="00F749E8" w:rsidRPr="00BD63C0" w:rsidRDefault="00F749E8" w:rsidP="00BD63C0">
            <w:pPr>
              <w:rPr>
                <w:rFonts w:ascii="Arial" w:hAnsi="Arial" w:cs="Arial"/>
                <w:sz w:val="22"/>
              </w:rPr>
            </w:pPr>
            <w:r w:rsidRPr="00BD63C0">
              <w:rPr>
                <w:rFonts w:ascii="Segoe UI Symbol" w:hAnsi="Segoe UI Symbol" w:cs="Segoe UI Symbol"/>
                <w:sz w:val="22"/>
              </w:rPr>
              <w:t>✓</w:t>
            </w:r>
          </w:p>
        </w:tc>
        <w:tc>
          <w:tcPr>
            <w:tcW w:w="2408" w:type="dxa"/>
          </w:tcPr>
          <w:p w14:paraId="5D30CC3E" w14:textId="73846191" w:rsidR="00F749E8" w:rsidRPr="00BD63C0" w:rsidRDefault="00F749E8" w:rsidP="00BD63C0">
            <w:pPr>
              <w:rPr>
                <w:rFonts w:ascii="Arial" w:hAnsi="Arial" w:cs="Arial"/>
                <w:sz w:val="22"/>
              </w:rPr>
            </w:pPr>
            <w:r w:rsidRPr="00BD63C0">
              <w:rPr>
                <w:rFonts w:ascii="Arial" w:hAnsi="Arial" w:cs="Arial"/>
                <w:sz w:val="22"/>
              </w:rPr>
              <w:t>Sustained advantage</w:t>
            </w:r>
          </w:p>
        </w:tc>
      </w:tr>
    </w:tbl>
    <w:p w14:paraId="0A72F11A" w14:textId="77777777" w:rsidR="00976686" w:rsidRPr="00BD63C0" w:rsidRDefault="00976686" w:rsidP="00BD63C0">
      <w:pPr>
        <w:rPr>
          <w:rFonts w:ascii="Arial" w:hAnsi="Arial" w:cs="Arial"/>
          <w:sz w:val="22"/>
        </w:rPr>
      </w:pPr>
    </w:p>
    <w:p w14:paraId="2638D3AA" w14:textId="5ACCB3D5" w:rsidR="00F749E8" w:rsidRPr="00BD63C0" w:rsidRDefault="003F1EF9" w:rsidP="00BD63C0">
      <w:pPr>
        <w:rPr>
          <w:rFonts w:ascii="Arial" w:hAnsi="Arial" w:cs="Arial"/>
          <w:sz w:val="22"/>
        </w:rPr>
      </w:pPr>
      <w:r w:rsidRPr="00BD63C0">
        <w:rPr>
          <w:rFonts w:ascii="Arial" w:hAnsi="Arial" w:cs="Arial"/>
          <w:sz w:val="22"/>
        </w:rPr>
        <w:t>Ford’s combination of brand equity, innovation capabilities, and partnerships provides a strong resource foundation. However, continuous innovation is essential to maintain advantages as competitors rapidly evolve in the EV and digital domains.</w:t>
      </w:r>
    </w:p>
    <w:p w14:paraId="1E8EAA7B" w14:textId="77777777" w:rsidR="002C6F37" w:rsidRPr="00BD63C0" w:rsidRDefault="002C6F37" w:rsidP="00BD63C0">
      <w:pPr>
        <w:jc w:val="left"/>
        <w:rPr>
          <w:rFonts w:ascii="Arial" w:hAnsi="Arial" w:cs="Arial"/>
          <w:sz w:val="22"/>
        </w:rPr>
      </w:pPr>
      <w:r w:rsidRPr="00BD63C0">
        <w:rPr>
          <w:rFonts w:ascii="Arial" w:hAnsi="Arial" w:cs="Arial"/>
          <w:sz w:val="22"/>
        </w:rPr>
        <w:br w:type="page"/>
      </w:r>
    </w:p>
    <w:p w14:paraId="226C60F3" w14:textId="7D040708" w:rsidR="003F1EF9" w:rsidRPr="00BD63C0" w:rsidRDefault="003F1EF9" w:rsidP="00BD63C0">
      <w:pPr>
        <w:pStyle w:val="Heading2"/>
        <w:rPr>
          <w:rFonts w:ascii="Arial" w:hAnsi="Arial" w:cs="Arial"/>
          <w:sz w:val="22"/>
          <w:szCs w:val="22"/>
        </w:rPr>
      </w:pPr>
      <w:bookmarkStart w:id="10" w:name="_Toc211805708"/>
      <w:r w:rsidRPr="00BD63C0">
        <w:rPr>
          <w:rFonts w:ascii="Arial" w:hAnsi="Arial" w:cs="Arial"/>
          <w:sz w:val="22"/>
          <w:szCs w:val="22"/>
        </w:rPr>
        <w:lastRenderedPageBreak/>
        <w:t>SWOT Analysis</w:t>
      </w:r>
      <w:bookmarkEnd w:id="10"/>
    </w:p>
    <w:tbl>
      <w:tblPr>
        <w:tblStyle w:val="TableGrid"/>
        <w:tblW w:w="0" w:type="auto"/>
        <w:tblLook w:val="04A0" w:firstRow="1" w:lastRow="0" w:firstColumn="1" w:lastColumn="0" w:noHBand="0" w:noVBand="1"/>
      </w:tblPr>
      <w:tblGrid>
        <w:gridCol w:w="4675"/>
        <w:gridCol w:w="4675"/>
      </w:tblGrid>
      <w:tr w:rsidR="003F1EF9" w:rsidRPr="00BD63C0" w14:paraId="06FDF441" w14:textId="77777777" w:rsidTr="003F1EF9">
        <w:tc>
          <w:tcPr>
            <w:tcW w:w="4675" w:type="dxa"/>
          </w:tcPr>
          <w:p w14:paraId="0D022E46" w14:textId="2B2D9B38" w:rsidR="003F1EF9" w:rsidRPr="00BD63C0" w:rsidRDefault="003F1EF9" w:rsidP="00BD63C0">
            <w:pPr>
              <w:jc w:val="center"/>
              <w:rPr>
                <w:rFonts w:ascii="Arial" w:hAnsi="Arial" w:cs="Arial"/>
                <w:sz w:val="22"/>
              </w:rPr>
            </w:pPr>
            <w:r w:rsidRPr="00BD63C0">
              <w:rPr>
                <w:rFonts w:ascii="Arial" w:hAnsi="Arial" w:cs="Arial"/>
                <w:sz w:val="22"/>
              </w:rPr>
              <w:t>Strengths</w:t>
            </w:r>
          </w:p>
        </w:tc>
        <w:tc>
          <w:tcPr>
            <w:tcW w:w="4675" w:type="dxa"/>
          </w:tcPr>
          <w:p w14:paraId="27B5DD77" w14:textId="1D057033" w:rsidR="003F1EF9" w:rsidRPr="00BD63C0" w:rsidRDefault="003F1EF9" w:rsidP="00BD63C0">
            <w:pPr>
              <w:jc w:val="center"/>
              <w:rPr>
                <w:rFonts w:ascii="Arial" w:hAnsi="Arial" w:cs="Arial"/>
                <w:sz w:val="22"/>
              </w:rPr>
            </w:pPr>
            <w:r w:rsidRPr="00BD63C0">
              <w:rPr>
                <w:rFonts w:ascii="Arial" w:hAnsi="Arial" w:cs="Arial"/>
                <w:sz w:val="22"/>
              </w:rPr>
              <w:t>Weaknesses</w:t>
            </w:r>
          </w:p>
        </w:tc>
      </w:tr>
      <w:tr w:rsidR="003F1EF9" w:rsidRPr="00BD63C0" w14:paraId="0993299D" w14:textId="77777777" w:rsidTr="003F1EF9">
        <w:tc>
          <w:tcPr>
            <w:tcW w:w="4675" w:type="dxa"/>
          </w:tcPr>
          <w:p w14:paraId="29504473" w14:textId="77777777" w:rsidR="004B6089" w:rsidRPr="00BD63C0" w:rsidRDefault="004B6089" w:rsidP="00BD63C0">
            <w:pPr>
              <w:pStyle w:val="ListParagraph"/>
              <w:numPr>
                <w:ilvl w:val="0"/>
                <w:numId w:val="1"/>
              </w:numPr>
              <w:spacing w:line="360" w:lineRule="auto"/>
              <w:rPr>
                <w:rFonts w:ascii="Arial" w:hAnsi="Arial" w:cs="Arial"/>
                <w:b w:val="0"/>
                <w:bCs/>
                <w:sz w:val="22"/>
              </w:rPr>
            </w:pPr>
            <w:r w:rsidRPr="00BD63C0">
              <w:rPr>
                <w:rFonts w:ascii="Arial" w:hAnsi="Arial" w:cs="Arial"/>
                <w:b w:val="0"/>
                <w:bCs/>
                <w:sz w:val="22"/>
              </w:rPr>
              <w:t>High international brand image and consumer base.</w:t>
            </w:r>
          </w:p>
          <w:p w14:paraId="075EC281" w14:textId="77777777" w:rsidR="004B6089" w:rsidRPr="00BD63C0" w:rsidRDefault="004B6089" w:rsidP="00BD63C0">
            <w:pPr>
              <w:pStyle w:val="ListParagraph"/>
              <w:numPr>
                <w:ilvl w:val="0"/>
                <w:numId w:val="1"/>
              </w:numPr>
              <w:spacing w:line="360" w:lineRule="auto"/>
              <w:rPr>
                <w:rFonts w:ascii="Arial" w:hAnsi="Arial" w:cs="Arial"/>
                <w:b w:val="0"/>
                <w:bCs/>
                <w:sz w:val="22"/>
              </w:rPr>
            </w:pPr>
            <w:r w:rsidRPr="00BD63C0">
              <w:rPr>
                <w:rFonts w:ascii="Arial" w:hAnsi="Arial" w:cs="Arial"/>
                <w:b w:val="0"/>
                <w:bCs/>
                <w:sz w:val="22"/>
              </w:rPr>
              <w:t>Developing EVs (Mustang Mach-E, F-150 Lightning).</w:t>
            </w:r>
          </w:p>
          <w:p w14:paraId="5958705B" w14:textId="77777777" w:rsidR="004B6089" w:rsidRPr="00BD63C0" w:rsidRDefault="004B6089" w:rsidP="00BD63C0">
            <w:pPr>
              <w:pStyle w:val="ListParagraph"/>
              <w:numPr>
                <w:ilvl w:val="0"/>
                <w:numId w:val="1"/>
              </w:numPr>
              <w:spacing w:line="360" w:lineRule="auto"/>
              <w:rPr>
                <w:rFonts w:ascii="Arial" w:hAnsi="Arial" w:cs="Arial"/>
                <w:b w:val="0"/>
                <w:bCs/>
                <w:sz w:val="22"/>
              </w:rPr>
            </w:pPr>
            <w:r w:rsidRPr="00BD63C0">
              <w:rPr>
                <w:rFonts w:ascii="Arial" w:hAnsi="Arial" w:cs="Arial"/>
                <w:b w:val="0"/>
                <w:bCs/>
                <w:sz w:val="22"/>
              </w:rPr>
              <w:t>Big scale production and distribution system.</w:t>
            </w:r>
          </w:p>
          <w:p w14:paraId="579002CE" w14:textId="30DB3451" w:rsidR="003F1EF9" w:rsidRPr="00BD63C0" w:rsidRDefault="004B6089" w:rsidP="00BD63C0">
            <w:pPr>
              <w:pStyle w:val="ListParagraph"/>
              <w:numPr>
                <w:ilvl w:val="0"/>
                <w:numId w:val="1"/>
              </w:numPr>
              <w:spacing w:line="360" w:lineRule="auto"/>
              <w:rPr>
                <w:rFonts w:ascii="Arial" w:hAnsi="Arial" w:cs="Arial"/>
                <w:b w:val="0"/>
                <w:bCs/>
                <w:sz w:val="22"/>
              </w:rPr>
            </w:pPr>
            <w:r w:rsidRPr="00BD63C0">
              <w:rPr>
                <w:rFonts w:ascii="Arial" w:hAnsi="Arial" w:cs="Arial"/>
                <w:b w:val="0"/>
                <w:bCs/>
                <w:sz w:val="22"/>
              </w:rPr>
              <w:t>Sustainability and carbon neutrality policy.</w:t>
            </w:r>
          </w:p>
        </w:tc>
        <w:tc>
          <w:tcPr>
            <w:tcW w:w="4675" w:type="dxa"/>
          </w:tcPr>
          <w:p w14:paraId="2B43DA4B" w14:textId="77777777" w:rsidR="004B6089" w:rsidRPr="00BD63C0" w:rsidRDefault="004B6089" w:rsidP="00BD63C0">
            <w:pPr>
              <w:pStyle w:val="ListParagraph"/>
              <w:numPr>
                <w:ilvl w:val="0"/>
                <w:numId w:val="1"/>
              </w:numPr>
              <w:spacing w:line="360" w:lineRule="auto"/>
              <w:rPr>
                <w:rFonts w:ascii="Arial" w:hAnsi="Arial" w:cs="Arial"/>
                <w:b w:val="0"/>
                <w:bCs/>
                <w:sz w:val="22"/>
              </w:rPr>
            </w:pPr>
            <w:r w:rsidRPr="00BD63C0">
              <w:rPr>
                <w:rFonts w:ascii="Arial" w:hAnsi="Arial" w:cs="Arial"/>
                <w:b w:val="0"/>
                <w:bCs/>
                <w:sz w:val="22"/>
              </w:rPr>
              <w:t>Expensive production and reliance on the conventional vehicle sales.</w:t>
            </w:r>
          </w:p>
          <w:p w14:paraId="651A335B" w14:textId="77777777" w:rsidR="004B6089" w:rsidRPr="00BD63C0" w:rsidRDefault="004B6089" w:rsidP="00BD63C0">
            <w:pPr>
              <w:pStyle w:val="ListParagraph"/>
              <w:numPr>
                <w:ilvl w:val="0"/>
                <w:numId w:val="1"/>
              </w:numPr>
              <w:spacing w:line="360" w:lineRule="auto"/>
              <w:rPr>
                <w:rFonts w:ascii="Arial" w:hAnsi="Arial" w:cs="Arial"/>
                <w:b w:val="0"/>
                <w:bCs/>
                <w:sz w:val="22"/>
              </w:rPr>
            </w:pPr>
            <w:r w:rsidRPr="00BD63C0">
              <w:rPr>
                <w:rFonts w:ascii="Arial" w:hAnsi="Arial" w:cs="Arial"/>
                <w:b w:val="0"/>
                <w:bCs/>
                <w:sz w:val="22"/>
              </w:rPr>
              <w:t>Late adoption of full EV production, in comparison with Tesla or BYD.</w:t>
            </w:r>
          </w:p>
          <w:p w14:paraId="3931082B" w14:textId="77777777" w:rsidR="004B6089" w:rsidRPr="00BD63C0" w:rsidRDefault="004B6089" w:rsidP="00BD63C0">
            <w:pPr>
              <w:pStyle w:val="ListParagraph"/>
              <w:numPr>
                <w:ilvl w:val="0"/>
                <w:numId w:val="1"/>
              </w:numPr>
              <w:spacing w:line="360" w:lineRule="auto"/>
              <w:rPr>
                <w:rFonts w:ascii="Arial" w:hAnsi="Arial" w:cs="Arial"/>
                <w:b w:val="0"/>
                <w:bCs/>
                <w:sz w:val="22"/>
              </w:rPr>
            </w:pPr>
            <w:r w:rsidRPr="00BD63C0">
              <w:rPr>
                <w:rFonts w:ascii="Arial" w:hAnsi="Arial" w:cs="Arial"/>
                <w:b w:val="0"/>
                <w:bCs/>
                <w:sz w:val="22"/>
              </w:rPr>
              <w:t>Risks: Supply chain Disruption, Chip shortage.</w:t>
            </w:r>
          </w:p>
          <w:p w14:paraId="4AC88495" w14:textId="291338DB" w:rsidR="003F1EF9" w:rsidRPr="00BD63C0" w:rsidRDefault="004B6089" w:rsidP="00BD63C0">
            <w:pPr>
              <w:pStyle w:val="ListParagraph"/>
              <w:numPr>
                <w:ilvl w:val="0"/>
                <w:numId w:val="1"/>
              </w:numPr>
              <w:spacing w:line="360" w:lineRule="auto"/>
              <w:rPr>
                <w:rFonts w:ascii="Arial" w:hAnsi="Arial" w:cs="Arial"/>
                <w:b w:val="0"/>
                <w:bCs/>
                <w:sz w:val="22"/>
              </w:rPr>
            </w:pPr>
            <w:r w:rsidRPr="00BD63C0">
              <w:rPr>
                <w:rFonts w:ascii="Arial" w:hAnsi="Arial" w:cs="Arial"/>
                <w:b w:val="0"/>
                <w:bCs/>
                <w:sz w:val="22"/>
              </w:rPr>
              <w:t>Losing market share in certain areas.</w:t>
            </w:r>
          </w:p>
        </w:tc>
      </w:tr>
      <w:tr w:rsidR="003F1EF9" w:rsidRPr="00BD63C0" w14:paraId="68669A33" w14:textId="77777777" w:rsidTr="003F1EF9">
        <w:tc>
          <w:tcPr>
            <w:tcW w:w="4675" w:type="dxa"/>
          </w:tcPr>
          <w:p w14:paraId="6DB02B92" w14:textId="38D9D203" w:rsidR="003F1EF9" w:rsidRPr="00BD63C0" w:rsidRDefault="003F1EF9" w:rsidP="00BD63C0">
            <w:pPr>
              <w:jc w:val="center"/>
              <w:rPr>
                <w:rFonts w:ascii="Arial" w:hAnsi="Arial" w:cs="Arial"/>
                <w:sz w:val="22"/>
              </w:rPr>
            </w:pPr>
            <w:r w:rsidRPr="00BD63C0">
              <w:rPr>
                <w:rFonts w:ascii="Arial" w:hAnsi="Arial" w:cs="Arial"/>
                <w:sz w:val="22"/>
              </w:rPr>
              <w:t>Opportunities</w:t>
            </w:r>
          </w:p>
        </w:tc>
        <w:tc>
          <w:tcPr>
            <w:tcW w:w="4675" w:type="dxa"/>
          </w:tcPr>
          <w:p w14:paraId="1A848171" w14:textId="6FCE16F8" w:rsidR="003F1EF9" w:rsidRPr="00BD63C0" w:rsidRDefault="00981410" w:rsidP="00BD63C0">
            <w:pPr>
              <w:jc w:val="center"/>
              <w:rPr>
                <w:rFonts w:ascii="Arial" w:hAnsi="Arial" w:cs="Arial"/>
                <w:sz w:val="22"/>
              </w:rPr>
            </w:pPr>
            <w:r w:rsidRPr="00BD63C0">
              <w:rPr>
                <w:rFonts w:ascii="Arial" w:hAnsi="Arial" w:cs="Arial"/>
                <w:sz w:val="22"/>
              </w:rPr>
              <w:t>Threats</w:t>
            </w:r>
          </w:p>
        </w:tc>
      </w:tr>
      <w:tr w:rsidR="003F1EF9" w:rsidRPr="00BD63C0" w14:paraId="7A33B96B" w14:textId="77777777" w:rsidTr="003F1EF9">
        <w:tc>
          <w:tcPr>
            <w:tcW w:w="4675" w:type="dxa"/>
          </w:tcPr>
          <w:p w14:paraId="350867BE" w14:textId="77777777" w:rsidR="004B6089" w:rsidRPr="00BD63C0" w:rsidRDefault="004B6089" w:rsidP="00BD63C0">
            <w:pPr>
              <w:pStyle w:val="ListParagraph"/>
              <w:numPr>
                <w:ilvl w:val="0"/>
                <w:numId w:val="2"/>
              </w:numPr>
              <w:spacing w:line="360" w:lineRule="auto"/>
              <w:rPr>
                <w:rFonts w:ascii="Arial" w:hAnsi="Arial" w:cs="Arial"/>
                <w:b w:val="0"/>
                <w:bCs/>
                <w:sz w:val="22"/>
              </w:rPr>
            </w:pPr>
            <w:r w:rsidRPr="00BD63C0">
              <w:rPr>
                <w:rFonts w:ascii="Arial" w:hAnsi="Arial" w:cs="Arial"/>
                <w:b w:val="0"/>
                <w:bCs/>
                <w:sz w:val="22"/>
              </w:rPr>
              <w:t>Increasing vehicles EV and hybrid.</w:t>
            </w:r>
          </w:p>
          <w:p w14:paraId="1E80AB22" w14:textId="77777777" w:rsidR="004B6089" w:rsidRPr="00BD63C0" w:rsidRDefault="004B6089" w:rsidP="00BD63C0">
            <w:pPr>
              <w:pStyle w:val="ListParagraph"/>
              <w:numPr>
                <w:ilvl w:val="0"/>
                <w:numId w:val="2"/>
              </w:numPr>
              <w:spacing w:line="360" w:lineRule="auto"/>
              <w:rPr>
                <w:rFonts w:ascii="Arial" w:hAnsi="Arial" w:cs="Arial"/>
                <w:b w:val="0"/>
                <w:bCs/>
                <w:sz w:val="22"/>
              </w:rPr>
            </w:pPr>
            <w:r w:rsidRPr="00BD63C0">
              <w:rPr>
                <w:rFonts w:ascii="Arial" w:hAnsi="Arial" w:cs="Arial"/>
                <w:b w:val="0"/>
                <w:bCs/>
                <w:sz w:val="22"/>
              </w:rPr>
              <w:t xml:space="preserve">Connected car services: Digital transformation (Chandavarkar and </w:t>
            </w:r>
            <w:proofErr w:type="spellStart"/>
            <w:r w:rsidRPr="00BD63C0">
              <w:rPr>
                <w:rFonts w:ascii="Arial" w:hAnsi="Arial" w:cs="Arial"/>
                <w:b w:val="0"/>
                <w:bCs/>
                <w:sz w:val="22"/>
              </w:rPr>
              <w:t>Nethravathi</w:t>
            </w:r>
            <w:proofErr w:type="spellEnd"/>
            <w:r w:rsidRPr="00BD63C0">
              <w:rPr>
                <w:rFonts w:ascii="Arial" w:hAnsi="Arial" w:cs="Arial"/>
                <w:b w:val="0"/>
                <w:bCs/>
                <w:sz w:val="22"/>
              </w:rPr>
              <w:t>, 2023).</w:t>
            </w:r>
          </w:p>
          <w:p w14:paraId="4931F94A" w14:textId="77777777" w:rsidR="004B6089" w:rsidRPr="00BD63C0" w:rsidRDefault="004B6089" w:rsidP="00BD63C0">
            <w:pPr>
              <w:pStyle w:val="ListParagraph"/>
              <w:numPr>
                <w:ilvl w:val="0"/>
                <w:numId w:val="2"/>
              </w:numPr>
              <w:spacing w:line="360" w:lineRule="auto"/>
              <w:rPr>
                <w:rFonts w:ascii="Arial" w:hAnsi="Arial" w:cs="Arial"/>
                <w:b w:val="0"/>
                <w:bCs/>
                <w:sz w:val="22"/>
              </w:rPr>
            </w:pPr>
            <w:r w:rsidRPr="00BD63C0">
              <w:rPr>
                <w:rFonts w:ascii="Arial" w:hAnsi="Arial" w:cs="Arial"/>
                <w:b w:val="0"/>
                <w:bCs/>
                <w:sz w:val="22"/>
              </w:rPr>
              <w:t>Growth in the emerging markets like India and Southeast Asia.</w:t>
            </w:r>
          </w:p>
          <w:p w14:paraId="433681AD" w14:textId="1D355FBB" w:rsidR="003F1EF9" w:rsidRPr="00BD63C0" w:rsidRDefault="004B6089" w:rsidP="00BD63C0">
            <w:pPr>
              <w:pStyle w:val="ListParagraph"/>
              <w:numPr>
                <w:ilvl w:val="0"/>
                <w:numId w:val="2"/>
              </w:numPr>
              <w:spacing w:line="360" w:lineRule="auto"/>
              <w:rPr>
                <w:rFonts w:ascii="Arial" w:hAnsi="Arial" w:cs="Arial"/>
                <w:b w:val="0"/>
                <w:bCs/>
                <w:sz w:val="22"/>
              </w:rPr>
            </w:pPr>
            <w:r w:rsidRPr="00BD63C0">
              <w:rPr>
                <w:rFonts w:ascii="Arial" w:hAnsi="Arial" w:cs="Arial"/>
                <w:b w:val="0"/>
                <w:bCs/>
                <w:sz w:val="22"/>
              </w:rPr>
              <w:t>Sustainable mobility programs by the government.</w:t>
            </w:r>
          </w:p>
        </w:tc>
        <w:tc>
          <w:tcPr>
            <w:tcW w:w="4675" w:type="dxa"/>
          </w:tcPr>
          <w:p w14:paraId="1DD395EB" w14:textId="77777777" w:rsidR="004B6089" w:rsidRPr="00BD63C0" w:rsidRDefault="004B6089" w:rsidP="00BD63C0">
            <w:pPr>
              <w:pStyle w:val="ListParagraph"/>
              <w:numPr>
                <w:ilvl w:val="0"/>
                <w:numId w:val="2"/>
              </w:numPr>
              <w:spacing w:line="360" w:lineRule="auto"/>
              <w:rPr>
                <w:rFonts w:ascii="Arial" w:hAnsi="Arial" w:cs="Arial"/>
                <w:b w:val="0"/>
                <w:bCs/>
                <w:sz w:val="22"/>
              </w:rPr>
            </w:pPr>
            <w:r w:rsidRPr="00BD63C0">
              <w:rPr>
                <w:rFonts w:ascii="Arial" w:hAnsi="Arial" w:cs="Arial"/>
                <w:b w:val="0"/>
                <w:bCs/>
                <w:sz w:val="22"/>
              </w:rPr>
              <w:t>The presence of strong competition between existing and new EV players.</w:t>
            </w:r>
          </w:p>
          <w:p w14:paraId="592B0D7E" w14:textId="77777777" w:rsidR="004B6089" w:rsidRPr="00BD63C0" w:rsidRDefault="004B6089" w:rsidP="00BD63C0">
            <w:pPr>
              <w:pStyle w:val="ListParagraph"/>
              <w:numPr>
                <w:ilvl w:val="0"/>
                <w:numId w:val="2"/>
              </w:numPr>
              <w:spacing w:line="360" w:lineRule="auto"/>
              <w:rPr>
                <w:rFonts w:ascii="Arial" w:hAnsi="Arial" w:cs="Arial"/>
                <w:b w:val="0"/>
                <w:bCs/>
                <w:sz w:val="22"/>
              </w:rPr>
            </w:pPr>
            <w:r w:rsidRPr="00BD63C0">
              <w:rPr>
                <w:rFonts w:ascii="Arial" w:hAnsi="Arial" w:cs="Arial"/>
                <w:b w:val="0"/>
                <w:bCs/>
                <w:sz w:val="22"/>
              </w:rPr>
              <w:t>Consumer buying power: economic changes.</w:t>
            </w:r>
          </w:p>
          <w:p w14:paraId="63B192A8" w14:textId="77777777" w:rsidR="004B6089" w:rsidRPr="00BD63C0" w:rsidRDefault="004B6089" w:rsidP="00BD63C0">
            <w:pPr>
              <w:pStyle w:val="ListParagraph"/>
              <w:numPr>
                <w:ilvl w:val="0"/>
                <w:numId w:val="2"/>
              </w:numPr>
              <w:spacing w:line="360" w:lineRule="auto"/>
              <w:rPr>
                <w:rFonts w:ascii="Arial" w:hAnsi="Arial" w:cs="Arial"/>
                <w:b w:val="0"/>
                <w:bCs/>
                <w:sz w:val="22"/>
              </w:rPr>
            </w:pPr>
            <w:r w:rsidRPr="00BD63C0">
              <w:rPr>
                <w:rFonts w:ascii="Arial" w:hAnsi="Arial" w:cs="Arial"/>
                <w:b w:val="0"/>
                <w:bCs/>
                <w:sz w:val="22"/>
              </w:rPr>
              <w:t>Quick change in technology escalating the level of R&amp;D spending.</w:t>
            </w:r>
          </w:p>
          <w:p w14:paraId="1D1999F3" w14:textId="2E5428D9" w:rsidR="003F1EF9" w:rsidRPr="00BD63C0" w:rsidRDefault="004B6089" w:rsidP="00BD63C0">
            <w:pPr>
              <w:pStyle w:val="ListParagraph"/>
              <w:numPr>
                <w:ilvl w:val="0"/>
                <w:numId w:val="2"/>
              </w:numPr>
              <w:spacing w:line="360" w:lineRule="auto"/>
              <w:rPr>
                <w:rFonts w:ascii="Arial" w:hAnsi="Arial" w:cs="Arial"/>
                <w:b w:val="0"/>
                <w:bCs/>
                <w:sz w:val="22"/>
              </w:rPr>
            </w:pPr>
            <w:r w:rsidRPr="00BD63C0">
              <w:rPr>
                <w:rFonts w:ascii="Arial" w:hAnsi="Arial" w:cs="Arial"/>
                <w:b w:val="0"/>
                <w:bCs/>
                <w:sz w:val="22"/>
              </w:rPr>
              <w:t>Increased environmental controls that increase compliance costs.</w:t>
            </w:r>
          </w:p>
        </w:tc>
      </w:tr>
    </w:tbl>
    <w:p w14:paraId="61A2F784" w14:textId="77777777" w:rsidR="003F1EF9" w:rsidRPr="00BD63C0" w:rsidRDefault="003F1EF9" w:rsidP="00BD63C0">
      <w:pPr>
        <w:rPr>
          <w:rFonts w:ascii="Arial" w:hAnsi="Arial" w:cs="Arial"/>
          <w:sz w:val="22"/>
        </w:rPr>
      </w:pPr>
    </w:p>
    <w:p w14:paraId="659DBD2A" w14:textId="15406788" w:rsidR="003D32DA" w:rsidRPr="00BD63C0" w:rsidRDefault="001F56E5" w:rsidP="00BD63C0">
      <w:pPr>
        <w:rPr>
          <w:rFonts w:ascii="Arial" w:eastAsiaTheme="majorEastAsia" w:hAnsi="Arial" w:cs="Arial"/>
          <w:b/>
          <w:color w:val="44546A" w:themeColor="text2"/>
          <w:sz w:val="22"/>
        </w:rPr>
      </w:pPr>
      <w:r w:rsidRPr="00BD63C0">
        <w:rPr>
          <w:rFonts w:ascii="Arial" w:hAnsi="Arial" w:cs="Arial"/>
          <w:sz w:val="22"/>
        </w:rPr>
        <w:t>The strategic position of Ford may be viewed as both the strength factors and the challenge in an automotive setting where the changes occur at an incredibly rapid pace. Its brand strengths, sustainability initiative and augmented EV competencies offer it a good foundation which it could build in the future. However, there is intense competition, technological revolution and cost of operations that require relentless innovation and flexible strategic transformation (</w:t>
      </w:r>
      <w:proofErr w:type="spellStart"/>
      <w:r w:rsidRPr="00BD63C0">
        <w:rPr>
          <w:rFonts w:ascii="Arial" w:hAnsi="Arial" w:cs="Arial"/>
          <w:sz w:val="22"/>
        </w:rPr>
        <w:t>Iruthayasamy</w:t>
      </w:r>
      <w:proofErr w:type="spellEnd"/>
      <w:r w:rsidRPr="00BD63C0">
        <w:rPr>
          <w:rFonts w:ascii="Arial" w:hAnsi="Arial" w:cs="Arial"/>
          <w:sz w:val="22"/>
        </w:rPr>
        <w:t>, 2021). The most important actions that Ford should take to retain its competitive advantage are enhancing digital transformation, accelerating the production of EV, and enhancing supply chain resilience.</w:t>
      </w:r>
      <w:r w:rsidR="003D32DA" w:rsidRPr="00BD63C0">
        <w:rPr>
          <w:rFonts w:ascii="Arial" w:hAnsi="Arial" w:cs="Arial"/>
          <w:sz w:val="22"/>
        </w:rPr>
        <w:br w:type="page"/>
      </w:r>
    </w:p>
    <w:p w14:paraId="175368A4" w14:textId="6A309A56" w:rsidR="00981410" w:rsidRPr="00BD63C0" w:rsidRDefault="00981410" w:rsidP="00BD63C0">
      <w:pPr>
        <w:pStyle w:val="Heading1"/>
        <w:rPr>
          <w:rFonts w:ascii="Arial" w:hAnsi="Arial" w:cs="Arial"/>
          <w:sz w:val="22"/>
          <w:szCs w:val="22"/>
        </w:rPr>
      </w:pPr>
      <w:bookmarkStart w:id="11" w:name="_Toc211805709"/>
      <w:r w:rsidRPr="00BD63C0">
        <w:rPr>
          <w:rFonts w:ascii="Arial" w:hAnsi="Arial" w:cs="Arial"/>
          <w:sz w:val="22"/>
          <w:szCs w:val="22"/>
        </w:rPr>
        <w:lastRenderedPageBreak/>
        <w:t>Strategy Formulation</w:t>
      </w:r>
      <w:bookmarkEnd w:id="11"/>
    </w:p>
    <w:p w14:paraId="0091DA6D" w14:textId="77777777" w:rsidR="001F56E5" w:rsidRPr="00BD63C0" w:rsidRDefault="001F56E5" w:rsidP="00BD63C0">
      <w:pPr>
        <w:rPr>
          <w:rFonts w:ascii="Arial" w:hAnsi="Arial" w:cs="Arial"/>
          <w:sz w:val="22"/>
        </w:rPr>
      </w:pPr>
      <w:r w:rsidRPr="00BD63C0">
        <w:rPr>
          <w:rFonts w:ascii="Arial" w:hAnsi="Arial" w:cs="Arial"/>
          <w:sz w:val="22"/>
        </w:rPr>
        <w:t>Differentiation, innovation, and strategic diversification are some of the strategies that Ford Motor Company needs to incorporate into its business strategy to sustain its growth in the global trends in the automotive industry and sustainability (Beamish and Chakravarty, 2021).</w:t>
      </w:r>
    </w:p>
    <w:p w14:paraId="767530BB" w14:textId="75B636C2" w:rsidR="001F56E5" w:rsidRPr="00BD63C0" w:rsidRDefault="001F56E5" w:rsidP="00BD63C0">
      <w:pPr>
        <w:rPr>
          <w:rFonts w:ascii="Arial" w:hAnsi="Arial" w:cs="Arial"/>
          <w:sz w:val="22"/>
        </w:rPr>
      </w:pPr>
      <w:r w:rsidRPr="00BD63C0">
        <w:rPr>
          <w:rFonts w:ascii="Arial" w:hAnsi="Arial" w:cs="Arial"/>
          <w:b/>
          <w:bCs/>
          <w:sz w:val="22"/>
        </w:rPr>
        <w:t>Quick EV Vehicle Change:</w:t>
      </w:r>
      <w:r w:rsidRPr="00BD63C0">
        <w:rPr>
          <w:rFonts w:ascii="Arial" w:hAnsi="Arial" w:cs="Arial"/>
          <w:sz w:val="22"/>
        </w:rPr>
        <w:t xml:space="preserve"> Ford should move forward with the proliferation of its electric and hybrid cars to compete positively with the market leaders (such as Tesla, BYD, and Volkswagen). This has been through additional investment into battery technology, EV charging and software integration to enhance the driving experience. Establishing EV manufacturing facilities in Europe and Asia will contribute to the reduction of the logistics cost and the supply chain resilience increased (Levinson, 2024). Moreover, offering EV at low prices to the middle-income segments of the population would allow Ford to get a large number of consumers and enjoy economies of scale (Clinger, 2025).</w:t>
      </w:r>
    </w:p>
    <w:p w14:paraId="08DB6B6D" w14:textId="09D63634" w:rsidR="001F56E5" w:rsidRPr="00BD63C0" w:rsidRDefault="001F56E5" w:rsidP="00BD63C0">
      <w:pPr>
        <w:rPr>
          <w:rFonts w:ascii="Arial" w:hAnsi="Arial" w:cs="Arial"/>
          <w:sz w:val="22"/>
        </w:rPr>
      </w:pPr>
      <w:r w:rsidRPr="00BD63C0">
        <w:rPr>
          <w:rFonts w:ascii="Arial" w:hAnsi="Arial" w:cs="Arial"/>
          <w:b/>
          <w:bCs/>
          <w:sz w:val="22"/>
        </w:rPr>
        <w:t>Digitalization and Connected Mobility:</w:t>
      </w:r>
      <w:r w:rsidRPr="00BD63C0">
        <w:rPr>
          <w:rFonts w:ascii="Arial" w:hAnsi="Arial" w:cs="Arial"/>
          <w:sz w:val="22"/>
        </w:rPr>
        <w:t xml:space="preserve"> The future of the auto business lies in the field of data-driven and connected technologies. Ford should enhance its </w:t>
      </w:r>
      <w:proofErr w:type="spellStart"/>
      <w:r w:rsidRPr="00BD63C0">
        <w:rPr>
          <w:rFonts w:ascii="Arial" w:hAnsi="Arial" w:cs="Arial"/>
          <w:sz w:val="22"/>
        </w:rPr>
        <w:t>FordPass</w:t>
      </w:r>
      <w:proofErr w:type="spellEnd"/>
      <w:r w:rsidRPr="00BD63C0">
        <w:rPr>
          <w:rFonts w:ascii="Arial" w:hAnsi="Arial" w:cs="Arial"/>
          <w:sz w:val="22"/>
        </w:rPr>
        <w:t xml:space="preserve"> system, such as diagnostics, predictive maintenance, and personalized customer experiences. It is also possible to invest in artificial intelligence (AI) and Internet of Things (IoT) to enable Ford to develop an autonomous driving system and smart vehicle components. Besides, partnerships with technology firms could accelerate innovation and control the price of R&amp;D. This online breakthrough will not only improve the interaction with the customers but also generate new </w:t>
      </w:r>
      <w:r w:rsidR="002E447C" w:rsidRPr="00BD63C0">
        <w:rPr>
          <w:rFonts w:ascii="Arial" w:hAnsi="Arial" w:cs="Arial"/>
          <w:sz w:val="22"/>
        </w:rPr>
        <w:t>sources</w:t>
      </w:r>
      <w:r w:rsidRPr="00BD63C0">
        <w:rPr>
          <w:rFonts w:ascii="Arial" w:hAnsi="Arial" w:cs="Arial"/>
          <w:sz w:val="22"/>
        </w:rPr>
        <w:t xml:space="preserve"> of revenue in the form of subscription between mobility (</w:t>
      </w:r>
      <w:proofErr w:type="spellStart"/>
      <w:r w:rsidRPr="00BD63C0">
        <w:rPr>
          <w:rFonts w:ascii="Arial" w:hAnsi="Arial" w:cs="Arial"/>
          <w:sz w:val="22"/>
        </w:rPr>
        <w:t>Aniebonam</w:t>
      </w:r>
      <w:proofErr w:type="spellEnd"/>
      <w:r w:rsidRPr="00BD63C0">
        <w:rPr>
          <w:rFonts w:ascii="Arial" w:hAnsi="Arial" w:cs="Arial"/>
          <w:sz w:val="22"/>
        </w:rPr>
        <w:t>, 2024).</w:t>
      </w:r>
    </w:p>
    <w:p w14:paraId="64B4EC6B" w14:textId="2761AEBC" w:rsidR="001F56E5" w:rsidRPr="00BD63C0" w:rsidRDefault="001F56E5" w:rsidP="00BD63C0">
      <w:pPr>
        <w:rPr>
          <w:rFonts w:ascii="Arial" w:hAnsi="Arial" w:cs="Arial"/>
          <w:sz w:val="22"/>
        </w:rPr>
      </w:pPr>
      <w:r w:rsidRPr="00BD63C0">
        <w:rPr>
          <w:rFonts w:ascii="Arial" w:hAnsi="Arial" w:cs="Arial"/>
          <w:b/>
          <w:bCs/>
          <w:sz w:val="22"/>
        </w:rPr>
        <w:t>Sustainable Operations and Circular Economy</w:t>
      </w:r>
      <w:r w:rsidR="002E447C" w:rsidRPr="00BD63C0">
        <w:rPr>
          <w:rFonts w:ascii="Arial" w:hAnsi="Arial" w:cs="Arial"/>
          <w:b/>
          <w:bCs/>
          <w:sz w:val="22"/>
        </w:rPr>
        <w:t>:</w:t>
      </w:r>
      <w:r w:rsidR="002E447C" w:rsidRPr="00BD63C0">
        <w:rPr>
          <w:rFonts w:ascii="Arial" w:hAnsi="Arial" w:cs="Arial"/>
          <w:sz w:val="22"/>
        </w:rPr>
        <w:t xml:space="preserve"> Sustainability</w:t>
      </w:r>
      <w:r w:rsidRPr="00BD63C0">
        <w:rPr>
          <w:rFonts w:ascii="Arial" w:hAnsi="Arial" w:cs="Arial"/>
          <w:sz w:val="22"/>
        </w:rPr>
        <w:t xml:space="preserve"> is expected to become the core of the long-term strategy of Ford. It is obligatory that the company must expand its efforts in the direction of carbon objectivity, trying to focus on the use of renewable energy, environment-friendly material, and recycling. The practices of adopting more circular supply chain, i.e., reusing and recycling of materials and components will assist in reducing the waste and lowering the cost of production and fulfill the demands of global requirements and consumers.</w:t>
      </w:r>
    </w:p>
    <w:p w14:paraId="0BDEAB14" w14:textId="7EEE4215" w:rsidR="001F56E5" w:rsidRPr="00BD63C0" w:rsidRDefault="001F56E5" w:rsidP="00BD63C0">
      <w:pPr>
        <w:rPr>
          <w:rFonts w:ascii="Arial" w:hAnsi="Arial" w:cs="Arial"/>
          <w:sz w:val="22"/>
        </w:rPr>
      </w:pPr>
      <w:r w:rsidRPr="00BD63C0">
        <w:rPr>
          <w:rFonts w:ascii="Arial" w:hAnsi="Arial" w:cs="Arial"/>
          <w:b/>
          <w:bCs/>
          <w:sz w:val="22"/>
        </w:rPr>
        <w:t>Market Development and Strategic alliances:</w:t>
      </w:r>
      <w:r w:rsidRPr="00BD63C0">
        <w:rPr>
          <w:rFonts w:ascii="Arial" w:hAnsi="Arial" w:cs="Arial"/>
          <w:sz w:val="22"/>
        </w:rPr>
        <w:t xml:space="preserve"> Ford should tap into emerging markets such as India, Indonesia and Africa whose rising levels of income are fueling the expansion of automobile market. Its distribution and assembly may be done in collaboration with the involvement of local </w:t>
      </w:r>
      <w:r w:rsidR="002E447C" w:rsidRPr="00BD63C0">
        <w:rPr>
          <w:rFonts w:ascii="Arial" w:hAnsi="Arial" w:cs="Arial"/>
          <w:sz w:val="22"/>
        </w:rPr>
        <w:t>partners,</w:t>
      </w:r>
      <w:r w:rsidRPr="00BD63C0">
        <w:rPr>
          <w:rFonts w:ascii="Arial" w:hAnsi="Arial" w:cs="Arial"/>
          <w:sz w:val="22"/>
        </w:rPr>
        <w:t xml:space="preserve"> and it will be one of the ways to minimize the barriers to entry (Sanci et al., 2022). In addition, the strategic alliances with battery manufacturers, software developers, and ride-hailing businesses will help to enhance the technological and operational capabilities of Ford.</w:t>
      </w:r>
    </w:p>
    <w:p w14:paraId="4B72BCE1" w14:textId="7855C872" w:rsidR="001F56E5" w:rsidRPr="00BD63C0" w:rsidRDefault="001F56E5" w:rsidP="00BD63C0">
      <w:pPr>
        <w:rPr>
          <w:rFonts w:ascii="Arial" w:hAnsi="Arial" w:cs="Arial"/>
          <w:sz w:val="22"/>
        </w:rPr>
      </w:pPr>
      <w:r w:rsidRPr="00BD63C0">
        <w:rPr>
          <w:rFonts w:ascii="Arial" w:hAnsi="Arial" w:cs="Arial"/>
          <w:sz w:val="22"/>
        </w:rPr>
        <w:lastRenderedPageBreak/>
        <w:t>Due to these combined strategies, Ford can assist in supporting its competitive advantage, leading the EV revolution, and ensuring sustainable global development.</w:t>
      </w:r>
    </w:p>
    <w:p w14:paraId="7FC6B991" w14:textId="0A03B63B" w:rsidR="00160F4F" w:rsidRPr="00BD63C0" w:rsidRDefault="00160F4F" w:rsidP="00BD63C0">
      <w:pPr>
        <w:pStyle w:val="Heading1"/>
        <w:rPr>
          <w:rFonts w:ascii="Arial" w:hAnsi="Arial" w:cs="Arial"/>
          <w:sz w:val="22"/>
          <w:szCs w:val="22"/>
        </w:rPr>
      </w:pPr>
      <w:bookmarkStart w:id="12" w:name="_Toc211805710"/>
      <w:r w:rsidRPr="00BD63C0">
        <w:rPr>
          <w:rFonts w:ascii="Arial" w:hAnsi="Arial" w:cs="Arial"/>
          <w:sz w:val="22"/>
          <w:szCs w:val="22"/>
        </w:rPr>
        <w:t>Conclusion and Recommendations.</w:t>
      </w:r>
      <w:bookmarkEnd w:id="12"/>
      <w:r w:rsidRPr="00BD63C0">
        <w:rPr>
          <w:rFonts w:ascii="Arial" w:hAnsi="Arial" w:cs="Arial"/>
          <w:sz w:val="22"/>
          <w:szCs w:val="22"/>
        </w:rPr>
        <w:t xml:space="preserve"> </w:t>
      </w:r>
    </w:p>
    <w:p w14:paraId="7E84B9D0" w14:textId="1295F7E0" w:rsidR="00160F4F" w:rsidRPr="00BD63C0" w:rsidRDefault="00160F4F" w:rsidP="00BD63C0">
      <w:pPr>
        <w:rPr>
          <w:rFonts w:ascii="Arial" w:hAnsi="Arial" w:cs="Arial"/>
          <w:sz w:val="22"/>
        </w:rPr>
      </w:pPr>
      <w:r w:rsidRPr="00BD63C0">
        <w:rPr>
          <w:rFonts w:ascii="Arial" w:hAnsi="Arial" w:cs="Arial"/>
          <w:sz w:val="22"/>
        </w:rPr>
        <w:t xml:space="preserve">So, the strategy review of the Ford Motor Company demonstrates that the company has a robust international brand, diversified product range, and </w:t>
      </w:r>
      <w:r w:rsidR="00274665" w:rsidRPr="00BD63C0">
        <w:rPr>
          <w:rFonts w:ascii="Arial" w:hAnsi="Arial" w:cs="Arial"/>
          <w:sz w:val="22"/>
        </w:rPr>
        <w:t>increasing</w:t>
      </w:r>
      <w:r w:rsidRPr="00BD63C0">
        <w:rPr>
          <w:rFonts w:ascii="Arial" w:hAnsi="Arial" w:cs="Arial"/>
          <w:sz w:val="22"/>
        </w:rPr>
        <w:t xml:space="preserve"> interest towards innovations and sustainability. The external environment has both opportunities and threats, specifically on the aspects of electric vehicle (EV) development, digital transformation, and environmental compliance. Although the established market position and strategic alliances enhance the competitive advantage of Ford, it is undoubted that the company needs to keep modifying to an ever changing fast paced technology, more competition, and the unpredictable global economic environment</w:t>
      </w:r>
      <w:r w:rsidR="00A2019D" w:rsidRPr="00BD63C0">
        <w:rPr>
          <w:rFonts w:ascii="Arial" w:hAnsi="Arial" w:cs="Arial"/>
          <w:sz w:val="22"/>
        </w:rPr>
        <w:t xml:space="preserve"> (Sanci et al., 2022).</w:t>
      </w:r>
    </w:p>
    <w:p w14:paraId="4A04E983" w14:textId="2D25FCC3" w:rsidR="00393726" w:rsidRPr="00BD63C0" w:rsidRDefault="00393726" w:rsidP="00BD63C0">
      <w:pPr>
        <w:rPr>
          <w:rFonts w:ascii="Arial" w:hAnsi="Arial" w:cs="Arial"/>
          <w:sz w:val="22"/>
        </w:rPr>
      </w:pPr>
      <w:r w:rsidRPr="00BD63C0">
        <w:rPr>
          <w:rFonts w:ascii="Arial" w:hAnsi="Arial" w:cs="Arial"/>
          <w:sz w:val="22"/>
        </w:rPr>
        <w:t>To gain long-term success and to hold the first position on the market, certain recommendations that might be implemented are proposed. Firstly, accelerate EV production and development due to more investments in battery technology, clean energy, and local EV production hubs. This will make the supply chain more resilient and meet the growing demand for sustainable transport in the world. Second, transform digitally with the assistance of connected car technologies, artificial intelligence, and customer services of the use of data to increase efficiency and user experience. Third, enhance sustainability initiatives by means of the circular economy, reduction of emissions, and promotion of the use of ecologically friendly materials in the work. Fourth, increase the global presence through accessing emerging markets such as India, Indonesia, and Africa through local joint-stock and cost-effective models. Finally, have the capability to develop strategic relationships with technology companies, energy companies and mobility service companies to catalyze innovation and competitiveness.</w:t>
      </w:r>
    </w:p>
    <w:p w14:paraId="5CE17D8E" w14:textId="3B2674B3" w:rsidR="002C6F37" w:rsidRPr="00BD63C0" w:rsidRDefault="00160F4F" w:rsidP="00BD63C0">
      <w:pPr>
        <w:rPr>
          <w:rFonts w:ascii="Arial" w:hAnsi="Arial" w:cs="Arial"/>
          <w:sz w:val="22"/>
        </w:rPr>
      </w:pPr>
      <w:r w:rsidRPr="00BD63C0">
        <w:rPr>
          <w:rFonts w:ascii="Arial" w:hAnsi="Arial" w:cs="Arial"/>
          <w:sz w:val="22"/>
        </w:rPr>
        <w:t>These strategies can help Ford to consolidate its stance on the world level, attain sustainable development, and shape the future of automobile industry into a more innovative and more environmentally friendly direction.</w:t>
      </w:r>
      <w:r w:rsidR="002C6F37" w:rsidRPr="00BD63C0">
        <w:rPr>
          <w:rFonts w:ascii="Arial" w:hAnsi="Arial" w:cs="Arial"/>
          <w:sz w:val="22"/>
        </w:rPr>
        <w:br w:type="page"/>
      </w:r>
    </w:p>
    <w:p w14:paraId="07CD2C49" w14:textId="4074D378" w:rsidR="00160F4F" w:rsidRPr="00BD63C0" w:rsidRDefault="00160F4F" w:rsidP="00BD63C0">
      <w:pPr>
        <w:pStyle w:val="Heading1"/>
        <w:rPr>
          <w:rFonts w:ascii="Arial" w:hAnsi="Arial" w:cs="Arial"/>
          <w:sz w:val="22"/>
          <w:szCs w:val="22"/>
        </w:rPr>
      </w:pPr>
      <w:bookmarkStart w:id="13" w:name="_Toc211805711"/>
      <w:r w:rsidRPr="00BD63C0">
        <w:rPr>
          <w:rFonts w:ascii="Arial" w:hAnsi="Arial" w:cs="Arial"/>
          <w:sz w:val="22"/>
          <w:szCs w:val="22"/>
        </w:rPr>
        <w:lastRenderedPageBreak/>
        <w:t>References</w:t>
      </w:r>
      <w:bookmarkEnd w:id="13"/>
      <w:r w:rsidRPr="00BD63C0">
        <w:rPr>
          <w:rFonts w:ascii="Arial" w:hAnsi="Arial" w:cs="Arial"/>
          <w:sz w:val="22"/>
          <w:szCs w:val="22"/>
        </w:rPr>
        <w:t xml:space="preserve"> </w:t>
      </w:r>
    </w:p>
    <w:p w14:paraId="4D57C3FA" w14:textId="77777777" w:rsidR="003901B7" w:rsidRPr="00BD63C0" w:rsidRDefault="003901B7" w:rsidP="00BD63C0">
      <w:pPr>
        <w:rPr>
          <w:rFonts w:ascii="Arial" w:hAnsi="Arial" w:cs="Arial"/>
          <w:sz w:val="22"/>
        </w:rPr>
      </w:pPr>
      <w:proofErr w:type="spellStart"/>
      <w:r w:rsidRPr="00BD63C0">
        <w:rPr>
          <w:rFonts w:ascii="Arial" w:hAnsi="Arial" w:cs="Arial"/>
          <w:sz w:val="22"/>
        </w:rPr>
        <w:t>Aniebonam</w:t>
      </w:r>
      <w:proofErr w:type="spellEnd"/>
      <w:r w:rsidRPr="00BD63C0">
        <w:rPr>
          <w:rFonts w:ascii="Arial" w:hAnsi="Arial" w:cs="Arial"/>
          <w:sz w:val="22"/>
        </w:rPr>
        <w:t>, E.E., 2024. Strategic management in turbulent markets: A case study of the USA. </w:t>
      </w:r>
      <w:r w:rsidRPr="00BD63C0">
        <w:rPr>
          <w:rFonts w:ascii="Arial" w:hAnsi="Arial" w:cs="Arial"/>
          <w:i/>
          <w:iCs/>
          <w:sz w:val="22"/>
        </w:rPr>
        <w:t>International Journal of Modern Science and Research Technology</w:t>
      </w:r>
      <w:r w:rsidRPr="00BD63C0">
        <w:rPr>
          <w:rFonts w:ascii="Arial" w:hAnsi="Arial" w:cs="Arial"/>
          <w:sz w:val="22"/>
        </w:rPr>
        <w:t>, </w:t>
      </w:r>
      <w:r w:rsidRPr="00BD63C0">
        <w:rPr>
          <w:rFonts w:ascii="Arial" w:hAnsi="Arial" w:cs="Arial"/>
          <w:i/>
          <w:iCs/>
          <w:sz w:val="22"/>
        </w:rPr>
        <w:t>1</w:t>
      </w:r>
      <w:r w:rsidRPr="00BD63C0">
        <w:rPr>
          <w:rFonts w:ascii="Arial" w:hAnsi="Arial" w:cs="Arial"/>
          <w:sz w:val="22"/>
        </w:rPr>
        <w:t>(8), pp.35-43.</w:t>
      </w:r>
    </w:p>
    <w:p w14:paraId="3B063C91" w14:textId="77777777" w:rsidR="003901B7" w:rsidRPr="00BD63C0" w:rsidRDefault="003901B7" w:rsidP="00BD63C0">
      <w:pPr>
        <w:rPr>
          <w:rFonts w:ascii="Arial" w:hAnsi="Arial" w:cs="Arial"/>
          <w:sz w:val="22"/>
        </w:rPr>
      </w:pPr>
      <w:r w:rsidRPr="00BD63C0">
        <w:rPr>
          <w:rFonts w:ascii="Arial" w:hAnsi="Arial" w:cs="Arial"/>
          <w:sz w:val="22"/>
        </w:rPr>
        <w:t>Beamish, P.W. and Chakravarty, D., 2021. Using the resource-based view in multinational enterprise research. </w:t>
      </w:r>
      <w:r w:rsidRPr="00BD63C0">
        <w:rPr>
          <w:rFonts w:ascii="Arial" w:hAnsi="Arial" w:cs="Arial"/>
          <w:i/>
          <w:iCs/>
          <w:sz w:val="22"/>
        </w:rPr>
        <w:t>Journal of Management</w:t>
      </w:r>
      <w:r w:rsidRPr="00BD63C0">
        <w:rPr>
          <w:rFonts w:ascii="Arial" w:hAnsi="Arial" w:cs="Arial"/>
          <w:sz w:val="22"/>
        </w:rPr>
        <w:t>, </w:t>
      </w:r>
      <w:r w:rsidRPr="00BD63C0">
        <w:rPr>
          <w:rFonts w:ascii="Arial" w:hAnsi="Arial" w:cs="Arial"/>
          <w:i/>
          <w:iCs/>
          <w:sz w:val="22"/>
        </w:rPr>
        <w:t>47</w:t>
      </w:r>
      <w:r w:rsidRPr="00BD63C0">
        <w:rPr>
          <w:rFonts w:ascii="Arial" w:hAnsi="Arial" w:cs="Arial"/>
          <w:sz w:val="22"/>
        </w:rPr>
        <w:t>(7), pp.1861-1877.</w:t>
      </w:r>
    </w:p>
    <w:p w14:paraId="794E4BFB" w14:textId="77777777" w:rsidR="003901B7" w:rsidRPr="00BD63C0" w:rsidRDefault="003901B7" w:rsidP="00BD63C0">
      <w:pPr>
        <w:rPr>
          <w:rFonts w:ascii="Arial" w:hAnsi="Arial" w:cs="Arial"/>
          <w:sz w:val="22"/>
        </w:rPr>
      </w:pPr>
      <w:r w:rsidRPr="00BD63C0">
        <w:rPr>
          <w:rFonts w:ascii="Arial" w:hAnsi="Arial" w:cs="Arial"/>
          <w:sz w:val="22"/>
        </w:rPr>
        <w:t xml:space="preserve">Chandavarkar, N.D. and </w:t>
      </w:r>
      <w:proofErr w:type="spellStart"/>
      <w:r w:rsidRPr="00BD63C0">
        <w:rPr>
          <w:rFonts w:ascii="Arial" w:hAnsi="Arial" w:cs="Arial"/>
          <w:sz w:val="22"/>
        </w:rPr>
        <w:t>Nethravathi</w:t>
      </w:r>
      <w:proofErr w:type="spellEnd"/>
      <w:r w:rsidRPr="00BD63C0">
        <w:rPr>
          <w:rFonts w:ascii="Arial" w:hAnsi="Arial" w:cs="Arial"/>
          <w:sz w:val="22"/>
        </w:rPr>
        <w:t>, P.S., 2023. SWOT Analysis on AI-based Self-driving Car Companies. </w:t>
      </w:r>
      <w:r w:rsidRPr="00BD63C0">
        <w:rPr>
          <w:rFonts w:ascii="Arial" w:hAnsi="Arial" w:cs="Arial"/>
          <w:i/>
          <w:iCs/>
          <w:sz w:val="22"/>
        </w:rPr>
        <w:t>International Journal of Management, Technology, and Social Sciences (IJMTS)</w:t>
      </w:r>
      <w:r w:rsidRPr="00BD63C0">
        <w:rPr>
          <w:rFonts w:ascii="Arial" w:hAnsi="Arial" w:cs="Arial"/>
          <w:sz w:val="22"/>
        </w:rPr>
        <w:t>, </w:t>
      </w:r>
      <w:r w:rsidRPr="00BD63C0">
        <w:rPr>
          <w:rFonts w:ascii="Arial" w:hAnsi="Arial" w:cs="Arial"/>
          <w:i/>
          <w:iCs/>
          <w:sz w:val="22"/>
        </w:rPr>
        <w:t>8</w:t>
      </w:r>
      <w:r w:rsidRPr="00BD63C0">
        <w:rPr>
          <w:rFonts w:ascii="Arial" w:hAnsi="Arial" w:cs="Arial"/>
          <w:sz w:val="22"/>
        </w:rPr>
        <w:t>(3), pp.89-102.</w:t>
      </w:r>
    </w:p>
    <w:p w14:paraId="4BC5DD0F" w14:textId="77777777" w:rsidR="003901B7" w:rsidRPr="00BD63C0" w:rsidRDefault="003901B7" w:rsidP="00BD63C0">
      <w:pPr>
        <w:rPr>
          <w:rFonts w:ascii="Arial" w:hAnsi="Arial" w:cs="Arial"/>
          <w:sz w:val="22"/>
        </w:rPr>
      </w:pPr>
      <w:proofErr w:type="spellStart"/>
      <w:r w:rsidRPr="00BD63C0">
        <w:rPr>
          <w:rFonts w:ascii="Arial" w:hAnsi="Arial" w:cs="Arial"/>
          <w:sz w:val="22"/>
        </w:rPr>
        <w:t>Chervenkova</w:t>
      </w:r>
      <w:proofErr w:type="spellEnd"/>
      <w:r w:rsidRPr="00BD63C0">
        <w:rPr>
          <w:rFonts w:ascii="Arial" w:hAnsi="Arial" w:cs="Arial"/>
          <w:sz w:val="22"/>
        </w:rPr>
        <w:t>, T. and Ivanov, D., 2023. Adaptation strategies for building supply chain viability: A case study analysis of the global automotive industry re-purposing during the COVID-19 pandemic. </w:t>
      </w:r>
      <w:r w:rsidRPr="00BD63C0">
        <w:rPr>
          <w:rFonts w:ascii="Arial" w:hAnsi="Arial" w:cs="Arial"/>
          <w:i/>
          <w:iCs/>
          <w:sz w:val="22"/>
        </w:rPr>
        <w:t>Transportation Research Part E: Logistics and Transportation Review</w:t>
      </w:r>
      <w:r w:rsidRPr="00BD63C0">
        <w:rPr>
          <w:rFonts w:ascii="Arial" w:hAnsi="Arial" w:cs="Arial"/>
          <w:sz w:val="22"/>
        </w:rPr>
        <w:t>, </w:t>
      </w:r>
      <w:r w:rsidRPr="00BD63C0">
        <w:rPr>
          <w:rFonts w:ascii="Arial" w:hAnsi="Arial" w:cs="Arial"/>
          <w:i/>
          <w:iCs/>
          <w:sz w:val="22"/>
        </w:rPr>
        <w:t>177</w:t>
      </w:r>
      <w:r w:rsidRPr="00BD63C0">
        <w:rPr>
          <w:rFonts w:ascii="Arial" w:hAnsi="Arial" w:cs="Arial"/>
          <w:sz w:val="22"/>
        </w:rPr>
        <w:t>, p.103249.</w:t>
      </w:r>
    </w:p>
    <w:p w14:paraId="00BE727A" w14:textId="77777777" w:rsidR="003901B7" w:rsidRPr="00BD63C0" w:rsidRDefault="003901B7" w:rsidP="00BD63C0">
      <w:pPr>
        <w:rPr>
          <w:rFonts w:ascii="Arial" w:hAnsi="Arial" w:cs="Arial"/>
          <w:sz w:val="22"/>
        </w:rPr>
      </w:pPr>
      <w:r w:rsidRPr="00BD63C0">
        <w:rPr>
          <w:rFonts w:ascii="Arial" w:hAnsi="Arial" w:cs="Arial"/>
          <w:sz w:val="22"/>
        </w:rPr>
        <w:t>Clinger, T., 2025. </w:t>
      </w:r>
      <w:r w:rsidRPr="00BD63C0">
        <w:rPr>
          <w:rFonts w:ascii="Arial" w:hAnsi="Arial" w:cs="Arial"/>
          <w:i/>
          <w:iCs/>
          <w:sz w:val="22"/>
        </w:rPr>
        <w:t>A Perfect Environmental and SWOT Analysis</w:t>
      </w:r>
      <w:r w:rsidRPr="00BD63C0">
        <w:rPr>
          <w:rFonts w:ascii="Arial" w:hAnsi="Arial" w:cs="Arial"/>
          <w:sz w:val="22"/>
        </w:rPr>
        <w:t>. Trevor Clinger.</w:t>
      </w:r>
    </w:p>
    <w:p w14:paraId="253A669F" w14:textId="77777777" w:rsidR="003901B7" w:rsidRPr="00BD63C0" w:rsidRDefault="003901B7" w:rsidP="00BD63C0">
      <w:pPr>
        <w:rPr>
          <w:rFonts w:ascii="Arial" w:hAnsi="Arial" w:cs="Arial"/>
          <w:sz w:val="22"/>
        </w:rPr>
      </w:pPr>
      <w:r w:rsidRPr="00BD63C0">
        <w:rPr>
          <w:rFonts w:ascii="Arial" w:hAnsi="Arial" w:cs="Arial"/>
          <w:sz w:val="22"/>
        </w:rPr>
        <w:t>Dewa, P., 2025. Ford Motor Company–Case Study. </w:t>
      </w:r>
      <w:r w:rsidRPr="00BD63C0">
        <w:rPr>
          <w:rFonts w:ascii="Arial" w:hAnsi="Arial" w:cs="Arial"/>
          <w:i/>
          <w:iCs/>
          <w:sz w:val="22"/>
        </w:rPr>
        <w:t>Sat</w:t>
      </w:r>
      <w:r w:rsidRPr="00BD63C0">
        <w:rPr>
          <w:rFonts w:ascii="Arial" w:hAnsi="Arial" w:cs="Arial"/>
          <w:sz w:val="22"/>
        </w:rPr>
        <w:t>.</w:t>
      </w:r>
    </w:p>
    <w:p w14:paraId="4C7FB35C" w14:textId="77777777" w:rsidR="003901B7" w:rsidRPr="00BD63C0" w:rsidRDefault="003901B7" w:rsidP="00BD63C0">
      <w:pPr>
        <w:rPr>
          <w:rFonts w:ascii="Arial" w:hAnsi="Arial" w:cs="Arial"/>
          <w:sz w:val="22"/>
        </w:rPr>
      </w:pPr>
      <w:r w:rsidRPr="00BD63C0">
        <w:rPr>
          <w:rFonts w:ascii="Arial" w:hAnsi="Arial" w:cs="Arial"/>
          <w:sz w:val="22"/>
        </w:rPr>
        <w:t>Dias, G.C., de Oliveira, U.R., Lima, G.B.A. and Fernandes, V.A., 2021. Risk management in the import/export process of an automobile company: A contribution for supply chain sustainability. </w:t>
      </w:r>
      <w:r w:rsidRPr="00BD63C0">
        <w:rPr>
          <w:rFonts w:ascii="Arial" w:hAnsi="Arial" w:cs="Arial"/>
          <w:i/>
          <w:iCs/>
          <w:sz w:val="22"/>
        </w:rPr>
        <w:t>Sustainability</w:t>
      </w:r>
      <w:r w:rsidRPr="00BD63C0">
        <w:rPr>
          <w:rFonts w:ascii="Arial" w:hAnsi="Arial" w:cs="Arial"/>
          <w:sz w:val="22"/>
        </w:rPr>
        <w:t>, </w:t>
      </w:r>
      <w:r w:rsidRPr="00BD63C0">
        <w:rPr>
          <w:rFonts w:ascii="Arial" w:hAnsi="Arial" w:cs="Arial"/>
          <w:i/>
          <w:iCs/>
          <w:sz w:val="22"/>
        </w:rPr>
        <w:t>13</w:t>
      </w:r>
      <w:r w:rsidRPr="00BD63C0">
        <w:rPr>
          <w:rFonts w:ascii="Arial" w:hAnsi="Arial" w:cs="Arial"/>
          <w:sz w:val="22"/>
        </w:rPr>
        <w:t>(11), p.6049.</w:t>
      </w:r>
    </w:p>
    <w:p w14:paraId="5A10AE58" w14:textId="77777777" w:rsidR="003901B7" w:rsidRPr="00BD63C0" w:rsidRDefault="003901B7" w:rsidP="00BD63C0">
      <w:pPr>
        <w:rPr>
          <w:rFonts w:ascii="Arial" w:hAnsi="Arial" w:cs="Arial"/>
          <w:sz w:val="22"/>
        </w:rPr>
      </w:pPr>
      <w:r w:rsidRPr="00BD63C0">
        <w:rPr>
          <w:rFonts w:ascii="Arial" w:hAnsi="Arial" w:cs="Arial"/>
          <w:sz w:val="22"/>
        </w:rPr>
        <w:t>Eierle, B., Hartlieb, S., Hay, D.C., Niemi, L. and Ojala, H., 2022. External factors and the pricing of audit services: A systematic review of the archival literature using a PESTLE analysis. </w:t>
      </w:r>
      <w:r w:rsidRPr="00BD63C0">
        <w:rPr>
          <w:rFonts w:ascii="Arial" w:hAnsi="Arial" w:cs="Arial"/>
          <w:i/>
          <w:iCs/>
          <w:sz w:val="22"/>
        </w:rPr>
        <w:t>Auditing: A Journal of Practice &amp; Theory</w:t>
      </w:r>
      <w:r w:rsidRPr="00BD63C0">
        <w:rPr>
          <w:rFonts w:ascii="Arial" w:hAnsi="Arial" w:cs="Arial"/>
          <w:sz w:val="22"/>
        </w:rPr>
        <w:t>, </w:t>
      </w:r>
      <w:r w:rsidRPr="00BD63C0">
        <w:rPr>
          <w:rFonts w:ascii="Arial" w:hAnsi="Arial" w:cs="Arial"/>
          <w:i/>
          <w:iCs/>
          <w:sz w:val="22"/>
        </w:rPr>
        <w:t>41</w:t>
      </w:r>
      <w:r w:rsidRPr="00BD63C0">
        <w:rPr>
          <w:rFonts w:ascii="Arial" w:hAnsi="Arial" w:cs="Arial"/>
          <w:sz w:val="22"/>
        </w:rPr>
        <w:t>(3), pp.95-119.</w:t>
      </w:r>
    </w:p>
    <w:p w14:paraId="4CFD46ED" w14:textId="77777777" w:rsidR="003901B7" w:rsidRPr="00BD63C0" w:rsidRDefault="003901B7" w:rsidP="00BD63C0">
      <w:pPr>
        <w:rPr>
          <w:rFonts w:ascii="Arial" w:hAnsi="Arial" w:cs="Arial"/>
          <w:sz w:val="22"/>
        </w:rPr>
      </w:pPr>
      <w:r w:rsidRPr="00BD63C0">
        <w:rPr>
          <w:rFonts w:ascii="Arial" w:hAnsi="Arial" w:cs="Arial"/>
          <w:sz w:val="22"/>
        </w:rPr>
        <w:t>Fedotov, P., 2022. Critical Analysis of the Electric Vehicle Industry: Five forces and strategic action fields. </w:t>
      </w:r>
      <w:r w:rsidRPr="00BD63C0">
        <w:rPr>
          <w:rFonts w:ascii="Arial" w:hAnsi="Arial" w:cs="Arial"/>
          <w:i/>
          <w:iCs/>
          <w:sz w:val="22"/>
        </w:rPr>
        <w:t>Exchanges: The Interdisciplinary Research Journal</w:t>
      </w:r>
      <w:r w:rsidRPr="00BD63C0">
        <w:rPr>
          <w:rFonts w:ascii="Arial" w:hAnsi="Arial" w:cs="Arial"/>
          <w:sz w:val="22"/>
        </w:rPr>
        <w:t>, </w:t>
      </w:r>
      <w:r w:rsidRPr="00BD63C0">
        <w:rPr>
          <w:rFonts w:ascii="Arial" w:hAnsi="Arial" w:cs="Arial"/>
          <w:i/>
          <w:iCs/>
          <w:sz w:val="22"/>
        </w:rPr>
        <w:t>10</w:t>
      </w:r>
      <w:r w:rsidRPr="00BD63C0">
        <w:rPr>
          <w:rFonts w:ascii="Arial" w:hAnsi="Arial" w:cs="Arial"/>
          <w:sz w:val="22"/>
        </w:rPr>
        <w:t>(1), pp.43-56.</w:t>
      </w:r>
    </w:p>
    <w:p w14:paraId="2B96CD96" w14:textId="77777777" w:rsidR="003901B7" w:rsidRPr="00BD63C0" w:rsidRDefault="003901B7" w:rsidP="00BD63C0">
      <w:pPr>
        <w:rPr>
          <w:rFonts w:ascii="Arial" w:hAnsi="Arial" w:cs="Arial"/>
          <w:sz w:val="22"/>
        </w:rPr>
      </w:pPr>
      <w:r w:rsidRPr="00BD63C0">
        <w:rPr>
          <w:rFonts w:ascii="Arial" w:hAnsi="Arial" w:cs="Arial"/>
          <w:sz w:val="22"/>
        </w:rPr>
        <w:t>Grant, R.M., 2021. </w:t>
      </w:r>
      <w:r w:rsidRPr="00BD63C0">
        <w:rPr>
          <w:rFonts w:ascii="Arial" w:hAnsi="Arial" w:cs="Arial"/>
          <w:i/>
          <w:iCs/>
          <w:sz w:val="22"/>
        </w:rPr>
        <w:t>Contemporary strategy analysis</w:t>
      </w:r>
      <w:r w:rsidRPr="00BD63C0">
        <w:rPr>
          <w:rFonts w:ascii="Arial" w:hAnsi="Arial" w:cs="Arial"/>
          <w:sz w:val="22"/>
        </w:rPr>
        <w:t>. John Wiley &amp; Sons.</w:t>
      </w:r>
    </w:p>
    <w:p w14:paraId="5359C503" w14:textId="77777777" w:rsidR="003901B7" w:rsidRPr="00BD63C0" w:rsidRDefault="003901B7" w:rsidP="00BD63C0">
      <w:pPr>
        <w:rPr>
          <w:rFonts w:ascii="Arial" w:hAnsi="Arial" w:cs="Arial"/>
          <w:sz w:val="22"/>
        </w:rPr>
      </w:pPr>
      <w:r w:rsidRPr="00BD63C0">
        <w:rPr>
          <w:rFonts w:ascii="Arial" w:hAnsi="Arial" w:cs="Arial"/>
          <w:sz w:val="22"/>
        </w:rPr>
        <w:t>Henry, A., 2021. </w:t>
      </w:r>
      <w:r w:rsidRPr="00BD63C0">
        <w:rPr>
          <w:rFonts w:ascii="Arial" w:hAnsi="Arial" w:cs="Arial"/>
          <w:i/>
          <w:iCs/>
          <w:sz w:val="22"/>
        </w:rPr>
        <w:t>Understanding strategic management</w:t>
      </w:r>
      <w:r w:rsidRPr="00BD63C0">
        <w:rPr>
          <w:rFonts w:ascii="Arial" w:hAnsi="Arial" w:cs="Arial"/>
          <w:sz w:val="22"/>
        </w:rPr>
        <w:t>. Oxford University Press.</w:t>
      </w:r>
    </w:p>
    <w:p w14:paraId="35E7F5E8" w14:textId="77777777" w:rsidR="003901B7" w:rsidRPr="00BD63C0" w:rsidRDefault="003901B7" w:rsidP="00BD63C0">
      <w:pPr>
        <w:rPr>
          <w:rFonts w:ascii="Arial" w:hAnsi="Arial" w:cs="Arial"/>
          <w:sz w:val="22"/>
        </w:rPr>
      </w:pPr>
      <w:r w:rsidRPr="00BD63C0">
        <w:rPr>
          <w:rFonts w:ascii="Arial" w:hAnsi="Arial" w:cs="Arial"/>
          <w:sz w:val="22"/>
        </w:rPr>
        <w:t>Iruthayasamy, L., 2021. The resource-based view. In </w:t>
      </w:r>
      <w:r w:rsidRPr="00BD63C0">
        <w:rPr>
          <w:rFonts w:ascii="Arial" w:hAnsi="Arial" w:cs="Arial"/>
          <w:i/>
          <w:iCs/>
          <w:sz w:val="22"/>
        </w:rPr>
        <w:t>Understanding business strategy: confusion and consensus</w:t>
      </w:r>
      <w:r w:rsidRPr="00BD63C0">
        <w:rPr>
          <w:rFonts w:ascii="Arial" w:hAnsi="Arial" w:cs="Arial"/>
          <w:sz w:val="22"/>
        </w:rPr>
        <w:t> (pp. 63-74). Singapore: Springer Singapore.</w:t>
      </w:r>
    </w:p>
    <w:p w14:paraId="1ED19BC0" w14:textId="77777777" w:rsidR="003901B7" w:rsidRPr="00BD63C0" w:rsidRDefault="003901B7" w:rsidP="00BD63C0">
      <w:pPr>
        <w:rPr>
          <w:rFonts w:ascii="Arial" w:hAnsi="Arial" w:cs="Arial"/>
          <w:sz w:val="22"/>
        </w:rPr>
      </w:pPr>
      <w:r w:rsidRPr="00BD63C0">
        <w:rPr>
          <w:rFonts w:ascii="Arial" w:hAnsi="Arial" w:cs="Arial"/>
          <w:sz w:val="22"/>
        </w:rPr>
        <w:t xml:space="preserve">Kumar, A., Shrivastav, S.K. and Bhattacharyya, S., 2023. Measuring strategic fit using big data analytics in the automotive supply chain: </w:t>
      </w:r>
      <w:proofErr w:type="gramStart"/>
      <w:r w:rsidRPr="00BD63C0">
        <w:rPr>
          <w:rFonts w:ascii="Arial" w:hAnsi="Arial" w:cs="Arial"/>
          <w:sz w:val="22"/>
        </w:rPr>
        <w:t>a data source triangulation-based research</w:t>
      </w:r>
      <w:proofErr w:type="gramEnd"/>
      <w:r w:rsidRPr="00BD63C0">
        <w:rPr>
          <w:rFonts w:ascii="Arial" w:hAnsi="Arial" w:cs="Arial"/>
          <w:sz w:val="22"/>
        </w:rPr>
        <w:t>. </w:t>
      </w:r>
      <w:r w:rsidRPr="00BD63C0">
        <w:rPr>
          <w:rFonts w:ascii="Arial" w:hAnsi="Arial" w:cs="Arial"/>
          <w:i/>
          <w:iCs/>
          <w:sz w:val="22"/>
        </w:rPr>
        <w:t>International journal of productivity and performance management</w:t>
      </w:r>
      <w:r w:rsidRPr="00BD63C0">
        <w:rPr>
          <w:rFonts w:ascii="Arial" w:hAnsi="Arial" w:cs="Arial"/>
          <w:sz w:val="22"/>
        </w:rPr>
        <w:t>, </w:t>
      </w:r>
      <w:r w:rsidRPr="00BD63C0">
        <w:rPr>
          <w:rFonts w:ascii="Arial" w:hAnsi="Arial" w:cs="Arial"/>
          <w:i/>
          <w:iCs/>
          <w:sz w:val="22"/>
        </w:rPr>
        <w:t>72</w:t>
      </w:r>
      <w:r w:rsidRPr="00BD63C0">
        <w:rPr>
          <w:rFonts w:ascii="Arial" w:hAnsi="Arial" w:cs="Arial"/>
          <w:sz w:val="22"/>
        </w:rPr>
        <w:t>(10), pp.2977-2999.</w:t>
      </w:r>
    </w:p>
    <w:p w14:paraId="6A50DFC0" w14:textId="77777777" w:rsidR="003901B7" w:rsidRPr="00BD63C0" w:rsidRDefault="003901B7" w:rsidP="00BD63C0">
      <w:pPr>
        <w:rPr>
          <w:rFonts w:ascii="Arial" w:hAnsi="Arial" w:cs="Arial"/>
          <w:sz w:val="22"/>
        </w:rPr>
      </w:pPr>
      <w:r w:rsidRPr="00BD63C0">
        <w:rPr>
          <w:rFonts w:ascii="Arial" w:hAnsi="Arial" w:cs="Arial"/>
          <w:sz w:val="22"/>
        </w:rPr>
        <w:lastRenderedPageBreak/>
        <w:t>Levinson, W.A., 2024. </w:t>
      </w:r>
      <w:r w:rsidRPr="00BD63C0">
        <w:rPr>
          <w:rFonts w:ascii="Arial" w:hAnsi="Arial" w:cs="Arial"/>
          <w:i/>
          <w:iCs/>
          <w:sz w:val="22"/>
        </w:rPr>
        <w:t xml:space="preserve">Henry Ford's lean vision: Enduring principles from the first </w:t>
      </w:r>
      <w:proofErr w:type="gramStart"/>
      <w:r w:rsidRPr="00BD63C0">
        <w:rPr>
          <w:rFonts w:ascii="Arial" w:hAnsi="Arial" w:cs="Arial"/>
          <w:i/>
          <w:iCs/>
          <w:sz w:val="22"/>
        </w:rPr>
        <w:t>Ford motor</w:t>
      </w:r>
      <w:proofErr w:type="gramEnd"/>
      <w:r w:rsidRPr="00BD63C0">
        <w:rPr>
          <w:rFonts w:ascii="Arial" w:hAnsi="Arial" w:cs="Arial"/>
          <w:i/>
          <w:iCs/>
          <w:sz w:val="22"/>
        </w:rPr>
        <w:t xml:space="preserve"> plant</w:t>
      </w:r>
      <w:r w:rsidRPr="00BD63C0">
        <w:rPr>
          <w:rFonts w:ascii="Arial" w:hAnsi="Arial" w:cs="Arial"/>
          <w:sz w:val="22"/>
        </w:rPr>
        <w:t>. CRC Press.</w:t>
      </w:r>
    </w:p>
    <w:p w14:paraId="3BA4C222" w14:textId="77777777" w:rsidR="003901B7" w:rsidRPr="00BD63C0" w:rsidRDefault="003901B7" w:rsidP="00BD63C0">
      <w:pPr>
        <w:rPr>
          <w:rFonts w:ascii="Arial" w:hAnsi="Arial" w:cs="Arial"/>
          <w:sz w:val="22"/>
        </w:rPr>
      </w:pPr>
      <w:proofErr w:type="spellStart"/>
      <w:r w:rsidRPr="00BD63C0">
        <w:rPr>
          <w:rFonts w:ascii="Arial" w:hAnsi="Arial" w:cs="Arial"/>
          <w:sz w:val="22"/>
        </w:rPr>
        <w:t>Markulik</w:t>
      </w:r>
      <w:proofErr w:type="spellEnd"/>
      <w:r w:rsidRPr="00BD63C0">
        <w:rPr>
          <w:rFonts w:ascii="Arial" w:hAnsi="Arial" w:cs="Arial"/>
          <w:sz w:val="22"/>
        </w:rPr>
        <w:t xml:space="preserve">, Š., Šolc, M. and </w:t>
      </w:r>
      <w:proofErr w:type="spellStart"/>
      <w:r w:rsidRPr="00BD63C0">
        <w:rPr>
          <w:rFonts w:ascii="Arial" w:hAnsi="Arial" w:cs="Arial"/>
          <w:sz w:val="22"/>
        </w:rPr>
        <w:t>Blaško</w:t>
      </w:r>
      <w:proofErr w:type="spellEnd"/>
      <w:r w:rsidRPr="00BD63C0">
        <w:rPr>
          <w:rFonts w:ascii="Arial" w:hAnsi="Arial" w:cs="Arial"/>
          <w:sz w:val="22"/>
        </w:rPr>
        <w:t>, P., 2024. Use of Risk Management to Support Business Sustainability in the Automotive Industry. </w:t>
      </w:r>
      <w:r w:rsidRPr="00BD63C0">
        <w:rPr>
          <w:rFonts w:ascii="Arial" w:hAnsi="Arial" w:cs="Arial"/>
          <w:i/>
          <w:iCs/>
          <w:sz w:val="22"/>
        </w:rPr>
        <w:t>Sustainability</w:t>
      </w:r>
      <w:r w:rsidRPr="00BD63C0">
        <w:rPr>
          <w:rFonts w:ascii="Arial" w:hAnsi="Arial" w:cs="Arial"/>
          <w:sz w:val="22"/>
        </w:rPr>
        <w:t>, </w:t>
      </w:r>
      <w:r w:rsidRPr="00BD63C0">
        <w:rPr>
          <w:rFonts w:ascii="Arial" w:hAnsi="Arial" w:cs="Arial"/>
          <w:i/>
          <w:iCs/>
          <w:sz w:val="22"/>
        </w:rPr>
        <w:t>16</w:t>
      </w:r>
      <w:r w:rsidRPr="00BD63C0">
        <w:rPr>
          <w:rFonts w:ascii="Arial" w:hAnsi="Arial" w:cs="Arial"/>
          <w:sz w:val="22"/>
        </w:rPr>
        <w:t>(10), p.4308.</w:t>
      </w:r>
    </w:p>
    <w:p w14:paraId="3AB87615" w14:textId="77777777" w:rsidR="003901B7" w:rsidRPr="00BD63C0" w:rsidRDefault="003901B7" w:rsidP="00BD63C0">
      <w:pPr>
        <w:rPr>
          <w:rFonts w:ascii="Arial" w:hAnsi="Arial" w:cs="Arial"/>
          <w:sz w:val="22"/>
        </w:rPr>
      </w:pPr>
      <w:r w:rsidRPr="00BD63C0">
        <w:rPr>
          <w:rFonts w:ascii="Arial" w:hAnsi="Arial" w:cs="Arial"/>
          <w:sz w:val="22"/>
        </w:rPr>
        <w:t xml:space="preserve">Pangarkar, N. and </w:t>
      </w:r>
      <w:proofErr w:type="spellStart"/>
      <w:r w:rsidRPr="00BD63C0">
        <w:rPr>
          <w:rFonts w:ascii="Arial" w:hAnsi="Arial" w:cs="Arial"/>
          <w:sz w:val="22"/>
        </w:rPr>
        <w:t>Prabhudesai</w:t>
      </w:r>
      <w:proofErr w:type="spellEnd"/>
      <w:r w:rsidRPr="00BD63C0">
        <w:rPr>
          <w:rFonts w:ascii="Arial" w:hAnsi="Arial" w:cs="Arial"/>
          <w:sz w:val="22"/>
        </w:rPr>
        <w:t>, R., 2024. Using Porter's Five Forces analysis to drive strategy. </w:t>
      </w:r>
      <w:r w:rsidRPr="00BD63C0">
        <w:rPr>
          <w:rFonts w:ascii="Arial" w:hAnsi="Arial" w:cs="Arial"/>
          <w:i/>
          <w:iCs/>
          <w:sz w:val="22"/>
        </w:rPr>
        <w:t>Global Business and Organizational Excellence</w:t>
      </w:r>
      <w:r w:rsidRPr="00BD63C0">
        <w:rPr>
          <w:rFonts w:ascii="Arial" w:hAnsi="Arial" w:cs="Arial"/>
          <w:sz w:val="22"/>
        </w:rPr>
        <w:t>, </w:t>
      </w:r>
      <w:r w:rsidRPr="00BD63C0">
        <w:rPr>
          <w:rFonts w:ascii="Arial" w:hAnsi="Arial" w:cs="Arial"/>
          <w:i/>
          <w:iCs/>
          <w:sz w:val="22"/>
        </w:rPr>
        <w:t>43</w:t>
      </w:r>
      <w:r w:rsidRPr="00BD63C0">
        <w:rPr>
          <w:rFonts w:ascii="Arial" w:hAnsi="Arial" w:cs="Arial"/>
          <w:sz w:val="22"/>
        </w:rPr>
        <w:t>(5), pp.24-34.</w:t>
      </w:r>
    </w:p>
    <w:p w14:paraId="5196D467" w14:textId="77777777" w:rsidR="003901B7" w:rsidRPr="00BD63C0" w:rsidRDefault="003901B7" w:rsidP="00BD63C0">
      <w:pPr>
        <w:rPr>
          <w:rFonts w:ascii="Arial" w:hAnsi="Arial" w:cs="Arial"/>
          <w:sz w:val="22"/>
        </w:rPr>
      </w:pPr>
      <w:r w:rsidRPr="00BD63C0">
        <w:rPr>
          <w:rFonts w:ascii="Arial" w:hAnsi="Arial" w:cs="Arial"/>
          <w:sz w:val="22"/>
        </w:rPr>
        <w:t>Sanci, E., Daskin, M.S., Hong, Y.C., Roesch, S. and Zhang, D., 2022. Mitigation strategies against supply disruption risk: a case study at the Ford Motor Company. </w:t>
      </w:r>
      <w:r w:rsidRPr="00BD63C0">
        <w:rPr>
          <w:rFonts w:ascii="Arial" w:hAnsi="Arial" w:cs="Arial"/>
          <w:i/>
          <w:iCs/>
          <w:sz w:val="22"/>
        </w:rPr>
        <w:t>International Journal of Production Research</w:t>
      </w:r>
      <w:r w:rsidRPr="00BD63C0">
        <w:rPr>
          <w:rFonts w:ascii="Arial" w:hAnsi="Arial" w:cs="Arial"/>
          <w:sz w:val="22"/>
        </w:rPr>
        <w:t>, </w:t>
      </w:r>
      <w:r w:rsidRPr="00BD63C0">
        <w:rPr>
          <w:rFonts w:ascii="Arial" w:hAnsi="Arial" w:cs="Arial"/>
          <w:i/>
          <w:iCs/>
          <w:sz w:val="22"/>
        </w:rPr>
        <w:t>60</w:t>
      </w:r>
      <w:r w:rsidRPr="00BD63C0">
        <w:rPr>
          <w:rFonts w:ascii="Arial" w:hAnsi="Arial" w:cs="Arial"/>
          <w:sz w:val="22"/>
        </w:rPr>
        <w:t>(19), pp.5956-5976.</w:t>
      </w:r>
    </w:p>
    <w:p w14:paraId="689A22A2" w14:textId="77777777" w:rsidR="00160F4F" w:rsidRPr="00BD63C0" w:rsidRDefault="00160F4F" w:rsidP="00BD63C0">
      <w:pPr>
        <w:rPr>
          <w:rFonts w:ascii="Arial" w:hAnsi="Arial" w:cs="Arial"/>
          <w:sz w:val="22"/>
        </w:rPr>
      </w:pPr>
    </w:p>
    <w:p w14:paraId="4AB0C7F8" w14:textId="77777777" w:rsidR="00160F4F" w:rsidRPr="00BD63C0" w:rsidRDefault="00160F4F" w:rsidP="00BD63C0">
      <w:pPr>
        <w:rPr>
          <w:rFonts w:ascii="Arial" w:hAnsi="Arial" w:cs="Arial"/>
          <w:sz w:val="22"/>
        </w:rPr>
      </w:pPr>
    </w:p>
    <w:p w14:paraId="5783550D" w14:textId="77777777" w:rsidR="00981410" w:rsidRPr="00BD63C0" w:rsidRDefault="00981410" w:rsidP="00BD63C0">
      <w:pPr>
        <w:rPr>
          <w:rFonts w:ascii="Arial" w:hAnsi="Arial" w:cs="Arial"/>
          <w:sz w:val="22"/>
        </w:rPr>
      </w:pPr>
    </w:p>
    <w:p w14:paraId="4E30D1E1" w14:textId="77777777" w:rsidR="00981410" w:rsidRPr="00BD63C0" w:rsidRDefault="00981410" w:rsidP="00BD63C0">
      <w:pPr>
        <w:rPr>
          <w:rFonts w:ascii="Arial" w:hAnsi="Arial" w:cs="Arial"/>
          <w:sz w:val="22"/>
        </w:rPr>
      </w:pPr>
    </w:p>
    <w:sectPr w:rsidR="00981410" w:rsidRPr="00BD63C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2042E7" w14:textId="77777777" w:rsidR="00DF71E0" w:rsidRDefault="00DF71E0" w:rsidP="00B4268A">
      <w:pPr>
        <w:spacing w:after="0" w:line="240" w:lineRule="auto"/>
      </w:pPr>
      <w:r>
        <w:separator/>
      </w:r>
    </w:p>
  </w:endnote>
  <w:endnote w:type="continuationSeparator" w:id="0">
    <w:p w14:paraId="713CDB5D" w14:textId="77777777" w:rsidR="00DF71E0" w:rsidRDefault="00DF71E0" w:rsidP="00B42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4840686"/>
      <w:docPartObj>
        <w:docPartGallery w:val="Page Numbers (Bottom of Page)"/>
        <w:docPartUnique/>
      </w:docPartObj>
    </w:sdtPr>
    <w:sdtEndPr>
      <w:rPr>
        <w:noProof/>
      </w:rPr>
    </w:sdtEndPr>
    <w:sdtContent>
      <w:p w14:paraId="1E6948C1" w14:textId="79BC1CE1" w:rsidR="00B4268A" w:rsidRDefault="00B426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4E2333" w14:textId="77777777" w:rsidR="00B4268A" w:rsidRDefault="00B42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F5F0D3" w14:textId="77777777" w:rsidR="00DF71E0" w:rsidRDefault="00DF71E0" w:rsidP="00B4268A">
      <w:pPr>
        <w:spacing w:after="0" w:line="240" w:lineRule="auto"/>
      </w:pPr>
      <w:r>
        <w:separator/>
      </w:r>
    </w:p>
  </w:footnote>
  <w:footnote w:type="continuationSeparator" w:id="0">
    <w:p w14:paraId="47DB7C69" w14:textId="77777777" w:rsidR="00DF71E0" w:rsidRDefault="00DF71E0" w:rsidP="00B426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62566B"/>
    <w:multiLevelType w:val="hybridMultilevel"/>
    <w:tmpl w:val="212E4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C31DA4"/>
    <w:multiLevelType w:val="hybridMultilevel"/>
    <w:tmpl w:val="88C6B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704916">
    <w:abstractNumId w:val="1"/>
  </w:num>
  <w:num w:numId="2" w16cid:durableId="1977448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750"/>
    <w:rsid w:val="000F4B8E"/>
    <w:rsid w:val="00106638"/>
    <w:rsid w:val="00160F4F"/>
    <w:rsid w:val="00164750"/>
    <w:rsid w:val="001834E0"/>
    <w:rsid w:val="001F56E5"/>
    <w:rsid w:val="00274665"/>
    <w:rsid w:val="002C6F37"/>
    <w:rsid w:val="002E447C"/>
    <w:rsid w:val="003820C6"/>
    <w:rsid w:val="003901B7"/>
    <w:rsid w:val="00393726"/>
    <w:rsid w:val="003D32DA"/>
    <w:rsid w:val="003F1EF9"/>
    <w:rsid w:val="00447E65"/>
    <w:rsid w:val="004B6089"/>
    <w:rsid w:val="004E505E"/>
    <w:rsid w:val="0075065C"/>
    <w:rsid w:val="00831A9B"/>
    <w:rsid w:val="00976686"/>
    <w:rsid w:val="00977336"/>
    <w:rsid w:val="00981410"/>
    <w:rsid w:val="009D5838"/>
    <w:rsid w:val="00A2019D"/>
    <w:rsid w:val="00A6741B"/>
    <w:rsid w:val="00B4268A"/>
    <w:rsid w:val="00B54E61"/>
    <w:rsid w:val="00B9749E"/>
    <w:rsid w:val="00BB40EA"/>
    <w:rsid w:val="00BD63C0"/>
    <w:rsid w:val="00CA4DCD"/>
    <w:rsid w:val="00CD473C"/>
    <w:rsid w:val="00D8228B"/>
    <w:rsid w:val="00DF71E0"/>
    <w:rsid w:val="00E5438B"/>
    <w:rsid w:val="00EA087F"/>
    <w:rsid w:val="00EA76CC"/>
    <w:rsid w:val="00EF5EF2"/>
    <w:rsid w:val="00F05F8D"/>
    <w:rsid w:val="00F749E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43B7E"/>
  <w15:chartTrackingRefBased/>
  <w15:docId w15:val="{EAD94233-BD35-4268-8B39-A2B5DB38A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paragraph" w:styleId="Heading5">
    <w:name w:val="heading 5"/>
    <w:basedOn w:val="Normal"/>
    <w:next w:val="Normal"/>
    <w:link w:val="Heading5Char"/>
    <w:uiPriority w:val="9"/>
    <w:semiHidden/>
    <w:unhideWhenUsed/>
    <w:qFormat/>
    <w:rsid w:val="0016475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6475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6475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6475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6475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character" w:customStyle="1" w:styleId="Heading5Char">
    <w:name w:val="Heading 5 Char"/>
    <w:basedOn w:val="DefaultParagraphFont"/>
    <w:link w:val="Heading5"/>
    <w:uiPriority w:val="9"/>
    <w:semiHidden/>
    <w:rsid w:val="00164750"/>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16475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6475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6475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64750"/>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647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47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475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47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4750"/>
    <w:pPr>
      <w:spacing w:before="160"/>
      <w:jc w:val="center"/>
    </w:pPr>
    <w:rPr>
      <w:i/>
      <w:iCs/>
      <w:color w:val="404040" w:themeColor="text1" w:themeTint="BF"/>
    </w:rPr>
  </w:style>
  <w:style w:type="character" w:customStyle="1" w:styleId="QuoteChar">
    <w:name w:val="Quote Char"/>
    <w:basedOn w:val="DefaultParagraphFont"/>
    <w:link w:val="Quote"/>
    <w:uiPriority w:val="29"/>
    <w:rsid w:val="00164750"/>
    <w:rPr>
      <w:rFonts w:ascii="Times New Roman" w:hAnsi="Times New Roman"/>
      <w:i/>
      <w:iCs/>
      <w:color w:val="404040" w:themeColor="text1" w:themeTint="BF"/>
      <w:sz w:val="24"/>
    </w:rPr>
  </w:style>
  <w:style w:type="character" w:styleId="IntenseEmphasis">
    <w:name w:val="Intense Emphasis"/>
    <w:basedOn w:val="DefaultParagraphFont"/>
    <w:uiPriority w:val="21"/>
    <w:qFormat/>
    <w:rsid w:val="00164750"/>
    <w:rPr>
      <w:i/>
      <w:iCs/>
      <w:color w:val="2F5496" w:themeColor="accent1" w:themeShade="BF"/>
    </w:rPr>
  </w:style>
  <w:style w:type="paragraph" w:styleId="IntenseQuote">
    <w:name w:val="Intense Quote"/>
    <w:basedOn w:val="Normal"/>
    <w:next w:val="Normal"/>
    <w:link w:val="IntenseQuoteChar"/>
    <w:uiPriority w:val="30"/>
    <w:qFormat/>
    <w:rsid w:val="001647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64750"/>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164750"/>
    <w:rPr>
      <w:b/>
      <w:bCs/>
      <w:smallCaps/>
      <w:color w:val="2F5496" w:themeColor="accent1" w:themeShade="BF"/>
      <w:spacing w:val="5"/>
    </w:rPr>
  </w:style>
  <w:style w:type="table" w:styleId="TableGrid">
    <w:name w:val="Table Grid"/>
    <w:basedOn w:val="TableNormal"/>
    <w:uiPriority w:val="39"/>
    <w:rsid w:val="00F749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4268A"/>
    <w:pPr>
      <w:spacing w:after="100"/>
    </w:pPr>
  </w:style>
  <w:style w:type="paragraph" w:styleId="TOC2">
    <w:name w:val="toc 2"/>
    <w:basedOn w:val="Normal"/>
    <w:next w:val="Normal"/>
    <w:autoRedefine/>
    <w:uiPriority w:val="39"/>
    <w:unhideWhenUsed/>
    <w:rsid w:val="00B4268A"/>
    <w:pPr>
      <w:spacing w:after="100"/>
      <w:ind w:left="240"/>
    </w:pPr>
  </w:style>
  <w:style w:type="character" w:styleId="Hyperlink">
    <w:name w:val="Hyperlink"/>
    <w:basedOn w:val="DefaultParagraphFont"/>
    <w:uiPriority w:val="99"/>
    <w:unhideWhenUsed/>
    <w:rsid w:val="00B4268A"/>
    <w:rPr>
      <w:color w:val="0563C1" w:themeColor="hyperlink"/>
      <w:u w:val="single"/>
    </w:rPr>
  </w:style>
  <w:style w:type="paragraph" w:styleId="Header">
    <w:name w:val="header"/>
    <w:basedOn w:val="Normal"/>
    <w:link w:val="HeaderChar"/>
    <w:uiPriority w:val="99"/>
    <w:unhideWhenUsed/>
    <w:rsid w:val="00B426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268A"/>
    <w:rPr>
      <w:rFonts w:ascii="Times New Roman" w:hAnsi="Times New Roman"/>
      <w:sz w:val="24"/>
    </w:rPr>
  </w:style>
  <w:style w:type="paragraph" w:styleId="Footer">
    <w:name w:val="footer"/>
    <w:basedOn w:val="Normal"/>
    <w:link w:val="FooterChar"/>
    <w:uiPriority w:val="99"/>
    <w:unhideWhenUsed/>
    <w:rsid w:val="00B426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268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237A9E-69B3-4695-9884-E1D008B51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3328</Words>
  <Characters>18975</Characters>
  <Application>Microsoft Office Word</Application>
  <DocSecurity>0</DocSecurity>
  <Lines>158</Lines>
  <Paragraphs>44</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Executive Summary </vt:lpstr>
      <vt:lpstr>Introduction </vt:lpstr>
      <vt:lpstr>Overview of the company </vt:lpstr>
      <vt:lpstr>Strategy Analysis of Ford Motor Company</vt:lpstr>
      <vt:lpstr>External Environment Audit</vt:lpstr>
      <vt:lpstr>    PESTLE Analysis</vt:lpstr>
      <vt:lpstr>    Porter’s Five Forces Analysis</vt:lpstr>
      <vt:lpstr>Internal Environment Audit</vt:lpstr>
      <vt:lpstr>    Value Chain Analysis</vt:lpstr>
      <vt:lpstr>    Resource-Based View (RBV) and VRIO Analysis</vt:lpstr>
      <vt:lpstr>    SWOT Analysis</vt:lpstr>
      <vt:lpstr>Strategy Formulation</vt:lpstr>
      <vt:lpstr>Conclusion and Recommendations. </vt:lpstr>
      <vt:lpstr>References </vt:lpstr>
    </vt:vector>
  </TitlesOfParts>
  <Company/>
  <LinksUpToDate>false</LinksUpToDate>
  <CharactersWithSpaces>22259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 Robayat Hasan</dc:creator>
  <cp:keywords/>
  <dc:description/>
  <cp:lastModifiedBy>Robayat Hasan</cp:lastModifiedBy>
  <cp:revision>4</cp:revision>
  <dcterms:created xsi:type="dcterms:W3CDTF">2025-10-19T16:39:00Z</dcterms:created>
  <dcterms:modified xsi:type="dcterms:W3CDTF">2025-10-20T20:04:00Z</dcterms:modified>
</cp:coreProperties>
</file>