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1D130" w14:textId="1248AE1B" w:rsidR="00222AB4" w:rsidRPr="00222AB4" w:rsidRDefault="00222AB4">
      <w:pPr>
        <w:rPr>
          <w:sz w:val="32"/>
          <w:szCs w:val="32"/>
        </w:rPr>
      </w:pPr>
      <w:r w:rsidRPr="00222AB4">
        <w:rPr>
          <w:sz w:val="32"/>
          <w:szCs w:val="32"/>
        </w:rPr>
        <w:t xml:space="preserve">LCBB6006 PROJECT MANAGEMENT </w:t>
      </w:r>
    </w:p>
    <w:p w14:paraId="76FFBBEB" w14:textId="1BED95E0" w:rsidR="00222AB4" w:rsidRDefault="00222AB4">
      <w:pPr>
        <w:rPr>
          <w:sz w:val="32"/>
          <w:szCs w:val="32"/>
        </w:rPr>
      </w:pPr>
      <w:r w:rsidRPr="00222AB4">
        <w:rPr>
          <w:sz w:val="32"/>
          <w:szCs w:val="32"/>
        </w:rPr>
        <w:t>Week 3 Seminar Case Study and Assessment Guidance</w:t>
      </w:r>
    </w:p>
    <w:p w14:paraId="582F12E9" w14:textId="77777777" w:rsidR="00222AB4" w:rsidRDefault="00222AB4">
      <w:pPr>
        <w:rPr>
          <w:sz w:val="32"/>
          <w:szCs w:val="32"/>
        </w:rPr>
      </w:pPr>
    </w:p>
    <w:p w14:paraId="7ED650F2" w14:textId="66FE5FF6" w:rsidR="00222AB4" w:rsidRDefault="00222AB4">
      <w:pPr>
        <w:rPr>
          <w:sz w:val="32"/>
          <w:szCs w:val="32"/>
        </w:rPr>
      </w:pPr>
      <w:proofErr w:type="spellStart"/>
      <w:r>
        <w:rPr>
          <w:sz w:val="32"/>
          <w:szCs w:val="32"/>
        </w:rPr>
        <w:t>ReGEN</w:t>
      </w:r>
      <w:proofErr w:type="spellEnd"/>
      <w:r>
        <w:rPr>
          <w:sz w:val="32"/>
          <w:szCs w:val="32"/>
        </w:rPr>
        <w:t xml:space="preserve"> is a m</w:t>
      </w:r>
      <w:r w:rsidR="007A6CCF">
        <w:rPr>
          <w:sz w:val="32"/>
          <w:szCs w:val="32"/>
        </w:rPr>
        <w:t>id</w:t>
      </w:r>
      <w:r>
        <w:rPr>
          <w:sz w:val="32"/>
          <w:szCs w:val="32"/>
        </w:rPr>
        <w:t xml:space="preserve">- sized company in the UK retail textile and apparel sector and has grown from one location to 5 locations across the country. </w:t>
      </w:r>
      <w:r w:rsidR="007A6CCF">
        <w:rPr>
          <w:sz w:val="32"/>
          <w:szCs w:val="32"/>
        </w:rPr>
        <w:t xml:space="preserve">It clothing range is edgy and eclectic and appeals to age groups between 16 and 40. </w:t>
      </w:r>
    </w:p>
    <w:p w14:paraId="61C2CAF8" w14:textId="77777777" w:rsidR="00222AB4" w:rsidRDefault="00222AB4" w:rsidP="00222AB4">
      <w:r>
        <w:rPr>
          <w:sz w:val="32"/>
          <w:szCs w:val="32"/>
        </w:rPr>
        <w:t xml:space="preserve">The </w:t>
      </w:r>
      <w:r w:rsidRPr="00222AB4">
        <w:rPr>
          <w:sz w:val="32"/>
          <w:szCs w:val="32"/>
        </w:rPr>
        <w:t xml:space="preserve">Companies Act 2006, </w:t>
      </w:r>
      <w:r>
        <w:rPr>
          <w:sz w:val="32"/>
          <w:szCs w:val="32"/>
        </w:rPr>
        <w:t xml:space="preserve">defines </w:t>
      </w:r>
      <w:r w:rsidRPr="00222AB4">
        <w:rPr>
          <w:sz w:val="32"/>
          <w:szCs w:val="32"/>
        </w:rPr>
        <w:t>a company as medium-sized for financial reporting and statutory accounts if it meets at least two of the following three criteria in a financial year</w:t>
      </w:r>
      <w:r>
        <w:rPr>
          <w:sz w:val="32"/>
          <w:szCs w:val="32"/>
        </w:rPr>
        <w:t>.</w:t>
      </w:r>
      <w:r w:rsidRPr="00222AB4">
        <w:t xml:space="preserve"> </w:t>
      </w:r>
    </w:p>
    <w:p w14:paraId="4742013B" w14:textId="73DF9F35" w:rsidR="007A6CCF" w:rsidRDefault="007A6CCF" w:rsidP="00222AB4">
      <w:r>
        <w:rPr>
          <w:noProof/>
        </w:rPr>
        <mc:AlternateContent>
          <mc:Choice Requires="wps">
            <w:drawing>
              <wp:anchor distT="45720" distB="45720" distL="114300" distR="114300" simplePos="0" relativeHeight="251659264" behindDoc="0" locked="0" layoutInCell="1" allowOverlap="1" wp14:anchorId="64EBB55A" wp14:editId="689579B6">
                <wp:simplePos x="0" y="0"/>
                <wp:positionH relativeFrom="column">
                  <wp:posOffset>4086225</wp:posOffset>
                </wp:positionH>
                <wp:positionV relativeFrom="paragraph">
                  <wp:posOffset>180975</wp:posOffset>
                </wp:positionV>
                <wp:extent cx="1476375" cy="1404620"/>
                <wp:effectExtent l="0" t="0" r="2857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solidFill>
                            <a:srgbClr val="000000"/>
                          </a:solidFill>
                          <a:miter lim="800000"/>
                          <a:headEnd/>
                          <a:tailEnd/>
                        </a:ln>
                      </wps:spPr>
                      <wps:txbx>
                        <w:txbxContent>
                          <w:p w14:paraId="07D03AC8" w14:textId="2FEC39F8" w:rsidR="007A6CCF" w:rsidRDefault="007A6CCF">
                            <w:proofErr w:type="spellStart"/>
                            <w:r>
                              <w:t>ReGEN</w:t>
                            </w:r>
                            <w:proofErr w:type="spellEnd"/>
                            <w:r>
                              <w:t xml:space="preserve"> Figures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EBB55A" id="_x0000_t202" coordsize="21600,21600" o:spt="202" path="m,l,21600r21600,l21600,xe">
                <v:stroke joinstyle="miter"/>
                <v:path gradientshapeok="t" o:connecttype="rect"/>
              </v:shapetype>
              <v:shape id="Text Box 2" o:spid="_x0000_s1026" type="#_x0000_t202" style="position:absolute;margin-left:321.75pt;margin-top:14.25pt;width:116.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">
                <v:textbox style="mso-fit-shape-to-text:t">
                  <w:txbxContent>
                    <w:p w14:paraId="07D03AC8" w14:textId="2FEC39F8" w:rsidR="007A6CCF" w:rsidRDefault="007A6CCF">
                      <w:proofErr w:type="spellStart"/>
                      <w:r>
                        <w:t>ReGEN</w:t>
                      </w:r>
                      <w:proofErr w:type="spellEnd"/>
                      <w:r>
                        <w:t xml:space="preserve"> Figures</w:t>
                      </w:r>
                    </w:p>
                  </w:txbxContent>
                </v:textbox>
                <w10:wrap type="square"/>
              </v:shape>
            </w:pict>
          </mc:Fallback>
        </mc:AlternateContent>
      </w:r>
      <w:r>
        <w:tab/>
      </w:r>
      <w:r>
        <w:tab/>
      </w:r>
      <w:r>
        <w:tab/>
      </w:r>
      <w:r>
        <w:tab/>
      </w:r>
      <w:r>
        <w:tab/>
      </w:r>
      <w:r>
        <w:tab/>
      </w:r>
      <w:r>
        <w:tab/>
      </w:r>
      <w:r>
        <w:tab/>
      </w:r>
      <w:r>
        <w:tab/>
      </w:r>
    </w:p>
    <w:tbl>
      <w:tblPr>
        <w:tblStyle w:val="TableGrid"/>
        <w:tblW w:w="0" w:type="auto"/>
        <w:tblLook w:val="04A0" w:firstRow="1" w:lastRow="0" w:firstColumn="1" w:lastColumn="0" w:noHBand="0" w:noVBand="1"/>
      </w:tblPr>
      <w:tblGrid>
        <w:gridCol w:w="3430"/>
        <w:gridCol w:w="3142"/>
        <w:gridCol w:w="2444"/>
      </w:tblGrid>
      <w:tr w:rsidR="007A6CCF" w14:paraId="72EB32E2" w14:textId="306C0A69" w:rsidTr="007A6CCF">
        <w:tc>
          <w:tcPr>
            <w:tcW w:w="3430" w:type="dxa"/>
          </w:tcPr>
          <w:p w14:paraId="2E379F5F" w14:textId="244B74BB" w:rsidR="007A6CCF" w:rsidRDefault="007A6CCF" w:rsidP="00222AB4">
            <w:pPr>
              <w:rPr>
                <w:sz w:val="32"/>
                <w:szCs w:val="32"/>
              </w:rPr>
            </w:pPr>
            <w:r>
              <w:rPr>
                <w:sz w:val="32"/>
                <w:szCs w:val="32"/>
              </w:rPr>
              <w:t xml:space="preserve">Turnover/Sales Revenue </w:t>
            </w:r>
          </w:p>
        </w:tc>
        <w:tc>
          <w:tcPr>
            <w:tcW w:w="3142" w:type="dxa"/>
          </w:tcPr>
          <w:p w14:paraId="26E9D05C" w14:textId="43BE1126" w:rsidR="007A6CCF" w:rsidRDefault="007A6CCF" w:rsidP="00222AB4">
            <w:pPr>
              <w:rPr>
                <w:sz w:val="32"/>
                <w:szCs w:val="32"/>
              </w:rPr>
            </w:pPr>
            <w:r>
              <w:rPr>
                <w:sz w:val="32"/>
                <w:szCs w:val="32"/>
              </w:rPr>
              <w:t xml:space="preserve">&lt;= £54million </w:t>
            </w:r>
          </w:p>
        </w:tc>
        <w:tc>
          <w:tcPr>
            <w:tcW w:w="2444" w:type="dxa"/>
          </w:tcPr>
          <w:p w14:paraId="3BD82181" w14:textId="603D635F" w:rsidR="007A6CCF" w:rsidRDefault="007A6CCF" w:rsidP="00222AB4">
            <w:pPr>
              <w:rPr>
                <w:sz w:val="32"/>
                <w:szCs w:val="32"/>
              </w:rPr>
            </w:pPr>
            <w:r w:rsidRPr="007A6CCF">
              <w:rPr>
                <w:color w:val="00B050"/>
                <w:sz w:val="32"/>
                <w:szCs w:val="32"/>
              </w:rPr>
              <w:t xml:space="preserve">£56 million </w:t>
            </w:r>
          </w:p>
        </w:tc>
      </w:tr>
      <w:tr w:rsidR="007A6CCF" w14:paraId="288FE2C4" w14:textId="6D8A3704" w:rsidTr="007A6CCF">
        <w:tc>
          <w:tcPr>
            <w:tcW w:w="3430" w:type="dxa"/>
          </w:tcPr>
          <w:p w14:paraId="440C03A9" w14:textId="3A2C0A3C" w:rsidR="007A6CCF" w:rsidRDefault="007A6CCF" w:rsidP="00222AB4">
            <w:pPr>
              <w:rPr>
                <w:sz w:val="32"/>
                <w:szCs w:val="32"/>
              </w:rPr>
            </w:pPr>
            <w:r>
              <w:rPr>
                <w:sz w:val="32"/>
                <w:szCs w:val="32"/>
              </w:rPr>
              <w:t xml:space="preserve">Balance Sheet Assets </w:t>
            </w:r>
          </w:p>
        </w:tc>
        <w:tc>
          <w:tcPr>
            <w:tcW w:w="3142" w:type="dxa"/>
          </w:tcPr>
          <w:p w14:paraId="1BF5321A" w14:textId="04F3E6E9" w:rsidR="007A6CCF" w:rsidRDefault="007A6CCF" w:rsidP="00222AB4">
            <w:pPr>
              <w:rPr>
                <w:sz w:val="32"/>
                <w:szCs w:val="32"/>
              </w:rPr>
            </w:pPr>
            <w:r>
              <w:rPr>
                <w:sz w:val="32"/>
                <w:szCs w:val="32"/>
              </w:rPr>
              <w:t xml:space="preserve">&lt;= £27 million </w:t>
            </w:r>
          </w:p>
        </w:tc>
        <w:tc>
          <w:tcPr>
            <w:tcW w:w="2444" w:type="dxa"/>
          </w:tcPr>
          <w:p w14:paraId="6A6D7688" w14:textId="33184BA4" w:rsidR="007A6CCF" w:rsidRDefault="007A6CCF" w:rsidP="00222AB4">
            <w:pPr>
              <w:rPr>
                <w:sz w:val="32"/>
                <w:szCs w:val="32"/>
              </w:rPr>
            </w:pPr>
            <w:r w:rsidRPr="007A6CCF">
              <w:rPr>
                <w:color w:val="00B050"/>
                <w:sz w:val="32"/>
                <w:szCs w:val="32"/>
              </w:rPr>
              <w:t>£28million</w:t>
            </w:r>
          </w:p>
        </w:tc>
      </w:tr>
      <w:tr w:rsidR="007A6CCF" w14:paraId="23799063" w14:textId="046936C5" w:rsidTr="007A6CCF">
        <w:tc>
          <w:tcPr>
            <w:tcW w:w="3430" w:type="dxa"/>
          </w:tcPr>
          <w:p w14:paraId="32FB5272" w14:textId="28E13021" w:rsidR="007A6CCF" w:rsidRDefault="007A6CCF" w:rsidP="00222AB4">
            <w:pPr>
              <w:rPr>
                <w:sz w:val="32"/>
                <w:szCs w:val="32"/>
              </w:rPr>
            </w:pPr>
            <w:r>
              <w:rPr>
                <w:sz w:val="32"/>
                <w:szCs w:val="32"/>
              </w:rPr>
              <w:t xml:space="preserve">Average Number of full-time employees </w:t>
            </w:r>
          </w:p>
        </w:tc>
        <w:tc>
          <w:tcPr>
            <w:tcW w:w="3142" w:type="dxa"/>
          </w:tcPr>
          <w:p w14:paraId="6E969FB3" w14:textId="2079BE1D" w:rsidR="007A6CCF" w:rsidRDefault="007A6CCF" w:rsidP="00222AB4">
            <w:pPr>
              <w:rPr>
                <w:sz w:val="32"/>
                <w:szCs w:val="32"/>
              </w:rPr>
            </w:pPr>
            <w:r>
              <w:rPr>
                <w:sz w:val="32"/>
                <w:szCs w:val="32"/>
              </w:rPr>
              <w:t>&lt;= 250</w:t>
            </w:r>
          </w:p>
        </w:tc>
        <w:tc>
          <w:tcPr>
            <w:tcW w:w="2444" w:type="dxa"/>
          </w:tcPr>
          <w:p w14:paraId="5366E49A" w14:textId="7E1C32DD" w:rsidR="007A6CCF" w:rsidRDefault="007A6CCF" w:rsidP="00222AB4">
            <w:pPr>
              <w:rPr>
                <w:sz w:val="32"/>
                <w:szCs w:val="32"/>
              </w:rPr>
            </w:pPr>
            <w:r w:rsidRPr="007A6CCF">
              <w:rPr>
                <w:color w:val="00B050"/>
                <w:sz w:val="32"/>
                <w:szCs w:val="32"/>
              </w:rPr>
              <w:t>2</w:t>
            </w:r>
            <w:r>
              <w:rPr>
                <w:color w:val="00B050"/>
                <w:sz w:val="32"/>
                <w:szCs w:val="32"/>
              </w:rPr>
              <w:t>48</w:t>
            </w:r>
          </w:p>
        </w:tc>
      </w:tr>
    </w:tbl>
    <w:p w14:paraId="593D9686" w14:textId="6F46F6B8" w:rsidR="00222AB4" w:rsidRDefault="00222AB4" w:rsidP="00222AB4">
      <w:pPr>
        <w:rPr>
          <w:sz w:val="32"/>
          <w:szCs w:val="32"/>
        </w:rPr>
      </w:pPr>
    </w:p>
    <w:p w14:paraId="3E035153" w14:textId="17912FF7" w:rsidR="00222AB4" w:rsidRDefault="00222AB4" w:rsidP="00222AB4">
      <w:pPr>
        <w:rPr>
          <w:sz w:val="32"/>
          <w:szCs w:val="32"/>
        </w:rPr>
      </w:pPr>
      <w:r>
        <w:rPr>
          <w:sz w:val="32"/>
          <w:szCs w:val="32"/>
        </w:rPr>
        <w:t xml:space="preserve">The Borad of Directors at a meeting on the 30 the of September 2026 have decided to introduce an e-commerce mobile app. </w:t>
      </w:r>
      <w:r w:rsidR="007A6CCF">
        <w:rPr>
          <w:sz w:val="32"/>
          <w:szCs w:val="32"/>
        </w:rPr>
        <w:t>This they believe will take advantage of the opportunity of the app purchasing trend.</w:t>
      </w:r>
    </w:p>
    <w:p w14:paraId="6CAFF7C2" w14:textId="5028E1CA" w:rsidR="007A6CCF" w:rsidRDefault="007A6CCF" w:rsidP="00222AB4">
      <w:pPr>
        <w:rPr>
          <w:sz w:val="32"/>
          <w:szCs w:val="32"/>
        </w:rPr>
      </w:pPr>
      <w:r>
        <w:rPr>
          <w:sz w:val="32"/>
          <w:szCs w:val="32"/>
        </w:rPr>
        <w:t xml:space="preserve">Research by </w:t>
      </w:r>
      <w:r w:rsidR="00041467">
        <w:rPr>
          <w:sz w:val="32"/>
          <w:szCs w:val="32"/>
        </w:rPr>
        <w:t xml:space="preserve"> (REF) </w:t>
      </w:r>
      <w:r>
        <w:rPr>
          <w:sz w:val="32"/>
          <w:szCs w:val="32"/>
        </w:rPr>
        <w:t xml:space="preserve">reflect the following </w:t>
      </w:r>
    </w:p>
    <w:p w14:paraId="6037A2D4" w14:textId="77777777" w:rsidR="007A6CCF" w:rsidRDefault="007A6CCF" w:rsidP="007A6CCF">
      <w:pPr>
        <w:rPr>
          <w:sz w:val="32"/>
          <w:szCs w:val="32"/>
        </w:rPr>
      </w:pPr>
      <w:r w:rsidRPr="007A6CCF">
        <w:rPr>
          <w:sz w:val="32"/>
          <w:szCs w:val="32"/>
        </w:rPr>
        <w:t>Around 72% of UK consumers regularly use retail mobile apps, with fashion and clothing standing as the top mobile shopping category in the country.</w:t>
      </w:r>
    </w:p>
    <w:p w14:paraId="48507980" w14:textId="4D195751" w:rsidR="007A6CCF" w:rsidRPr="007A6CCF" w:rsidRDefault="007A6CCF" w:rsidP="007A6CCF">
      <w:pPr>
        <w:rPr>
          <w:sz w:val="32"/>
          <w:szCs w:val="32"/>
        </w:rPr>
      </w:pPr>
      <w:r w:rsidRPr="007A6CCF">
        <w:rPr>
          <w:sz w:val="32"/>
          <w:szCs w:val="32"/>
        </w:rPr>
        <w:t>Key Mobile App Usage Statistics in UK Fashion</w:t>
      </w:r>
    </w:p>
    <w:p w14:paraId="274C8185" w14:textId="77777777" w:rsidR="007A6CCF" w:rsidRDefault="007A6CCF" w:rsidP="007A6CCF">
      <w:pPr>
        <w:rPr>
          <w:sz w:val="32"/>
          <w:szCs w:val="32"/>
        </w:rPr>
      </w:pPr>
      <w:r w:rsidRPr="007A6CCF">
        <w:rPr>
          <w:sz w:val="32"/>
          <w:szCs w:val="32"/>
        </w:rPr>
        <w:lastRenderedPageBreak/>
        <w:t>• Dominance of Mobile Commerce: Mobile channels drive roughly 67% to 71% of all fashion e-commerce transactions in the UK.</w:t>
      </w:r>
    </w:p>
    <w:p w14:paraId="06250E4F" w14:textId="1869A0DA" w:rsidR="007A6CCF" w:rsidRPr="007A6CCF" w:rsidRDefault="007A6CCF" w:rsidP="007A6CCF">
      <w:pPr>
        <w:rPr>
          <w:sz w:val="32"/>
          <w:szCs w:val="32"/>
        </w:rPr>
      </w:pPr>
      <w:r w:rsidRPr="007A6CCF">
        <w:rPr>
          <w:sz w:val="32"/>
          <w:szCs w:val="32"/>
        </w:rPr>
        <w:t>• In-Store App Usage: Approximately 72% of UK consumers regularly use retailer mobile apps while shopping in physical store environments.</w:t>
      </w:r>
    </w:p>
    <w:p w14:paraId="56A28DF7" w14:textId="745FA295" w:rsidR="007A6CCF" w:rsidRPr="007A6CCF" w:rsidRDefault="007A6CCF" w:rsidP="007A6CCF">
      <w:pPr>
        <w:rPr>
          <w:sz w:val="32"/>
          <w:szCs w:val="32"/>
        </w:rPr>
      </w:pPr>
      <w:r w:rsidRPr="007A6CCF">
        <w:rPr>
          <w:sz w:val="32"/>
          <w:szCs w:val="32"/>
        </w:rPr>
        <w:t xml:space="preserve">• Leading Demographic: Young adults and mobile audiences aged 25 to 34 represent the largest share of mobile apparel shoppers, closely followed by the 18 to 24 age </w:t>
      </w:r>
      <w:r w:rsidR="00FA4164" w:rsidRPr="007A6CCF">
        <w:rPr>
          <w:sz w:val="32"/>
          <w:szCs w:val="32"/>
        </w:rPr>
        <w:t>brackets</w:t>
      </w:r>
      <w:r w:rsidRPr="007A6CCF">
        <w:rPr>
          <w:sz w:val="32"/>
          <w:szCs w:val="32"/>
        </w:rPr>
        <w:t>. Two-thirds of young adults use smartphones as a primary tool for fashion purchases.</w:t>
      </w:r>
    </w:p>
    <w:p w14:paraId="7CF3B452" w14:textId="352D2F72" w:rsidR="007A6CCF" w:rsidRDefault="007A6CCF" w:rsidP="007A6CCF">
      <w:pPr>
        <w:rPr>
          <w:sz w:val="32"/>
          <w:szCs w:val="32"/>
        </w:rPr>
      </w:pPr>
      <w:r w:rsidRPr="007A6CCF">
        <w:rPr>
          <w:sz w:val="32"/>
          <w:szCs w:val="32"/>
        </w:rPr>
        <w:t>• Engagement Drivers: Fashion apps and push notifications generate significantly higher user interaction and repeat purchases compared to traditional desktop or email marketing channels.</w:t>
      </w:r>
    </w:p>
    <w:p w14:paraId="77F702D8" w14:textId="14A9B72E" w:rsidR="007A6CCF" w:rsidRDefault="007A6CCF" w:rsidP="007A6CCF">
      <w:pPr>
        <w:rPr>
          <w:sz w:val="32"/>
          <w:szCs w:val="32"/>
        </w:rPr>
      </w:pPr>
      <w:r>
        <w:rPr>
          <w:sz w:val="32"/>
          <w:szCs w:val="32"/>
        </w:rPr>
        <w:t xml:space="preserve">The app project has been allocated a budget of £300000.00 and </w:t>
      </w:r>
      <w:r w:rsidR="00FA4164">
        <w:rPr>
          <w:sz w:val="32"/>
          <w:szCs w:val="32"/>
        </w:rPr>
        <w:t>it</w:t>
      </w:r>
      <w:r>
        <w:rPr>
          <w:sz w:val="32"/>
          <w:szCs w:val="32"/>
        </w:rPr>
        <w:t xml:space="preserve"> must be ready within 8 months. That is, by May 31</w:t>
      </w:r>
      <w:r w:rsidRPr="007A6CCF">
        <w:rPr>
          <w:sz w:val="32"/>
          <w:szCs w:val="32"/>
          <w:vertAlign w:val="superscript"/>
        </w:rPr>
        <w:t>st</w:t>
      </w:r>
      <w:r w:rsidR="00FA4164">
        <w:rPr>
          <w:sz w:val="32"/>
          <w:szCs w:val="32"/>
        </w:rPr>
        <w:t>, 2027</w:t>
      </w:r>
      <w:r>
        <w:rPr>
          <w:sz w:val="32"/>
          <w:szCs w:val="32"/>
        </w:rPr>
        <w:t>.</w:t>
      </w:r>
    </w:p>
    <w:p w14:paraId="425280B1" w14:textId="4E0316D8" w:rsidR="007A6CCF" w:rsidRDefault="007A6CCF" w:rsidP="007A6CCF">
      <w:pPr>
        <w:rPr>
          <w:sz w:val="32"/>
          <w:szCs w:val="32"/>
        </w:rPr>
      </w:pPr>
      <w:r>
        <w:rPr>
          <w:sz w:val="32"/>
          <w:szCs w:val="32"/>
        </w:rPr>
        <w:t>The sponsor want</w:t>
      </w:r>
      <w:r w:rsidR="00FA4164">
        <w:rPr>
          <w:sz w:val="32"/>
          <w:szCs w:val="32"/>
        </w:rPr>
        <w:t>s</w:t>
      </w:r>
      <w:r>
        <w:rPr>
          <w:sz w:val="32"/>
          <w:szCs w:val="32"/>
        </w:rPr>
        <w:t xml:space="preserve"> the app to be able to handle user accounts product </w:t>
      </w:r>
      <w:r w:rsidR="00FA4164">
        <w:rPr>
          <w:sz w:val="32"/>
          <w:szCs w:val="32"/>
        </w:rPr>
        <w:t>catalogues</w:t>
      </w:r>
      <w:r>
        <w:rPr>
          <w:sz w:val="32"/>
          <w:szCs w:val="32"/>
        </w:rPr>
        <w:t xml:space="preserve">, secure check out, buyer history, buyer balances, buyer </w:t>
      </w:r>
      <w:r w:rsidR="00FA4164">
        <w:rPr>
          <w:sz w:val="32"/>
          <w:szCs w:val="32"/>
        </w:rPr>
        <w:t>credit</w:t>
      </w:r>
      <w:r>
        <w:rPr>
          <w:sz w:val="32"/>
          <w:szCs w:val="32"/>
        </w:rPr>
        <w:t xml:space="preserve"> </w:t>
      </w:r>
      <w:r w:rsidR="00FA4164">
        <w:rPr>
          <w:sz w:val="32"/>
          <w:szCs w:val="32"/>
        </w:rPr>
        <w:t>ratings</w:t>
      </w:r>
      <w:r>
        <w:rPr>
          <w:sz w:val="32"/>
          <w:szCs w:val="32"/>
        </w:rPr>
        <w:t xml:space="preserve">, buyer links to </w:t>
      </w:r>
      <w:r w:rsidR="00FA4164">
        <w:rPr>
          <w:sz w:val="32"/>
          <w:szCs w:val="32"/>
        </w:rPr>
        <w:t>payment vehicles like PayPal and Klarna, inventory tracking in real time and the use of RFID client changing rooms.</w:t>
      </w:r>
    </w:p>
    <w:p w14:paraId="0C177037" w14:textId="2F091E58" w:rsidR="00FA4164" w:rsidRDefault="00FA4164" w:rsidP="007A6CCF">
      <w:pPr>
        <w:rPr>
          <w:sz w:val="32"/>
          <w:szCs w:val="32"/>
        </w:rPr>
      </w:pPr>
      <w:r>
        <w:rPr>
          <w:sz w:val="32"/>
          <w:szCs w:val="32"/>
        </w:rPr>
        <w:t>As the project starts the lead contractor for the app development becomes aware that the Inventory API</w:t>
      </w:r>
      <w:r w:rsidR="000A6685">
        <w:rPr>
          <w:sz w:val="32"/>
          <w:szCs w:val="32"/>
        </w:rPr>
        <w:t xml:space="preserve"> </w:t>
      </w:r>
      <w:r w:rsidR="00041467">
        <w:rPr>
          <w:sz w:val="32"/>
          <w:szCs w:val="32"/>
        </w:rPr>
        <w:t>(Application</w:t>
      </w:r>
      <w:r w:rsidR="000A6685">
        <w:rPr>
          <w:sz w:val="32"/>
          <w:szCs w:val="32"/>
        </w:rPr>
        <w:t xml:space="preserve"> Programme Interface – allowing apps </w:t>
      </w:r>
      <w:r w:rsidR="00041467">
        <w:rPr>
          <w:sz w:val="32"/>
          <w:szCs w:val="32"/>
        </w:rPr>
        <w:t>conversation) is</w:t>
      </w:r>
      <w:r>
        <w:rPr>
          <w:sz w:val="32"/>
          <w:szCs w:val="32"/>
        </w:rPr>
        <w:t xml:space="preserve"> outdated and will need to be rebuilt. The estimated time is 10 weeks. This raises the risk that the project may be delayed which also raises quality and financial risk. This to an extent questions the project design and </w:t>
      </w:r>
      <w:r>
        <w:rPr>
          <w:sz w:val="32"/>
          <w:szCs w:val="32"/>
        </w:rPr>
        <w:lastRenderedPageBreak/>
        <w:t xml:space="preserve">certain elements of the project charter /PID and this may need to be reviewed. </w:t>
      </w:r>
    </w:p>
    <w:p w14:paraId="205E8F1B" w14:textId="0649B18D" w:rsidR="00222AB4" w:rsidRDefault="00F47F24">
      <w:pPr>
        <w:rPr>
          <w:sz w:val="32"/>
          <w:szCs w:val="32"/>
        </w:rPr>
      </w:pPr>
      <w:r>
        <w:rPr>
          <w:sz w:val="32"/>
          <w:szCs w:val="32"/>
        </w:rPr>
        <w:t xml:space="preserve">QUESTIONS </w:t>
      </w:r>
    </w:p>
    <w:p w14:paraId="78694D1B" w14:textId="03F42EDC" w:rsidR="00F47F24" w:rsidRDefault="00F47F24" w:rsidP="00F47F24">
      <w:pPr>
        <w:pStyle w:val="ListParagraph"/>
        <w:numPr>
          <w:ilvl w:val="0"/>
          <w:numId w:val="1"/>
        </w:numPr>
        <w:rPr>
          <w:sz w:val="32"/>
          <w:szCs w:val="32"/>
        </w:rPr>
      </w:pPr>
      <w:r>
        <w:rPr>
          <w:sz w:val="32"/>
          <w:szCs w:val="32"/>
        </w:rPr>
        <w:t>Identify the project management knowledge areas relevant to the ReGEN mobile app project. Give an example from the case for each area identified.</w:t>
      </w:r>
    </w:p>
    <w:p w14:paraId="34C58986" w14:textId="7F3C2E65" w:rsidR="00F47F24" w:rsidRDefault="00F47F24" w:rsidP="00F47F24">
      <w:pPr>
        <w:pStyle w:val="ListParagraph"/>
        <w:numPr>
          <w:ilvl w:val="0"/>
          <w:numId w:val="1"/>
        </w:numPr>
        <w:rPr>
          <w:sz w:val="32"/>
          <w:szCs w:val="32"/>
        </w:rPr>
      </w:pPr>
      <w:r>
        <w:rPr>
          <w:sz w:val="32"/>
          <w:szCs w:val="32"/>
        </w:rPr>
        <w:t>Explain how the outdated inventory API could affect the scope, time, cost and quality of the project.</w:t>
      </w:r>
    </w:p>
    <w:p w14:paraId="4C3F152E" w14:textId="3F242E70" w:rsidR="00F47F24" w:rsidRDefault="00F47F24" w:rsidP="00F47F24">
      <w:pPr>
        <w:pStyle w:val="ListParagraph"/>
        <w:numPr>
          <w:ilvl w:val="0"/>
          <w:numId w:val="1"/>
        </w:numPr>
        <w:rPr>
          <w:sz w:val="32"/>
          <w:szCs w:val="32"/>
        </w:rPr>
      </w:pPr>
      <w:r>
        <w:rPr>
          <w:sz w:val="32"/>
          <w:szCs w:val="32"/>
        </w:rPr>
        <w:t>Define a stakeholder and identify at least six key stakeholders in the ReGEN mobile app project.</w:t>
      </w:r>
    </w:p>
    <w:p w14:paraId="473C5FDA" w14:textId="0FBBC022" w:rsidR="00F47F24" w:rsidRDefault="00F47F24" w:rsidP="00F47F24">
      <w:pPr>
        <w:pStyle w:val="ListParagraph"/>
        <w:numPr>
          <w:ilvl w:val="0"/>
          <w:numId w:val="1"/>
        </w:numPr>
        <w:rPr>
          <w:sz w:val="32"/>
          <w:szCs w:val="32"/>
        </w:rPr>
      </w:pPr>
      <w:r>
        <w:rPr>
          <w:sz w:val="32"/>
          <w:szCs w:val="32"/>
        </w:rPr>
        <w:t>Assess the power and interest of each stakeholder and place them in a stakeholder matrix. You may use Mendelow's power-interest matrix.</w:t>
      </w:r>
    </w:p>
    <w:p w14:paraId="06D407AA" w14:textId="2BA02E09" w:rsidR="000A6685" w:rsidRDefault="000A6685" w:rsidP="00F47F24">
      <w:pPr>
        <w:pStyle w:val="ListParagraph"/>
        <w:numPr>
          <w:ilvl w:val="0"/>
          <w:numId w:val="1"/>
        </w:numPr>
        <w:rPr>
          <w:sz w:val="32"/>
          <w:szCs w:val="32"/>
        </w:rPr>
      </w:pPr>
      <w:r>
        <w:rPr>
          <w:sz w:val="32"/>
          <w:szCs w:val="32"/>
        </w:rPr>
        <w:t>Explain why the key stakeholders should be identified and engaged early. Support your answer with examples from the case.</w:t>
      </w:r>
    </w:p>
    <w:p w14:paraId="2EC85167" w14:textId="6DAF6F93" w:rsidR="009976EE" w:rsidRDefault="009976EE" w:rsidP="00F47F24">
      <w:pPr>
        <w:pStyle w:val="ListParagraph"/>
        <w:numPr>
          <w:ilvl w:val="0"/>
          <w:numId w:val="1"/>
        </w:numPr>
        <w:rPr>
          <w:sz w:val="32"/>
          <w:szCs w:val="32"/>
        </w:rPr>
      </w:pPr>
      <w:r>
        <w:rPr>
          <w:sz w:val="32"/>
          <w:szCs w:val="32"/>
        </w:rPr>
        <w:t>Identify the main factors that could contribute to the success or failure of the project. Explain how ReGEN could manage these factors.</w:t>
      </w:r>
    </w:p>
    <w:p w14:paraId="58D61172" w14:textId="332F0F04" w:rsidR="00041467" w:rsidRPr="00041467" w:rsidRDefault="00041467" w:rsidP="00041467">
      <w:pPr>
        <w:rPr>
          <w:sz w:val="32"/>
          <w:szCs w:val="32"/>
        </w:rPr>
      </w:pPr>
      <w:r>
        <w:rPr>
          <w:sz w:val="32"/>
          <w:szCs w:val="32"/>
        </w:rPr>
        <w:t>Engaging with this case will help you apply the concepts covered during Week 3 and develop the analytical skills required for the module assessment.</w:t>
      </w:r>
    </w:p>
    <w:sectPr w:rsidR="00041467" w:rsidRPr="000414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2D5EB1"/>
    <w:multiLevelType w:val="hybridMultilevel"/>
    <w:tmpl w:val="5D643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3176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AB4"/>
    <w:rsid w:val="00041467"/>
    <w:rsid w:val="000A6685"/>
    <w:rsid w:val="00222AB4"/>
    <w:rsid w:val="006C2C7C"/>
    <w:rsid w:val="007A6CCF"/>
    <w:rsid w:val="008B5F9E"/>
    <w:rsid w:val="009976EE"/>
    <w:rsid w:val="00F47F24"/>
    <w:rsid w:val="00FA41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C83E"/>
  <w15:chartTrackingRefBased/>
  <w15:docId w15:val="{9967E1D9-E6FA-4326-ACF0-D8005432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A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2A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A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A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A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A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A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A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A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A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A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A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A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A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A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A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A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AB4"/>
    <w:rPr>
      <w:rFonts w:eastAsiaTheme="majorEastAsia" w:cstheme="majorBidi"/>
      <w:color w:val="272727" w:themeColor="text1" w:themeTint="D8"/>
    </w:rPr>
  </w:style>
  <w:style w:type="paragraph" w:styleId="Title">
    <w:name w:val="Title"/>
    <w:basedOn w:val="Normal"/>
    <w:next w:val="Normal"/>
    <w:link w:val="TitleChar"/>
    <w:uiPriority w:val="10"/>
    <w:qFormat/>
    <w:rsid w:val="00222A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A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A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A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AB4"/>
    <w:pPr>
      <w:spacing w:before="160"/>
      <w:jc w:val="center"/>
    </w:pPr>
    <w:rPr>
      <w:i/>
      <w:iCs/>
      <w:color w:val="404040" w:themeColor="text1" w:themeTint="BF"/>
    </w:rPr>
  </w:style>
  <w:style w:type="character" w:customStyle="1" w:styleId="QuoteChar">
    <w:name w:val="Quote Char"/>
    <w:basedOn w:val="DefaultParagraphFont"/>
    <w:link w:val="Quote"/>
    <w:uiPriority w:val="29"/>
    <w:rsid w:val="00222AB4"/>
    <w:rPr>
      <w:i/>
      <w:iCs/>
      <w:color w:val="404040" w:themeColor="text1" w:themeTint="BF"/>
    </w:rPr>
  </w:style>
  <w:style w:type="paragraph" w:styleId="ListParagraph">
    <w:name w:val="List Paragraph"/>
    <w:basedOn w:val="Normal"/>
    <w:uiPriority w:val="34"/>
    <w:qFormat/>
    <w:rsid w:val="00222AB4"/>
    <w:pPr>
      <w:ind w:left="720"/>
      <w:contextualSpacing/>
    </w:pPr>
  </w:style>
  <w:style w:type="character" w:styleId="IntenseEmphasis">
    <w:name w:val="Intense Emphasis"/>
    <w:basedOn w:val="DefaultParagraphFont"/>
    <w:uiPriority w:val="21"/>
    <w:qFormat/>
    <w:rsid w:val="00222AB4"/>
    <w:rPr>
      <w:i/>
      <w:iCs/>
      <w:color w:val="0F4761" w:themeColor="accent1" w:themeShade="BF"/>
    </w:rPr>
  </w:style>
  <w:style w:type="paragraph" w:styleId="IntenseQuote">
    <w:name w:val="Intense Quote"/>
    <w:basedOn w:val="Normal"/>
    <w:next w:val="Normal"/>
    <w:link w:val="IntenseQuoteChar"/>
    <w:uiPriority w:val="30"/>
    <w:qFormat/>
    <w:rsid w:val="00222A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AB4"/>
    <w:rPr>
      <w:i/>
      <w:iCs/>
      <w:color w:val="0F4761" w:themeColor="accent1" w:themeShade="BF"/>
    </w:rPr>
  </w:style>
  <w:style w:type="character" w:styleId="IntenseReference">
    <w:name w:val="Intense Reference"/>
    <w:basedOn w:val="DefaultParagraphFont"/>
    <w:uiPriority w:val="32"/>
    <w:qFormat/>
    <w:rsid w:val="00222AB4"/>
    <w:rPr>
      <w:b/>
      <w:bCs/>
      <w:smallCaps/>
      <w:color w:val="0F4761" w:themeColor="accent1" w:themeShade="BF"/>
      <w:spacing w:val="5"/>
    </w:rPr>
  </w:style>
  <w:style w:type="table" w:styleId="TableGrid">
    <w:name w:val="Table Grid"/>
    <w:basedOn w:val="TableNormal"/>
    <w:uiPriority w:val="39"/>
    <w:rsid w:val="00222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TotalTime>
  <Pages>3</Pages>
  <Words>589</Words>
  <Characters>3360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Atta</dc:creator>
  <cp:keywords/>
  <dc:description/>
  <cp:lastModifiedBy>Zainab Atta</cp:lastModifiedBy>
  <cp:revision>3</cp:revision>
  <dcterms:created xsi:type="dcterms:W3CDTF">2026-10-18T09:07:00Z</dcterms:created>
  <dcterms:modified xsi:type="dcterms:W3CDTF">2026-10-24T12:33:00Z</dcterms:modified>
</cp:coreProperties>
</file>