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D1DD63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C7336">
              <w:rPr>
                <w:rFonts w:ascii="Times New Roman" w:hAnsi="Times New Roman" w:cs="Times New Roman"/>
                <w:b/>
                <w:color w:val="auto"/>
                <w:sz w:val="48"/>
              </w:rPr>
              <w:t xml:space="preserve">Abbie Williams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5D255C60" w14:textId="0458267A" w:rsidR="000C7336" w:rsidRDefault="009C337F" w:rsidP="000C7336">
            <w:pPr>
              <w:ind w:right="-957"/>
              <w:rPr>
                <w:rFonts w:ascii="Times New Roman" w:hAnsi="Times New Roman" w:cs="Times New Roman"/>
                <w:b/>
                <w:sz w:val="48"/>
              </w:rPr>
            </w:pPr>
            <w:r>
              <w:rPr>
                <w:rFonts w:ascii="Times New Roman" w:hAnsi="Times New Roman" w:cs="Times New Roman"/>
                <w:b/>
                <w:color w:val="auto"/>
                <w:sz w:val="48"/>
              </w:rPr>
              <w:t>Email address:</w:t>
            </w:r>
            <w:r w:rsidR="000C7336">
              <w:t xml:space="preserve"> </w:t>
            </w:r>
            <w:hyperlink r:id="rId11" w:history="1">
              <w:r w:rsidR="000C7336" w:rsidRPr="00962CF8">
                <w:rPr>
                  <w:rStyle w:val="Hyperlink"/>
                  <w:rFonts w:ascii="Times New Roman" w:hAnsi="Times New Roman" w:cs="Times New Roman"/>
                  <w:b/>
                  <w:sz w:val="48"/>
                </w:rPr>
                <w:t>abbievictoria@outlook.com</w:t>
              </w:r>
            </w:hyperlink>
            <w:r w:rsidR="000C7336">
              <w:rPr>
                <w:rFonts w:ascii="Times New Roman" w:hAnsi="Times New Roman" w:cs="Times New Roman"/>
                <w:b/>
                <w:sz w:val="48"/>
              </w:rPr>
              <w:t xml:space="preserve"> </w:t>
            </w:r>
          </w:p>
          <w:p w14:paraId="7D55BCA4" w14:textId="77777777" w:rsidR="000C7336" w:rsidRPr="005F4F2C" w:rsidRDefault="000C7336" w:rsidP="000C7336">
            <w:pPr>
              <w:ind w:right="-957"/>
              <w:rPr>
                <w:rFonts w:ascii="Times New Roman" w:hAnsi="Times New Roman" w:cs="Times New Roman"/>
                <w:b/>
                <w:sz w:val="48"/>
              </w:rPr>
            </w:pPr>
            <w:hyperlink r:id="rId12" w:history="1">
              <w:r w:rsidRPr="00962CF8">
                <w:rPr>
                  <w:rStyle w:val="Hyperlink"/>
                  <w:rFonts w:ascii="Times New Roman" w:hAnsi="Times New Roman" w:cs="Times New Roman"/>
                  <w:b/>
                  <w:sz w:val="48"/>
                </w:rPr>
                <w:t>2519113@student.uwtsd.ac.uk</w:t>
              </w:r>
            </w:hyperlink>
            <w:r>
              <w:rPr>
                <w:rFonts w:ascii="Times New Roman" w:hAnsi="Times New Roman" w:cs="Times New Roman"/>
                <w:b/>
                <w:sz w:val="48"/>
              </w:rPr>
              <w:t xml:space="preserve"> </w:t>
            </w:r>
          </w:p>
          <w:p w14:paraId="3A6EAAC7" w14:textId="5D32E3C0"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D6B2DF3" w14:textId="2540D62E" w:rsidR="000C7336" w:rsidRPr="005D3F07" w:rsidRDefault="000C733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2519113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3657BA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0C7336">
              <w:rPr>
                <w:rFonts w:ascii="Times New Roman" w:hAnsi="Times New Roman" w:cs="Times New Roman"/>
                <w:b/>
                <w:color w:val="auto"/>
                <w:sz w:val="48"/>
              </w:rPr>
              <w:t xml:space="preserve"> </w:t>
            </w:r>
            <w:r w:rsidR="00AE6231">
              <w:rPr>
                <w:rFonts w:ascii="Times New Roman" w:hAnsi="Times New Roman" w:cs="Times New Roman"/>
                <w:b/>
                <w:color w:val="auto"/>
                <w:sz w:val="48"/>
              </w:rPr>
              <w:t>onwards</w:t>
            </w:r>
          </w:p>
        </w:tc>
      </w:tr>
    </w:tbl>
    <w:p w14:paraId="70797153" w14:textId="0D1A0FED" w:rsidR="007F312E" w:rsidRPr="000C7336" w:rsidRDefault="008420E1" w:rsidP="000C7336">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0D8C669" w14:textId="3BE1A062"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236C02A" w14:textId="77777777" w:rsidR="000C7336" w:rsidRDefault="000C7336" w:rsidP="00FF7EBB">
            <w:pPr>
              <w:jc w:val="both"/>
              <w:rPr>
                <w:sz w:val="24"/>
                <w:szCs w:val="24"/>
              </w:rPr>
            </w:pPr>
          </w:p>
          <w:p w14:paraId="7D6973D0" w14:textId="4736A7FA" w:rsidR="000C7336" w:rsidRPr="000C7336" w:rsidRDefault="000C7336" w:rsidP="00317CC2">
            <w:pPr>
              <w:rPr>
                <w:sz w:val="24"/>
                <w:szCs w:val="24"/>
              </w:rPr>
            </w:pPr>
            <w:r w:rsidRPr="000C7336">
              <w:rPr>
                <w:sz w:val="24"/>
                <w:szCs w:val="24"/>
              </w:rPr>
              <w:t>The statutory framework for adult safeguarding in Wales is set out within the Social Services and Well-being (Wales) Act 2014</w:t>
            </w:r>
            <w:r w:rsidR="00567614">
              <w:rPr>
                <w:sz w:val="24"/>
                <w:szCs w:val="24"/>
              </w:rPr>
              <w:t xml:space="preserve"> (SSWBA)</w:t>
            </w:r>
            <w:r w:rsidRPr="000C7336">
              <w:rPr>
                <w:sz w:val="24"/>
                <w:szCs w:val="24"/>
              </w:rPr>
              <w:t>. Section 126 defines an adult at risk as an adult who is "experiencing or is at risk of abuse or neglect", has care and support needs and, as a result of those needs, is unable to protect themselves from abuse, neglect or the risk from either (</w:t>
            </w:r>
            <w:r w:rsidR="00567614">
              <w:rPr>
                <w:sz w:val="24"/>
                <w:szCs w:val="24"/>
              </w:rPr>
              <w:t>SSWBA, 2014</w:t>
            </w:r>
            <w:r w:rsidRPr="000C7336">
              <w:rPr>
                <w:sz w:val="24"/>
                <w:szCs w:val="24"/>
              </w:rPr>
              <w:t>, s.126). The guidance further highlights that actual abuse, or neglect does not need to occur before practitioners intervene</w:t>
            </w:r>
            <w:r>
              <w:rPr>
                <w:sz w:val="24"/>
                <w:szCs w:val="24"/>
              </w:rPr>
              <w:t xml:space="preserve"> </w:t>
            </w:r>
            <w:r w:rsidRPr="000C7336">
              <w:rPr>
                <w:sz w:val="24"/>
                <w:szCs w:val="24"/>
              </w:rPr>
              <w:t xml:space="preserve">and that early intervention should be considered to prevent harm (Safeguarding Wales, 2024). </w:t>
            </w:r>
          </w:p>
          <w:p w14:paraId="518CEA26" w14:textId="77777777" w:rsidR="000C7336" w:rsidRPr="000C7336" w:rsidRDefault="000C7336" w:rsidP="00317CC2">
            <w:pPr>
              <w:rPr>
                <w:sz w:val="24"/>
                <w:szCs w:val="24"/>
              </w:rPr>
            </w:pPr>
          </w:p>
          <w:p w14:paraId="25FF89C0" w14:textId="77777777" w:rsidR="000C7336" w:rsidRPr="000C7336" w:rsidRDefault="000C7336" w:rsidP="00317CC2">
            <w:pPr>
              <w:rPr>
                <w:sz w:val="24"/>
                <w:szCs w:val="24"/>
              </w:rPr>
            </w:pPr>
            <w:r w:rsidRPr="000C7336">
              <w:rPr>
                <w:sz w:val="24"/>
                <w:szCs w:val="24"/>
              </w:rPr>
              <w:t xml:space="preserve">Abuse can take many forms, including physical, sexual, psychological, emotional and financial abuse, and may occur in any setting. Neglect is defined as a failure to meet an individual's basic physical, emotional, social or psychological needs, resulting in an impairment of their wellbeing (Safeguarding Wales, 2024). Other safeguarding concerns include domestic abuse, modern slavery, female genital mutilation and criminal exploitation. </w:t>
            </w:r>
          </w:p>
          <w:p w14:paraId="57544B56" w14:textId="77777777" w:rsidR="000C7336" w:rsidRPr="000C7336" w:rsidRDefault="000C7336" w:rsidP="00317CC2">
            <w:pPr>
              <w:rPr>
                <w:sz w:val="24"/>
                <w:szCs w:val="24"/>
              </w:rPr>
            </w:pPr>
          </w:p>
          <w:p w14:paraId="57DB121C" w14:textId="77777777" w:rsidR="000C7336" w:rsidRPr="000C7336" w:rsidRDefault="000C7336" w:rsidP="00317CC2">
            <w:pPr>
              <w:rPr>
                <w:sz w:val="24"/>
                <w:szCs w:val="24"/>
              </w:rPr>
            </w:pPr>
            <w:r w:rsidRPr="000C7336">
              <w:rPr>
                <w:sz w:val="24"/>
                <w:szCs w:val="24"/>
              </w:rPr>
              <w:t>The principles of adult safeguarding emphasise that all practitioners and organisations share responsibility for promoting the wellbeing and safety of adults at risk. Effective safeguarding requires collaborative multi-agency working, appropriate information sharing and adherence to local safeguarding procedures (Welsh Government, 2019). Practitioners must remain alert to indicators of abuse and neglect and follow local protocols for reporting concerns (Wales Safeguarding Procedures, 2019).</w:t>
            </w:r>
          </w:p>
          <w:p w14:paraId="0A529D48" w14:textId="77777777" w:rsidR="000C7336" w:rsidRPr="000C7336" w:rsidRDefault="000C7336" w:rsidP="00317CC2">
            <w:pPr>
              <w:rPr>
                <w:sz w:val="24"/>
                <w:szCs w:val="24"/>
              </w:rPr>
            </w:pPr>
          </w:p>
          <w:p w14:paraId="1E689638" w14:textId="00755B14" w:rsidR="000C7336" w:rsidRPr="000C7336" w:rsidRDefault="000C7336" w:rsidP="00317CC2">
            <w:pPr>
              <w:rPr>
                <w:sz w:val="24"/>
                <w:szCs w:val="24"/>
              </w:rPr>
            </w:pPr>
            <w:r w:rsidRPr="000C7336">
              <w:rPr>
                <w:sz w:val="24"/>
                <w:szCs w:val="24"/>
              </w:rPr>
              <w:t>The Safeguarding Board Wales (2024) has links to regional safeguarding boards who have an online form that can be completed to report that an adult is at risk of harm or neglect. Each local authority will have their own contact methods, including emails and contact numbers for if an individual wants to discuss any potential concerns for advice. Each local authority will have a team who will review referrals in a screening process to determine if threshold is met for Section 126 enquiries</w:t>
            </w:r>
            <w:r w:rsidR="00567614">
              <w:rPr>
                <w:sz w:val="24"/>
                <w:szCs w:val="24"/>
              </w:rPr>
              <w:t xml:space="preserve"> (SSWBA, 2014)</w:t>
            </w:r>
            <w:r w:rsidR="00567614" w:rsidRPr="000C7336">
              <w:rPr>
                <w:sz w:val="24"/>
                <w:szCs w:val="24"/>
              </w:rPr>
              <w:t xml:space="preserve">. </w:t>
            </w:r>
            <w:r w:rsidRPr="000C7336">
              <w:rPr>
                <w:sz w:val="24"/>
                <w:szCs w:val="24"/>
              </w:rPr>
              <w:t xml:space="preserve"> </w:t>
            </w:r>
          </w:p>
          <w:p w14:paraId="2D57ABA0" w14:textId="77777777" w:rsidR="000C7336" w:rsidRPr="000C7336" w:rsidRDefault="000C7336" w:rsidP="00317CC2">
            <w:pPr>
              <w:rPr>
                <w:sz w:val="24"/>
                <w:szCs w:val="24"/>
              </w:rPr>
            </w:pPr>
          </w:p>
          <w:p w14:paraId="175FE554" w14:textId="093F1757" w:rsidR="000C7336" w:rsidRPr="000C7336" w:rsidRDefault="000C7336" w:rsidP="00317CC2">
            <w:pPr>
              <w:rPr>
                <w:sz w:val="24"/>
                <w:szCs w:val="24"/>
              </w:rPr>
            </w:pPr>
            <w:r w:rsidRPr="000C7336">
              <w:rPr>
                <w:sz w:val="24"/>
                <w:szCs w:val="24"/>
              </w:rPr>
              <w:lastRenderedPageBreak/>
              <w:t>Where there is reasonable cause to suspect that a person is an adult at risk, the local authority has a duty to undertake enquiries to determine whether action is required and, if so, what action should be taken</w:t>
            </w:r>
            <w:r w:rsidR="00567614">
              <w:rPr>
                <w:sz w:val="24"/>
                <w:szCs w:val="24"/>
              </w:rPr>
              <w:t xml:space="preserve"> (SSWBA, 2014,</w:t>
            </w:r>
            <w:r w:rsidRPr="000C7336">
              <w:rPr>
                <w:sz w:val="24"/>
                <w:szCs w:val="24"/>
              </w:rPr>
              <w:t xml:space="preserve"> s.126). </w:t>
            </w:r>
            <w:r w:rsidR="002A7FEB" w:rsidRPr="002A7FEB">
              <w:rPr>
                <w:sz w:val="24"/>
                <w:szCs w:val="24"/>
              </w:rPr>
              <w:t>Where safeguarding concerns are identified, the local authority must make timely enquiries to assess risk and determine appropriate action</w:t>
            </w:r>
            <w:r w:rsidR="00200049">
              <w:rPr>
                <w:sz w:val="24"/>
                <w:szCs w:val="24"/>
              </w:rPr>
              <w:t xml:space="preserve">. </w:t>
            </w:r>
            <w:r w:rsidRPr="000C7336">
              <w:rPr>
                <w:sz w:val="24"/>
                <w:szCs w:val="24"/>
              </w:rPr>
              <w:t xml:space="preserve">Information gathered through the enquiry may involve discussions with the adult, their family and relevant professionals. Where ongoing risks are identified, multi-agency safeguarding planning may be required to reduce harm and promote the person's wellbeing (Welsh Government, 2019). </w:t>
            </w:r>
          </w:p>
          <w:p w14:paraId="54ED96F0" w14:textId="77777777" w:rsidR="000C7336" w:rsidRPr="000C7336" w:rsidRDefault="000C7336" w:rsidP="00317CC2">
            <w:pPr>
              <w:rPr>
                <w:sz w:val="24"/>
                <w:szCs w:val="24"/>
              </w:rPr>
            </w:pPr>
          </w:p>
          <w:p w14:paraId="39C463B5" w14:textId="156FA3D9" w:rsidR="000C7336" w:rsidRPr="000C7336" w:rsidRDefault="009B4096" w:rsidP="00317CC2">
            <w:pPr>
              <w:rPr>
                <w:sz w:val="24"/>
                <w:szCs w:val="24"/>
              </w:rPr>
            </w:pPr>
            <w:r>
              <w:rPr>
                <w:sz w:val="24"/>
                <w:szCs w:val="24"/>
              </w:rPr>
              <w:t xml:space="preserve">Safeguarding enquiries from a </w:t>
            </w:r>
            <w:r w:rsidR="000C7336" w:rsidRPr="000C7336">
              <w:rPr>
                <w:sz w:val="24"/>
                <w:szCs w:val="24"/>
              </w:rPr>
              <w:t xml:space="preserve">Section 126 enquiry </w:t>
            </w:r>
            <w:r w:rsidR="00940CC7">
              <w:rPr>
                <w:sz w:val="24"/>
                <w:szCs w:val="24"/>
              </w:rPr>
              <w:t>(SSWBA, 2014)</w:t>
            </w:r>
            <w:r w:rsidR="00510F35">
              <w:rPr>
                <w:sz w:val="24"/>
                <w:szCs w:val="24"/>
              </w:rPr>
              <w:t xml:space="preserve"> </w:t>
            </w:r>
            <w:r w:rsidR="00510F35" w:rsidRPr="00510F35">
              <w:rPr>
                <w:sz w:val="24"/>
                <w:szCs w:val="24"/>
              </w:rPr>
              <w:t xml:space="preserve">may </w:t>
            </w:r>
            <w:r w:rsidR="00BA7AEA">
              <w:rPr>
                <w:sz w:val="24"/>
                <w:szCs w:val="24"/>
              </w:rPr>
              <w:t>be unsubstantiated or lead</w:t>
            </w:r>
            <w:r w:rsidR="00510F35" w:rsidRPr="00510F35">
              <w:rPr>
                <w:sz w:val="24"/>
                <w:szCs w:val="24"/>
              </w:rPr>
              <w:t xml:space="preserve"> to preventative support, risk management measures or formal </w:t>
            </w:r>
            <w:r w:rsidR="00885AF9">
              <w:rPr>
                <w:sz w:val="24"/>
                <w:szCs w:val="24"/>
              </w:rPr>
              <w:t xml:space="preserve">multi-agency </w:t>
            </w:r>
            <w:r w:rsidR="00510F35" w:rsidRPr="00510F35">
              <w:rPr>
                <w:sz w:val="24"/>
                <w:szCs w:val="24"/>
              </w:rPr>
              <w:t>protection planning where concerns remain</w:t>
            </w:r>
            <w:r w:rsidR="000C7336" w:rsidRPr="000C7336">
              <w:rPr>
                <w:sz w:val="24"/>
                <w:szCs w:val="24"/>
              </w:rPr>
              <w:t>. An adult at risk protection plan conference will be held to support this and reviewed every 6 weeks. (Wales Safeguarding Procedures, 2019).</w:t>
            </w:r>
          </w:p>
          <w:p w14:paraId="3E31ED85" w14:textId="77777777" w:rsidR="000C7336" w:rsidRPr="000C7336" w:rsidRDefault="000C7336" w:rsidP="00317CC2">
            <w:pPr>
              <w:rPr>
                <w:sz w:val="24"/>
                <w:szCs w:val="24"/>
              </w:rPr>
            </w:pPr>
          </w:p>
          <w:p w14:paraId="7845369B" w14:textId="0E7ED933" w:rsidR="00D91EA3" w:rsidRPr="00D91EA3" w:rsidRDefault="008265A6" w:rsidP="00317CC2">
            <w:pPr>
              <w:rPr>
                <w:sz w:val="24"/>
                <w:szCs w:val="24"/>
              </w:rPr>
            </w:pPr>
            <w:r w:rsidRPr="008265A6">
              <w:rPr>
                <w:sz w:val="24"/>
                <w:szCs w:val="24"/>
              </w:rPr>
              <w:t>Alongside national legislation, Regional Safeguarding Boards play a key role in translating statutory duties into consistent local practice. By producing guidance, training opportunities and multi-agency procedures, they support practitioners to work collaboratively and respond proportionately to safeguarding concerns</w:t>
            </w:r>
            <w:r w:rsidR="000C7336" w:rsidRPr="000C7336">
              <w:rPr>
                <w:sz w:val="24"/>
                <w:szCs w:val="24"/>
              </w:rPr>
              <w:t xml:space="preserve"> (Safeguarding Wales, 2024).</w:t>
            </w:r>
            <w:r w:rsidR="00317CC2">
              <w:rPr>
                <w:sz w:val="24"/>
                <w:szCs w:val="24"/>
              </w:rPr>
              <w:t xml:space="preserve"> </w:t>
            </w:r>
            <w:r w:rsidR="00D91EA3" w:rsidRPr="00D91EA3">
              <w:rPr>
                <w:sz w:val="24"/>
                <w:szCs w:val="24"/>
              </w:rPr>
              <w:t>Within organisations, safeguarding policies reinforce these expectations by setting out reporting pathways, record-keeping requirements and staff responsibilities, ensuring that adults at risk receive a coordinated response.</w:t>
            </w:r>
          </w:p>
          <w:p w14:paraId="2D9F4B88" w14:textId="124CC5A2" w:rsidR="000C7336" w:rsidRDefault="000C7336" w:rsidP="000C7336">
            <w:pPr>
              <w:jc w:val="both"/>
              <w:rPr>
                <w:sz w:val="24"/>
                <w:szCs w:val="24"/>
              </w:rPr>
            </w:pPr>
          </w:p>
          <w:p w14:paraId="598E36DB" w14:textId="77777777" w:rsidR="00940CC7" w:rsidRDefault="00940CC7" w:rsidP="000C7336">
            <w:pPr>
              <w:jc w:val="both"/>
              <w:rPr>
                <w:sz w:val="24"/>
                <w:szCs w:val="24"/>
              </w:rPr>
            </w:pPr>
          </w:p>
          <w:p w14:paraId="5F3BEA71" w14:textId="526097E8" w:rsidR="00940CC7" w:rsidRDefault="00940CC7" w:rsidP="000C7336">
            <w:pPr>
              <w:jc w:val="both"/>
              <w:rPr>
                <w:sz w:val="24"/>
                <w:szCs w:val="24"/>
              </w:rPr>
            </w:pPr>
            <w:r>
              <w:rPr>
                <w:sz w:val="24"/>
                <w:szCs w:val="24"/>
              </w:rPr>
              <w:t xml:space="preserve">(Word Count – </w:t>
            </w:r>
            <w:r w:rsidR="00317CC2">
              <w:rPr>
                <w:sz w:val="24"/>
                <w:szCs w:val="24"/>
              </w:rPr>
              <w:t>522</w:t>
            </w:r>
            <w:r>
              <w:rPr>
                <w:sz w:val="24"/>
                <w:szCs w:val="24"/>
              </w:rPr>
              <w:t xml:space="preserve">) </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3EE14F31" w14:textId="77777777" w:rsidR="00940CC7" w:rsidRDefault="00940CC7" w:rsidP="00FC0334">
            <w:pPr>
              <w:jc w:val="both"/>
              <w:rPr>
                <w:i/>
                <w:sz w:val="24"/>
                <w:szCs w:val="24"/>
              </w:rPr>
            </w:pPr>
          </w:p>
          <w:p w14:paraId="6963A4AA" w14:textId="4F7CF449" w:rsidR="00940CC7" w:rsidRDefault="00355D35" w:rsidP="00337CFB">
            <w:pPr>
              <w:rPr>
                <w:iCs/>
                <w:sz w:val="24"/>
                <w:szCs w:val="24"/>
              </w:rPr>
            </w:pPr>
            <w:r w:rsidRPr="00355D35">
              <w:rPr>
                <w:iCs/>
                <w:sz w:val="24"/>
                <w:szCs w:val="24"/>
              </w:rPr>
              <w:t>In Wales, safeguarding practice for both children and adults is shaped by the Social Services and Well-being (Wales) Act 2014. However, children's safeguarding is also informed by the Children Act 1989, which requires agencies to take action when there are concerns that a child may be experiencing, or be at risk of, significant harm under Section 47 (Children Act, 1989). In comparison, adult safeguarding under Section 126 focuses on protecting individuals whose care and support needs may limit their ability to safeguard themselves from abuse or neglect (Social Services and Well-being (Wales) Act, 2014). This highlights a key difference between the two frameworks, with children's safeguarding adopting a more protective approach, while adult safeguarding places greater emphasis on balancing protection with individual rights and choice (Welsh Government, 2019).</w:t>
            </w:r>
          </w:p>
          <w:p w14:paraId="326D34E7" w14:textId="77777777" w:rsidR="004943B7" w:rsidRPr="00940CC7" w:rsidRDefault="004943B7" w:rsidP="00337CFB">
            <w:pPr>
              <w:rPr>
                <w:iCs/>
                <w:sz w:val="24"/>
                <w:szCs w:val="24"/>
              </w:rPr>
            </w:pPr>
          </w:p>
          <w:p w14:paraId="2EB0EAAC" w14:textId="1EBA6AF2" w:rsidR="00940CC7" w:rsidRPr="00940CC7" w:rsidRDefault="00FF3FA5" w:rsidP="00337CFB">
            <w:pPr>
              <w:rPr>
                <w:iCs/>
                <w:sz w:val="24"/>
                <w:szCs w:val="24"/>
              </w:rPr>
            </w:pPr>
            <w:r w:rsidRPr="00FF3FA5">
              <w:rPr>
                <w:iCs/>
                <w:sz w:val="24"/>
                <w:szCs w:val="24"/>
              </w:rPr>
              <w:lastRenderedPageBreak/>
              <w:t>Both frameworks seek to protect people from harm while respecting their human rights, requiring practitioners to balance safety with individual freedoms and personal choice.</w:t>
            </w:r>
            <w:r w:rsidR="00687774">
              <w:rPr>
                <w:iCs/>
                <w:sz w:val="24"/>
                <w:szCs w:val="24"/>
              </w:rPr>
              <w:t xml:space="preserve"> </w:t>
            </w:r>
            <w:r w:rsidR="00940CC7" w:rsidRPr="00940CC7">
              <w:rPr>
                <w:iCs/>
                <w:sz w:val="24"/>
                <w:szCs w:val="24"/>
              </w:rPr>
              <w:t xml:space="preserve">The </w:t>
            </w:r>
            <w:r w:rsidR="00687774">
              <w:rPr>
                <w:iCs/>
                <w:sz w:val="24"/>
                <w:szCs w:val="24"/>
              </w:rPr>
              <w:t xml:space="preserve">Human Rights </w:t>
            </w:r>
            <w:r w:rsidR="00940CC7" w:rsidRPr="00940CC7">
              <w:rPr>
                <w:iCs/>
                <w:sz w:val="24"/>
                <w:szCs w:val="24"/>
              </w:rPr>
              <w:t>Act</w:t>
            </w:r>
            <w:r w:rsidR="00687774">
              <w:rPr>
                <w:iCs/>
                <w:sz w:val="24"/>
                <w:szCs w:val="24"/>
              </w:rPr>
              <w:t xml:space="preserve"> 1998</w:t>
            </w:r>
            <w:r w:rsidR="00E76522">
              <w:rPr>
                <w:iCs/>
                <w:sz w:val="24"/>
                <w:szCs w:val="24"/>
              </w:rPr>
              <w:t xml:space="preserve"> </w:t>
            </w:r>
            <w:r w:rsidR="00940CC7" w:rsidRPr="00940CC7">
              <w:rPr>
                <w:iCs/>
                <w:sz w:val="24"/>
                <w:szCs w:val="24"/>
              </w:rPr>
              <w:t>reinforces key rights, including the right to life, freedom from inhuman or degrading treatment, and respect for private and family life, all of which are relevant to safeguarding practice. A significant difference between adult and children's safeguarding, however, lies in the role of consent.</w:t>
            </w:r>
            <w:r w:rsidR="001546BF">
              <w:rPr>
                <w:iCs/>
                <w:sz w:val="24"/>
                <w:szCs w:val="24"/>
              </w:rPr>
              <w:t xml:space="preserve"> </w:t>
            </w:r>
            <w:r w:rsidR="001546BF" w:rsidRPr="001546BF">
              <w:rPr>
                <w:iCs/>
                <w:sz w:val="24"/>
                <w:szCs w:val="24"/>
              </w:rPr>
              <w:t>Adult safeguarding places a strong emphasis on empowering individuals to make decisions about their own lives and desired outcomes.</w:t>
            </w:r>
            <w:r w:rsidR="001F772B">
              <w:rPr>
                <w:iCs/>
                <w:sz w:val="24"/>
                <w:szCs w:val="24"/>
              </w:rPr>
              <w:t xml:space="preserve"> </w:t>
            </w:r>
            <w:r w:rsidR="00940CC7" w:rsidRPr="00940CC7">
              <w:rPr>
                <w:iCs/>
                <w:sz w:val="24"/>
                <w:szCs w:val="24"/>
              </w:rPr>
              <w:t>The Mental Capacity Act 2005 states that "a person is not to be treated as unable to make a decision merely because he makes an unwise decision" (Mental Capacity Act 2005, s.1). In contrast, children's safeguarding prioritises protection due to children's vulnerability and their reliance on adults and professionals to act in their best interests.</w:t>
            </w:r>
          </w:p>
          <w:p w14:paraId="542784F3" w14:textId="77777777" w:rsidR="00940CC7" w:rsidRPr="00940CC7" w:rsidRDefault="00940CC7" w:rsidP="00337CFB">
            <w:pPr>
              <w:rPr>
                <w:iCs/>
                <w:sz w:val="24"/>
                <w:szCs w:val="24"/>
              </w:rPr>
            </w:pPr>
          </w:p>
          <w:p w14:paraId="0B244E86" w14:textId="7E419AF6" w:rsidR="00940CC7" w:rsidRPr="00940CC7" w:rsidRDefault="00A129A9" w:rsidP="00337CFB">
            <w:pPr>
              <w:rPr>
                <w:iCs/>
                <w:sz w:val="24"/>
                <w:szCs w:val="24"/>
              </w:rPr>
            </w:pPr>
            <w:r w:rsidRPr="00A129A9">
              <w:rPr>
                <w:iCs/>
                <w:sz w:val="24"/>
                <w:szCs w:val="24"/>
              </w:rPr>
              <w:t>Another important difference relates to decision-making and how practitioners assess an individual's ability to understand and weigh information.</w:t>
            </w:r>
            <w:r>
              <w:rPr>
                <w:iCs/>
                <w:sz w:val="24"/>
                <w:szCs w:val="24"/>
              </w:rPr>
              <w:t xml:space="preserve"> </w:t>
            </w:r>
            <w:r w:rsidR="00940CC7" w:rsidRPr="00940CC7">
              <w:rPr>
                <w:iCs/>
                <w:sz w:val="24"/>
                <w:szCs w:val="24"/>
              </w:rPr>
              <w:t>Children may make certain decisions independently if assessed as Gillick competent, meaning they have sufficient understanding and maturity to understand the implications of their choices (Gillick</w:t>
            </w:r>
            <w:r w:rsidR="00A40544">
              <w:rPr>
                <w:iCs/>
                <w:sz w:val="24"/>
                <w:szCs w:val="24"/>
              </w:rPr>
              <w:t xml:space="preserve"> </w:t>
            </w:r>
            <w:r w:rsidR="00A40544" w:rsidRPr="00A40544">
              <w:rPr>
                <w:iCs/>
                <w:sz w:val="24"/>
                <w:szCs w:val="24"/>
              </w:rPr>
              <w:t>v West Norfolk and Wisbech AHA</w:t>
            </w:r>
            <w:r w:rsidR="00940CC7" w:rsidRPr="00940CC7">
              <w:rPr>
                <w:iCs/>
                <w:sz w:val="24"/>
                <w:szCs w:val="24"/>
              </w:rPr>
              <w:t>, 1986). Adults are presumed to have capacity unless assessed otherwise under the Mental Capacity Act 2005. Where an adult lacks capacity, decisions must be made in their best interests with involvement from relevant professionals and those who know the person well.</w:t>
            </w:r>
          </w:p>
          <w:p w14:paraId="5C9570D0" w14:textId="25924831" w:rsidR="00940CC7" w:rsidRPr="00940CC7" w:rsidRDefault="00940CC7" w:rsidP="00337CFB">
            <w:pPr>
              <w:rPr>
                <w:iCs/>
                <w:sz w:val="24"/>
                <w:szCs w:val="24"/>
              </w:rPr>
            </w:pPr>
          </w:p>
          <w:p w14:paraId="045F0079" w14:textId="4EE17853" w:rsidR="00A15BAD" w:rsidRPr="00A15BAD" w:rsidRDefault="00A15BAD" w:rsidP="00A15BAD">
            <w:pPr>
              <w:rPr>
                <w:iCs/>
                <w:sz w:val="24"/>
                <w:szCs w:val="24"/>
              </w:rPr>
            </w:pPr>
            <w:r w:rsidRPr="00A15BAD">
              <w:rPr>
                <w:iCs/>
                <w:sz w:val="24"/>
                <w:szCs w:val="24"/>
              </w:rPr>
              <w:t>Whilst both frameworks aim to protect individuals from abuse and neglect, a key difference is that children's safeguarding prioritises protection, safety and welfare, whereas adult safeguarding seeks to balance protection with autonomy, consent and personal choice. Reflecting on this, I have recognised the ethical challenges within adult safeguarding, where practitioners may need to respect decisions that involve risk when an individual has the capacity to make informed choices</w:t>
            </w:r>
            <w:r w:rsidR="00E66F48">
              <w:rPr>
                <w:iCs/>
                <w:sz w:val="24"/>
                <w:szCs w:val="24"/>
              </w:rPr>
              <w:t>.</w:t>
            </w:r>
          </w:p>
          <w:p w14:paraId="51955B1E" w14:textId="77777777" w:rsidR="00940CC7" w:rsidRDefault="00940CC7" w:rsidP="00940CC7">
            <w:pPr>
              <w:jc w:val="both"/>
              <w:rPr>
                <w:iCs/>
                <w:sz w:val="24"/>
                <w:szCs w:val="24"/>
              </w:rPr>
            </w:pPr>
          </w:p>
          <w:p w14:paraId="3E270ABC" w14:textId="221908AF" w:rsidR="00940CC7" w:rsidRPr="00940CC7" w:rsidRDefault="00940CC7" w:rsidP="00940CC7">
            <w:pPr>
              <w:jc w:val="both"/>
              <w:rPr>
                <w:iCs/>
                <w:sz w:val="24"/>
                <w:szCs w:val="24"/>
              </w:rPr>
            </w:pPr>
            <w:r>
              <w:rPr>
                <w:iCs/>
                <w:sz w:val="24"/>
                <w:szCs w:val="24"/>
              </w:rPr>
              <w:t>(Word Count – 4</w:t>
            </w:r>
            <w:r w:rsidR="00E66F48">
              <w:rPr>
                <w:iCs/>
                <w:sz w:val="24"/>
                <w:szCs w:val="24"/>
              </w:rPr>
              <w:t>34</w:t>
            </w:r>
            <w:r>
              <w:rPr>
                <w:iCs/>
                <w:sz w:val="24"/>
                <w:szCs w:val="24"/>
              </w:rPr>
              <w:t xml:space="preserve">) </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2F73F" w14:textId="77777777" w:rsidR="004C34C5" w:rsidRDefault="004C34C5">
      <w:r>
        <w:separator/>
      </w:r>
    </w:p>
  </w:endnote>
  <w:endnote w:type="continuationSeparator" w:id="0">
    <w:p w14:paraId="7B3CADC0" w14:textId="77777777" w:rsidR="004C34C5" w:rsidRDefault="004C3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90D23" w14:textId="77777777" w:rsidR="004C34C5" w:rsidRDefault="004C34C5">
      <w:r>
        <w:separator/>
      </w:r>
    </w:p>
  </w:footnote>
  <w:footnote w:type="continuationSeparator" w:id="0">
    <w:p w14:paraId="75766273" w14:textId="77777777" w:rsidR="004C34C5" w:rsidRDefault="004C3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096A"/>
    <w:rsid w:val="000C378F"/>
    <w:rsid w:val="000C6892"/>
    <w:rsid w:val="000C6FFE"/>
    <w:rsid w:val="000C7336"/>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46BF"/>
    <w:rsid w:val="001608C4"/>
    <w:rsid w:val="00164832"/>
    <w:rsid w:val="00171418"/>
    <w:rsid w:val="001772BF"/>
    <w:rsid w:val="001772DE"/>
    <w:rsid w:val="0019496C"/>
    <w:rsid w:val="001961CF"/>
    <w:rsid w:val="001A156D"/>
    <w:rsid w:val="001A59BB"/>
    <w:rsid w:val="001A607E"/>
    <w:rsid w:val="001A6A51"/>
    <w:rsid w:val="001A79C4"/>
    <w:rsid w:val="001B331A"/>
    <w:rsid w:val="001C0237"/>
    <w:rsid w:val="001C0E74"/>
    <w:rsid w:val="001C4DB8"/>
    <w:rsid w:val="001C50B8"/>
    <w:rsid w:val="001D229F"/>
    <w:rsid w:val="001E2EB6"/>
    <w:rsid w:val="001F4552"/>
    <w:rsid w:val="001F772B"/>
    <w:rsid w:val="00200049"/>
    <w:rsid w:val="002019EB"/>
    <w:rsid w:val="00203F50"/>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1EEB"/>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7FEB"/>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17CC2"/>
    <w:rsid w:val="00321255"/>
    <w:rsid w:val="0032230D"/>
    <w:rsid w:val="00322A0B"/>
    <w:rsid w:val="00330881"/>
    <w:rsid w:val="00331CD2"/>
    <w:rsid w:val="00332426"/>
    <w:rsid w:val="00335C41"/>
    <w:rsid w:val="00335FC5"/>
    <w:rsid w:val="0033771E"/>
    <w:rsid w:val="00337CFB"/>
    <w:rsid w:val="00337FEF"/>
    <w:rsid w:val="00354B6D"/>
    <w:rsid w:val="00355210"/>
    <w:rsid w:val="00355CFD"/>
    <w:rsid w:val="00355D35"/>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43B7"/>
    <w:rsid w:val="004968E2"/>
    <w:rsid w:val="004A2A49"/>
    <w:rsid w:val="004A5A64"/>
    <w:rsid w:val="004B5553"/>
    <w:rsid w:val="004B600B"/>
    <w:rsid w:val="004B6822"/>
    <w:rsid w:val="004B69F6"/>
    <w:rsid w:val="004C2D3A"/>
    <w:rsid w:val="004C34C5"/>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0F35"/>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67614"/>
    <w:rsid w:val="00574A0C"/>
    <w:rsid w:val="0057780F"/>
    <w:rsid w:val="00581E0A"/>
    <w:rsid w:val="00586AC9"/>
    <w:rsid w:val="00586D89"/>
    <w:rsid w:val="005877C8"/>
    <w:rsid w:val="00587923"/>
    <w:rsid w:val="0059300C"/>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1D70"/>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87774"/>
    <w:rsid w:val="00694FDA"/>
    <w:rsid w:val="0069625A"/>
    <w:rsid w:val="00696A88"/>
    <w:rsid w:val="00696F65"/>
    <w:rsid w:val="00697572"/>
    <w:rsid w:val="006A5E39"/>
    <w:rsid w:val="006B4496"/>
    <w:rsid w:val="006B5E67"/>
    <w:rsid w:val="006B6612"/>
    <w:rsid w:val="006C2EB5"/>
    <w:rsid w:val="006D0751"/>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1AB"/>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02D5"/>
    <w:rsid w:val="007F10BD"/>
    <w:rsid w:val="007F312E"/>
    <w:rsid w:val="007F3F7E"/>
    <w:rsid w:val="007F4BA4"/>
    <w:rsid w:val="00813CEC"/>
    <w:rsid w:val="0081534C"/>
    <w:rsid w:val="00816CE7"/>
    <w:rsid w:val="008171E4"/>
    <w:rsid w:val="008208EA"/>
    <w:rsid w:val="00822B44"/>
    <w:rsid w:val="00824E67"/>
    <w:rsid w:val="00825A64"/>
    <w:rsid w:val="008265A6"/>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2251"/>
    <w:rsid w:val="00865B58"/>
    <w:rsid w:val="00866B50"/>
    <w:rsid w:val="00867A63"/>
    <w:rsid w:val="008708F1"/>
    <w:rsid w:val="00871960"/>
    <w:rsid w:val="0087369F"/>
    <w:rsid w:val="00880539"/>
    <w:rsid w:val="008859E8"/>
    <w:rsid w:val="00885AF9"/>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3BD0"/>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0CC7"/>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409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F3A"/>
    <w:rsid w:val="009F6801"/>
    <w:rsid w:val="00A00081"/>
    <w:rsid w:val="00A06422"/>
    <w:rsid w:val="00A10D56"/>
    <w:rsid w:val="00A129A9"/>
    <w:rsid w:val="00A12AAE"/>
    <w:rsid w:val="00A12F22"/>
    <w:rsid w:val="00A15BAD"/>
    <w:rsid w:val="00A16DD1"/>
    <w:rsid w:val="00A22441"/>
    <w:rsid w:val="00A23F3B"/>
    <w:rsid w:val="00A243F8"/>
    <w:rsid w:val="00A24406"/>
    <w:rsid w:val="00A25F64"/>
    <w:rsid w:val="00A275F6"/>
    <w:rsid w:val="00A303B9"/>
    <w:rsid w:val="00A37416"/>
    <w:rsid w:val="00A40544"/>
    <w:rsid w:val="00A40ED6"/>
    <w:rsid w:val="00A47621"/>
    <w:rsid w:val="00A479CD"/>
    <w:rsid w:val="00A50CFC"/>
    <w:rsid w:val="00A52465"/>
    <w:rsid w:val="00A54D67"/>
    <w:rsid w:val="00A55A3F"/>
    <w:rsid w:val="00A5656A"/>
    <w:rsid w:val="00A60103"/>
    <w:rsid w:val="00A652F6"/>
    <w:rsid w:val="00A65861"/>
    <w:rsid w:val="00A732EA"/>
    <w:rsid w:val="00A7489E"/>
    <w:rsid w:val="00A8015F"/>
    <w:rsid w:val="00A85039"/>
    <w:rsid w:val="00A906AA"/>
    <w:rsid w:val="00A91651"/>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AEA"/>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8C8"/>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376C"/>
    <w:rsid w:val="00CA5726"/>
    <w:rsid w:val="00CA7E6A"/>
    <w:rsid w:val="00CB258E"/>
    <w:rsid w:val="00CB3C8F"/>
    <w:rsid w:val="00CC02F1"/>
    <w:rsid w:val="00CC1122"/>
    <w:rsid w:val="00CC11A6"/>
    <w:rsid w:val="00CC135E"/>
    <w:rsid w:val="00CC7226"/>
    <w:rsid w:val="00CD0735"/>
    <w:rsid w:val="00CD45E3"/>
    <w:rsid w:val="00CD4771"/>
    <w:rsid w:val="00CD4B05"/>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10B"/>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1EA3"/>
    <w:rsid w:val="00DA1025"/>
    <w:rsid w:val="00DA22EC"/>
    <w:rsid w:val="00DA5682"/>
    <w:rsid w:val="00DA5860"/>
    <w:rsid w:val="00DA5C0C"/>
    <w:rsid w:val="00DB2767"/>
    <w:rsid w:val="00DC1B10"/>
    <w:rsid w:val="00DC2924"/>
    <w:rsid w:val="00DC4729"/>
    <w:rsid w:val="00DD31C5"/>
    <w:rsid w:val="00DD5020"/>
    <w:rsid w:val="00DD63BE"/>
    <w:rsid w:val="00DD7B39"/>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6F48"/>
    <w:rsid w:val="00E6746C"/>
    <w:rsid w:val="00E7086E"/>
    <w:rsid w:val="00E71248"/>
    <w:rsid w:val="00E73C41"/>
    <w:rsid w:val="00E75911"/>
    <w:rsid w:val="00E7598F"/>
    <w:rsid w:val="00E76522"/>
    <w:rsid w:val="00E76F60"/>
    <w:rsid w:val="00E812B5"/>
    <w:rsid w:val="00E83D90"/>
    <w:rsid w:val="00E83F91"/>
    <w:rsid w:val="00E86299"/>
    <w:rsid w:val="00E9107A"/>
    <w:rsid w:val="00E91158"/>
    <w:rsid w:val="00E91F62"/>
    <w:rsid w:val="00E929FD"/>
    <w:rsid w:val="00E93240"/>
    <w:rsid w:val="00E9479B"/>
    <w:rsid w:val="00E94E22"/>
    <w:rsid w:val="00E95E25"/>
    <w:rsid w:val="00E95F08"/>
    <w:rsid w:val="00E97171"/>
    <w:rsid w:val="00E97374"/>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D5A"/>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3FA5"/>
    <w:rsid w:val="00FF423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2519113@student.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bbievictoria@outlook.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Abbie Williams</cp:lastModifiedBy>
  <cp:revision>47</cp:revision>
  <cp:lastPrinted>2020-02-11T19:20:00Z</cp:lastPrinted>
  <dcterms:created xsi:type="dcterms:W3CDTF">2026-09-30T15:59:00Z</dcterms:created>
  <dcterms:modified xsi:type="dcterms:W3CDTF">2026-09-30T19:59:00Z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