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1834EC5D" w:rsidP="697399DE" w:rsidRDefault="1834EC5D" w14:paraId="41D309D0" w14:textId="23366C94">
      <w:pPr>
        <w:pStyle w:val="Normal"/>
        <w:spacing w:before="0" w:beforeAutospacing="off" w:after="0" w:afterAutospacing="off"/>
        <w:rPr>
          <w:rFonts w:ascii="Times New Roman" w:hAnsi="Times New Roman" w:eastAsia="Times New Roman" w:cs="Times New Roman"/>
          <w:b w:val="1"/>
          <w:bCs w:val="1"/>
          <w:i w:val="1"/>
          <w:iCs w:val="1"/>
          <w:noProof w:val="0"/>
          <w:sz w:val="24"/>
          <w:szCs w:val="24"/>
          <w:lang w:val="en-US"/>
        </w:rPr>
      </w:pPr>
      <w:r w:rsidRPr="697399DE" w:rsidR="47E57983">
        <w:rPr>
          <w:rFonts w:ascii="Times New Roman" w:hAnsi="Times New Roman" w:eastAsia="Times New Roman" w:cs="Times New Roman"/>
          <w:b w:val="1"/>
          <w:bCs w:val="1"/>
          <w:i w:val="1"/>
          <w:iCs w:val="1"/>
          <w:noProof w:val="0"/>
          <w:sz w:val="24"/>
          <w:szCs w:val="24"/>
          <w:lang w:val="en-US"/>
        </w:rPr>
        <w:t xml:space="preserve">The relationship between </w:t>
      </w:r>
      <w:r w:rsidRPr="697399DE" w:rsidR="47E57983">
        <w:rPr>
          <w:rFonts w:ascii="Times New Roman" w:hAnsi="Times New Roman" w:eastAsia="Times New Roman" w:cs="Times New Roman"/>
          <w:b w:val="1"/>
          <w:bCs w:val="1"/>
          <w:i w:val="1"/>
          <w:iCs w:val="1"/>
          <w:noProof w:val="0"/>
          <w:sz w:val="24"/>
          <w:szCs w:val="24"/>
          <w:lang w:val="en-US"/>
        </w:rPr>
        <w:t>behavioural</w:t>
      </w:r>
      <w:r w:rsidRPr="697399DE" w:rsidR="47E57983">
        <w:rPr>
          <w:rFonts w:ascii="Times New Roman" w:hAnsi="Times New Roman" w:eastAsia="Times New Roman" w:cs="Times New Roman"/>
          <w:b w:val="1"/>
          <w:bCs w:val="1"/>
          <w:i w:val="1"/>
          <w:iCs w:val="1"/>
          <w:noProof w:val="0"/>
          <w:sz w:val="24"/>
          <w:szCs w:val="24"/>
          <w:lang w:val="en-US"/>
        </w:rPr>
        <w:t xml:space="preserve"> regulation to exercise and physical activity level for a group of students</w:t>
      </w:r>
      <w:r w:rsidRPr="697399DE" w:rsidR="4F503454">
        <w:rPr>
          <w:rFonts w:ascii="Times New Roman" w:hAnsi="Times New Roman" w:eastAsia="Times New Roman" w:cs="Times New Roman"/>
          <w:b w:val="1"/>
          <w:bCs w:val="1"/>
          <w:i w:val="1"/>
          <w:iCs w:val="1"/>
          <w:noProof w:val="0"/>
          <w:sz w:val="24"/>
          <w:szCs w:val="24"/>
          <w:lang w:val="en-US"/>
        </w:rPr>
        <w:t>:</w:t>
      </w:r>
    </w:p>
    <w:p w:rsidR="1834EC5D" w:rsidP="697399DE" w:rsidRDefault="1834EC5D" w14:paraId="756EBA3C" w14:textId="56DA6690">
      <w:pPr>
        <w:pStyle w:val="Normal"/>
        <w:spacing w:before="0" w:beforeAutospacing="off" w:after="0" w:afterAutospacing="off"/>
        <w:rPr>
          <w:rFonts w:ascii="Times New Roman" w:hAnsi="Times New Roman" w:eastAsia="Times New Roman" w:cs="Times New Roman"/>
          <w:b w:val="0"/>
          <w:bCs w:val="0"/>
          <w:noProof w:val="0"/>
          <w:color w:val="auto"/>
          <w:sz w:val="24"/>
          <w:szCs w:val="24"/>
          <w:lang w:val="en-US"/>
        </w:rPr>
      </w:pPr>
    </w:p>
    <w:p w:rsidR="1834EC5D" w:rsidP="697399DE" w:rsidRDefault="1834EC5D" w14:paraId="00B58C3C" w14:textId="0D4934A7">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97399DE" w:rsidR="2249F8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Introduction:</w:t>
      </w:r>
    </w:p>
    <w:p w:rsidR="1834EC5D" w:rsidP="697399DE" w:rsidRDefault="1834EC5D" w14:paraId="4BD79695" w14:textId="3FDBA53B">
      <w:pPr>
        <w:pStyle w:val="Normal"/>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97399DE" w:rsidR="2249F8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According to Sevil et al. (2015, p </w:t>
      </w:r>
      <w:r w:rsidRPr="697399DE" w:rsidR="2249F8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2 )</w:t>
      </w:r>
      <w:r w:rsidRPr="697399DE" w:rsidR="2249F8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‘’Engagement in regular physical activity (PA) with moderate to vigorous intensity (MVPA) report </w:t>
      </w:r>
      <w:r w:rsidRPr="697399DE" w:rsidR="2249F8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numerous</w:t>
      </w:r>
      <w:r w:rsidRPr="697399DE" w:rsidR="2249F8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benefits in a person’s integral development, personal </w:t>
      </w:r>
      <w:r w:rsidRPr="697399DE" w:rsidR="2249F8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well-being</w:t>
      </w:r>
      <w:r w:rsidRPr="697399DE" w:rsidR="2249F8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quality of </w:t>
      </w:r>
      <w:r w:rsidRPr="697399DE" w:rsidR="2249F8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life’’</w:t>
      </w:r>
      <w:r w:rsidRPr="697399DE" w:rsidR="2249F8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This quotation shows </w:t>
      </w:r>
      <w:r w:rsidRPr="697399DE" w:rsidR="124398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that </w:t>
      </w:r>
      <w:r w:rsidRPr="697399DE" w:rsidR="2249F8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not only </w:t>
      </w:r>
      <w:r w:rsidRPr="697399DE" w:rsidR="2249F8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being active physically is</w:t>
      </w:r>
      <w:r w:rsidRPr="697399DE" w:rsidR="2249F8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beneficial for physical health but also contributes to personal development, well-being, and quality of life. Moreover, Ryan and </w:t>
      </w:r>
      <w:r w:rsidRPr="697399DE" w:rsidR="2249F8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deci</w:t>
      </w:r>
      <w:r w:rsidRPr="697399DE" w:rsidR="2249F8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(2000) </w:t>
      </w:r>
      <w:r w:rsidRPr="697399DE" w:rsidR="2249F8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explains</w:t>
      </w:r>
      <w:r w:rsidRPr="697399DE" w:rsidR="2249F8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that Self-Determination Theory (</w:t>
      </w:r>
      <w:r w:rsidRPr="697399DE" w:rsidR="2249F8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SDT)  which</w:t>
      </w:r>
      <w:r w:rsidRPr="697399DE" w:rsidR="2249F8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divides motivation into a spectrum from intrinsic </w:t>
      </w:r>
      <w:r w:rsidRPr="697399DE" w:rsidR="2249F8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motivation</w:t>
      </w:r>
      <w:r w:rsidRPr="697399DE" w:rsidR="32693C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97399DE" w:rsidR="2249F8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w:t>
      </w:r>
      <w:r w:rsidRPr="697399DE" w:rsidR="2249F8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extrinsic motivation can be used to understand </w:t>
      </w:r>
      <w:r w:rsidRPr="697399DE" w:rsidR="2249F8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behavioural</w:t>
      </w:r>
      <w:r w:rsidRPr="697399DE" w:rsidR="2249F8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regulation. </w:t>
      </w:r>
      <w:r w:rsidRPr="697399DE" w:rsidR="2249F8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Amotivation</w:t>
      </w:r>
      <w:r w:rsidRPr="697399DE" w:rsidR="0869D8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which means</w:t>
      </w:r>
      <w:r w:rsidRPr="697399DE" w:rsidR="2249F8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97399DE" w:rsidR="2249F8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state in which people lack the motivation to </w:t>
      </w:r>
      <w:r w:rsidRPr="697399DE" w:rsidR="2249F8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participate</w:t>
      </w:r>
      <w:r w:rsidRPr="697399DE" w:rsidR="2249F8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an activity, is also covered by SDT. Various </w:t>
      </w:r>
      <w:r w:rsidRPr="697399DE" w:rsidR="2249F8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behavioural</w:t>
      </w:r>
      <w:r w:rsidRPr="697399DE" w:rsidR="2249F8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regulations, such as autonomous regulation </w:t>
      </w:r>
      <w:r w:rsidRPr="697399DE" w:rsidR="2249F8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intrinsic</w:t>
      </w:r>
      <w:r w:rsidRPr="697399DE" w:rsidR="2249F8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motivation, identifiable regulation) and controlled regulation (external regulation, introjected regulation), are believed to have an impact on these forms of motivation (Ryan &amp; Deci, 2000). Autonomous motivation has been linked with increased physical activity, which is in line with intrinsic and acknowledged regulation. On the other hand, regulated motivation</w:t>
      </w:r>
      <w:r w:rsidRPr="697399DE" w:rsidR="57B479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97399DE" w:rsidR="2249F8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which surrounds both external and introjected regulation is typically linked to lower levels of sustained physical activity engagement (Teixeira et al., 2012). Research </w:t>
      </w:r>
      <w:r w:rsidRPr="697399DE" w:rsidR="11EB25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shows</w:t>
      </w:r>
      <w:r w:rsidRPr="697399DE" w:rsidR="2249F8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that higher levels of autonomous motivation are associated with better adherence to fitness routines and a greater chance of long-term </w:t>
      </w:r>
      <w:r w:rsidRPr="697399DE" w:rsidR="2249F8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behavioural</w:t>
      </w:r>
      <w:r w:rsidRPr="697399DE" w:rsidR="2249F8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change (Ng et al., 2012). </w:t>
      </w:r>
      <w:r w:rsidRPr="697399DE" w:rsidR="3B7062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According to </w:t>
      </w:r>
      <w:r w:rsidRPr="697399DE" w:rsidR="3B7062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numerous</w:t>
      </w:r>
      <w:r w:rsidRPr="697399DE" w:rsidR="3B7062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97399DE" w:rsidR="3B7062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researches</w:t>
      </w:r>
      <w:r w:rsidRPr="697399DE" w:rsidR="3B7062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w:t>
      </w:r>
      <w:r w:rsidRPr="697399DE" w:rsidR="2249F8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ased on their levels of physical exercise, </w:t>
      </w:r>
      <w:r w:rsidRPr="697399DE" w:rsidR="2249F8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different groups</w:t>
      </w:r>
      <w:r w:rsidRPr="697399DE" w:rsidR="2249F8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have different motivating and regulating approaches. For instance, active people usually </w:t>
      </w:r>
      <w:r w:rsidRPr="697399DE" w:rsidR="2249F8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exhibit</w:t>
      </w:r>
      <w:r w:rsidRPr="697399DE" w:rsidR="2249F8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higher levels of intrinsic motivation and autonomous regulation. </w:t>
      </w:r>
      <w:r w:rsidRPr="697399DE" w:rsidR="7C75C5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On the other </w:t>
      </w:r>
      <w:r w:rsidRPr="697399DE" w:rsidR="7C75C5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hand</w:t>
      </w:r>
      <w:r w:rsidRPr="697399DE" w:rsidR="7C75C5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w:t>
      </w:r>
      <w:r w:rsidRPr="697399DE" w:rsidR="2249F8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edentary people are more likely to rely on controlled regulation, such as exercising in reaction to external rewards or peer pressure (Wilson &amp; Rogers, 2008). Some people may find it difficult to sustain physical activity over time, which could be explained by these differences in motivating methods. While regulated motivation may make exercise feel like a chore, which may lead to withdrawal, autonomous regulation is associated with a stronger commitment to exercise. University </w:t>
      </w:r>
      <w:r w:rsidRPr="697399DE" w:rsidR="2249F8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students</w:t>
      </w:r>
      <w:r w:rsidRPr="697399DE" w:rsidR="2249F8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reasons for exercising can vary depending on their lifestyle. According to a study by Edmunds et al. (2008), university students regularly report exercising for extrinsic motives especially in the </w:t>
      </w:r>
      <w:r w:rsidRPr="697399DE" w:rsidR="2249F8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early stages</w:t>
      </w:r>
      <w:r w:rsidRPr="697399DE" w:rsidR="2249F8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their university life. These incentives can point to a less sustainable, more controlled approach to exercise. </w:t>
      </w:r>
      <w:r w:rsidRPr="697399DE" w:rsidR="2249F8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However</w:t>
      </w:r>
      <w:r w:rsidRPr="697399DE" w:rsidR="2249F8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as children get more self-reliant, their motivations can adjust to more inward-focused ones such as enjoying the activity for its own sake. I</w:t>
      </w:r>
      <w:r w:rsidRPr="697399DE" w:rsidR="639A01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 addition to this </w:t>
      </w:r>
      <w:r w:rsidRPr="697399DE" w:rsidR="2249F8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university students who have higher levels of internal motivation and a sense of control over their decisions are also more likely to engage in physical activity (Cox et al., 2009). In this report the aim was to examine the relationship between </w:t>
      </w:r>
      <w:r w:rsidRPr="697399DE" w:rsidR="2249F8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behavioural regulation to exercise and physical activity level for  a group of students from The University of Wales, Trinity Saint David.</w:t>
      </w:r>
    </w:p>
    <w:p w:rsidR="1834EC5D" w:rsidP="697399DE" w:rsidRDefault="1834EC5D" w14:paraId="3E97798E" w14:textId="022CFCA4">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834EC5D" w:rsidP="697399DE" w:rsidRDefault="1834EC5D" w14:paraId="0A0C9B29" w14:textId="2D499525">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834EC5D" w:rsidP="697399DE" w:rsidRDefault="1834EC5D" w14:paraId="6BBCC19B" w14:textId="108FAE4C">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834EC5D" w:rsidP="697399DE" w:rsidRDefault="1834EC5D" w14:paraId="154A2AEA" w14:textId="233B96BF">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97399DE" w:rsidR="2249F8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Method:</w:t>
      </w:r>
    </w:p>
    <w:p w:rsidR="1834EC5D" w:rsidP="697399DE" w:rsidRDefault="1834EC5D" w14:paraId="44422399" w14:textId="56E736A4">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97399DE" w:rsidR="2249F8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BREQ-3 and the IPAQ was done by 47 students at the Institute of Management and Health at the Carmarthen campus. The results of the group were gathered and put into a excel document. Based on their IPAQ results, the students were split up into three groups, Group 1  had a low IPAQ activity level.The IPAQ showed that Group 2 was Moderately Active.Group 3  was rated as Highly Active by the IPAQ. According to physical activity guidelines Adults between the age of 18 and 64 should aim  for at least 150–300 minutes of moderate-intensity aerobic physical activity, 75–150 minutes of vigorous-intensity aerobic physical activity, or a mix of the two each week.The IPAQ results from this study highlight students' activity levels and can direct programs or interventions meant to increase physical activity and enhance health outcomes for this age group.</w:t>
      </w:r>
    </w:p>
    <w:p w:rsidR="1834EC5D" w:rsidP="697399DE" w:rsidRDefault="1834EC5D" w14:paraId="0B75FD37" w14:textId="22A37CC9">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1834EC5D" w:rsidP="697399DE" w:rsidRDefault="1834EC5D" w14:paraId="5F71BBED" w14:textId="3C63FEC5">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97399DE" w:rsidR="2249F8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Results: </w:t>
      </w:r>
    </w:p>
    <w:p w:rsidR="1834EC5D" w:rsidP="697399DE" w:rsidRDefault="1834EC5D" w14:paraId="2455D8D0" w14:textId="624A96F5">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97399DE" w:rsidR="2249F8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Table 1 and figure 1 clearly shows links between the type of motivational regulation and activity levels. The participants in the low activity group showed the highest levels of amotivation which was 1.68, this shows a lack of motivation or intention to exercise. Additionally, this group had the highest external regulation score,2.61, showing a stronger dependence on outside stimuli to motivate behaviour, such as rewards or pressure. On the other hand the participants in the high activity group had significantly higher scores for  integrated regulation which was 3.12. Additionally they had a high score for  intrinsic regulation (3.28), this could suggest  that they are more willing to be physically active because it is enjoyable to them. This indicates that physical activity is more fulfilling for the high-activity group because they have a better sense of autonomy and intrinsic desire. The moderate activity group had  decently high scores in both recognised regulation (3.36) and intrinsic regulation (3.15). This shows that even while these people exercise for their own reasons, they still need outside cues or pretty irregular pressure to keep up their activity levels. These results show how motivation changes as activity levels rise moving from internal to external sources. The low activity group's lack of motivation and reliance on external regulation might make interventions meant to increase physical activity challenging. However, the high activity group's self-determined incentive raises the idea  of promoting long-term physical activity.</w:t>
      </w:r>
    </w:p>
    <w:p w:rsidR="1834EC5D" w:rsidP="697399DE" w:rsidRDefault="1834EC5D" w14:paraId="19788C17" w14:textId="4F831BD7">
      <w:pPr>
        <w:pStyle w:val="Normal"/>
        <w:spacing w:before="0" w:beforeAutospacing="off" w:after="0" w:afterAutospacing="off"/>
        <w:rPr>
          <w:rFonts w:ascii="Times New Roman" w:hAnsi="Times New Roman" w:eastAsia="Times New Roman" w:cs="Times New Roman"/>
          <w:b w:val="0"/>
          <w:bCs w:val="0"/>
          <w:noProof w:val="0"/>
          <w:color w:val="auto"/>
          <w:sz w:val="24"/>
          <w:szCs w:val="24"/>
          <w:lang w:val="en-US"/>
        </w:rPr>
      </w:pPr>
    </w:p>
    <w:p w:rsidR="1834EC5D" w:rsidP="697399DE" w:rsidRDefault="1834EC5D" w14:paraId="100C5795" w14:textId="09CFC371">
      <w:pPr>
        <w:pStyle w:val="Normal"/>
        <w:spacing w:before="0" w:beforeAutospacing="off" w:after="0" w:afterAutospacing="off"/>
        <w:rPr>
          <w:rFonts w:ascii="Times New Roman" w:hAnsi="Times New Roman" w:eastAsia="Times New Roman" w:cs="Times New Roman"/>
          <w:b w:val="0"/>
          <w:bCs w:val="0"/>
          <w:noProof w:val="0"/>
          <w:color w:val="auto"/>
          <w:sz w:val="24"/>
          <w:szCs w:val="24"/>
          <w:lang w:val="en-US"/>
        </w:rPr>
      </w:pPr>
    </w:p>
    <w:p w:rsidR="1834EC5D" w:rsidP="697399DE" w:rsidRDefault="1834EC5D" w14:paraId="251D81B2" w14:textId="5B08CDE9">
      <w:pPr>
        <w:pStyle w:val="Normal"/>
        <w:spacing w:before="0" w:beforeAutospacing="off" w:after="0" w:afterAutospacing="off"/>
        <w:rPr>
          <w:rFonts w:ascii="Times New Roman" w:hAnsi="Times New Roman" w:eastAsia="Times New Roman" w:cs="Times New Roman"/>
          <w:b w:val="0"/>
          <w:bCs w:val="0"/>
          <w:noProof w:val="0"/>
          <w:color w:val="auto"/>
          <w:sz w:val="24"/>
          <w:szCs w:val="24"/>
          <w:lang w:val="en-US"/>
        </w:rPr>
      </w:pPr>
    </w:p>
    <w:p w:rsidR="1834EC5D" w:rsidP="697399DE" w:rsidRDefault="1834EC5D" w14:paraId="35017122" w14:textId="003D6136">
      <w:pPr>
        <w:pStyle w:val="Normal"/>
        <w:spacing w:before="0" w:beforeAutospacing="off" w:after="0" w:afterAutospacing="off"/>
        <w:rPr>
          <w:rFonts w:ascii="Times New Roman" w:hAnsi="Times New Roman" w:eastAsia="Times New Roman" w:cs="Times New Roman"/>
          <w:b w:val="0"/>
          <w:bCs w:val="0"/>
          <w:noProof w:val="0"/>
          <w:color w:val="auto"/>
          <w:sz w:val="24"/>
          <w:szCs w:val="24"/>
          <w:lang w:val="en-US"/>
        </w:rPr>
      </w:pPr>
    </w:p>
    <w:p w:rsidR="1834EC5D" w:rsidP="697399DE" w:rsidRDefault="1834EC5D" w14:paraId="20816E28" w14:textId="2B5277A2">
      <w:pPr>
        <w:pStyle w:val="Normal"/>
        <w:spacing w:before="0" w:beforeAutospacing="off" w:after="0" w:afterAutospacing="off"/>
        <w:rPr>
          <w:rFonts w:ascii="Times New Roman" w:hAnsi="Times New Roman" w:eastAsia="Times New Roman" w:cs="Times New Roman"/>
          <w:b w:val="0"/>
          <w:bCs w:val="0"/>
          <w:noProof w:val="0"/>
          <w:color w:val="auto"/>
          <w:sz w:val="24"/>
          <w:szCs w:val="24"/>
          <w:lang w:val="en-US"/>
        </w:rPr>
      </w:pPr>
    </w:p>
    <w:p w:rsidR="1834EC5D" w:rsidP="697399DE" w:rsidRDefault="1834EC5D" w14:paraId="2019B381" w14:textId="6DABCD60">
      <w:pPr>
        <w:pStyle w:val="Normal"/>
        <w:spacing w:before="0" w:beforeAutospacing="off" w:after="0" w:afterAutospacing="off"/>
        <w:rPr>
          <w:rFonts w:ascii="Times New Roman" w:hAnsi="Times New Roman" w:eastAsia="Times New Roman" w:cs="Times New Roman"/>
          <w:b w:val="0"/>
          <w:bCs w:val="0"/>
          <w:noProof w:val="0"/>
          <w:color w:val="auto"/>
          <w:sz w:val="24"/>
          <w:szCs w:val="24"/>
          <w:lang w:val="en-US"/>
        </w:rPr>
      </w:pPr>
    </w:p>
    <w:p w:rsidR="1834EC5D" w:rsidP="697399DE" w:rsidRDefault="1834EC5D" w14:paraId="715024CB" w14:textId="58DA3F61">
      <w:pPr>
        <w:pStyle w:val="Normal"/>
        <w:spacing w:before="0" w:beforeAutospacing="off" w:after="0" w:afterAutospacing="off"/>
        <w:rPr>
          <w:rFonts w:ascii="Times New Roman" w:hAnsi="Times New Roman" w:eastAsia="Times New Roman" w:cs="Times New Roman"/>
          <w:b w:val="0"/>
          <w:bCs w:val="0"/>
          <w:noProof w:val="0"/>
          <w:color w:val="auto"/>
          <w:sz w:val="24"/>
          <w:szCs w:val="24"/>
          <w:lang w:val="en-US"/>
        </w:rPr>
      </w:pPr>
    </w:p>
    <w:p w:rsidR="1834EC5D" w:rsidP="697399DE" w:rsidRDefault="1834EC5D" w14:paraId="2C8C727D" w14:textId="5CCCD52D">
      <w:pPr>
        <w:pStyle w:val="Normal"/>
        <w:spacing w:before="0" w:beforeAutospacing="off" w:after="0" w:afterAutospacing="off"/>
        <w:rPr>
          <w:rFonts w:ascii="Times New Roman" w:hAnsi="Times New Roman" w:eastAsia="Times New Roman" w:cs="Times New Roman"/>
          <w:b w:val="0"/>
          <w:bCs w:val="0"/>
          <w:noProof w:val="0"/>
          <w:color w:val="auto"/>
          <w:sz w:val="24"/>
          <w:szCs w:val="24"/>
          <w:lang w:val="en-US"/>
        </w:rPr>
      </w:pPr>
    </w:p>
    <w:p w:rsidR="1834EC5D" w:rsidP="697399DE" w:rsidRDefault="1834EC5D" w14:paraId="1700A1C6" w14:textId="74CEFFD4">
      <w:pPr>
        <w:pStyle w:val="Normal"/>
        <w:spacing w:before="0" w:beforeAutospacing="off" w:after="0" w:afterAutospacing="off"/>
        <w:rPr>
          <w:rFonts w:ascii="Times New Roman" w:hAnsi="Times New Roman" w:eastAsia="Times New Roman" w:cs="Times New Roman"/>
          <w:b w:val="0"/>
          <w:bCs w:val="0"/>
          <w:noProof w:val="0"/>
          <w:color w:val="auto"/>
          <w:sz w:val="24"/>
          <w:szCs w:val="24"/>
          <w:lang w:val="en-US"/>
        </w:rPr>
      </w:pPr>
    </w:p>
    <w:p w:rsidR="1834EC5D" w:rsidP="697399DE" w:rsidRDefault="1834EC5D" w14:paraId="556C7DB0" w14:textId="59AF7F58">
      <w:pPr>
        <w:pStyle w:val="Normal"/>
        <w:spacing w:before="0" w:beforeAutospacing="off" w:after="0" w:afterAutospacing="off"/>
        <w:rPr>
          <w:rFonts w:ascii="Times New Roman" w:hAnsi="Times New Roman" w:eastAsia="Times New Roman" w:cs="Times New Roman"/>
          <w:b w:val="0"/>
          <w:bCs w:val="0"/>
          <w:noProof w:val="0"/>
          <w:color w:val="auto"/>
          <w:sz w:val="24"/>
          <w:szCs w:val="24"/>
          <w:lang w:val="en-US"/>
        </w:rPr>
      </w:pPr>
    </w:p>
    <w:p w:rsidR="1834EC5D" w:rsidP="697399DE" w:rsidRDefault="1834EC5D" w14:paraId="139D3F8F" w14:textId="1DA53778">
      <w:pPr>
        <w:pStyle w:val="Normal"/>
        <w:spacing w:before="0" w:beforeAutospacing="off" w:after="0" w:afterAutospacing="off"/>
        <w:rPr>
          <w:rFonts w:ascii="Times New Roman" w:hAnsi="Times New Roman" w:eastAsia="Times New Roman" w:cs="Times New Roman"/>
          <w:b w:val="0"/>
          <w:bCs w:val="0"/>
          <w:noProof w:val="0"/>
          <w:color w:val="auto"/>
          <w:sz w:val="24"/>
          <w:szCs w:val="24"/>
          <w:lang w:val="en-US"/>
        </w:rPr>
      </w:pPr>
      <w:r w:rsidRPr="697399DE" w:rsidR="2249F804">
        <w:rPr>
          <w:rFonts w:ascii="Times New Roman" w:hAnsi="Times New Roman" w:eastAsia="Times New Roman" w:cs="Times New Roman"/>
          <w:b w:val="0"/>
          <w:bCs w:val="0"/>
          <w:noProof w:val="0"/>
          <w:color w:val="auto"/>
          <w:sz w:val="24"/>
          <w:szCs w:val="24"/>
          <w:lang w:val="en-US"/>
        </w:rPr>
        <w:t>Figure 1:</w:t>
      </w:r>
    </w:p>
    <w:p w:rsidR="1834EC5D" w:rsidP="697399DE" w:rsidRDefault="1834EC5D" w14:paraId="116DFA9D" w14:textId="1F640F7A">
      <w:pPr>
        <w:pStyle w:val="Normal"/>
        <w:spacing w:before="0" w:beforeAutospacing="off" w:after="0" w:afterAutospacing="off"/>
      </w:pPr>
      <w:r w:rsidR="5E7D968B">
        <w:drawing>
          <wp:inline wp14:editId="09BE1509" wp14:anchorId="23C48A07">
            <wp:extent cx="6432548" cy="3422446"/>
            <wp:effectExtent l="0" t="0" r="0" b="0"/>
            <wp:docPr id="260344875" name="" title=""/>
            <wp:cNvGraphicFramePr>
              <a:graphicFrameLocks noChangeAspect="1"/>
            </wp:cNvGraphicFramePr>
            <a:graphic>
              <a:graphicData uri="http://schemas.openxmlformats.org/drawingml/2006/picture">
                <pic:pic>
                  <pic:nvPicPr>
                    <pic:cNvPr id="0" name=""/>
                    <pic:cNvPicPr/>
                  </pic:nvPicPr>
                  <pic:blipFill>
                    <a:blip r:embed="R25d6c4fda406463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432548" cy="3422446"/>
                    </a:xfrm>
                    <a:prstGeom prst="rect">
                      <a:avLst/>
                    </a:prstGeom>
                  </pic:spPr>
                </pic:pic>
              </a:graphicData>
            </a:graphic>
          </wp:inline>
        </w:drawing>
      </w:r>
    </w:p>
    <w:p w:rsidR="08FC9BE7" w:rsidP="08FC9BE7" w:rsidRDefault="08FC9BE7" w14:paraId="524153BF" w14:textId="773F10D2">
      <w:pPr>
        <w:spacing w:before="0" w:beforeAutospacing="off" w:after="0" w:afterAutospacing="off"/>
      </w:pPr>
    </w:p>
    <w:p w:rsidR="08FC9BE7" w:rsidP="08FC9BE7" w:rsidRDefault="08FC9BE7" w14:paraId="2F772F2B" w14:textId="7A6B99AE">
      <w:pPr>
        <w:spacing w:before="0" w:beforeAutospacing="off" w:after="0" w:afterAutospacing="off"/>
      </w:pPr>
      <w:r w:rsidR="6D2A76CA">
        <w:rPr/>
        <w:t>Table 1 :</w:t>
      </w:r>
    </w:p>
    <w:p w:rsidR="697399DE" w:rsidP="697399DE" w:rsidRDefault="697399DE" w14:paraId="60738EB8" w14:textId="31515840">
      <w:pPr>
        <w:spacing w:before="0" w:beforeAutospacing="off" w:after="0" w:afterAutospacing="off"/>
      </w:pPr>
    </w:p>
    <w:tbl>
      <w:tblPr>
        <w:tblStyle w:val="TableGrid"/>
        <w:tblW w:w="0" w:type="auto"/>
        <w:tblLayout w:type="fixed"/>
        <w:tblLook w:val="06A0" w:firstRow="1" w:lastRow="0" w:firstColumn="1" w:lastColumn="0" w:noHBand="1" w:noVBand="1"/>
      </w:tblPr>
      <w:tblGrid>
        <w:gridCol w:w="2340"/>
        <w:gridCol w:w="2340"/>
        <w:gridCol w:w="2340"/>
        <w:gridCol w:w="2340"/>
      </w:tblGrid>
      <w:tr w:rsidR="08FC9BE7" w:rsidTr="697399DE" w14:paraId="0746B60A">
        <w:trPr>
          <w:trHeight w:val="300"/>
        </w:trPr>
        <w:tc>
          <w:tcPr>
            <w:tcW w:w="2340" w:type="dxa"/>
            <w:tcMar/>
          </w:tcPr>
          <w:p w:rsidR="08FC9BE7" w:rsidP="08FC9BE7" w:rsidRDefault="08FC9BE7" w14:paraId="73A59C8F" w14:textId="72229262">
            <w:pPr>
              <w:spacing w:before="0" w:beforeAutospacing="off" w:after="0" w:afterAutospacing="off"/>
            </w:pPr>
            <w:r w:rsidRPr="08FC9BE7" w:rsidR="08FC9BE7">
              <w:rPr>
                <w:rFonts w:ascii="Aptos Narrow" w:hAnsi="Aptos Narrow" w:eastAsia="Aptos Narrow" w:cs="Aptos Narrow"/>
                <w:b w:val="0"/>
                <w:bCs w:val="0"/>
                <w:i w:val="0"/>
                <w:iCs w:val="0"/>
                <w:strike w:val="0"/>
                <w:dstrike w:val="0"/>
                <w:color w:val="000000" w:themeColor="text1" w:themeTint="FF" w:themeShade="FF"/>
                <w:sz w:val="22"/>
                <w:szCs w:val="22"/>
                <w:u w:val="none"/>
              </w:rPr>
              <w:t>Activity level</w:t>
            </w:r>
          </w:p>
        </w:tc>
        <w:tc>
          <w:tcPr>
            <w:tcW w:w="2340" w:type="dxa"/>
            <w:tcMar/>
          </w:tcPr>
          <w:p w:rsidR="08FC9BE7" w:rsidP="08FC9BE7" w:rsidRDefault="08FC9BE7" w14:paraId="1BD897CB" w14:textId="6A5E4396">
            <w:pPr>
              <w:spacing w:before="0" w:beforeAutospacing="off" w:after="0" w:afterAutospacing="off"/>
            </w:pPr>
            <w:r w:rsidRPr="08FC9BE7" w:rsidR="08FC9BE7">
              <w:rPr>
                <w:rFonts w:ascii="Aptos Narrow" w:hAnsi="Aptos Narrow" w:eastAsia="Aptos Narrow" w:cs="Aptos Narrow"/>
                <w:b w:val="0"/>
                <w:bCs w:val="0"/>
                <w:i w:val="0"/>
                <w:iCs w:val="0"/>
                <w:strike w:val="0"/>
                <w:dstrike w:val="0"/>
                <w:color w:val="000000" w:themeColor="text1" w:themeTint="FF" w:themeShade="FF"/>
                <w:sz w:val="22"/>
                <w:szCs w:val="22"/>
                <w:u w:val="none"/>
              </w:rPr>
              <w:t>low activity level</w:t>
            </w:r>
          </w:p>
        </w:tc>
        <w:tc>
          <w:tcPr>
            <w:tcW w:w="2340" w:type="dxa"/>
            <w:tcMar/>
          </w:tcPr>
          <w:p w:rsidR="08FC9BE7" w:rsidP="08FC9BE7" w:rsidRDefault="08FC9BE7" w14:paraId="749BF0C0" w14:textId="7C765F06">
            <w:pPr>
              <w:spacing w:before="0" w:beforeAutospacing="off" w:after="0" w:afterAutospacing="off"/>
            </w:pPr>
            <w:r w:rsidRPr="08FC9BE7" w:rsidR="08FC9BE7">
              <w:rPr>
                <w:rFonts w:ascii="Aptos Narrow" w:hAnsi="Aptos Narrow" w:eastAsia="Aptos Narrow" w:cs="Aptos Narrow"/>
                <w:b w:val="0"/>
                <w:bCs w:val="0"/>
                <w:i w:val="0"/>
                <w:iCs w:val="0"/>
                <w:strike w:val="0"/>
                <w:dstrike w:val="0"/>
                <w:color w:val="000000" w:themeColor="text1" w:themeTint="FF" w:themeShade="FF"/>
                <w:sz w:val="22"/>
                <w:szCs w:val="22"/>
                <w:u w:val="none"/>
              </w:rPr>
              <w:t>moderate activity level</w:t>
            </w:r>
          </w:p>
        </w:tc>
        <w:tc>
          <w:tcPr>
            <w:tcW w:w="2340" w:type="dxa"/>
            <w:tcMar/>
          </w:tcPr>
          <w:p w:rsidR="08FC9BE7" w:rsidP="08FC9BE7" w:rsidRDefault="08FC9BE7" w14:paraId="6F195DE1" w14:textId="611793C6">
            <w:pPr>
              <w:spacing w:before="0" w:beforeAutospacing="off" w:after="0" w:afterAutospacing="off"/>
            </w:pPr>
            <w:r w:rsidRPr="08FC9BE7" w:rsidR="08FC9BE7">
              <w:rPr>
                <w:rFonts w:ascii="Aptos Narrow" w:hAnsi="Aptos Narrow" w:eastAsia="Aptos Narrow" w:cs="Aptos Narrow"/>
                <w:b w:val="0"/>
                <w:bCs w:val="0"/>
                <w:i w:val="0"/>
                <w:iCs w:val="0"/>
                <w:strike w:val="0"/>
                <w:dstrike w:val="0"/>
                <w:color w:val="000000" w:themeColor="text1" w:themeTint="FF" w:themeShade="FF"/>
                <w:sz w:val="22"/>
                <w:szCs w:val="22"/>
                <w:u w:val="none"/>
              </w:rPr>
              <w:t>high activity level</w:t>
            </w:r>
          </w:p>
        </w:tc>
      </w:tr>
      <w:tr w:rsidR="08FC9BE7" w:rsidTr="697399DE" w14:paraId="047572B2">
        <w:trPr>
          <w:trHeight w:val="300"/>
        </w:trPr>
        <w:tc>
          <w:tcPr>
            <w:tcW w:w="2340" w:type="dxa"/>
            <w:tcMar/>
          </w:tcPr>
          <w:p w:rsidR="08FC9BE7" w:rsidP="08FC9BE7" w:rsidRDefault="08FC9BE7" w14:paraId="0E608E4F" w14:textId="29C61231">
            <w:pPr>
              <w:spacing w:before="0" w:beforeAutospacing="off" w:after="0" w:afterAutospacing="off"/>
            </w:pPr>
            <w:r w:rsidRPr="08FC9BE7" w:rsidR="08FC9BE7">
              <w:rPr>
                <w:rFonts w:ascii="Aptos Narrow" w:hAnsi="Aptos Narrow" w:eastAsia="Aptos Narrow" w:cs="Aptos Narrow"/>
                <w:b w:val="0"/>
                <w:bCs w:val="0"/>
                <w:i w:val="0"/>
                <w:iCs w:val="0"/>
                <w:strike w:val="0"/>
                <w:dstrike w:val="0"/>
                <w:color w:val="000000" w:themeColor="text1" w:themeTint="FF" w:themeShade="FF"/>
                <w:sz w:val="22"/>
                <w:szCs w:val="22"/>
                <w:u w:val="none"/>
              </w:rPr>
              <w:t>amotivation</w:t>
            </w:r>
          </w:p>
        </w:tc>
        <w:tc>
          <w:tcPr>
            <w:tcW w:w="2340" w:type="dxa"/>
            <w:tcMar/>
          </w:tcPr>
          <w:p w:rsidR="08FC9BE7" w:rsidP="08FC9BE7" w:rsidRDefault="08FC9BE7" w14:paraId="3A23952E" w14:textId="11F8CF64">
            <w:pPr>
              <w:spacing w:before="0" w:beforeAutospacing="off" w:after="0" w:afterAutospacing="off"/>
            </w:pPr>
            <w:r w:rsidRPr="08FC9BE7" w:rsidR="08FC9BE7">
              <w:rPr>
                <w:rFonts w:ascii="Aptos Narrow" w:hAnsi="Aptos Narrow" w:eastAsia="Aptos Narrow" w:cs="Aptos Narrow"/>
                <w:b w:val="0"/>
                <w:bCs w:val="0"/>
                <w:i w:val="0"/>
                <w:iCs w:val="0"/>
                <w:strike w:val="0"/>
                <w:dstrike w:val="0"/>
                <w:color w:val="000000" w:themeColor="text1" w:themeTint="FF" w:themeShade="FF"/>
                <w:sz w:val="22"/>
                <w:szCs w:val="22"/>
                <w:u w:val="none"/>
              </w:rPr>
              <w:t>1.68</w:t>
            </w:r>
          </w:p>
        </w:tc>
        <w:tc>
          <w:tcPr>
            <w:tcW w:w="2340" w:type="dxa"/>
            <w:tcMar/>
          </w:tcPr>
          <w:p w:rsidR="08FC9BE7" w:rsidP="08FC9BE7" w:rsidRDefault="08FC9BE7" w14:paraId="4EDDEAED" w14:textId="45FE778C">
            <w:pPr>
              <w:spacing w:before="0" w:beforeAutospacing="off" w:after="0" w:afterAutospacing="off"/>
            </w:pPr>
            <w:r w:rsidRPr="08FC9BE7" w:rsidR="08FC9BE7">
              <w:rPr>
                <w:rFonts w:ascii="Aptos Narrow" w:hAnsi="Aptos Narrow" w:eastAsia="Aptos Narrow" w:cs="Aptos Narrow"/>
                <w:b w:val="0"/>
                <w:bCs w:val="0"/>
                <w:i w:val="0"/>
                <w:iCs w:val="0"/>
                <w:strike w:val="0"/>
                <w:dstrike w:val="0"/>
                <w:color w:val="000000" w:themeColor="text1" w:themeTint="FF" w:themeShade="FF"/>
                <w:sz w:val="22"/>
                <w:szCs w:val="22"/>
                <w:u w:val="none"/>
              </w:rPr>
              <w:t>0.01</w:t>
            </w:r>
          </w:p>
        </w:tc>
        <w:tc>
          <w:tcPr>
            <w:tcW w:w="2340" w:type="dxa"/>
            <w:tcMar/>
          </w:tcPr>
          <w:p w:rsidR="08FC9BE7" w:rsidP="08FC9BE7" w:rsidRDefault="08FC9BE7" w14:paraId="0F7AC678" w14:textId="62E258E5">
            <w:pPr>
              <w:spacing w:before="0" w:beforeAutospacing="off" w:after="0" w:afterAutospacing="off"/>
            </w:pPr>
            <w:r w:rsidRPr="08FC9BE7" w:rsidR="08FC9BE7">
              <w:rPr>
                <w:rFonts w:ascii="Aptos Narrow" w:hAnsi="Aptos Narrow" w:eastAsia="Aptos Narrow" w:cs="Aptos Narrow"/>
                <w:b w:val="0"/>
                <w:bCs w:val="0"/>
                <w:i w:val="0"/>
                <w:iCs w:val="0"/>
                <w:strike w:val="0"/>
                <w:dstrike w:val="0"/>
                <w:color w:val="000000" w:themeColor="text1" w:themeTint="FF" w:themeShade="FF"/>
                <w:sz w:val="22"/>
                <w:szCs w:val="22"/>
                <w:u w:val="none"/>
              </w:rPr>
              <w:t>0.33</w:t>
            </w:r>
          </w:p>
        </w:tc>
      </w:tr>
      <w:tr w:rsidR="08FC9BE7" w:rsidTr="697399DE" w14:paraId="084A9D17">
        <w:trPr>
          <w:trHeight w:val="300"/>
        </w:trPr>
        <w:tc>
          <w:tcPr>
            <w:tcW w:w="2340" w:type="dxa"/>
            <w:tcMar/>
          </w:tcPr>
          <w:p w:rsidR="08FC9BE7" w:rsidP="08FC9BE7" w:rsidRDefault="08FC9BE7" w14:paraId="28E6AC52" w14:textId="5BD0796A">
            <w:pPr>
              <w:spacing w:before="0" w:beforeAutospacing="off" w:after="0" w:afterAutospacing="off"/>
            </w:pPr>
            <w:r w:rsidRPr="08FC9BE7" w:rsidR="08FC9BE7">
              <w:rPr>
                <w:rFonts w:ascii="Aptos Narrow" w:hAnsi="Aptos Narrow" w:eastAsia="Aptos Narrow" w:cs="Aptos Narrow"/>
                <w:b w:val="0"/>
                <w:bCs w:val="0"/>
                <w:i w:val="0"/>
                <w:iCs w:val="0"/>
                <w:strike w:val="0"/>
                <w:dstrike w:val="0"/>
                <w:color w:val="000000" w:themeColor="text1" w:themeTint="FF" w:themeShade="FF"/>
                <w:sz w:val="22"/>
                <w:szCs w:val="22"/>
                <w:u w:val="none"/>
              </w:rPr>
              <w:t>External regulation</w:t>
            </w:r>
          </w:p>
        </w:tc>
        <w:tc>
          <w:tcPr>
            <w:tcW w:w="2340" w:type="dxa"/>
            <w:tcMar/>
          </w:tcPr>
          <w:p w:rsidR="08FC9BE7" w:rsidP="08FC9BE7" w:rsidRDefault="08FC9BE7" w14:paraId="7FB85600" w14:textId="420039FA">
            <w:pPr>
              <w:spacing w:before="0" w:beforeAutospacing="off" w:after="0" w:afterAutospacing="off"/>
            </w:pPr>
            <w:r w:rsidRPr="08FC9BE7" w:rsidR="08FC9BE7">
              <w:rPr>
                <w:rFonts w:ascii="Aptos Narrow" w:hAnsi="Aptos Narrow" w:eastAsia="Aptos Narrow" w:cs="Aptos Narrow"/>
                <w:b w:val="0"/>
                <w:bCs w:val="0"/>
                <w:i w:val="0"/>
                <w:iCs w:val="0"/>
                <w:strike w:val="0"/>
                <w:dstrike w:val="0"/>
                <w:color w:val="000000" w:themeColor="text1" w:themeTint="FF" w:themeShade="FF"/>
                <w:sz w:val="22"/>
                <w:szCs w:val="22"/>
                <w:u w:val="none"/>
              </w:rPr>
              <w:t>2.61</w:t>
            </w:r>
          </w:p>
        </w:tc>
        <w:tc>
          <w:tcPr>
            <w:tcW w:w="2340" w:type="dxa"/>
            <w:tcMar/>
          </w:tcPr>
          <w:p w:rsidR="08FC9BE7" w:rsidP="08FC9BE7" w:rsidRDefault="08FC9BE7" w14:paraId="167E90CB" w14:textId="2FED00E9">
            <w:pPr>
              <w:spacing w:before="0" w:beforeAutospacing="off" w:after="0" w:afterAutospacing="off"/>
            </w:pPr>
            <w:r w:rsidRPr="08FC9BE7" w:rsidR="08FC9BE7">
              <w:rPr>
                <w:rFonts w:ascii="Aptos Narrow" w:hAnsi="Aptos Narrow" w:eastAsia="Aptos Narrow" w:cs="Aptos Narrow"/>
                <w:b w:val="0"/>
                <w:bCs w:val="0"/>
                <w:i w:val="0"/>
                <w:iCs w:val="0"/>
                <w:strike w:val="0"/>
                <w:dstrike w:val="0"/>
                <w:color w:val="000000" w:themeColor="text1" w:themeTint="FF" w:themeShade="FF"/>
                <w:sz w:val="22"/>
                <w:szCs w:val="22"/>
                <w:u w:val="none"/>
              </w:rPr>
              <w:t>0.29</w:t>
            </w:r>
          </w:p>
        </w:tc>
        <w:tc>
          <w:tcPr>
            <w:tcW w:w="2340" w:type="dxa"/>
            <w:tcMar/>
          </w:tcPr>
          <w:p w:rsidR="08FC9BE7" w:rsidP="08FC9BE7" w:rsidRDefault="08FC9BE7" w14:paraId="70D965B8" w14:textId="0A82FC3F">
            <w:pPr>
              <w:spacing w:before="0" w:beforeAutospacing="off" w:after="0" w:afterAutospacing="off"/>
            </w:pPr>
            <w:r w:rsidRPr="08FC9BE7" w:rsidR="08FC9BE7">
              <w:rPr>
                <w:rFonts w:ascii="Aptos Narrow" w:hAnsi="Aptos Narrow" w:eastAsia="Aptos Narrow" w:cs="Aptos Narrow"/>
                <w:b w:val="0"/>
                <w:bCs w:val="0"/>
                <w:i w:val="0"/>
                <w:iCs w:val="0"/>
                <w:strike w:val="0"/>
                <w:dstrike w:val="0"/>
                <w:color w:val="000000" w:themeColor="text1" w:themeTint="FF" w:themeShade="FF"/>
                <w:sz w:val="22"/>
                <w:szCs w:val="22"/>
                <w:u w:val="none"/>
              </w:rPr>
              <w:t>0.93</w:t>
            </w:r>
          </w:p>
        </w:tc>
      </w:tr>
      <w:tr w:rsidR="08FC9BE7" w:rsidTr="697399DE" w14:paraId="615061F0">
        <w:trPr>
          <w:trHeight w:val="300"/>
        </w:trPr>
        <w:tc>
          <w:tcPr>
            <w:tcW w:w="2340" w:type="dxa"/>
            <w:tcMar/>
          </w:tcPr>
          <w:p w:rsidR="08FC9BE7" w:rsidP="08FC9BE7" w:rsidRDefault="08FC9BE7" w14:paraId="463DFDD9" w14:textId="5FFE2022">
            <w:pPr>
              <w:spacing w:before="0" w:beforeAutospacing="off" w:after="0" w:afterAutospacing="off"/>
            </w:pPr>
            <w:r w:rsidRPr="08FC9BE7" w:rsidR="08FC9BE7">
              <w:rPr>
                <w:rFonts w:ascii="Aptos Narrow" w:hAnsi="Aptos Narrow" w:eastAsia="Aptos Narrow" w:cs="Aptos Narrow"/>
                <w:b w:val="0"/>
                <w:bCs w:val="0"/>
                <w:i w:val="0"/>
                <w:iCs w:val="0"/>
                <w:strike w:val="0"/>
                <w:dstrike w:val="0"/>
                <w:color w:val="000000" w:themeColor="text1" w:themeTint="FF" w:themeShade="FF"/>
                <w:sz w:val="22"/>
                <w:szCs w:val="22"/>
                <w:u w:val="none"/>
              </w:rPr>
              <w:t>introjected regyulation</w:t>
            </w:r>
          </w:p>
        </w:tc>
        <w:tc>
          <w:tcPr>
            <w:tcW w:w="2340" w:type="dxa"/>
            <w:tcMar/>
          </w:tcPr>
          <w:p w:rsidR="08FC9BE7" w:rsidP="08FC9BE7" w:rsidRDefault="08FC9BE7" w14:paraId="71024F96" w14:textId="1283ABBB">
            <w:pPr>
              <w:spacing w:before="0" w:beforeAutospacing="off" w:after="0" w:afterAutospacing="off"/>
            </w:pPr>
            <w:r w:rsidRPr="08FC9BE7" w:rsidR="08FC9BE7">
              <w:rPr>
                <w:rFonts w:ascii="Aptos Narrow" w:hAnsi="Aptos Narrow" w:eastAsia="Aptos Narrow" w:cs="Aptos Narrow"/>
                <w:b w:val="0"/>
                <w:bCs w:val="0"/>
                <w:i w:val="0"/>
                <w:iCs w:val="0"/>
                <w:strike w:val="0"/>
                <w:dstrike w:val="0"/>
                <w:color w:val="000000" w:themeColor="text1" w:themeTint="FF" w:themeShade="FF"/>
                <w:sz w:val="22"/>
                <w:szCs w:val="22"/>
                <w:u w:val="none"/>
              </w:rPr>
              <w:t>2.59</w:t>
            </w:r>
          </w:p>
        </w:tc>
        <w:tc>
          <w:tcPr>
            <w:tcW w:w="2340" w:type="dxa"/>
            <w:tcMar/>
          </w:tcPr>
          <w:p w:rsidR="08FC9BE7" w:rsidP="08FC9BE7" w:rsidRDefault="08FC9BE7" w14:paraId="73046890" w14:textId="12B152B3">
            <w:pPr>
              <w:spacing w:before="0" w:beforeAutospacing="off" w:after="0" w:afterAutospacing="off"/>
            </w:pPr>
            <w:r w:rsidRPr="08FC9BE7" w:rsidR="08FC9BE7">
              <w:rPr>
                <w:rFonts w:ascii="Aptos Narrow" w:hAnsi="Aptos Narrow" w:eastAsia="Aptos Narrow" w:cs="Aptos Narrow"/>
                <w:b w:val="0"/>
                <w:bCs w:val="0"/>
                <w:i w:val="0"/>
                <w:iCs w:val="0"/>
                <w:strike w:val="0"/>
                <w:dstrike w:val="0"/>
                <w:color w:val="000000" w:themeColor="text1" w:themeTint="FF" w:themeShade="FF"/>
                <w:sz w:val="22"/>
                <w:szCs w:val="22"/>
                <w:u w:val="none"/>
              </w:rPr>
              <w:t>2.25</w:t>
            </w:r>
          </w:p>
        </w:tc>
        <w:tc>
          <w:tcPr>
            <w:tcW w:w="2340" w:type="dxa"/>
            <w:tcMar/>
          </w:tcPr>
          <w:p w:rsidR="08FC9BE7" w:rsidP="08FC9BE7" w:rsidRDefault="08FC9BE7" w14:paraId="6B479E42" w14:textId="7A22C167">
            <w:pPr>
              <w:spacing w:before="0" w:beforeAutospacing="off" w:after="0" w:afterAutospacing="off"/>
            </w:pPr>
            <w:r w:rsidRPr="08FC9BE7" w:rsidR="08FC9BE7">
              <w:rPr>
                <w:rFonts w:ascii="Aptos Narrow" w:hAnsi="Aptos Narrow" w:eastAsia="Aptos Narrow" w:cs="Aptos Narrow"/>
                <w:b w:val="0"/>
                <w:bCs w:val="0"/>
                <w:i w:val="0"/>
                <w:iCs w:val="0"/>
                <w:strike w:val="0"/>
                <w:dstrike w:val="0"/>
                <w:color w:val="000000" w:themeColor="text1" w:themeTint="FF" w:themeShade="FF"/>
                <w:sz w:val="22"/>
                <w:szCs w:val="22"/>
                <w:u w:val="none"/>
              </w:rPr>
              <w:t>2.63</w:t>
            </w:r>
          </w:p>
        </w:tc>
      </w:tr>
      <w:tr w:rsidR="08FC9BE7" w:rsidTr="697399DE" w14:paraId="13F2C58F">
        <w:trPr>
          <w:trHeight w:val="300"/>
        </w:trPr>
        <w:tc>
          <w:tcPr>
            <w:tcW w:w="2340" w:type="dxa"/>
            <w:tcMar/>
          </w:tcPr>
          <w:p w:rsidR="08FC9BE7" w:rsidP="08FC9BE7" w:rsidRDefault="08FC9BE7" w14:paraId="70D76489" w14:textId="5398A115">
            <w:pPr>
              <w:spacing w:before="0" w:beforeAutospacing="off" w:after="0" w:afterAutospacing="off"/>
            </w:pPr>
            <w:r w:rsidRPr="08FC9BE7" w:rsidR="08FC9BE7">
              <w:rPr>
                <w:rFonts w:ascii="Aptos Narrow" w:hAnsi="Aptos Narrow" w:eastAsia="Aptos Narrow" w:cs="Aptos Narrow"/>
                <w:b w:val="0"/>
                <w:bCs w:val="0"/>
                <w:i w:val="0"/>
                <w:iCs w:val="0"/>
                <w:strike w:val="0"/>
                <w:dstrike w:val="0"/>
                <w:color w:val="000000" w:themeColor="text1" w:themeTint="FF" w:themeShade="FF"/>
                <w:sz w:val="22"/>
                <w:szCs w:val="22"/>
                <w:u w:val="none"/>
              </w:rPr>
              <w:t>identified regulation</w:t>
            </w:r>
          </w:p>
        </w:tc>
        <w:tc>
          <w:tcPr>
            <w:tcW w:w="2340" w:type="dxa"/>
            <w:tcMar/>
          </w:tcPr>
          <w:p w:rsidR="08FC9BE7" w:rsidP="08FC9BE7" w:rsidRDefault="08FC9BE7" w14:paraId="293F74E9" w14:textId="405C2893">
            <w:pPr>
              <w:spacing w:before="0" w:beforeAutospacing="off" w:after="0" w:afterAutospacing="off"/>
            </w:pPr>
            <w:r w:rsidRPr="08FC9BE7" w:rsidR="08FC9BE7">
              <w:rPr>
                <w:rFonts w:ascii="Aptos Narrow" w:hAnsi="Aptos Narrow" w:eastAsia="Aptos Narrow" w:cs="Aptos Narrow"/>
                <w:b w:val="0"/>
                <w:bCs w:val="0"/>
                <w:i w:val="0"/>
                <w:iCs w:val="0"/>
                <w:strike w:val="0"/>
                <w:dstrike w:val="0"/>
                <w:color w:val="000000" w:themeColor="text1" w:themeTint="FF" w:themeShade="FF"/>
                <w:sz w:val="22"/>
                <w:szCs w:val="22"/>
                <w:u w:val="none"/>
              </w:rPr>
              <w:t>2.29</w:t>
            </w:r>
          </w:p>
        </w:tc>
        <w:tc>
          <w:tcPr>
            <w:tcW w:w="2340" w:type="dxa"/>
            <w:tcMar/>
          </w:tcPr>
          <w:p w:rsidR="08FC9BE7" w:rsidP="08FC9BE7" w:rsidRDefault="08FC9BE7" w14:paraId="19ECDF31" w14:textId="69392DF9">
            <w:pPr>
              <w:spacing w:before="0" w:beforeAutospacing="off" w:after="0" w:afterAutospacing="off"/>
            </w:pPr>
            <w:r w:rsidRPr="08FC9BE7" w:rsidR="08FC9BE7">
              <w:rPr>
                <w:rFonts w:ascii="Aptos Narrow" w:hAnsi="Aptos Narrow" w:eastAsia="Aptos Narrow" w:cs="Aptos Narrow"/>
                <w:b w:val="0"/>
                <w:bCs w:val="0"/>
                <w:i w:val="0"/>
                <w:iCs w:val="0"/>
                <w:strike w:val="0"/>
                <w:dstrike w:val="0"/>
                <w:color w:val="000000" w:themeColor="text1" w:themeTint="FF" w:themeShade="FF"/>
                <w:sz w:val="22"/>
                <w:szCs w:val="22"/>
                <w:u w:val="none"/>
              </w:rPr>
              <w:t>3.36</w:t>
            </w:r>
          </w:p>
        </w:tc>
        <w:tc>
          <w:tcPr>
            <w:tcW w:w="2340" w:type="dxa"/>
            <w:tcMar/>
          </w:tcPr>
          <w:p w:rsidR="08FC9BE7" w:rsidP="08FC9BE7" w:rsidRDefault="08FC9BE7" w14:paraId="2A1C188D" w14:textId="364ABF7C">
            <w:pPr>
              <w:spacing w:before="0" w:beforeAutospacing="off" w:after="0" w:afterAutospacing="off"/>
            </w:pPr>
            <w:r w:rsidRPr="08FC9BE7" w:rsidR="08FC9BE7">
              <w:rPr>
                <w:rFonts w:ascii="Aptos Narrow" w:hAnsi="Aptos Narrow" w:eastAsia="Aptos Narrow" w:cs="Aptos Narrow"/>
                <w:b w:val="0"/>
                <w:bCs w:val="0"/>
                <w:i w:val="0"/>
                <w:iCs w:val="0"/>
                <w:strike w:val="0"/>
                <w:dstrike w:val="0"/>
                <w:color w:val="000000" w:themeColor="text1" w:themeTint="FF" w:themeShade="FF"/>
                <w:sz w:val="22"/>
                <w:szCs w:val="22"/>
                <w:u w:val="none"/>
              </w:rPr>
              <w:t>3.42</w:t>
            </w:r>
          </w:p>
        </w:tc>
      </w:tr>
      <w:tr w:rsidR="08FC9BE7" w:rsidTr="697399DE" w14:paraId="3CD42F9D">
        <w:trPr>
          <w:trHeight w:val="300"/>
        </w:trPr>
        <w:tc>
          <w:tcPr>
            <w:tcW w:w="2340" w:type="dxa"/>
            <w:tcMar/>
          </w:tcPr>
          <w:p w:rsidR="08FC9BE7" w:rsidP="08FC9BE7" w:rsidRDefault="08FC9BE7" w14:paraId="0722649C" w14:textId="48F8F3B7">
            <w:pPr>
              <w:spacing w:before="0" w:beforeAutospacing="off" w:after="0" w:afterAutospacing="off"/>
            </w:pPr>
            <w:r w:rsidRPr="08FC9BE7" w:rsidR="08FC9BE7">
              <w:rPr>
                <w:rFonts w:ascii="Aptos Narrow" w:hAnsi="Aptos Narrow" w:eastAsia="Aptos Narrow" w:cs="Aptos Narrow"/>
                <w:b w:val="0"/>
                <w:bCs w:val="0"/>
                <w:i w:val="0"/>
                <w:iCs w:val="0"/>
                <w:strike w:val="0"/>
                <w:dstrike w:val="0"/>
                <w:color w:val="000000" w:themeColor="text1" w:themeTint="FF" w:themeShade="FF"/>
                <w:sz w:val="22"/>
                <w:szCs w:val="22"/>
                <w:u w:val="none"/>
              </w:rPr>
              <w:t>integrated regulation</w:t>
            </w:r>
          </w:p>
        </w:tc>
        <w:tc>
          <w:tcPr>
            <w:tcW w:w="2340" w:type="dxa"/>
            <w:tcMar/>
          </w:tcPr>
          <w:p w:rsidR="08FC9BE7" w:rsidP="08FC9BE7" w:rsidRDefault="08FC9BE7" w14:paraId="0BBAB13C" w14:textId="34CE57B2">
            <w:pPr>
              <w:spacing w:before="0" w:beforeAutospacing="off" w:after="0" w:afterAutospacing="off"/>
            </w:pPr>
            <w:r w:rsidRPr="08FC9BE7" w:rsidR="08FC9BE7">
              <w:rPr>
                <w:rFonts w:ascii="Aptos Narrow" w:hAnsi="Aptos Narrow" w:eastAsia="Aptos Narrow" w:cs="Aptos Narrow"/>
                <w:b w:val="0"/>
                <w:bCs w:val="0"/>
                <w:i w:val="0"/>
                <w:iCs w:val="0"/>
                <w:strike w:val="0"/>
                <w:dstrike w:val="0"/>
                <w:color w:val="000000" w:themeColor="text1" w:themeTint="FF" w:themeShade="FF"/>
                <w:sz w:val="22"/>
                <w:szCs w:val="22"/>
                <w:u w:val="none"/>
              </w:rPr>
              <w:t>1.25</w:t>
            </w:r>
          </w:p>
        </w:tc>
        <w:tc>
          <w:tcPr>
            <w:tcW w:w="2340" w:type="dxa"/>
            <w:tcMar/>
          </w:tcPr>
          <w:p w:rsidR="08FC9BE7" w:rsidP="08FC9BE7" w:rsidRDefault="08FC9BE7" w14:paraId="148F5488" w14:textId="7FE28A02">
            <w:pPr>
              <w:spacing w:before="0" w:beforeAutospacing="off" w:after="0" w:afterAutospacing="off"/>
            </w:pPr>
            <w:r w:rsidRPr="08FC9BE7" w:rsidR="08FC9BE7">
              <w:rPr>
                <w:rFonts w:ascii="Aptos Narrow" w:hAnsi="Aptos Narrow" w:eastAsia="Aptos Narrow" w:cs="Aptos Narrow"/>
                <w:b w:val="0"/>
                <w:bCs w:val="0"/>
                <w:i w:val="0"/>
                <w:iCs w:val="0"/>
                <w:strike w:val="0"/>
                <w:dstrike w:val="0"/>
                <w:color w:val="000000" w:themeColor="text1" w:themeTint="FF" w:themeShade="FF"/>
                <w:sz w:val="22"/>
                <w:szCs w:val="22"/>
                <w:u w:val="none"/>
              </w:rPr>
              <w:t>2.65</w:t>
            </w:r>
          </w:p>
        </w:tc>
        <w:tc>
          <w:tcPr>
            <w:tcW w:w="2340" w:type="dxa"/>
            <w:tcMar/>
          </w:tcPr>
          <w:p w:rsidR="08FC9BE7" w:rsidP="08FC9BE7" w:rsidRDefault="08FC9BE7" w14:paraId="3A5CEFF4" w14:textId="1EB383C8">
            <w:pPr>
              <w:spacing w:before="0" w:beforeAutospacing="off" w:after="0" w:afterAutospacing="off"/>
            </w:pPr>
            <w:r w:rsidRPr="08FC9BE7" w:rsidR="08FC9BE7">
              <w:rPr>
                <w:rFonts w:ascii="Aptos Narrow" w:hAnsi="Aptos Narrow" w:eastAsia="Aptos Narrow" w:cs="Aptos Narrow"/>
                <w:b w:val="0"/>
                <w:bCs w:val="0"/>
                <w:i w:val="0"/>
                <w:iCs w:val="0"/>
                <w:strike w:val="0"/>
                <w:dstrike w:val="0"/>
                <w:color w:val="000000" w:themeColor="text1" w:themeTint="FF" w:themeShade="FF"/>
                <w:sz w:val="22"/>
                <w:szCs w:val="22"/>
                <w:u w:val="none"/>
              </w:rPr>
              <w:t>3.02</w:t>
            </w:r>
          </w:p>
        </w:tc>
      </w:tr>
      <w:tr w:rsidR="08FC9BE7" w:rsidTr="697399DE" w14:paraId="6A421B8A">
        <w:trPr>
          <w:trHeight w:val="300"/>
        </w:trPr>
        <w:tc>
          <w:tcPr>
            <w:tcW w:w="2340" w:type="dxa"/>
            <w:tcMar/>
          </w:tcPr>
          <w:p w:rsidR="08FC9BE7" w:rsidP="08FC9BE7" w:rsidRDefault="08FC9BE7" w14:paraId="240DC849" w14:textId="3E17D66E">
            <w:pPr>
              <w:spacing w:before="0" w:beforeAutospacing="off" w:after="0" w:afterAutospacing="off"/>
            </w:pPr>
            <w:r w:rsidRPr="08FC9BE7" w:rsidR="08FC9BE7">
              <w:rPr>
                <w:rFonts w:ascii="Aptos Narrow" w:hAnsi="Aptos Narrow" w:eastAsia="Aptos Narrow" w:cs="Aptos Narrow"/>
                <w:b w:val="0"/>
                <w:bCs w:val="0"/>
                <w:i w:val="0"/>
                <w:iCs w:val="0"/>
                <w:strike w:val="0"/>
                <w:dstrike w:val="0"/>
                <w:color w:val="000000" w:themeColor="text1" w:themeTint="FF" w:themeShade="FF"/>
                <w:sz w:val="22"/>
                <w:szCs w:val="22"/>
                <w:u w:val="none"/>
              </w:rPr>
              <w:t>Intrinsic Regulation</w:t>
            </w:r>
          </w:p>
        </w:tc>
        <w:tc>
          <w:tcPr>
            <w:tcW w:w="2340" w:type="dxa"/>
            <w:tcMar/>
          </w:tcPr>
          <w:p w:rsidR="08FC9BE7" w:rsidP="08FC9BE7" w:rsidRDefault="08FC9BE7" w14:paraId="26B25656" w14:textId="2CD23571">
            <w:pPr>
              <w:spacing w:before="0" w:beforeAutospacing="off" w:after="0" w:afterAutospacing="off"/>
            </w:pPr>
            <w:r w:rsidRPr="08FC9BE7" w:rsidR="08FC9BE7">
              <w:rPr>
                <w:rFonts w:ascii="Aptos Narrow" w:hAnsi="Aptos Narrow" w:eastAsia="Aptos Narrow" w:cs="Aptos Narrow"/>
                <w:b w:val="0"/>
                <w:bCs w:val="0"/>
                <w:i w:val="0"/>
                <w:iCs w:val="0"/>
                <w:strike w:val="0"/>
                <w:dstrike w:val="0"/>
                <w:color w:val="000000" w:themeColor="text1" w:themeTint="FF" w:themeShade="FF"/>
                <w:sz w:val="22"/>
                <w:szCs w:val="22"/>
                <w:u w:val="none"/>
              </w:rPr>
              <w:t>1.04</w:t>
            </w:r>
          </w:p>
        </w:tc>
        <w:tc>
          <w:tcPr>
            <w:tcW w:w="2340" w:type="dxa"/>
            <w:tcMar/>
          </w:tcPr>
          <w:p w:rsidR="08FC9BE7" w:rsidP="08FC9BE7" w:rsidRDefault="08FC9BE7" w14:paraId="608EDCF6" w14:textId="1C27EA59">
            <w:pPr>
              <w:spacing w:before="0" w:beforeAutospacing="off" w:after="0" w:afterAutospacing="off"/>
            </w:pPr>
            <w:r w:rsidRPr="08FC9BE7" w:rsidR="08FC9BE7">
              <w:rPr>
                <w:rFonts w:ascii="Aptos Narrow" w:hAnsi="Aptos Narrow" w:eastAsia="Aptos Narrow" w:cs="Aptos Narrow"/>
                <w:b w:val="0"/>
                <w:bCs w:val="0"/>
                <w:i w:val="0"/>
                <w:iCs w:val="0"/>
                <w:strike w:val="0"/>
                <w:dstrike w:val="0"/>
                <w:color w:val="000000" w:themeColor="text1" w:themeTint="FF" w:themeShade="FF"/>
                <w:sz w:val="22"/>
                <w:szCs w:val="22"/>
                <w:u w:val="none"/>
              </w:rPr>
              <w:t>3.15</w:t>
            </w:r>
          </w:p>
        </w:tc>
        <w:tc>
          <w:tcPr>
            <w:tcW w:w="2340" w:type="dxa"/>
            <w:tcMar/>
          </w:tcPr>
          <w:p w:rsidR="08FC9BE7" w:rsidP="08FC9BE7" w:rsidRDefault="08FC9BE7" w14:paraId="5495497E" w14:textId="4C73933F">
            <w:pPr>
              <w:spacing w:before="0" w:beforeAutospacing="off" w:after="0" w:afterAutospacing="off"/>
            </w:pPr>
            <w:r w:rsidRPr="08FC9BE7" w:rsidR="08FC9BE7">
              <w:rPr>
                <w:rFonts w:ascii="Aptos Narrow" w:hAnsi="Aptos Narrow" w:eastAsia="Aptos Narrow" w:cs="Aptos Narrow"/>
                <w:b w:val="0"/>
                <w:bCs w:val="0"/>
                <w:i w:val="0"/>
                <w:iCs w:val="0"/>
                <w:strike w:val="0"/>
                <w:dstrike w:val="0"/>
                <w:color w:val="000000" w:themeColor="text1" w:themeTint="FF" w:themeShade="FF"/>
                <w:sz w:val="22"/>
                <w:szCs w:val="22"/>
                <w:u w:val="none"/>
              </w:rPr>
              <w:t>3.28</w:t>
            </w:r>
          </w:p>
        </w:tc>
      </w:tr>
    </w:tbl>
    <w:p w:rsidR="697399DE" w:rsidP="697399DE" w:rsidRDefault="697399DE" w14:paraId="3A0BC652" w14:textId="2083622C">
      <w:pPr>
        <w:pStyle w:val="Normal"/>
        <w:rPr>
          <w:rFonts w:ascii="Times New Roman" w:hAnsi="Times New Roman" w:eastAsia="Times New Roman" w:cs="Times New Roman"/>
          <w:noProof w:val="0"/>
          <w:sz w:val="24"/>
          <w:szCs w:val="24"/>
          <w:lang w:val="en-US"/>
        </w:rPr>
      </w:pPr>
    </w:p>
    <w:p w:rsidR="62B04AE8" w:rsidP="697399DE" w:rsidRDefault="62B04AE8" w14:paraId="021D0EB7" w14:textId="477D810F">
      <w:pPr>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Discussion:</w:t>
      </w:r>
    </w:p>
    <w:p w:rsidR="62B04AE8" w:rsidP="697399DE" w:rsidRDefault="62B04AE8" w14:paraId="128724BC" w14:textId="148F2062">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According to the study's findings</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university </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students</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motivational management and physical activity levels are </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highly</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97399DE" w:rsidR="0504FA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and also</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agreed with the theories and studies covered in the introduction. According to the findings</w:t>
      </w:r>
      <w:r w:rsidRPr="697399DE" w:rsidR="483954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kids who take part in more physical activities are more likely to show autonomous</w:t>
      </w:r>
      <w:r w:rsidRPr="697399DE" w:rsidR="4CC1C5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self-defined motivational patterns through intrinsic and integrated control. On the other hand </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less active people are more likely to exhibit higher levels of amotivation and rely on external control</w:t>
      </w:r>
      <w:r w:rsidRPr="697399DE" w:rsidR="691A18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which is </w:t>
      </w:r>
      <w:r w:rsidRPr="697399DE" w:rsidR="0E7BA2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then </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linked with previous research on the relationship between motivation and physical activity </w:t>
      </w:r>
      <w:r w:rsidRPr="697399DE" w:rsidR="2180C2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participation.</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These</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findings support Teixeira et al. (2012), who found that people who engage in more physical activity are more likely to have intrinsic motivation and exercise for fun or in line with their principles. On the other </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hand</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sedentary people are more likely to be persuaded to exercise by external factors such as rewards</w:t>
      </w:r>
      <w:r w:rsidRPr="697399DE" w:rsidR="77DAE0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peer pressure. This is supported by the study's findings, which show that the group with the least amount of activity </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exhibited</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highest levels of amotivation and external </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regulation,while</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group with the most activity showed the highest levels of integrated regulation and intrinsic regulation. Additionally, the </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studys</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findings link with the Wilson and Rogers' (2008) investigation</w:t>
      </w:r>
      <w:r w:rsidRPr="697399DE" w:rsidR="31026F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which showed that those who exercise more tend to be more independently driven</w:t>
      </w:r>
      <w:r w:rsidRPr="697399DE" w:rsidR="3833FB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which could</w:t>
      </w:r>
      <w:r w:rsidRPr="697399DE" w:rsidR="374F2D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then</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lead to longer periods of physical activity. The moderate activity group, which showed both </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recognised</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intrinsic regulation, shows that although these individuals exercise for personal reasons, they may still need pressure or outside motivation to keep up their activity levels. The findings </w:t>
      </w:r>
      <w:r w:rsidRPr="697399DE" w:rsidR="467623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show</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that university students motivations can shift over time as shown by Edmunds et al. (2008</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697399DE" w:rsidR="562FB6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who</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found that students typically start out with more extrinsically driven reasons for exercising, such as weight management</w:t>
      </w:r>
      <w:r w:rsidRPr="697399DE" w:rsidR="06B5FE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driven </w:t>
      </w:r>
      <w:r w:rsidRPr="697399DE" w:rsidR="06B5FE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excersising</w:t>
      </w:r>
      <w:r w:rsidRPr="697399DE" w:rsidR="06B5FE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or social approval, and </w:t>
      </w:r>
      <w:r w:rsidRPr="697399DE" w:rsidR="0226FB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therefore</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develop more intrinsic reasons for exercising as they advance in </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their </w:t>
      </w:r>
      <w:r w:rsidRPr="697399DE" w:rsidR="2C0CD2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life</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As students exercise more </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regularly</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they shift from external to internal motivations, as seen by the moderate activity group's moderate levels of </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identified</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regulation and intrinsic regulatio</w:t>
      </w:r>
      <w:r w:rsidRPr="697399DE" w:rsidR="41ABB4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Additionally, the study offers useful recommendations for creating treatments that can promote </w:t>
      </w:r>
      <w:r w:rsidRPr="697399DE" w:rsidR="675464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physical </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activity. </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low activity group could concentrate on lowering amotivation and increasing the appeal of physical activity through the use of social support networks or external resources.</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Also, the high activity group might concentrate on enhancing intrinsic motivation even more and giving them access to values aligned activities, </w:t>
      </w:r>
      <w:r w:rsidRPr="697399DE" w:rsidR="7D2DF5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which then gives them</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more flexibility in their workout schedules. According to Ng et al. (2012), higher levels of autonomous motivation have been linked to long term </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behavioural</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improvements and improved </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peoples</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exercise regimens. As we have </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found</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conclusions are supported by the findings and this shows how important it is for therapies to encourage self-reliance and self-control. We also </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have to</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consider the connection between long-term physical activity and intrinsic </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motivation,</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therefore </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focus</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should be on g</w:t>
      </w:r>
      <w:r w:rsidRPr="697399DE" w:rsidR="6C75C4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iving</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students more control and discretion over their exercise routines and creating environments where physical activity is </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seem</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be enjoyable and personally significant rather than as a requirement. The results of the study show how important motivational management is in influencing physical activity levels. By considering the diverse motivational characteristics of students, interventions can be created to promote more sustainable physical activity. Increasing innate desire may lead to more frequent and prolonged physical activity, particularly for those who are less active. </w:t>
      </w:r>
    </w:p>
    <w:p w:rsidR="697399DE" w:rsidP="697399DE" w:rsidRDefault="697399DE" w14:paraId="135E7002" w14:textId="455F42CC">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2B04AE8" w:rsidP="697399DE" w:rsidRDefault="62B04AE8" w14:paraId="32EB1F29" w14:textId="3CAD1776">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Reference list;</w:t>
      </w:r>
    </w:p>
    <w:p w:rsidR="62B04AE8" w:rsidP="697399DE" w:rsidRDefault="62B04AE8" w14:paraId="3C9D801C" w14:textId="583773C9">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Cox, A. E., Smith, A. L., &amp; McDavid, L. (2009). Self-determined motivation and physical activity in a university setting: A test of basic needs theory. </w:t>
      </w:r>
      <w:r w:rsidRPr="697399DE" w:rsidR="62B04AE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Sport &amp; Exercise Psychology</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31(2), 225-243. </w:t>
      </w:r>
    </w:p>
    <w:p w:rsidR="62B04AE8" w:rsidP="697399DE" w:rsidRDefault="62B04AE8" w14:paraId="63A6925E" w14:textId="2C1C6337">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Ng, J. Y., Lonsdale, C., &amp; Hodge, S. R. (2012). Self-determined motivation and physical activity in older adults: The role of social support. </w:t>
      </w:r>
      <w:r w:rsidRPr="697399DE" w:rsidR="62B04AE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Aging and Physical Activity</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20(3), 211-217.</w:t>
      </w:r>
    </w:p>
    <w:p w:rsidR="697399DE" w:rsidP="697399DE" w:rsidRDefault="697399DE" w14:paraId="14E05811" w14:textId="1FFB7305">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2B04AE8" w:rsidP="697399DE" w:rsidRDefault="62B04AE8" w14:paraId="51C78503" w14:textId="16C32F02">
      <w:pPr>
        <w:spacing w:before="240" w:after="2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Ryan, R. M., &amp; Deci, E. L. (2000). Self-determination theory and the facilitation of intrinsic motivation, social development, and well-being. </w:t>
      </w:r>
      <w:r w:rsidRPr="697399DE" w:rsidR="62B04AE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American Psychologist</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55(1), 68-78. </w:t>
      </w:r>
      <w:hyperlink r:id="Rab72736d5b1948fb">
        <w:r w:rsidRPr="697399DE" w:rsidR="62B04AE8">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https://doi.org/10.1037/0003-066X.55.1.68</w:t>
        </w:r>
      </w:hyperlink>
    </w:p>
    <w:p w:rsidR="62B04AE8" w:rsidP="697399DE" w:rsidRDefault="62B04AE8" w14:paraId="6688595A" w14:textId="589FA6ED">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Sevil, J. (2015) Levels of Physical activity, Motivation and barriers to participation in university students.</w:t>
      </w:r>
    </w:p>
    <w:p w:rsidR="62B04AE8" w:rsidP="697399DE" w:rsidRDefault="62B04AE8" w14:paraId="2B5F8EE7" w14:textId="6A461507">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Teixeira, P. J., Carraca, E. V., Markland, D., Silva, M. N., &amp; Vieira, P. N. (2012). Exercise, physical activity, and self-determination theory: A systematic review. </w:t>
      </w:r>
      <w:r w:rsidRPr="697399DE" w:rsidR="62B04AE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International Journal of Behavioral Nutrition and Physical Activity</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9(1), 78. </w:t>
      </w:r>
      <w:hyperlink r:id="Reddc065d59524662">
        <w:r w:rsidRPr="697399DE" w:rsidR="62B04AE8">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https://doi.org/10.1186/1479-5868-9-78</w:t>
        </w:r>
      </w:hyperlink>
    </w:p>
    <w:p w:rsidR="62B04AE8" w:rsidP="697399DE" w:rsidRDefault="62B04AE8" w14:paraId="6E006902" w14:textId="05F235AC">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Wilson, P. M., &amp; Rogers, W. M. (2008). The relationship between exercise motivation and physical activity adherence. </w:t>
      </w:r>
      <w:r w:rsidRPr="697399DE" w:rsidR="62B04AE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Applied Social Psychology</w:t>
      </w:r>
      <w:r w:rsidRPr="697399DE" w:rsidR="62B04A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38(6), 1549-1564. </w:t>
      </w:r>
      <w:hyperlink r:id="R6b5efa57dc574563">
        <w:r w:rsidRPr="697399DE" w:rsidR="62B04AE8">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https://doi.org/10.1111/j.1559-1816.2008.00385.x</w:t>
        </w:r>
      </w:hyperlink>
    </w:p>
    <w:p w:rsidR="697399DE" w:rsidP="697399DE" w:rsidRDefault="697399DE" w14:paraId="76B14930" w14:textId="22B8F979">
      <w:pPr>
        <w:pStyle w:val="Normal"/>
        <w:rPr>
          <w:rFonts w:ascii="Times New Roman" w:hAnsi="Times New Roman" w:eastAsia="Times New Roman" w:cs="Times New Roman"/>
          <w:b w:val="0"/>
          <w:bCs w:val="0"/>
          <w:noProof w:val="0"/>
          <w:sz w:val="24"/>
          <w:szCs w:val="24"/>
          <w:lang w:val="en-US"/>
        </w:rPr>
      </w:pPr>
    </w:p>
    <w:sectPr>
      <w:pgSz w:w="12240" w:h="15840" w:orient="portrait"/>
      <w:pgMar w:top="1440" w:right="1440" w:bottom="1440" w:left="1440" w:header="720" w:footer="720" w:gutter="0"/>
      <w:cols w:space="720"/>
      <w:docGrid w:linePitch="360"/>
      <w:headerReference w:type="default" r:id="R912b0d30c04d492a"/>
      <w:footerReference w:type="default" r:id="R9c88c479d1dd4e7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DF4E289" w:rsidTr="4DF4E289" w14:paraId="70BBE4D7">
      <w:trPr>
        <w:trHeight w:val="300"/>
      </w:trPr>
      <w:tc>
        <w:tcPr>
          <w:tcW w:w="3120" w:type="dxa"/>
          <w:tcMar/>
        </w:tcPr>
        <w:p w:rsidR="4DF4E289" w:rsidP="4DF4E289" w:rsidRDefault="4DF4E289" w14:paraId="5F319EFB" w14:textId="3F460FC1">
          <w:pPr>
            <w:pStyle w:val="Header"/>
            <w:bidi w:val="0"/>
            <w:ind w:left="-115"/>
            <w:jc w:val="left"/>
          </w:pPr>
        </w:p>
      </w:tc>
      <w:tc>
        <w:tcPr>
          <w:tcW w:w="3120" w:type="dxa"/>
          <w:tcMar/>
        </w:tcPr>
        <w:p w:rsidR="4DF4E289" w:rsidP="4DF4E289" w:rsidRDefault="4DF4E289" w14:paraId="02D64A6D" w14:textId="31310671">
          <w:pPr>
            <w:pStyle w:val="Header"/>
            <w:bidi w:val="0"/>
            <w:jc w:val="center"/>
          </w:pPr>
        </w:p>
      </w:tc>
      <w:tc>
        <w:tcPr>
          <w:tcW w:w="3120" w:type="dxa"/>
          <w:tcMar/>
        </w:tcPr>
        <w:p w:rsidR="4DF4E289" w:rsidP="4DF4E289" w:rsidRDefault="4DF4E289" w14:paraId="49206B03" w14:textId="4760B0EE">
          <w:pPr>
            <w:pStyle w:val="Header"/>
            <w:bidi w:val="0"/>
            <w:ind w:right="-115"/>
            <w:jc w:val="right"/>
          </w:pPr>
        </w:p>
      </w:tc>
    </w:tr>
  </w:tbl>
  <w:p w:rsidR="4DF4E289" w:rsidP="4DF4E289" w:rsidRDefault="4DF4E289" w14:paraId="04FB0785" w14:textId="673EF4C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DF4E289" w:rsidTr="4DF4E289" w14:paraId="66344F25">
      <w:trPr>
        <w:trHeight w:val="300"/>
      </w:trPr>
      <w:tc>
        <w:tcPr>
          <w:tcW w:w="3120" w:type="dxa"/>
          <w:tcMar/>
        </w:tcPr>
        <w:p w:rsidR="4DF4E289" w:rsidP="4DF4E289" w:rsidRDefault="4DF4E289" w14:paraId="643AEC56" w14:textId="178D8B2B">
          <w:pPr>
            <w:pStyle w:val="Header"/>
            <w:bidi w:val="0"/>
            <w:ind w:left="-115"/>
            <w:jc w:val="left"/>
          </w:pPr>
        </w:p>
      </w:tc>
      <w:tc>
        <w:tcPr>
          <w:tcW w:w="3120" w:type="dxa"/>
          <w:tcMar/>
        </w:tcPr>
        <w:p w:rsidR="4DF4E289" w:rsidP="4DF4E289" w:rsidRDefault="4DF4E289" w14:paraId="2F4CC62E" w14:textId="19B3FE32">
          <w:pPr>
            <w:pStyle w:val="Header"/>
            <w:bidi w:val="0"/>
            <w:jc w:val="center"/>
          </w:pPr>
        </w:p>
      </w:tc>
      <w:tc>
        <w:tcPr>
          <w:tcW w:w="3120" w:type="dxa"/>
          <w:tcMar/>
        </w:tcPr>
        <w:p w:rsidR="4DF4E289" w:rsidP="4DF4E289" w:rsidRDefault="4DF4E289" w14:paraId="009578E7" w14:textId="6A17B401">
          <w:pPr>
            <w:pStyle w:val="Header"/>
            <w:bidi w:val="0"/>
            <w:ind w:right="-115"/>
            <w:jc w:val="right"/>
          </w:pPr>
        </w:p>
      </w:tc>
    </w:tr>
  </w:tbl>
  <w:p w:rsidR="4DF4E289" w:rsidP="4DF4E289" w:rsidRDefault="4DF4E289" w14:paraId="44985922" w14:textId="49C64E66">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B15A6B4"/>
    <w:rsid w:val="010814D6"/>
    <w:rsid w:val="012F4604"/>
    <w:rsid w:val="014AD469"/>
    <w:rsid w:val="01931B77"/>
    <w:rsid w:val="0226FB09"/>
    <w:rsid w:val="022C6E51"/>
    <w:rsid w:val="02517DCF"/>
    <w:rsid w:val="027614A9"/>
    <w:rsid w:val="0283E68C"/>
    <w:rsid w:val="02BD07F6"/>
    <w:rsid w:val="0329DEB0"/>
    <w:rsid w:val="045B8FAE"/>
    <w:rsid w:val="0504FA4B"/>
    <w:rsid w:val="05515AB3"/>
    <w:rsid w:val="06B5FE25"/>
    <w:rsid w:val="06C53954"/>
    <w:rsid w:val="073E6242"/>
    <w:rsid w:val="07E6E9A7"/>
    <w:rsid w:val="0869D8FE"/>
    <w:rsid w:val="08FC9BE7"/>
    <w:rsid w:val="091B29F2"/>
    <w:rsid w:val="0991BDF6"/>
    <w:rsid w:val="0AD2D2F4"/>
    <w:rsid w:val="0B3CD382"/>
    <w:rsid w:val="0B55B3C0"/>
    <w:rsid w:val="0B9F8F9B"/>
    <w:rsid w:val="0C91DD87"/>
    <w:rsid w:val="0CB1056D"/>
    <w:rsid w:val="0D0F894B"/>
    <w:rsid w:val="0D21C3FA"/>
    <w:rsid w:val="0E1DBB34"/>
    <w:rsid w:val="0E7BA229"/>
    <w:rsid w:val="0F1E3B9B"/>
    <w:rsid w:val="104F8A71"/>
    <w:rsid w:val="110D76F8"/>
    <w:rsid w:val="11EB25BA"/>
    <w:rsid w:val="124398F2"/>
    <w:rsid w:val="12F9EBD9"/>
    <w:rsid w:val="137F3FC6"/>
    <w:rsid w:val="158C5840"/>
    <w:rsid w:val="160A300B"/>
    <w:rsid w:val="16B5FAA8"/>
    <w:rsid w:val="17984329"/>
    <w:rsid w:val="1826B512"/>
    <w:rsid w:val="1834D6F2"/>
    <w:rsid w:val="1834EC5D"/>
    <w:rsid w:val="18889AD0"/>
    <w:rsid w:val="188C41B3"/>
    <w:rsid w:val="18B2D166"/>
    <w:rsid w:val="19233CB1"/>
    <w:rsid w:val="1B5917B0"/>
    <w:rsid w:val="1BB7B736"/>
    <w:rsid w:val="1C365845"/>
    <w:rsid w:val="1D917C94"/>
    <w:rsid w:val="1DC37029"/>
    <w:rsid w:val="1E85EF0A"/>
    <w:rsid w:val="1F1D055B"/>
    <w:rsid w:val="20CB6BB2"/>
    <w:rsid w:val="20E4567F"/>
    <w:rsid w:val="21035484"/>
    <w:rsid w:val="21274660"/>
    <w:rsid w:val="2138B578"/>
    <w:rsid w:val="2180C26E"/>
    <w:rsid w:val="21E5E6C9"/>
    <w:rsid w:val="2249F804"/>
    <w:rsid w:val="22F50546"/>
    <w:rsid w:val="233DCF26"/>
    <w:rsid w:val="23BD7091"/>
    <w:rsid w:val="24C91D26"/>
    <w:rsid w:val="24DEBFA9"/>
    <w:rsid w:val="253ABFED"/>
    <w:rsid w:val="25986615"/>
    <w:rsid w:val="25B8063D"/>
    <w:rsid w:val="26614A92"/>
    <w:rsid w:val="273BEB1B"/>
    <w:rsid w:val="27AAEC4A"/>
    <w:rsid w:val="27EBF310"/>
    <w:rsid w:val="28CCEEEA"/>
    <w:rsid w:val="292D83F7"/>
    <w:rsid w:val="298BD467"/>
    <w:rsid w:val="2A6FF842"/>
    <w:rsid w:val="2BB700CC"/>
    <w:rsid w:val="2C0CD253"/>
    <w:rsid w:val="2CEA95E3"/>
    <w:rsid w:val="2F1A2D6A"/>
    <w:rsid w:val="2F3E6E01"/>
    <w:rsid w:val="301DF3C6"/>
    <w:rsid w:val="31026FD5"/>
    <w:rsid w:val="32693CF1"/>
    <w:rsid w:val="32B50C73"/>
    <w:rsid w:val="3436918C"/>
    <w:rsid w:val="357065B3"/>
    <w:rsid w:val="35730E92"/>
    <w:rsid w:val="35A91B7A"/>
    <w:rsid w:val="35C444BE"/>
    <w:rsid w:val="365AA029"/>
    <w:rsid w:val="36DDD8BF"/>
    <w:rsid w:val="374F2DB6"/>
    <w:rsid w:val="3807C538"/>
    <w:rsid w:val="3833FB04"/>
    <w:rsid w:val="3863FAB0"/>
    <w:rsid w:val="38ABFC5D"/>
    <w:rsid w:val="391474B2"/>
    <w:rsid w:val="39352EFA"/>
    <w:rsid w:val="399AFBCD"/>
    <w:rsid w:val="3A5A0843"/>
    <w:rsid w:val="3ACA4E3C"/>
    <w:rsid w:val="3B15A6B4"/>
    <w:rsid w:val="3B706215"/>
    <w:rsid w:val="3B96755E"/>
    <w:rsid w:val="3CC84DB5"/>
    <w:rsid w:val="3D23DE38"/>
    <w:rsid w:val="3D31EDA3"/>
    <w:rsid w:val="3D4D5E72"/>
    <w:rsid w:val="3E145263"/>
    <w:rsid w:val="400BFAB9"/>
    <w:rsid w:val="40B0AC05"/>
    <w:rsid w:val="40E14A76"/>
    <w:rsid w:val="4149205F"/>
    <w:rsid w:val="41ABB4CD"/>
    <w:rsid w:val="42013097"/>
    <w:rsid w:val="424689E6"/>
    <w:rsid w:val="42D6D106"/>
    <w:rsid w:val="436FD1AC"/>
    <w:rsid w:val="4560D619"/>
    <w:rsid w:val="46723D4A"/>
    <w:rsid w:val="46762338"/>
    <w:rsid w:val="46E5D2F2"/>
    <w:rsid w:val="475FAB0B"/>
    <w:rsid w:val="47E57983"/>
    <w:rsid w:val="48041186"/>
    <w:rsid w:val="48226295"/>
    <w:rsid w:val="482A7B98"/>
    <w:rsid w:val="483954B1"/>
    <w:rsid w:val="48530A48"/>
    <w:rsid w:val="48FEFC63"/>
    <w:rsid w:val="4948F2CA"/>
    <w:rsid w:val="49610EA0"/>
    <w:rsid w:val="49DD516F"/>
    <w:rsid w:val="4CA29943"/>
    <w:rsid w:val="4CC1C58D"/>
    <w:rsid w:val="4DF4E289"/>
    <w:rsid w:val="4EEFF132"/>
    <w:rsid w:val="4F503454"/>
    <w:rsid w:val="505AA72A"/>
    <w:rsid w:val="51347D5E"/>
    <w:rsid w:val="51475B04"/>
    <w:rsid w:val="514BDDC8"/>
    <w:rsid w:val="52FE1B31"/>
    <w:rsid w:val="53249029"/>
    <w:rsid w:val="5373172A"/>
    <w:rsid w:val="539DC768"/>
    <w:rsid w:val="54E92079"/>
    <w:rsid w:val="554A4C76"/>
    <w:rsid w:val="558F245E"/>
    <w:rsid w:val="55CA6792"/>
    <w:rsid w:val="55D22D3E"/>
    <w:rsid w:val="55E618B8"/>
    <w:rsid w:val="562FB686"/>
    <w:rsid w:val="57AB9FE1"/>
    <w:rsid w:val="57B4797E"/>
    <w:rsid w:val="57BDC392"/>
    <w:rsid w:val="58C7450B"/>
    <w:rsid w:val="594CA099"/>
    <w:rsid w:val="596CD12A"/>
    <w:rsid w:val="5AA5DA7F"/>
    <w:rsid w:val="5B25573E"/>
    <w:rsid w:val="5B7F673A"/>
    <w:rsid w:val="5C75962C"/>
    <w:rsid w:val="5CA0C58A"/>
    <w:rsid w:val="5CCEADE8"/>
    <w:rsid w:val="5CEE06CD"/>
    <w:rsid w:val="5D8D97A6"/>
    <w:rsid w:val="5D956F7D"/>
    <w:rsid w:val="5DECC0EE"/>
    <w:rsid w:val="5E500379"/>
    <w:rsid w:val="5E7D968B"/>
    <w:rsid w:val="5E7F3F64"/>
    <w:rsid w:val="5EA9A200"/>
    <w:rsid w:val="5F280191"/>
    <w:rsid w:val="5FFBD9CE"/>
    <w:rsid w:val="6139C8CB"/>
    <w:rsid w:val="61B12737"/>
    <w:rsid w:val="6208FF4B"/>
    <w:rsid w:val="62716DFB"/>
    <w:rsid w:val="62B04AE8"/>
    <w:rsid w:val="631375E2"/>
    <w:rsid w:val="639A0127"/>
    <w:rsid w:val="652B16DE"/>
    <w:rsid w:val="658FA910"/>
    <w:rsid w:val="658FA910"/>
    <w:rsid w:val="662E3694"/>
    <w:rsid w:val="67546477"/>
    <w:rsid w:val="67B8F4AB"/>
    <w:rsid w:val="67CE025B"/>
    <w:rsid w:val="68E10C7C"/>
    <w:rsid w:val="690AEA8A"/>
    <w:rsid w:val="691A182A"/>
    <w:rsid w:val="697399DE"/>
    <w:rsid w:val="69763EDD"/>
    <w:rsid w:val="6AF3DEE4"/>
    <w:rsid w:val="6B9DEFBE"/>
    <w:rsid w:val="6C75C4E3"/>
    <w:rsid w:val="6C764C51"/>
    <w:rsid w:val="6CF3F61D"/>
    <w:rsid w:val="6CF862FA"/>
    <w:rsid w:val="6D097718"/>
    <w:rsid w:val="6D2A76CA"/>
    <w:rsid w:val="6D2D4930"/>
    <w:rsid w:val="6F002177"/>
    <w:rsid w:val="6F254E45"/>
    <w:rsid w:val="6FF85D68"/>
    <w:rsid w:val="705E921D"/>
    <w:rsid w:val="7219EE42"/>
    <w:rsid w:val="72AD02E2"/>
    <w:rsid w:val="73D48EBE"/>
    <w:rsid w:val="745F20B5"/>
    <w:rsid w:val="74ABAD27"/>
    <w:rsid w:val="75543E98"/>
    <w:rsid w:val="7642460A"/>
    <w:rsid w:val="76C7EA6A"/>
    <w:rsid w:val="778F1614"/>
    <w:rsid w:val="779435BC"/>
    <w:rsid w:val="77DAE0A5"/>
    <w:rsid w:val="782A7081"/>
    <w:rsid w:val="785A98F9"/>
    <w:rsid w:val="78A256E5"/>
    <w:rsid w:val="7914DE00"/>
    <w:rsid w:val="79D6E0FD"/>
    <w:rsid w:val="7A4873B6"/>
    <w:rsid w:val="7AE9DD26"/>
    <w:rsid w:val="7AFCFCA4"/>
    <w:rsid w:val="7B32DF59"/>
    <w:rsid w:val="7BA359B4"/>
    <w:rsid w:val="7BB73AB3"/>
    <w:rsid w:val="7BEA6A91"/>
    <w:rsid w:val="7C14E888"/>
    <w:rsid w:val="7C755844"/>
    <w:rsid w:val="7C75C51E"/>
    <w:rsid w:val="7CB771AF"/>
    <w:rsid w:val="7D2DF5B7"/>
    <w:rsid w:val="7EA31B3B"/>
    <w:rsid w:val="7F4D50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15A6B4"/>
  <w15:chartTrackingRefBased/>
  <w15:docId w15:val="{37DCFFC0-DC85-4A3A-9174-3C13E465382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4DF4E289"/>
    <w:pPr>
      <w:tabs>
        <w:tab w:val="center" w:leader="none" w:pos="4680"/>
        <w:tab w:val="right" w:leader="none" w:pos="9360"/>
      </w:tabs>
      <w:spacing w:after="0" w:line="240" w:lineRule="auto"/>
    </w:pPr>
  </w:style>
  <w:style w:type="paragraph" w:styleId="Footer">
    <w:uiPriority w:val="99"/>
    <w:name w:val="footer"/>
    <w:basedOn w:val="Normal"/>
    <w:unhideWhenUsed/>
    <w:rsid w:val="4DF4E289"/>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4DF4E28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912b0d30c04d492a" /><Relationship Type="http://schemas.openxmlformats.org/officeDocument/2006/relationships/footer" Target="footer.xml" Id="R9c88c479d1dd4e76" /><Relationship Type="http://schemas.openxmlformats.org/officeDocument/2006/relationships/image" Target="/media/image4.png" Id="R25d6c4fda4064639" /><Relationship Type="http://schemas.openxmlformats.org/officeDocument/2006/relationships/hyperlink" Target="https://doi.org/10.1037/0003-066X.55.1.68" TargetMode="External" Id="Rab72736d5b1948fb" /><Relationship Type="http://schemas.openxmlformats.org/officeDocument/2006/relationships/hyperlink" Target="https://doi.org/10.1186/1479-5868-9-78" TargetMode="External" Id="Reddc065d59524662" /><Relationship Type="http://schemas.openxmlformats.org/officeDocument/2006/relationships/hyperlink" Target="https://doi.org/10.1111/j.1559-1816.2008.00385.x" TargetMode="External" Id="R6b5efa57dc57456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2024-11-07T14:36:36.1028926Z</dcterms:created>
  <dcterms:modified xsi:type="dcterms:W3CDTF">2024-12-13T12:12:09.3354003Z</dcterms:modified>
  <dc:creator>Ifan Knott (2405014)</dc:creator>
  <lastModifiedBy>Ifan Knott (2405014)</lastModifiedBy>
</coreProperties>
</file>