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71C696" wp14:paraId="4D96DCB5" wp14:textId="0FBDB675">
      <w:pPr>
        <w:rPr>
          <w:rFonts w:ascii="Calibri" w:hAnsi="Calibri" w:eastAsia="Calibri" w:cs="Calibri"/>
          <w:b w:val="1"/>
          <w:bCs w:val="1"/>
          <w:noProof w:val="0"/>
          <w:sz w:val="24"/>
          <w:szCs w:val="24"/>
          <w:u w:val="single"/>
          <w:lang w:val="en-GB"/>
        </w:rPr>
      </w:pPr>
      <w:r w:rsidRPr="3871C696" w:rsidR="1757762D">
        <w:rPr>
          <w:rFonts w:ascii="Calibri" w:hAnsi="Calibri" w:eastAsia="Calibri" w:cs="Calibri"/>
          <w:b w:val="1"/>
          <w:bCs w:val="1"/>
          <w:noProof w:val="0"/>
          <w:sz w:val="24"/>
          <w:szCs w:val="24"/>
          <w:u w:val="single"/>
          <w:lang w:val="en-GB"/>
        </w:rPr>
        <w:t>UNIVERSITY OF WALES TRINITY SAINT DAVID</w:t>
      </w:r>
    </w:p>
    <w:p xmlns:wp14="http://schemas.microsoft.com/office/word/2010/wordml" w:rsidP="3871C696" wp14:paraId="4C6633F8" wp14:textId="76B63DD9">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r w:rsidRPr="3871C696" w:rsidR="1757762D">
        <w:rPr>
          <w:rFonts w:ascii="Calibri" w:hAnsi="Calibri" w:eastAsia="Calibri" w:cs="Calibri"/>
          <w:b w:val="1"/>
          <w:bCs w:val="1"/>
          <w:noProof w:val="0"/>
          <w:sz w:val="24"/>
          <w:szCs w:val="24"/>
          <w:lang w:val="en-GB"/>
        </w:rPr>
        <w:t xml:space="preserve">Module Title: </w:t>
      </w:r>
      <w:r w:rsidRPr="3871C696" w:rsidR="524BEA22">
        <w:rPr>
          <w:rFonts w:ascii="Calibri" w:hAnsi="Calibri" w:eastAsia="Calibri" w:cs="Calibri"/>
          <w:b w:val="1"/>
          <w:bCs w:val="1"/>
          <w:noProof w:val="0"/>
          <w:sz w:val="24"/>
          <w:szCs w:val="24"/>
          <w:lang w:val="en-GB"/>
        </w:rPr>
        <w:t xml:space="preserve">Understanding and </w:t>
      </w:r>
      <w:r w:rsidRPr="3871C696" w:rsidR="2FA866B2">
        <w:rPr>
          <w:rFonts w:ascii="Calibri" w:hAnsi="Calibri" w:eastAsia="Calibri" w:cs="Calibri"/>
          <w:b w:val="1"/>
          <w:bCs w:val="1"/>
          <w:noProof w:val="0"/>
          <w:sz w:val="24"/>
          <w:szCs w:val="24"/>
          <w:lang w:val="en-GB"/>
        </w:rPr>
        <w:t>Engaging Stakeholders</w:t>
      </w:r>
    </w:p>
    <w:p xmlns:wp14="http://schemas.microsoft.com/office/word/2010/wordml" w:rsidP="3871C696" wp14:paraId="17E99176" wp14:textId="361FD128">
      <w:pPr>
        <w:pStyle w:val="Normal"/>
        <w:rPr>
          <w:rFonts w:ascii="Calibri" w:hAnsi="Calibri" w:eastAsia="Calibri" w:cs="Calibri"/>
          <w:b w:val="1"/>
          <w:bCs w:val="1"/>
          <w:noProof w:val="0"/>
          <w:sz w:val="24"/>
          <w:szCs w:val="24"/>
          <w:lang w:val="en-GB"/>
        </w:rPr>
      </w:pPr>
      <w:r w:rsidRPr="3871C696" w:rsidR="1757762D">
        <w:rPr>
          <w:rFonts w:ascii="Calibri" w:hAnsi="Calibri" w:eastAsia="Calibri" w:cs="Calibri"/>
          <w:b w:val="1"/>
          <w:bCs w:val="1"/>
          <w:noProof w:val="0"/>
          <w:sz w:val="24"/>
          <w:szCs w:val="24"/>
          <w:lang w:val="en-GB"/>
        </w:rPr>
        <w:t xml:space="preserve">Assignment </w:t>
      </w:r>
      <w:r w:rsidRPr="3871C696" w:rsidR="4AE1F85D">
        <w:rPr>
          <w:rFonts w:ascii="Calibri" w:hAnsi="Calibri" w:eastAsia="Calibri" w:cs="Calibri"/>
          <w:b w:val="1"/>
          <w:bCs w:val="1"/>
          <w:noProof w:val="0"/>
          <w:sz w:val="24"/>
          <w:szCs w:val="24"/>
          <w:lang w:val="en-GB"/>
        </w:rPr>
        <w:t>Title:</w:t>
      </w:r>
      <w:r w:rsidRPr="3871C696" w:rsidR="7E36744E">
        <w:rPr>
          <w:rFonts w:ascii="Calibri" w:hAnsi="Calibri" w:eastAsia="Calibri" w:cs="Calibri"/>
          <w:b w:val="1"/>
          <w:bCs w:val="1"/>
          <w:noProof w:val="0"/>
          <w:sz w:val="24"/>
          <w:szCs w:val="24"/>
          <w:lang w:val="en-GB"/>
        </w:rPr>
        <w:t xml:space="preserve"> </w:t>
      </w:r>
      <w:r w:rsidRPr="3871C696" w:rsidR="4AE1F85D">
        <w:rPr>
          <w:rFonts w:ascii="Calibri" w:hAnsi="Calibri" w:eastAsia="Calibri" w:cs="Calibri"/>
          <w:b w:val="1"/>
          <w:bCs w:val="1"/>
          <w:noProof w:val="0"/>
          <w:sz w:val="24"/>
          <w:szCs w:val="24"/>
          <w:lang w:val="en-GB"/>
        </w:rPr>
        <w:t>Stakeholder</w:t>
      </w:r>
      <w:r w:rsidRPr="3871C696" w:rsidR="1757762D">
        <w:rPr>
          <w:rFonts w:ascii="Calibri" w:hAnsi="Calibri" w:eastAsia="Calibri" w:cs="Calibri"/>
          <w:b w:val="1"/>
          <w:bCs w:val="1"/>
          <w:noProof w:val="0"/>
          <w:sz w:val="24"/>
          <w:szCs w:val="24"/>
          <w:lang w:val="en-GB"/>
        </w:rPr>
        <w:t xml:space="preserve"> Engagement Strategy for the Launch of </w:t>
      </w:r>
      <w:r w:rsidRPr="3871C696" w:rsidR="3FF844F6">
        <w:rPr>
          <w:rFonts w:ascii="Calibri" w:hAnsi="Calibri" w:eastAsia="Calibri" w:cs="Calibri"/>
          <w:b w:val="1"/>
          <w:bCs w:val="1"/>
          <w:noProof w:val="0"/>
          <w:sz w:val="24"/>
          <w:szCs w:val="24"/>
          <w:lang w:val="en-GB"/>
        </w:rPr>
        <w:t>Connect Plus</w:t>
      </w:r>
      <w:r w:rsidRPr="3871C696" w:rsidR="1757762D">
        <w:rPr>
          <w:rFonts w:ascii="Calibri" w:hAnsi="Calibri" w:eastAsia="Calibri" w:cs="Calibri"/>
          <w:b w:val="1"/>
          <w:bCs w:val="1"/>
          <w:noProof w:val="0"/>
          <w:sz w:val="24"/>
          <w:szCs w:val="24"/>
          <w:lang w:val="en-GB"/>
        </w:rPr>
        <w:t xml:space="preserve">: </w:t>
      </w:r>
      <w:r>
        <w:br/>
      </w:r>
      <w:r w:rsidRPr="3871C696" w:rsidR="1757762D">
        <w:rPr>
          <w:rFonts w:ascii="Calibri" w:hAnsi="Calibri" w:eastAsia="Calibri" w:cs="Calibri"/>
          <w:b w:val="1"/>
          <w:bCs w:val="1"/>
          <w:noProof w:val="0"/>
          <w:sz w:val="24"/>
          <w:szCs w:val="24"/>
          <w:lang w:val="en-GB"/>
        </w:rPr>
        <w:t>A Digitally Enhanced Customer Loyalty and Engagement Platform</w:t>
      </w:r>
    </w:p>
    <w:p xmlns:wp14="http://schemas.microsoft.com/office/word/2010/wordml" w:rsidP="3871C696" wp14:paraId="3291E792" wp14:textId="1E13E925">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br/>
      </w:r>
      <w:r w:rsidRPr="3871C696" w:rsidR="1757762D">
        <w:rPr>
          <w:rFonts w:ascii="Calibri" w:hAnsi="Calibri" w:eastAsia="Calibri" w:cs="Calibri"/>
          <w:noProof w:val="0"/>
          <w:sz w:val="24"/>
          <w:szCs w:val="24"/>
          <w:lang w:val="en-GB"/>
        </w:rPr>
        <w:t xml:space="preserve">Student Name: </w:t>
      </w:r>
      <w:r w:rsidRPr="3871C696" w:rsidR="620ABDC5">
        <w:rPr>
          <w:rFonts w:ascii="Calibri" w:hAnsi="Calibri" w:eastAsia="Calibri" w:cs="Calibri"/>
          <w:noProof w:val="0"/>
          <w:sz w:val="24"/>
          <w:szCs w:val="24"/>
          <w:lang w:val="en-GB"/>
        </w:rPr>
        <w:t>Andrei Stoica</w:t>
      </w:r>
    </w:p>
    <w:p xmlns:wp14="http://schemas.microsoft.com/office/word/2010/wordml" w:rsidP="3871C696" wp14:paraId="1E785A58" wp14:textId="4888E672">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3871C696" w:rsidR="1757762D">
        <w:rPr>
          <w:rFonts w:ascii="Calibri" w:hAnsi="Calibri" w:eastAsia="Calibri" w:cs="Calibri"/>
          <w:noProof w:val="0"/>
          <w:sz w:val="24"/>
          <w:szCs w:val="24"/>
          <w:lang w:val="en-GB"/>
        </w:rPr>
        <w:t xml:space="preserve">Student ID: </w:t>
      </w:r>
      <w:r w:rsidRPr="3871C696" w:rsidR="1527B0F8">
        <w:rPr>
          <w:rFonts w:ascii="Calibri" w:hAnsi="Calibri" w:eastAsia="Calibri" w:cs="Calibri"/>
          <w:noProof w:val="0"/>
          <w:sz w:val="24"/>
          <w:szCs w:val="24"/>
          <w:lang w:val="en-GB"/>
        </w:rPr>
        <w:t>2424781</w:t>
      </w:r>
    </w:p>
    <w:p xmlns:wp14="http://schemas.microsoft.com/office/word/2010/wordml" w:rsidP="3871C696" wp14:paraId="5E5787A5" wp14:textId="3951354A">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3871C696" w:rsidR="1757762D">
        <w:rPr>
          <w:rFonts w:ascii="Calibri" w:hAnsi="Calibri" w:eastAsia="Calibri" w:cs="Calibri"/>
          <w:noProof w:val="0"/>
          <w:sz w:val="24"/>
          <w:szCs w:val="24"/>
          <w:lang w:val="en-GB"/>
        </w:rPr>
        <w:t xml:space="preserve">Tutor/Lecturer: </w:t>
      </w:r>
      <w:r w:rsidRPr="3871C696" w:rsidR="2FA0026F">
        <w:rPr>
          <w:rFonts w:ascii="Calibri" w:hAnsi="Calibri" w:eastAsia="Calibri" w:cs="Calibri"/>
          <w:noProof w:val="0"/>
          <w:sz w:val="24"/>
          <w:szCs w:val="24"/>
          <w:lang w:val="en-GB"/>
        </w:rPr>
        <w:t>Aso Abdullah</w:t>
      </w:r>
    </w:p>
    <w:p w:rsidR="3871C696" w:rsidP="3871C696" w:rsidRDefault="3871C696" w14:paraId="56034FAF" w14:textId="1D49C29B">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p>
    <w:p w:rsidR="753C984D" w:rsidP="3871C696" w:rsidRDefault="753C984D" w14:paraId="5E6BB639" w14:textId="04E5E381">
      <w:pPr>
        <w:bidi w:val="0"/>
        <w:jc w:val="left"/>
        <w:rPr>
          <w:rFonts w:ascii="Calibri" w:hAnsi="Calibri" w:eastAsia="Calibri" w:cs="Calibri"/>
          <w:b w:val="1"/>
          <w:bCs w:val="1"/>
          <w:noProof w:val="0"/>
          <w:sz w:val="24"/>
          <w:szCs w:val="24"/>
          <w:u w:val="single"/>
          <w:lang w:val="en-GB"/>
        </w:rPr>
      </w:pPr>
      <w:r w:rsidRPr="3871C696" w:rsidR="753C984D">
        <w:rPr>
          <w:rFonts w:ascii="Calibri" w:hAnsi="Calibri" w:eastAsia="Calibri" w:cs="Calibri"/>
          <w:b w:val="1"/>
          <w:bCs w:val="1"/>
          <w:noProof w:val="0"/>
          <w:sz w:val="24"/>
          <w:szCs w:val="24"/>
          <w:u w:val="single"/>
          <w:lang w:val="en-GB"/>
        </w:rPr>
        <w:t>Executive Summary</w:t>
      </w:r>
    </w:p>
    <w:p w:rsidR="753C984D" w:rsidP="3871C696" w:rsidRDefault="753C984D" w14:paraId="0C706898" w14:textId="72E4CC04">
      <w:pPr>
        <w:bidi w:val="0"/>
        <w:jc w:val="left"/>
        <w:rPr>
          <w:rFonts w:ascii="Calibri" w:hAnsi="Calibri" w:eastAsia="Calibri" w:cs="Calibri"/>
          <w:noProof w:val="0"/>
          <w:sz w:val="24"/>
          <w:szCs w:val="24"/>
          <w:lang w:val="en-GB"/>
        </w:rPr>
      </w:pPr>
      <w:r w:rsidRPr="3871C696" w:rsidR="753C984D">
        <w:rPr>
          <w:rFonts w:ascii="Calibri" w:hAnsi="Calibri" w:eastAsia="Calibri" w:cs="Calibri"/>
          <w:noProof w:val="0"/>
          <w:sz w:val="24"/>
          <w:szCs w:val="24"/>
          <w:lang w:val="en-GB"/>
        </w:rPr>
        <w:t>This report explores how effective stakeholder engagement can contribute to the successful introduction of ConnectPlus, a new customer loyalty and engagement platform developed for Tesco. The platform is designed to combine artificial intelligence, personalised customer recommendations, mobile rewards, and data analytics to strengthen customer relationships and support business growth across both UK and international markets.</w:t>
      </w:r>
    </w:p>
    <w:p w:rsidR="753C984D" w:rsidP="3871C696" w:rsidRDefault="753C984D" w14:paraId="23AA822C" w14:textId="2D15B9AE">
      <w:pPr>
        <w:bidi w:val="0"/>
        <w:jc w:val="left"/>
        <w:rPr>
          <w:rFonts w:ascii="Calibri" w:hAnsi="Calibri" w:eastAsia="Calibri" w:cs="Calibri"/>
          <w:noProof w:val="0"/>
          <w:sz w:val="24"/>
          <w:szCs w:val="24"/>
          <w:lang w:val="en-GB"/>
        </w:rPr>
      </w:pPr>
      <w:r w:rsidRPr="3871C696" w:rsidR="753C984D">
        <w:rPr>
          <w:rFonts w:ascii="Calibri" w:hAnsi="Calibri" w:eastAsia="Calibri" w:cs="Calibri"/>
          <w:noProof w:val="0"/>
          <w:sz w:val="24"/>
          <w:szCs w:val="24"/>
          <w:lang w:val="en-GB"/>
        </w:rPr>
        <w:t>The report identifies the main stakeholders who are likely to influence or be affected by the project. These include internal groups such as senior managers, project teams, IT specialists, marketing staff, and employees, alongside external stakeholders including customers, suppliers, technology partners, investors, and regulatory bodies. Stakeholder analysis tools are used to examine the level of influence and interest each group has in the project and to determine appropriate engagement strategies.</w:t>
      </w:r>
    </w:p>
    <w:p w:rsidR="753C984D" w:rsidP="3871C696" w:rsidRDefault="753C984D" w14:paraId="65BE8A09" w14:textId="4053374A">
      <w:pPr>
        <w:bidi w:val="0"/>
        <w:jc w:val="left"/>
        <w:rPr>
          <w:rFonts w:ascii="Calibri" w:hAnsi="Calibri" w:eastAsia="Calibri" w:cs="Calibri"/>
          <w:noProof w:val="0"/>
          <w:sz w:val="24"/>
          <w:szCs w:val="24"/>
          <w:lang w:val="en-GB"/>
        </w:rPr>
      </w:pPr>
      <w:r w:rsidRPr="3871C696" w:rsidR="753C984D">
        <w:rPr>
          <w:rFonts w:ascii="Calibri" w:hAnsi="Calibri" w:eastAsia="Calibri" w:cs="Calibri"/>
          <w:noProof w:val="0"/>
          <w:sz w:val="24"/>
          <w:szCs w:val="24"/>
          <w:lang w:val="en-GB"/>
        </w:rPr>
        <w:t>In addition, the report discusses the responsibilities, expectations, and potential concerns of different stakeholder groups. Several stakeholder management frameworks are applied to assess how communication, collaboration, and participation can be improved throughout the project lifecycle. Attention is also given to conflict management and the challenges that may arise when implementing a digital platform across multiple countries and cultures.</w:t>
      </w:r>
    </w:p>
    <w:p w:rsidR="753C984D" w:rsidP="3871C696" w:rsidRDefault="753C984D" w14:paraId="48A4137D" w14:textId="39031A0B">
      <w:pPr>
        <w:bidi w:val="0"/>
        <w:jc w:val="left"/>
        <w:rPr>
          <w:rFonts w:ascii="Calibri" w:hAnsi="Calibri" w:eastAsia="Calibri" w:cs="Calibri"/>
          <w:noProof w:val="0"/>
          <w:sz w:val="24"/>
          <w:szCs w:val="24"/>
          <w:lang w:val="en-GB"/>
        </w:rPr>
      </w:pPr>
      <w:r w:rsidRPr="3871C696" w:rsidR="753C984D">
        <w:rPr>
          <w:rFonts w:ascii="Calibri" w:hAnsi="Calibri" w:eastAsia="Calibri" w:cs="Calibri"/>
          <w:noProof w:val="0"/>
          <w:sz w:val="24"/>
          <w:szCs w:val="24"/>
          <w:lang w:val="en-GB"/>
        </w:rPr>
        <w:t>The report further evaluates ethical issues linked to the use of artificial intelligence and customer data, particularly in relation to privacy, transparency, and trust. Finally, it examines how long-term stakeholder engagement can enhance organisational performance through stronger customer loyalty, improved decision-making, and a more sustainable competitive position.</w:t>
      </w:r>
    </w:p>
    <w:p w:rsidR="753C984D" w:rsidP="3871C696" w:rsidRDefault="753C984D" w14:paraId="358E6639" w14:textId="4CF02A12">
      <w:pPr>
        <w:bidi w:val="0"/>
        <w:jc w:val="left"/>
        <w:rPr>
          <w:rFonts w:ascii="Calibri" w:hAnsi="Calibri" w:eastAsia="Calibri" w:cs="Calibri"/>
          <w:noProof w:val="0"/>
          <w:sz w:val="24"/>
          <w:szCs w:val="24"/>
          <w:lang w:val="en-GB"/>
        </w:rPr>
      </w:pPr>
      <w:r w:rsidRPr="3871C696" w:rsidR="753C984D">
        <w:rPr>
          <w:rFonts w:ascii="Calibri" w:hAnsi="Calibri" w:eastAsia="Calibri" w:cs="Calibri"/>
          <w:noProof w:val="0"/>
          <w:sz w:val="24"/>
          <w:szCs w:val="24"/>
          <w:lang w:val="en-GB"/>
        </w:rPr>
        <w:t xml:space="preserve">Overall, the report argues that a structured and inclusive approach to stakeholder engagement is essential for ensuring the successful implementation and long-term adoption of </w:t>
      </w:r>
      <w:r w:rsidRPr="3871C696" w:rsidR="753C984D">
        <w:rPr>
          <w:rFonts w:ascii="Calibri" w:hAnsi="Calibri" w:eastAsia="Calibri" w:cs="Calibri"/>
          <w:noProof w:val="0"/>
          <w:sz w:val="24"/>
          <w:szCs w:val="24"/>
          <w:lang w:val="en-GB"/>
        </w:rPr>
        <w:t>ConnectPlus</w:t>
      </w:r>
      <w:r w:rsidRPr="3871C696" w:rsidR="753C984D">
        <w:rPr>
          <w:rFonts w:ascii="Calibri" w:hAnsi="Calibri" w:eastAsia="Calibri" w:cs="Calibri"/>
          <w:noProof w:val="0"/>
          <w:sz w:val="24"/>
          <w:szCs w:val="24"/>
          <w:lang w:val="en-GB"/>
        </w:rPr>
        <w:t xml:space="preserve"> in global markets.</w:t>
      </w:r>
    </w:p>
    <w:p w:rsidR="3871C696" w:rsidP="3871C696" w:rsidRDefault="3871C696" w14:paraId="17CB4B72" w14:textId="0135E86B">
      <w:pPr>
        <w:bidi w:val="0"/>
        <w:jc w:val="left"/>
        <w:rPr>
          <w:rFonts w:ascii="Calibri" w:hAnsi="Calibri" w:eastAsia="Calibri" w:cs="Calibri"/>
          <w:noProof w:val="0"/>
          <w:sz w:val="24"/>
          <w:szCs w:val="24"/>
          <w:lang w:val="en-GB"/>
        </w:rPr>
      </w:pPr>
    </w:p>
    <w:p w:rsidR="4519631D" w:rsidP="3871C696" w:rsidRDefault="4519631D" w14:paraId="5795F083" w14:textId="4B054F8A">
      <w:pPr>
        <w:pStyle w:val="Normal"/>
        <w:bidi w:val="0"/>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Table of Contents</w:t>
      </w:r>
    </w:p>
    <w:p w:rsidR="4519631D" w:rsidP="3871C696" w:rsidRDefault="4519631D" w14:paraId="08D42CC8" w14:textId="0C9F40C4">
      <w:pPr>
        <w:bidi w:val="0"/>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Executive Summary</w:t>
      </w:r>
    </w:p>
    <w:p w:rsidR="4519631D" w:rsidP="3871C696" w:rsidRDefault="4519631D" w14:paraId="7382BF11" w14:textId="52679E69">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Introduction</w:t>
      </w:r>
    </w:p>
    <w:p w:rsidR="4519631D" w:rsidP="3871C696" w:rsidRDefault="4519631D" w14:paraId="1B859FB6" w14:textId="0CE0D9B7">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SMART Objectives</w:t>
      </w:r>
    </w:p>
    <w:p w:rsidR="4519631D" w:rsidP="3871C696" w:rsidRDefault="4519631D" w14:paraId="4693CCD1" w14:textId="5139AE8D">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Identification and Categorisation of Stakeholders</w:t>
      </w:r>
    </w:p>
    <w:p w:rsidR="4519631D" w:rsidP="3871C696" w:rsidRDefault="4519631D" w14:paraId="3940BE19" w14:textId="5C6DCB6E">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Roles, Responsibilities, Benefits and Challenges of Key Stakeholders</w:t>
      </w:r>
    </w:p>
    <w:p w:rsidR="4519631D" w:rsidP="3871C696" w:rsidRDefault="4519631D" w14:paraId="44390026" w14:textId="4BA2FBB7">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Stakeholder Engagement Process and Conflict Management</w:t>
      </w:r>
    </w:p>
    <w:p w:rsidR="4519631D" w:rsidP="3871C696" w:rsidRDefault="4519631D" w14:paraId="263023DD" w14:textId="479B1AB1">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Impact of Sustainable Stakeholder Engagement on Business Performance</w:t>
      </w:r>
    </w:p>
    <w:p w:rsidR="4519631D" w:rsidP="3871C696" w:rsidRDefault="4519631D" w14:paraId="67B80318" w14:textId="470DF990">
      <w:pPr>
        <w:pStyle w:val="ListParagraph"/>
        <w:numPr>
          <w:ilvl w:val="0"/>
          <w:numId w:val="1"/>
        </w:numPr>
        <w:bidi w:val="0"/>
        <w:spacing w:before="0" w:beforeAutospacing="off" w:after="0" w:afterAutospacing="off"/>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Recommendations and Conclusion</w:t>
      </w:r>
    </w:p>
    <w:p w:rsidR="4519631D" w:rsidP="3871C696" w:rsidRDefault="4519631D" w14:paraId="24565B27" w14:textId="1533AF16">
      <w:pPr>
        <w:bidi w:val="0"/>
        <w:jc w:val="left"/>
        <w:rPr>
          <w:rFonts w:ascii="Calibri" w:hAnsi="Calibri" w:eastAsia="Calibri" w:cs="Calibri"/>
          <w:noProof w:val="0"/>
          <w:sz w:val="24"/>
          <w:szCs w:val="24"/>
          <w:lang w:val="en-GB"/>
        </w:rPr>
      </w:pPr>
      <w:r w:rsidRPr="3871C696" w:rsidR="4519631D">
        <w:rPr>
          <w:rFonts w:ascii="Calibri" w:hAnsi="Calibri" w:eastAsia="Calibri" w:cs="Calibri"/>
          <w:noProof w:val="0"/>
          <w:sz w:val="24"/>
          <w:szCs w:val="24"/>
          <w:lang w:val="en-GB"/>
        </w:rPr>
        <w:t>References</w:t>
      </w:r>
    </w:p>
    <w:p w:rsidR="3871C696" w:rsidP="3871C696" w:rsidRDefault="3871C696" w14:paraId="1CA2028E" w14:textId="2DE86C2B">
      <w:pPr>
        <w:bidi w:val="0"/>
        <w:jc w:val="left"/>
        <w:rPr>
          <w:rFonts w:ascii="Calibri" w:hAnsi="Calibri" w:eastAsia="Calibri" w:cs="Calibri"/>
          <w:noProof w:val="0"/>
          <w:sz w:val="24"/>
          <w:szCs w:val="24"/>
          <w:lang w:val="en-GB"/>
        </w:rPr>
      </w:pPr>
    </w:p>
    <w:p w:rsidR="3871C696" w:rsidP="3871C696" w:rsidRDefault="3871C696" w14:paraId="422EC4AE" w14:textId="3D2F1211">
      <w:pPr>
        <w:bidi w:val="0"/>
        <w:rPr>
          <w:rFonts w:ascii="Calibri" w:hAnsi="Calibri" w:eastAsia="Calibri" w:cs="Calibri"/>
        </w:rPr>
      </w:pPr>
      <w:r w:rsidRPr="3871C696">
        <w:rPr>
          <w:rFonts w:ascii="Calibri" w:hAnsi="Calibri" w:eastAsia="Calibri" w:cs="Calibri"/>
        </w:rPr>
        <w:br w:type="page"/>
      </w:r>
    </w:p>
    <w:p w:rsidR="166CC506" w:rsidP="3871C696" w:rsidRDefault="166CC506" w14:paraId="2DCB99C6" w14:textId="6517A917">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166CC506">
        <w:rPr>
          <w:rFonts w:ascii="Calibri" w:hAnsi="Calibri" w:eastAsia="Calibri" w:cs="Calibri"/>
          <w:b w:val="1"/>
          <w:bCs w:val="1"/>
          <w:noProof w:val="0"/>
          <w:sz w:val="24"/>
          <w:szCs w:val="24"/>
          <w:u w:val="single"/>
          <w:lang w:val="en-GB"/>
        </w:rPr>
        <w:t>Introduction</w:t>
      </w:r>
    </w:p>
    <w:p w:rsidR="166CC506" w:rsidP="3871C696" w:rsidRDefault="166CC506" w14:paraId="498C3CF4" w14:textId="298FA252">
      <w:pPr>
        <w:bidi w:val="0"/>
        <w:jc w:val="left"/>
        <w:rPr>
          <w:rFonts w:ascii="Calibri" w:hAnsi="Calibri" w:eastAsia="Calibri" w:cs="Calibri"/>
          <w:noProof w:val="0"/>
          <w:sz w:val="24"/>
          <w:szCs w:val="24"/>
          <w:lang w:val="en-GB"/>
        </w:rPr>
      </w:pPr>
      <w:r w:rsidRPr="3871C696" w:rsidR="166CC506">
        <w:rPr>
          <w:rFonts w:ascii="Calibri" w:hAnsi="Calibri" w:eastAsia="Calibri" w:cs="Calibri"/>
          <w:noProof w:val="0"/>
          <w:sz w:val="24"/>
          <w:szCs w:val="24"/>
          <w:lang w:val="en-GB"/>
        </w:rPr>
        <w:t>The retail and e-commerce industry has experienced significant change in recent years as businesses increasingly adopt digital technologies to meet evolving customer expectations. Consumers now expect personalised experiences, convenient digital services, and seamless interactions across multiple channels. As a result, organisations are investing heavily in technological innovation to improve customer satisfaction and maintain a competitive advantage within both domestic and international markets.</w:t>
      </w:r>
    </w:p>
    <w:p w:rsidR="166CC506" w:rsidP="3871C696" w:rsidRDefault="166CC506" w14:paraId="742BC643" w14:textId="1F7BF2E7">
      <w:pPr>
        <w:bidi w:val="0"/>
        <w:jc w:val="left"/>
        <w:rPr>
          <w:rFonts w:ascii="Calibri" w:hAnsi="Calibri" w:eastAsia="Calibri" w:cs="Calibri"/>
          <w:noProof w:val="0"/>
          <w:sz w:val="24"/>
          <w:szCs w:val="24"/>
          <w:lang w:val="en-GB"/>
        </w:rPr>
      </w:pPr>
      <w:r w:rsidRPr="3871C696" w:rsidR="166CC506">
        <w:rPr>
          <w:rFonts w:ascii="Calibri" w:hAnsi="Calibri" w:eastAsia="Calibri" w:cs="Calibri"/>
          <w:noProof w:val="0"/>
          <w:sz w:val="24"/>
          <w:szCs w:val="24"/>
          <w:lang w:val="en-GB"/>
        </w:rPr>
        <w:t>Tesco, one of the largest retailers in the United Kingdom, has continued to embrace digital transformation as part of its long-term business strategy. To strengthen customer relationships and enhance engagement, the company plans to introduce ConnectPlus, a new digital loyalty and engagement platform. The platform will utilise artificial intelligence (AI), mobile reward features, personalised recommendations, and customer analytics to create a more tailored shopping experience. Through the use of customer data and digital technology, ConnectPlus aims to increase customer retention, support informed business decisions, and differentiate Tesco from its competitors.</w:t>
      </w:r>
    </w:p>
    <w:p w:rsidR="166CC506" w:rsidP="3871C696" w:rsidRDefault="166CC506" w14:paraId="09BFC549" w14:textId="2911F319">
      <w:pPr>
        <w:bidi w:val="0"/>
        <w:jc w:val="left"/>
        <w:rPr>
          <w:rFonts w:ascii="Calibri" w:hAnsi="Calibri" w:eastAsia="Calibri" w:cs="Calibri"/>
          <w:noProof w:val="0"/>
          <w:sz w:val="24"/>
          <w:szCs w:val="24"/>
          <w:lang w:val="en-GB"/>
        </w:rPr>
      </w:pPr>
      <w:r w:rsidRPr="3871C696" w:rsidR="166CC506">
        <w:rPr>
          <w:rFonts w:ascii="Calibri" w:hAnsi="Calibri" w:eastAsia="Calibri" w:cs="Calibri"/>
          <w:noProof w:val="0"/>
          <w:sz w:val="24"/>
          <w:szCs w:val="24"/>
          <w:lang w:val="en-GB"/>
        </w:rPr>
        <w:t>The success of a project of this scale depends on the effective management of stakeholders. Stakeholders include individuals and groups who can influence the project or are affected by its outcomes. Their support, cooperation, and involvement are essential throughout the planning, development, and implementation stages. Stakeholder theory suggests that organisations achieve stronger outcomes when they recognise and respond to the needs and expectations of relevant stakeholder groups (Freeman, 1984).</w:t>
      </w:r>
    </w:p>
    <w:p w:rsidR="166CC506" w:rsidP="3871C696" w:rsidRDefault="166CC506" w14:paraId="3C24134F" w14:textId="6CF0D47C">
      <w:pPr>
        <w:bidi w:val="0"/>
        <w:jc w:val="left"/>
        <w:rPr>
          <w:rFonts w:ascii="Calibri" w:hAnsi="Calibri" w:eastAsia="Calibri" w:cs="Calibri"/>
          <w:noProof w:val="0"/>
          <w:sz w:val="24"/>
          <w:szCs w:val="24"/>
          <w:lang w:val="en-GB"/>
        </w:rPr>
      </w:pPr>
      <w:r w:rsidRPr="3871C696" w:rsidR="166CC506">
        <w:rPr>
          <w:rFonts w:ascii="Calibri" w:hAnsi="Calibri" w:eastAsia="Calibri" w:cs="Calibri"/>
          <w:noProof w:val="0"/>
          <w:sz w:val="24"/>
          <w:szCs w:val="24"/>
          <w:lang w:val="en-GB"/>
        </w:rPr>
        <w:t>This report examines the key stakeholders involved in the launch of ConnectPlus and evaluates their importance to the project. It applies stakeholder management theories and engagement frameworks to analyse how relationships can be developed and maintained. The report also considers potential challenges, ethical issues, and the contribution of sustainable stakeholder engagement to long-term organisational success.</w:t>
      </w:r>
    </w:p>
    <w:p w:rsidR="3871C696" w:rsidP="3871C696" w:rsidRDefault="3871C696" w14:paraId="23294380" w14:textId="2AAB5992">
      <w:pPr>
        <w:pStyle w:val="Normal"/>
        <w:bidi w:val="0"/>
        <w:jc w:val="left"/>
        <w:rPr>
          <w:rFonts w:ascii="Calibri" w:hAnsi="Calibri" w:eastAsia="Calibri" w:cs="Calibri"/>
          <w:noProof w:val="0"/>
          <w:sz w:val="24"/>
          <w:szCs w:val="24"/>
          <w:lang w:val="en-GB"/>
        </w:rPr>
      </w:pPr>
    </w:p>
    <w:p w:rsidR="3871C696" w:rsidP="3871C696" w:rsidRDefault="3871C696" w14:paraId="641DF6CE" w14:textId="0B21C3CA">
      <w:pPr>
        <w:bidi w:val="0"/>
        <w:rPr>
          <w:rFonts w:ascii="Calibri" w:hAnsi="Calibri" w:eastAsia="Calibri" w:cs="Calibri"/>
        </w:rPr>
      </w:pPr>
      <w:r w:rsidRPr="3871C696">
        <w:rPr>
          <w:rFonts w:ascii="Calibri" w:hAnsi="Calibri" w:eastAsia="Calibri" w:cs="Calibri"/>
        </w:rPr>
        <w:br w:type="page"/>
      </w:r>
    </w:p>
    <w:p w:rsidR="09507227" w:rsidP="3871C696" w:rsidRDefault="09507227" w14:paraId="33992777" w14:textId="6ADD5D83">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09507227">
        <w:rPr>
          <w:rFonts w:ascii="Calibri" w:hAnsi="Calibri" w:eastAsia="Calibri" w:cs="Calibri"/>
          <w:b w:val="1"/>
          <w:bCs w:val="1"/>
          <w:noProof w:val="0"/>
          <w:sz w:val="24"/>
          <w:szCs w:val="24"/>
          <w:u w:val="single"/>
          <w:lang w:val="en-GB"/>
        </w:rPr>
        <w:t>SMART Objectives</w:t>
      </w:r>
    </w:p>
    <w:p w:rsidR="09507227" w:rsidP="3871C696" w:rsidRDefault="09507227" w14:paraId="51A1829D" w14:textId="6942E48F">
      <w:pPr>
        <w:bidi w:val="0"/>
        <w:jc w:val="left"/>
        <w:rPr>
          <w:rFonts w:ascii="Calibri" w:hAnsi="Calibri" w:eastAsia="Calibri" w:cs="Calibri"/>
          <w:noProof w:val="0"/>
          <w:sz w:val="24"/>
          <w:szCs w:val="24"/>
          <w:lang w:val="en-GB"/>
        </w:rPr>
      </w:pPr>
      <w:r w:rsidRPr="3871C696" w:rsidR="09507227">
        <w:rPr>
          <w:rFonts w:ascii="Calibri" w:hAnsi="Calibri" w:eastAsia="Calibri" w:cs="Calibri"/>
          <w:noProof w:val="0"/>
          <w:sz w:val="24"/>
          <w:szCs w:val="24"/>
          <w:lang w:val="en-GB"/>
        </w:rPr>
        <w:t xml:space="preserve">• </w:t>
      </w:r>
      <w:r w:rsidRPr="3871C696" w:rsidR="09507227">
        <w:rPr>
          <w:rFonts w:ascii="Calibri" w:hAnsi="Calibri" w:eastAsia="Calibri" w:cs="Calibri"/>
          <w:b w:val="1"/>
          <w:bCs w:val="1"/>
          <w:noProof w:val="0"/>
          <w:sz w:val="24"/>
          <w:szCs w:val="24"/>
          <w:lang w:val="en-GB"/>
        </w:rPr>
        <w:t>Specific:</w:t>
      </w:r>
      <w:r w:rsidRPr="3871C696" w:rsidR="09507227">
        <w:rPr>
          <w:rFonts w:ascii="Calibri" w:hAnsi="Calibri" w:eastAsia="Calibri" w:cs="Calibri"/>
          <w:noProof w:val="0"/>
          <w:sz w:val="24"/>
          <w:szCs w:val="24"/>
          <w:lang w:val="en-GB"/>
        </w:rPr>
        <w:t xml:space="preserve"> To successfully implement the ConnectPlus platform across selected UK and international markets, offering customers personalised recommendations, mobile rewards, and enhanced digital engagement features.</w:t>
      </w:r>
    </w:p>
    <w:p w:rsidR="09507227" w:rsidP="3871C696" w:rsidRDefault="09507227" w14:paraId="3DB67F4C" w14:textId="532DEB80">
      <w:pPr>
        <w:bidi w:val="0"/>
        <w:jc w:val="left"/>
        <w:rPr>
          <w:rFonts w:ascii="Calibri" w:hAnsi="Calibri" w:eastAsia="Calibri" w:cs="Calibri"/>
          <w:noProof w:val="0"/>
          <w:sz w:val="24"/>
          <w:szCs w:val="24"/>
          <w:lang w:val="en-GB"/>
        </w:rPr>
      </w:pPr>
      <w:r w:rsidRPr="3871C696" w:rsidR="09507227">
        <w:rPr>
          <w:rFonts w:ascii="Calibri" w:hAnsi="Calibri" w:eastAsia="Calibri" w:cs="Calibri"/>
          <w:noProof w:val="0"/>
          <w:sz w:val="24"/>
          <w:szCs w:val="24"/>
          <w:lang w:val="en-GB"/>
        </w:rPr>
        <w:t xml:space="preserve">• </w:t>
      </w:r>
      <w:r w:rsidRPr="3871C696" w:rsidR="09507227">
        <w:rPr>
          <w:rFonts w:ascii="Calibri" w:hAnsi="Calibri" w:eastAsia="Calibri" w:cs="Calibri"/>
          <w:b w:val="1"/>
          <w:bCs w:val="1"/>
          <w:noProof w:val="0"/>
          <w:sz w:val="24"/>
          <w:szCs w:val="24"/>
          <w:lang w:val="en-GB"/>
        </w:rPr>
        <w:t>Measurable:</w:t>
      </w:r>
      <w:r w:rsidRPr="3871C696" w:rsidR="09507227">
        <w:rPr>
          <w:rFonts w:ascii="Calibri" w:hAnsi="Calibri" w:eastAsia="Calibri" w:cs="Calibri"/>
          <w:noProof w:val="0"/>
          <w:sz w:val="24"/>
          <w:szCs w:val="24"/>
          <w:lang w:val="en-GB"/>
        </w:rPr>
        <w:t xml:space="preserve"> To achieve a 15% increase in customer retention, a 20% increase in loyalty programme participation, and a 10% improvement in customer satisfaction within the first year of launch.</w:t>
      </w:r>
    </w:p>
    <w:p w:rsidR="09507227" w:rsidP="3871C696" w:rsidRDefault="09507227" w14:paraId="1D051E57" w14:textId="7EAE036E">
      <w:pPr>
        <w:bidi w:val="0"/>
        <w:jc w:val="left"/>
        <w:rPr>
          <w:rFonts w:ascii="Calibri" w:hAnsi="Calibri" w:eastAsia="Calibri" w:cs="Calibri"/>
          <w:noProof w:val="0"/>
          <w:sz w:val="24"/>
          <w:szCs w:val="24"/>
          <w:lang w:val="en-GB"/>
        </w:rPr>
      </w:pPr>
      <w:r w:rsidRPr="3871C696" w:rsidR="09507227">
        <w:rPr>
          <w:rFonts w:ascii="Calibri" w:hAnsi="Calibri" w:eastAsia="Calibri" w:cs="Calibri"/>
          <w:noProof w:val="0"/>
          <w:sz w:val="24"/>
          <w:szCs w:val="24"/>
          <w:lang w:val="en-GB"/>
        </w:rPr>
        <w:t xml:space="preserve">• </w:t>
      </w:r>
      <w:r w:rsidRPr="3871C696" w:rsidR="09507227">
        <w:rPr>
          <w:rFonts w:ascii="Calibri" w:hAnsi="Calibri" w:eastAsia="Calibri" w:cs="Calibri"/>
          <w:b w:val="1"/>
          <w:bCs w:val="1"/>
          <w:noProof w:val="0"/>
          <w:sz w:val="24"/>
          <w:szCs w:val="24"/>
          <w:lang w:val="en-GB"/>
        </w:rPr>
        <w:t>Achievable:</w:t>
      </w:r>
      <w:r w:rsidRPr="3871C696" w:rsidR="09507227">
        <w:rPr>
          <w:rFonts w:ascii="Calibri" w:hAnsi="Calibri" w:eastAsia="Calibri" w:cs="Calibri"/>
          <w:noProof w:val="0"/>
          <w:sz w:val="24"/>
          <w:szCs w:val="24"/>
          <w:lang w:val="en-GB"/>
        </w:rPr>
        <w:t xml:space="preserve"> To utilise Tesco's existing technological infrastructure, experienced workforce, and strategic partnerships to support the successful implementation of the platform.</w:t>
      </w:r>
    </w:p>
    <w:p w:rsidR="09507227" w:rsidP="3871C696" w:rsidRDefault="09507227" w14:paraId="63AFB773" w14:textId="0CFAFA4C">
      <w:pPr>
        <w:bidi w:val="0"/>
        <w:jc w:val="left"/>
        <w:rPr>
          <w:rFonts w:ascii="Calibri" w:hAnsi="Calibri" w:eastAsia="Calibri" w:cs="Calibri"/>
          <w:noProof w:val="0"/>
          <w:sz w:val="24"/>
          <w:szCs w:val="24"/>
          <w:lang w:val="en-GB"/>
        </w:rPr>
      </w:pPr>
      <w:r w:rsidRPr="3871C696" w:rsidR="09507227">
        <w:rPr>
          <w:rFonts w:ascii="Calibri" w:hAnsi="Calibri" w:eastAsia="Calibri" w:cs="Calibri"/>
          <w:noProof w:val="0"/>
          <w:sz w:val="24"/>
          <w:szCs w:val="24"/>
          <w:lang w:val="en-GB"/>
        </w:rPr>
        <w:t xml:space="preserve">• </w:t>
      </w:r>
      <w:r w:rsidRPr="3871C696" w:rsidR="09507227">
        <w:rPr>
          <w:rFonts w:ascii="Calibri" w:hAnsi="Calibri" w:eastAsia="Calibri" w:cs="Calibri"/>
          <w:b w:val="1"/>
          <w:bCs w:val="1"/>
          <w:noProof w:val="0"/>
          <w:sz w:val="24"/>
          <w:szCs w:val="24"/>
          <w:lang w:val="en-GB"/>
        </w:rPr>
        <w:t>Relevant:</w:t>
      </w:r>
      <w:r w:rsidRPr="3871C696" w:rsidR="09507227">
        <w:rPr>
          <w:rFonts w:ascii="Calibri" w:hAnsi="Calibri" w:eastAsia="Calibri" w:cs="Calibri"/>
          <w:noProof w:val="0"/>
          <w:sz w:val="24"/>
          <w:szCs w:val="24"/>
          <w:lang w:val="en-GB"/>
        </w:rPr>
        <w:t xml:space="preserve"> To support Tesco's strategic objective of strengthening customer loyalty, improving customer engagement, and enhancing data-driven decision-making.</w:t>
      </w:r>
    </w:p>
    <w:p w:rsidR="09507227" w:rsidP="3871C696" w:rsidRDefault="09507227" w14:paraId="10091A35" w14:textId="7B02CCCB">
      <w:pPr>
        <w:bidi w:val="0"/>
        <w:jc w:val="left"/>
        <w:rPr>
          <w:rFonts w:ascii="Calibri" w:hAnsi="Calibri" w:eastAsia="Calibri" w:cs="Calibri"/>
          <w:noProof w:val="0"/>
          <w:sz w:val="24"/>
          <w:szCs w:val="24"/>
          <w:lang w:val="en-GB"/>
        </w:rPr>
      </w:pPr>
      <w:r w:rsidRPr="3871C696" w:rsidR="09507227">
        <w:rPr>
          <w:rFonts w:ascii="Calibri" w:hAnsi="Calibri" w:eastAsia="Calibri" w:cs="Calibri"/>
          <w:noProof w:val="0"/>
          <w:sz w:val="24"/>
          <w:szCs w:val="24"/>
          <w:lang w:val="en-GB"/>
        </w:rPr>
        <w:t xml:space="preserve">• </w:t>
      </w:r>
      <w:r w:rsidRPr="3871C696" w:rsidR="09507227">
        <w:rPr>
          <w:rFonts w:ascii="Calibri" w:hAnsi="Calibri" w:eastAsia="Calibri" w:cs="Calibri"/>
          <w:b w:val="1"/>
          <w:bCs w:val="1"/>
          <w:noProof w:val="0"/>
          <w:sz w:val="24"/>
          <w:szCs w:val="24"/>
          <w:lang w:val="en-GB"/>
        </w:rPr>
        <w:t>Time-Bound:</w:t>
      </w:r>
      <w:r w:rsidRPr="3871C696" w:rsidR="09507227">
        <w:rPr>
          <w:rFonts w:ascii="Calibri" w:hAnsi="Calibri" w:eastAsia="Calibri" w:cs="Calibri"/>
          <w:noProof w:val="0"/>
          <w:sz w:val="24"/>
          <w:szCs w:val="24"/>
          <w:lang w:val="en-GB"/>
        </w:rPr>
        <w:t xml:space="preserve"> To complete the rollout of ConnectPlus within six months and evaluate its performance during the first twelve months following implementation.</w:t>
      </w:r>
    </w:p>
    <w:p w:rsidR="3871C696" w:rsidP="3871C696" w:rsidRDefault="3871C696" w14:paraId="60330D73" w14:textId="3B9FAAC8">
      <w:pPr>
        <w:bidi w:val="0"/>
        <w:jc w:val="left"/>
        <w:rPr>
          <w:rFonts w:ascii="Calibri" w:hAnsi="Calibri" w:eastAsia="Calibri" w:cs="Calibri"/>
          <w:noProof w:val="0"/>
          <w:sz w:val="24"/>
          <w:szCs w:val="24"/>
          <w:lang w:val="en-GB"/>
        </w:rPr>
      </w:pPr>
    </w:p>
    <w:p w:rsidR="3871C696" w:rsidP="3871C696" w:rsidRDefault="3871C696" w14:paraId="00E50D5C" w14:textId="0AF33787">
      <w:pPr>
        <w:bidi w:val="0"/>
        <w:rPr>
          <w:rFonts w:ascii="Calibri" w:hAnsi="Calibri" w:eastAsia="Calibri" w:cs="Calibri"/>
        </w:rPr>
      </w:pPr>
      <w:r w:rsidRPr="3871C696">
        <w:rPr>
          <w:rFonts w:ascii="Calibri" w:hAnsi="Calibri" w:eastAsia="Calibri" w:cs="Calibri"/>
        </w:rPr>
        <w:br w:type="page"/>
      </w:r>
    </w:p>
    <w:p w:rsidR="31DEDF11" w:rsidP="3871C696" w:rsidRDefault="31DEDF11" w14:paraId="5BEF6E36" w14:textId="7F11C12D">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31DEDF11">
        <w:rPr>
          <w:rFonts w:ascii="Calibri" w:hAnsi="Calibri" w:eastAsia="Calibri" w:cs="Calibri"/>
          <w:b w:val="1"/>
          <w:bCs w:val="1"/>
          <w:noProof w:val="0"/>
          <w:sz w:val="24"/>
          <w:szCs w:val="24"/>
          <w:u w:val="single"/>
          <w:lang w:val="en-GB"/>
        </w:rPr>
        <w:t>Identification and Categorisation of Stakeholders</w:t>
      </w:r>
    </w:p>
    <w:p w:rsidR="31DEDF11" w:rsidP="3871C696" w:rsidRDefault="31DEDF11" w14:paraId="67FCBF4A" w14:textId="1C6327F5">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Stakeholders play a significant role in determining the success or failure of organisational projects. Freeman (1984) defines stakeholders as individuals or groups who can affect or are affected by the achievement of an organisation's objectives. For a large-scale digital transformation project such as the launch of ConnectPlus, identifying and understanding stakeholder interests is essential to ensure effective planning, implementation, and long-term adoption across different markets.</w:t>
      </w:r>
    </w:p>
    <w:p w:rsidR="31DEDF11" w:rsidP="3871C696" w:rsidRDefault="31DEDF11" w14:paraId="508ACFC6" w14:textId="1CD1E5C6">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Stakeholders can be broadly categorised into internal and external groups. Internal stakeholders are directly involved in the organisation and contribute to the development and delivery of the project. External stakeholders are outside the organisation but have an interest in, or influence over, the project's outcomes.</w:t>
      </w:r>
    </w:p>
    <w:p w:rsidR="31DEDF11" w:rsidP="3871C696" w:rsidRDefault="31DEDF11" w14:paraId="4C5536C0" w14:textId="4F71DF66">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Internal stakeholders involved in the ConnectPlus project include senior management, the project management team, IT specialists, software developers, marketing departments, sales teams, customer service representatives, and employees working across Tesco's stores and online operations. Senior management provides strategic direction, allocates resources, and approves key project decisions. The project management team is responsible for coordinating activities, monitoring progress, and ensuring project objectives are achieved within the agreed timeframe. IT specialists and software developers are responsible for designing, testing, and maintaining the digital platform, while marketing and sales teams promote customer adoption and engagement. Customer service employees play an important role in supporting customers and addressing issues that may arise following implementation.</w:t>
      </w:r>
    </w:p>
    <w:p w:rsidR="31DEDF11" w:rsidP="3871C696" w:rsidRDefault="31DEDF11" w14:paraId="1AFCF278" w14:textId="722B16F4">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External stakeholders include customers, suppliers, technology partners, investors, regulatory bodies, and local communities. Customers are among the most important stakeholders because the success of ConnectPlus depends on user adoption and satisfaction. Suppliers and technology partners provide the systems, infrastructure, and specialist expertise required to support the platform. Investors are interested in the project's ability to generate value and improve organisational performance. Regulatory bodies oversee compliance with data protection regulations and consumer protection requirements, particularly when artificial intelligence and customer data are involved. Local communities may also be affected through employment opportunities and the broader economic impact of Tesco's operations.</w:t>
      </w:r>
    </w:p>
    <w:p w:rsidR="31DEDF11" w:rsidP="3871C696" w:rsidRDefault="31DEDF11" w14:paraId="6BD40FCD" w14:textId="24D1FB9D">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To better understand stakeholder influence and importance, the Power-Interest Matrix developed by Mendelow (1991) can be applied. This framework categorises stakeholders according to their level of power and interest in a project. Stakeholders with high power and high interest, such as senior management and key investors, should be managed closely because they can significantly influence project outcomes. Stakeholders with high power but lower interest, including some regulatory authorities, should be kept satisfied to ensure compliance and minimise risks. Stakeholders with lower power but high interest, such as employees and customers, should be kept informed and actively engaged throughout the project. Stakeholders with low power and low interest require monitoring but generally require less intensive engagement.</w:t>
      </w:r>
    </w:p>
    <w:p w:rsidR="31DEDF11" w:rsidP="3871C696" w:rsidRDefault="31DEDF11" w14:paraId="72806A34" w14:textId="7CD9636D">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The Stakeholder Salience Model developed by Mitchell, Agle and Wood (1997) provides an additional perspective by assessing stakeholders according to power, legitimacy, and urgency. Customers, senior management, and regulators can be considered highly salient stakeholders because they possess a combination of these attributes and therefore require significant management attention. Applying this model enables project managers to prioritise engagement efforts and allocate resources more effectively.</w:t>
      </w:r>
    </w:p>
    <w:p w:rsidR="31DEDF11" w:rsidP="3871C696" w:rsidRDefault="31DEDF11" w14:paraId="79A62FB1" w14:textId="08538909">
      <w:pPr>
        <w:bidi w:val="0"/>
        <w:jc w:val="left"/>
        <w:rPr>
          <w:rFonts w:ascii="Calibri" w:hAnsi="Calibri" w:eastAsia="Calibri" w:cs="Calibri"/>
          <w:noProof w:val="0"/>
          <w:sz w:val="24"/>
          <w:szCs w:val="24"/>
          <w:lang w:val="en-GB"/>
        </w:rPr>
      </w:pPr>
      <w:r w:rsidRPr="3871C696" w:rsidR="31DEDF11">
        <w:rPr>
          <w:rFonts w:ascii="Calibri" w:hAnsi="Calibri" w:eastAsia="Calibri" w:cs="Calibri"/>
          <w:noProof w:val="0"/>
          <w:sz w:val="24"/>
          <w:szCs w:val="24"/>
          <w:lang w:val="en-GB"/>
        </w:rPr>
        <w:t>Overall, the successful launch of ConnectPlus depends on understanding the needs, expectations, and influence of a diverse range of stakeholder groups. By categorising stakeholders and applying recognised stakeholder analysis frameworks, Tesco can develop appropriate engagement strategies that support collaboration, minimise resistance to change, and contribute to the successful implementation of the platform across international markets.</w:t>
      </w:r>
    </w:p>
    <w:p w:rsidR="33461130" w:rsidP="3871C696" w:rsidRDefault="33461130" w14:paraId="0FB8C104" w14:textId="0C1B9541">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To further develop stakeholder understanding, it is important not only to identify stakeholder groups but also to critically assess how their interests and influence may shape project outcomes. In large-scale digital transformation projects such as ConnectPlus, stakeholder expectations are often dynamic and may change throughout the project lifecycle, particularly as new risks, technologies, and market conditions emerge.</w:t>
      </w:r>
    </w:p>
    <w:p w:rsidR="33461130" w:rsidP="3871C696" w:rsidRDefault="33461130" w14:paraId="6E8FA059" w14:textId="58505E62">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One of the key strengths of applying stakeholder classification frameworks is that it allows the organisation to prioritise engagement efforts effectively. However, a limitation is that such models can oversimplify complex relationships. For example, customers may appear as a single external group in a stakeholder map, but in reality they consist of diverse segments with different digital capabilities, expectations, and levels of engagement. Younger customers may be more responsive to AI-driven recommendations and mobile platforms, whereas older customers may require additional support and reassurance when adapting to digital services.</w:t>
      </w:r>
    </w:p>
    <w:p w:rsidR="33461130" w:rsidP="3871C696" w:rsidRDefault="33461130" w14:paraId="3D4880BF" w14:textId="7ADCB47B">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Similarly, internal stakeholders may also have conflicting priorities. While senior management may focus on return on investment, cost efficiency, and competitive advantage, IT teams may prioritise system security, scalability, and technical feasibility. Marketing teams may focus on user adoption and brand perception, while operational staff may be more concerned with workload changes and training requirements. These differing priorities highlight the importance of coordination and communication across departments.</w:t>
      </w:r>
    </w:p>
    <w:p w:rsidR="33461130" w:rsidP="3871C696" w:rsidRDefault="33461130" w14:paraId="586A437B" w14:textId="68EB908E">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Applying stakeholder theory in this context demonstrates that organisational success is not solely dependent on financial performance but also on managing relationships effectively. Freeman’s (1984) stakeholder theory emphasises that value creation occurs when organisations consider the needs of all stakeholder groups rather than prioritising shareholders alone. In the case of ConnectPlus, failure to engage key stakeholders such as customers, employees, or regulators could result in resistance to adoption, reputational damage, or compliance risks.</w:t>
      </w:r>
    </w:p>
    <w:p w:rsidR="33461130" w:rsidP="3871C696" w:rsidRDefault="33461130" w14:paraId="3CA6EBEC" w14:textId="5B91D529">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Furthermore, in international markets, cultural and regulatory differences add another layer of complexity. Data protection regulations such as GDPR in the UK and EU require strict handling of customer information, while other regions may have different legal expectations. This means regulatory stakeholders play a critical role in ensuring that ConnectPlus is compliant across all operating markets.</w:t>
      </w:r>
    </w:p>
    <w:p w:rsidR="33461130" w:rsidP="3871C696" w:rsidRDefault="33461130" w14:paraId="21041F57" w14:textId="1771CD51">
      <w:pPr>
        <w:bidi w:val="0"/>
        <w:jc w:val="left"/>
        <w:rPr>
          <w:rFonts w:ascii="Calibri" w:hAnsi="Calibri" w:eastAsia="Calibri" w:cs="Calibri"/>
          <w:noProof w:val="0"/>
          <w:sz w:val="24"/>
          <w:szCs w:val="24"/>
          <w:lang w:val="en-GB"/>
        </w:rPr>
      </w:pPr>
      <w:r w:rsidRPr="3871C696" w:rsidR="33461130">
        <w:rPr>
          <w:rFonts w:ascii="Calibri" w:hAnsi="Calibri" w:eastAsia="Calibri" w:cs="Calibri"/>
          <w:noProof w:val="0"/>
          <w:sz w:val="24"/>
          <w:szCs w:val="24"/>
          <w:lang w:val="en-GB"/>
        </w:rPr>
        <w:t>In conclusion, stakeholder identification and categorisation is not a one-time activity but an ongoing process. As the ConnectPlus project progresses, stakeholder priorities, influence, and engagement requirements must be continuously reviewed to ensure alignment with organisational goals and successful project delivery.</w:t>
      </w:r>
    </w:p>
    <w:p w:rsidR="3871C696" w:rsidP="3871C696" w:rsidRDefault="3871C696" w14:paraId="6EC60DE0" w14:textId="596537FC">
      <w:pPr>
        <w:bidi w:val="0"/>
        <w:jc w:val="left"/>
        <w:rPr>
          <w:rFonts w:ascii="Calibri" w:hAnsi="Calibri" w:eastAsia="Calibri" w:cs="Calibri"/>
          <w:noProof w:val="0"/>
          <w:sz w:val="24"/>
          <w:szCs w:val="24"/>
          <w:lang w:val="en-GB"/>
        </w:rPr>
      </w:pPr>
    </w:p>
    <w:p w:rsidR="3871C696" w:rsidP="3871C696" w:rsidRDefault="3871C696" w14:paraId="648B5982" w14:textId="0DDEE563">
      <w:pPr>
        <w:bidi w:val="0"/>
        <w:rPr>
          <w:rFonts w:ascii="Calibri" w:hAnsi="Calibri" w:eastAsia="Calibri" w:cs="Calibri"/>
        </w:rPr>
      </w:pPr>
      <w:r w:rsidRPr="3871C696">
        <w:rPr>
          <w:rFonts w:ascii="Calibri" w:hAnsi="Calibri" w:eastAsia="Calibri" w:cs="Calibri"/>
        </w:rPr>
        <w:br w:type="page"/>
      </w:r>
    </w:p>
    <w:p w:rsidR="7050ABF4" w:rsidP="3871C696" w:rsidRDefault="7050ABF4" w14:paraId="4BC67C25" w14:textId="479926BF">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7050ABF4">
        <w:rPr>
          <w:rFonts w:ascii="Calibri" w:hAnsi="Calibri" w:eastAsia="Calibri" w:cs="Calibri"/>
          <w:b w:val="1"/>
          <w:bCs w:val="1"/>
          <w:noProof w:val="0"/>
          <w:sz w:val="24"/>
          <w:szCs w:val="24"/>
          <w:u w:val="single"/>
          <w:lang w:val="en-GB"/>
        </w:rPr>
        <w:t>Roles, Responsibilities, Benefits and Challenges of Key Stakeholders</w:t>
      </w:r>
    </w:p>
    <w:p w:rsidR="7050ABF4" w:rsidP="3871C696" w:rsidRDefault="7050ABF4" w14:paraId="4A310949" w14:textId="19A80CBE">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In the ConnectPlus project, each stakeholder group plays a distinct role in ensuring the successful design, development, and implementation of the platform. Understanding these roles and responsibilities is essential for managing expectations, improving coordination, and reducing potential risks throughout the project lifecycle.</w:t>
      </w:r>
    </w:p>
    <w:p w:rsidR="7050ABF4" w:rsidP="3871C696" w:rsidRDefault="7050ABF4" w14:paraId="18D82B7D" w14:textId="57AE694D">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Senior management hold overall responsibility for strategic direction, funding approval, and ensuring alignment between the ConnectPlus initiative and Tesco’s wider business objectives. Their involvement ensures that the project remains commercially viable and aligned with organisational goals. A key benefit of their engagement is strong leadership support and access to resources. However, a potential challenge is that their focus on return on investment and financial performance may sometimes conflict with operational or technical considerations.</w:t>
      </w:r>
    </w:p>
    <w:p w:rsidR="7050ABF4" w:rsidP="3871C696" w:rsidRDefault="7050ABF4" w14:paraId="70A055F6" w14:textId="1BC68B89">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The project management team is responsible for planning, organising, and controlling project activities. They coordinate between departments, manage timelines, and ensure that deliverables are met within scope and budget. Their contribution is essential for maintaining structure and accountability. However, they may face challenges such as scope creep, resource constraints, and coordination issues across multiple departments and international markets.</w:t>
      </w:r>
    </w:p>
    <w:p w:rsidR="7050ABF4" w:rsidP="3871C696" w:rsidRDefault="7050ABF4" w14:paraId="630D52AD" w14:textId="03055E54">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The IT and software development teams are responsible for building, testing, and maintaining the ConnectPlus platform. They ensure that the system is secure, scalable, and capable of handling large volumes of customer data. A major benefit of their role is the technical expertise they bring to the project. However, challenges may arise due to complex system integration, cybersecurity risks, and the need to continuously update the platform to meet evolving user expectations.</w:t>
      </w:r>
    </w:p>
    <w:p w:rsidR="7050ABF4" w:rsidP="3871C696" w:rsidRDefault="7050ABF4" w14:paraId="43D50B09" w14:textId="46E67590">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Marketing and sales teams are responsible for promoting the platform and encouraging customer adoption. They play a key role in shaping customer perceptions and driving engagement. Their involvement benefits the organisation by increasing awareness and usage of the platform. However, they may face challenges in communicating complex digital features in a simple and engaging way across diverse customer segments.</w:t>
      </w:r>
    </w:p>
    <w:p w:rsidR="7050ABF4" w:rsidP="3871C696" w:rsidRDefault="7050ABF4" w14:paraId="6A23F971" w14:textId="18F6F3D9">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Customer service teams act as a direct point of contact for customers using ConnectPlus. They are responsible for handling queries, resolving issues, and ensuring a positive user experience. Their involvement helps build trust and customer satisfaction. However, they may experience increased workload and require additional training to support new digital systems effectively.</w:t>
      </w:r>
    </w:p>
    <w:p w:rsidR="7050ABF4" w:rsidP="3871C696" w:rsidRDefault="7050ABF4" w14:paraId="7F4E204C" w14:textId="4117D7A0">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External stakeholders such as customers are central to the success of the platform, as their adoption determines its effectiveness. Customers benefit from personalised recommendations, rewards, and improved digital experiences. However, challenges may include concerns about data privacy, digital literacy, and trust in AI-driven systems.</w:t>
      </w:r>
    </w:p>
    <w:p w:rsidR="7050ABF4" w:rsidP="3871C696" w:rsidRDefault="7050ABF4" w14:paraId="1CF9C930" w14:textId="3793A27F">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Regulators ensure that the project complies with relevant legal and ethical standards, particularly in relation to data protection and artificial intelligence usage. Their involvement helps reduce legal and reputational risks for the organisation. However, strict regulatory requirements may slow down implementation or increase compliance costs.</w:t>
      </w:r>
    </w:p>
    <w:p w:rsidR="7050ABF4" w:rsidP="3871C696" w:rsidRDefault="7050ABF4" w14:paraId="3A2A4430" w14:textId="6C833AE7">
      <w:pPr>
        <w:bidi w:val="0"/>
        <w:jc w:val="left"/>
        <w:rPr>
          <w:rFonts w:ascii="Calibri" w:hAnsi="Calibri" w:eastAsia="Calibri" w:cs="Calibri"/>
          <w:noProof w:val="0"/>
          <w:sz w:val="24"/>
          <w:szCs w:val="24"/>
          <w:lang w:val="en-GB"/>
        </w:rPr>
      </w:pPr>
      <w:r w:rsidRPr="3871C696" w:rsidR="7050ABF4">
        <w:rPr>
          <w:rFonts w:ascii="Calibri" w:hAnsi="Calibri" w:eastAsia="Calibri" w:cs="Calibri"/>
          <w:noProof w:val="0"/>
          <w:sz w:val="24"/>
          <w:szCs w:val="24"/>
          <w:lang w:val="en-GB"/>
        </w:rPr>
        <w:t>Overall, while each stakeholder group brings significant value to the ConnectPlus project, they also introduce distinct challenges that must be carefully managed. Effective coordination and communication between stakeholders is therefore essential to ensure successful project delivery and long-term sustainability.</w:t>
      </w:r>
    </w:p>
    <w:p w:rsidR="3871C696" w:rsidP="3871C696" w:rsidRDefault="3871C696" w14:paraId="13E81CA4" w14:textId="4C905C66">
      <w:pPr>
        <w:bidi w:val="0"/>
        <w:jc w:val="left"/>
        <w:rPr>
          <w:rFonts w:ascii="Calibri" w:hAnsi="Calibri" w:eastAsia="Calibri" w:cs="Calibri"/>
          <w:noProof w:val="0"/>
          <w:sz w:val="24"/>
          <w:szCs w:val="24"/>
          <w:lang w:val="en-GB"/>
        </w:rPr>
      </w:pPr>
    </w:p>
    <w:p w:rsidR="3871C696" w:rsidP="3871C696" w:rsidRDefault="3871C696" w14:paraId="3E396787" w14:textId="735E3E2B">
      <w:pPr>
        <w:bidi w:val="0"/>
        <w:rPr>
          <w:rFonts w:ascii="Calibri" w:hAnsi="Calibri" w:eastAsia="Calibri" w:cs="Calibri"/>
        </w:rPr>
      </w:pPr>
      <w:r w:rsidRPr="3871C696">
        <w:rPr>
          <w:rFonts w:ascii="Calibri" w:hAnsi="Calibri" w:eastAsia="Calibri" w:cs="Calibri"/>
        </w:rPr>
        <w:br w:type="page"/>
      </w:r>
    </w:p>
    <w:p w:rsidR="61F24920" w:rsidP="3871C696" w:rsidRDefault="61F24920" w14:paraId="444D7FDF" w14:textId="78CCD1E6">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61F24920">
        <w:rPr>
          <w:rFonts w:ascii="Calibri" w:hAnsi="Calibri" w:eastAsia="Calibri" w:cs="Calibri"/>
          <w:b w:val="1"/>
          <w:bCs w:val="1"/>
          <w:noProof w:val="0"/>
          <w:sz w:val="24"/>
          <w:szCs w:val="24"/>
          <w:u w:val="single"/>
          <w:lang w:val="en-GB"/>
        </w:rPr>
        <w:t>Stakeholder Engagement Process and Conflict Management</w:t>
      </w:r>
    </w:p>
    <w:p w:rsidR="61F24920" w:rsidP="3871C696" w:rsidRDefault="61F24920" w14:paraId="0EF7BCA0" w14:textId="6641541A">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Effective stakeholder engagement is a critical success factor in complex digital transformation projects such as ConnectPlus. Given the diversity of internal and external stakeholders involved, a structured engagement process is required to ensure alignment, build trust, and support long-term adoption across different markets. Stakeholder engagement should be viewed as a continuous process rather than a one-time activity, involving ongoing communication, consultation, and relationship management throughout the project lifecycle.</w:t>
      </w:r>
    </w:p>
    <w:p w:rsidR="61F24920" w:rsidP="3871C696" w:rsidRDefault="61F24920" w14:paraId="47BA3EA5" w14:textId="1EB97982">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A structured stakeholder engagement plan provides a clear framework for identifying how each stakeholder group will be engaged, the frequency of communication, and the most appropriate channels for interaction. For ConnectPlus, senior management require formal reporting and strategic updates, while operational teams such as IT and marketing benefit from regular project meetings and collaborative workshops. External stakeholders, particularly customers and regulators, require transparent communication to build trust and ensure compliance with legal and ethical expectations.</w:t>
      </w:r>
    </w:p>
    <w:p w:rsidR="61F24920" w:rsidP="3871C696" w:rsidRDefault="61F24920" w14:paraId="63A8644E" w14:textId="6579FEEA">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The 4C model of stakeholder engagement—Communication, Consultation, Collaboration, and Commitment—can be applied to ensure effective relationship management. Communication ensures that stakeholders are informed about project progress and key decisions. Consultation allows stakeholders to provide feedback and influence decision-making. Collaboration involves active participation in project development, particularly among internal teams. Commitment represents the highest level of engagement, where stakeholders actively support and advocate for the project’s success.</w:t>
      </w:r>
    </w:p>
    <w:p w:rsidR="61F24920" w:rsidP="3871C696" w:rsidRDefault="61F24920" w14:paraId="186A090B" w14:textId="2971E512">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 xml:space="preserve">In addition to structured engagement, digital tools play </w:t>
      </w:r>
      <w:r w:rsidRPr="3871C696" w:rsidR="61F24920">
        <w:rPr>
          <w:rFonts w:ascii="Calibri" w:hAnsi="Calibri" w:eastAsia="Calibri" w:cs="Calibri"/>
          <w:noProof w:val="0"/>
          <w:sz w:val="24"/>
          <w:szCs w:val="24"/>
          <w:lang w:val="en-GB"/>
        </w:rPr>
        <w:t>an important role</w:t>
      </w:r>
      <w:r w:rsidRPr="3871C696" w:rsidR="61F24920">
        <w:rPr>
          <w:rFonts w:ascii="Calibri" w:hAnsi="Calibri" w:eastAsia="Calibri" w:cs="Calibri"/>
          <w:noProof w:val="0"/>
          <w:sz w:val="24"/>
          <w:szCs w:val="24"/>
          <w:lang w:val="en-GB"/>
        </w:rPr>
        <w:t xml:space="preserve"> in managing stakeholder relationships in global projects. Platforms such as project dashboards, collaboration software, and customer engagement systems enable real-time communication and transparency. These tools are particularly important for international stakeholders who may </w:t>
      </w:r>
      <w:r w:rsidRPr="3871C696" w:rsidR="61F24920">
        <w:rPr>
          <w:rFonts w:ascii="Calibri" w:hAnsi="Calibri" w:eastAsia="Calibri" w:cs="Calibri"/>
          <w:noProof w:val="0"/>
          <w:sz w:val="24"/>
          <w:szCs w:val="24"/>
          <w:lang w:val="en-GB"/>
        </w:rPr>
        <w:t>operate</w:t>
      </w:r>
      <w:r w:rsidRPr="3871C696" w:rsidR="61F24920">
        <w:rPr>
          <w:rFonts w:ascii="Calibri" w:hAnsi="Calibri" w:eastAsia="Calibri" w:cs="Calibri"/>
          <w:noProof w:val="0"/>
          <w:sz w:val="24"/>
          <w:szCs w:val="24"/>
          <w:lang w:val="en-GB"/>
        </w:rPr>
        <w:t xml:space="preserve"> across different time zones and cultural contexts.</w:t>
      </w:r>
    </w:p>
    <w:p w:rsidR="61F24920" w:rsidP="3871C696" w:rsidRDefault="61F24920" w14:paraId="1DA229F1" w14:textId="5342F486">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A communication plan is essential for ensuring that all stakeholder groups receive the right information at the right time and through appropriate channels. In the ConnectPlus project, communication must be tailored according to stakeholder needs and levels of influence. For example, senior management require formal monthly reports and performance dashboards to support strategic decision-making, while project teams benefit from weekly progress meetings and agile updates. Customers, as external stakeholders, should be engaged through digital channels such as mobile notifications, email updates, and in-app messaging to ensure transparency and encourage adoption of the platform.</w:t>
      </w:r>
    </w:p>
    <w:p w:rsidR="61F24920" w:rsidP="3871C696" w:rsidRDefault="61F24920" w14:paraId="5BD0BD71" w14:textId="3702A1D0">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In addition to communication planning, a RACI (Responsible, Accountable, Consulted, Informed) matrix can be used to clarify roles and responsibilities across the project. This framework helps reduce confusion and ensures accountability by clearly defining who is responsible for completing tasks, who is accountable for final decisions, who must be consulted for input, and who should be kept informed. In a complex, multi-department project such as ConnectPlus, the use of a RACI matrix helps prevent duplication of effort and improves coordination between IT, marketing, operations, and senior leadership teams.</w:t>
      </w:r>
    </w:p>
    <w:p w:rsidR="61F24920" w:rsidP="3871C696" w:rsidRDefault="61F24920" w14:paraId="6CE3364E" w14:textId="04792088">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Despite structured engagement processes, conflicts may arise due to differing stakeholder interests, priorities, and expectations. For example, IT teams may prioritise system security and stability, while marketing teams may push for rapid feature deployment to improve customer engagement. Similarly, senior management may focus on cost control, whereas customer service teams may require additional resources to support user adoption. These conflicting priorities highlight the importance of proactive conflict management strategies.</w:t>
      </w:r>
    </w:p>
    <w:p w:rsidR="61F24920" w:rsidP="3871C696" w:rsidRDefault="61F24920" w14:paraId="0255FAB8" w14:textId="2D7E460E">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Conflict management in this context can be addressed using collaborative approaches such as negotiation, compromise, and problem-solving. The aim is to reach mutually beneficial outcomes rather than allowing conflicts to escalate. According to stakeholder theory, maintaining long-term relationships is more valuable than achieving short-term gains, meaning that open communication and transparency are essential in resolving disagreements.</w:t>
      </w:r>
    </w:p>
    <w:p w:rsidR="61F24920" w:rsidP="3871C696" w:rsidRDefault="61F24920" w14:paraId="1FA76B3F" w14:textId="4D56B88A">
      <w:pPr>
        <w:bidi w:val="0"/>
        <w:jc w:val="left"/>
        <w:rPr>
          <w:rFonts w:ascii="Calibri" w:hAnsi="Calibri" w:eastAsia="Calibri" w:cs="Calibri"/>
          <w:noProof w:val="0"/>
          <w:sz w:val="24"/>
          <w:szCs w:val="24"/>
          <w:lang w:val="en-GB"/>
        </w:rPr>
      </w:pPr>
      <w:r w:rsidRPr="3871C696" w:rsidR="61F24920">
        <w:rPr>
          <w:rFonts w:ascii="Calibri" w:hAnsi="Calibri" w:eastAsia="Calibri" w:cs="Calibri"/>
          <w:noProof w:val="0"/>
          <w:sz w:val="24"/>
          <w:szCs w:val="24"/>
          <w:lang w:val="en-GB"/>
        </w:rPr>
        <w:t>Cultural differences also play a significant role in international stakeholder engagement. In global markets, communication styles, decision-making processes, and expectations of authority may vary significantly. Therefore, project managers must adopt a culturally sensitive approach to engagement, ensuring that communication strategies are adapted to different regional contexts. This helps to reduce misunderstandings and improves stakeholder trust across international operations.</w:t>
      </w:r>
    </w:p>
    <w:p w:rsidR="3871C696" w:rsidP="3871C696" w:rsidRDefault="3871C696" w14:paraId="1E641FAC" w14:textId="0A53F7F7">
      <w:pPr>
        <w:pStyle w:val="Normal"/>
        <w:bidi w:val="0"/>
        <w:jc w:val="left"/>
        <w:rPr>
          <w:rFonts w:ascii="Calibri" w:hAnsi="Calibri" w:eastAsia="Calibri" w:cs="Calibri"/>
          <w:noProof w:val="0"/>
          <w:sz w:val="24"/>
          <w:szCs w:val="24"/>
          <w:lang w:val="en-GB"/>
        </w:rPr>
      </w:pPr>
    </w:p>
    <w:p w:rsidR="3871C696" w:rsidP="3871C696" w:rsidRDefault="3871C696" w14:paraId="5E39CA06" w14:textId="08A62221">
      <w:pPr>
        <w:bidi w:val="0"/>
        <w:rPr>
          <w:rFonts w:ascii="Calibri" w:hAnsi="Calibri" w:eastAsia="Calibri" w:cs="Calibri"/>
        </w:rPr>
      </w:pPr>
      <w:r w:rsidRPr="3871C696">
        <w:rPr>
          <w:rFonts w:ascii="Calibri" w:hAnsi="Calibri" w:eastAsia="Calibri" w:cs="Calibri"/>
        </w:rPr>
        <w:br w:type="page"/>
      </w:r>
    </w:p>
    <w:p w:rsidR="383DC26E" w:rsidP="3871C696" w:rsidRDefault="383DC26E" w14:paraId="3850B6BF" w14:textId="66B9BD98">
      <w:pPr>
        <w:bidi w:val="0"/>
        <w:jc w:val="left"/>
        <w:rPr>
          <w:rFonts w:ascii="Calibri" w:hAnsi="Calibri" w:eastAsia="Calibri" w:cs="Calibri"/>
          <w:noProof w:val="0"/>
          <w:sz w:val="24"/>
          <w:szCs w:val="24"/>
          <w:lang w:val="en-GB"/>
        </w:rPr>
      </w:pPr>
      <w:r w:rsidRPr="3871C696" w:rsidR="383DC26E">
        <w:rPr>
          <w:rFonts w:ascii="Calibri" w:hAnsi="Calibri" w:eastAsia="Calibri" w:cs="Calibri"/>
          <w:noProof w:val="0"/>
          <w:sz w:val="24"/>
          <w:szCs w:val="24"/>
          <w:lang w:val="en-GB"/>
        </w:rPr>
        <w:t>A key challenge in stakeholder engagement for digital transformation projects such as ConnectPlus is managing resistance to change. Employees and customers may be hesitant to adopt new technologies due to uncertainty, lack of digital skills, or concerns about increased monitoring and data usage. To address this, the organisation must invest in training, clear communication, and user-friendly system design to support smooth adoption and reduce resistance.</w:t>
      </w:r>
    </w:p>
    <w:p w:rsidR="383DC26E" w:rsidP="3871C696" w:rsidRDefault="383DC26E" w14:paraId="65716EA1" w14:textId="251FDC7D">
      <w:pPr>
        <w:bidi w:val="0"/>
        <w:jc w:val="left"/>
        <w:rPr>
          <w:rFonts w:ascii="Calibri" w:hAnsi="Calibri" w:eastAsia="Calibri" w:cs="Calibri"/>
          <w:noProof w:val="0"/>
          <w:sz w:val="24"/>
          <w:szCs w:val="24"/>
          <w:lang w:val="en-GB"/>
        </w:rPr>
      </w:pPr>
      <w:r w:rsidRPr="3871C696" w:rsidR="383DC26E">
        <w:rPr>
          <w:rFonts w:ascii="Calibri" w:hAnsi="Calibri" w:eastAsia="Calibri" w:cs="Calibri"/>
          <w:noProof w:val="0"/>
          <w:sz w:val="24"/>
          <w:szCs w:val="24"/>
          <w:lang w:val="en-GB"/>
        </w:rPr>
        <w:t>Ethical considerations are also central to stakeholder engagement in this project, particularly due to the use of artificial intelligence and large volumes of customer data. Issues such as data privacy, informed consent, and algorithmic transparency must be carefully managed to maintain trust. Failure to address these concerns could result in reputational damage, loss of customer confidence, and potential regulatory penalties under frameworks such as GDPR.</w:t>
      </w:r>
    </w:p>
    <w:p w:rsidR="383DC26E" w:rsidP="3871C696" w:rsidRDefault="383DC26E" w14:paraId="2A1DCC7C" w14:textId="74372262">
      <w:pPr>
        <w:bidi w:val="0"/>
        <w:jc w:val="left"/>
        <w:rPr>
          <w:rFonts w:ascii="Calibri" w:hAnsi="Calibri" w:eastAsia="Calibri" w:cs="Calibri"/>
          <w:noProof w:val="0"/>
          <w:sz w:val="24"/>
          <w:szCs w:val="24"/>
          <w:lang w:val="en-GB"/>
        </w:rPr>
      </w:pPr>
      <w:r w:rsidRPr="3871C696" w:rsidR="383DC26E">
        <w:rPr>
          <w:rFonts w:ascii="Calibri" w:hAnsi="Calibri" w:eastAsia="Calibri" w:cs="Calibri"/>
          <w:noProof w:val="0"/>
          <w:sz w:val="24"/>
          <w:szCs w:val="24"/>
          <w:lang w:val="en-GB"/>
        </w:rPr>
        <w:t>Building trust among stakeholders is therefore essential for long-term success. Trust can be strengthened through transparency in decision-making, consistent communication, and demonstrating how stakeholder feedback is incorporated into project development. In addition, continuous monitoring and evaluation of stakeholder engagement strategies allow the organisation to identify issues early and adjust approaches where necessary.</w:t>
      </w:r>
    </w:p>
    <w:p w:rsidR="383DC26E" w:rsidP="3871C696" w:rsidRDefault="383DC26E" w14:paraId="5EC256E8" w14:textId="635318BB">
      <w:pPr>
        <w:bidi w:val="0"/>
        <w:jc w:val="left"/>
        <w:rPr>
          <w:rFonts w:ascii="Calibri" w:hAnsi="Calibri" w:eastAsia="Calibri" w:cs="Calibri"/>
          <w:noProof w:val="0"/>
          <w:sz w:val="24"/>
          <w:szCs w:val="24"/>
          <w:lang w:val="en-GB"/>
        </w:rPr>
      </w:pPr>
      <w:r w:rsidRPr="3871C696" w:rsidR="383DC26E">
        <w:rPr>
          <w:rFonts w:ascii="Calibri" w:hAnsi="Calibri" w:eastAsia="Calibri" w:cs="Calibri"/>
          <w:noProof w:val="0"/>
          <w:sz w:val="24"/>
          <w:szCs w:val="24"/>
          <w:lang w:val="en-GB"/>
        </w:rPr>
        <w:t>Overall, effective stakeholder engagement for ConnectPlus requires a combination of structured frameworks, clear communication, cultural awareness, and ethical responsibility. By integrating tools such as the 4C model, communication planning, and role clarity frameworks like RACI, the organisation can ensure coordinated stakeholder involvement. At the same time, proactive conflict management and ethical governance help to maintain trust and minimise resistance across both internal and external stakeholder groups. This integrated approach is essential for achieving successful implementation and long-term sustainability of the platform across diverse global markets.</w:t>
      </w:r>
    </w:p>
    <w:p w:rsidR="3871C696" w:rsidP="3871C696" w:rsidRDefault="3871C696" w14:paraId="50D689A6" w14:textId="301DFE56">
      <w:pPr>
        <w:pStyle w:val="Normal"/>
        <w:bidi w:val="0"/>
        <w:jc w:val="left"/>
        <w:rPr>
          <w:rFonts w:ascii="Calibri" w:hAnsi="Calibri" w:eastAsia="Calibri" w:cs="Calibri"/>
          <w:noProof w:val="0"/>
          <w:sz w:val="24"/>
          <w:szCs w:val="24"/>
          <w:lang w:val="en-GB"/>
        </w:rPr>
      </w:pPr>
    </w:p>
    <w:p w:rsidR="3871C696" w:rsidP="3871C696" w:rsidRDefault="3871C696" w14:paraId="7C5D8B55" w14:textId="4F518F4A">
      <w:pPr>
        <w:bidi w:val="0"/>
        <w:rPr>
          <w:rFonts w:ascii="Calibri" w:hAnsi="Calibri" w:eastAsia="Calibri" w:cs="Calibri"/>
        </w:rPr>
      </w:pPr>
      <w:r w:rsidRPr="3871C696">
        <w:rPr>
          <w:rFonts w:ascii="Calibri" w:hAnsi="Calibri" w:eastAsia="Calibri" w:cs="Calibri"/>
        </w:rPr>
        <w:br w:type="page"/>
      </w:r>
    </w:p>
    <w:p w:rsidR="56DF83F3" w:rsidP="3871C696" w:rsidRDefault="56DF83F3" w14:paraId="270BB12D" w14:textId="590EA2E5">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56DF83F3">
        <w:rPr>
          <w:rFonts w:ascii="Calibri" w:hAnsi="Calibri" w:eastAsia="Calibri" w:cs="Calibri"/>
          <w:b w:val="1"/>
          <w:bCs w:val="1"/>
          <w:noProof w:val="0"/>
          <w:sz w:val="24"/>
          <w:szCs w:val="24"/>
          <w:u w:val="single"/>
          <w:lang w:val="en-GB"/>
        </w:rPr>
        <w:t>Impact of Sustainable Stakeholder Engagement on Business Performance</w:t>
      </w:r>
    </w:p>
    <w:p w:rsidR="56DF83F3" w:rsidP="3871C696" w:rsidRDefault="56DF83F3" w14:paraId="517D926D" w14:textId="3C412442">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Sustainable stakeholder engagement plays a crucial role in determining the long-term success and competitiveness of organisations operating in the retail and e-commerce sector. In the context of the ConnectPlus platform, effective engagement with both internal and external stakeholders contributes not only to successful project implementation but also to improved organisational performance, customer loyalty, and brand reputation.</w:t>
      </w:r>
    </w:p>
    <w:p w:rsidR="56DF83F3" w:rsidP="3871C696" w:rsidRDefault="56DF83F3" w14:paraId="3347D392" w14:textId="3AF2FECA">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One of the most significant impacts of sustainable stakeholder engagement is improved customer retention and satisfaction. By actively involving customers in the design and feedback process, organisations can better understand user needs and preferences. This leads to the development of more personalised and relevant digital experiences through features such as AI-driven recommendations and mobile reward systems. As a result, customers are more likely to remain loyal to the brand, increasing lifetime customer value and reducing churn rates.</w:t>
      </w:r>
    </w:p>
    <w:p w:rsidR="56DF83F3" w:rsidP="3871C696" w:rsidRDefault="56DF83F3" w14:paraId="11646952" w14:textId="68F7924A">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From an internal perspective, sustainable engagement enhances employee motivation and productivity. When employees are included in decision-making processes and given clear communication regarding organisational goals, they are more likely to feel valued and committed to the success of the project. This is particularly important in digital transformation initiatives, where change can often lead to uncertainty and resistance. Effective engagement therefore helps to create a more collaborative organisational culture that supports innovation and continuous improvement.</w:t>
      </w:r>
    </w:p>
    <w:p w:rsidR="56DF83F3" w:rsidP="3871C696" w:rsidRDefault="56DF83F3" w14:paraId="0EBC433D" w14:textId="2B3F6BE1">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Stakeholder engagement also has a direct impact on risk management and organisational resilience. By maintaining open communication with regulatory bodies, suppliers, and technology partners, organisations can identify potential risks early and respond proactively. In the case of ConnectPlus, this includes ensuring compliance with data protection regulations such as GDPR and addressing cybersecurity concerns associated with handling large volumes of customer data. This proactive approach reduces the likelihood of legal issues and reputational damage.</w:t>
      </w:r>
    </w:p>
    <w:p w:rsidR="56DF83F3" w:rsidP="3871C696" w:rsidRDefault="56DF83F3" w14:paraId="769821B9" w14:textId="722B7BD3">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Furthermore, strong stakeholder relationships contribute to enhanced brand reputation and competitive advantage. In today’s digital economy, consumers are increasingly concerned with ethical business practices, data privacy, and corporate responsibility. Organisations that demonstrate transparency and accountability in their stakeholder engagement processes are more likely to build trust and differentiate themselves from competitors. This is particularly important in highly competitive retail markets where customer choice is extensive.</w:t>
      </w:r>
    </w:p>
    <w:p w:rsidR="56DF83F3" w:rsidP="3871C696" w:rsidRDefault="56DF83F3" w14:paraId="00E30799" w14:textId="3B1D2AC6">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Sustainable stakeholder engagement also supports long-term strategic decision-making. By incorporating feedback from multiple stakeholder groups, organisations can make more informed and balanced decisions that reflect a wider range of perspectives. This reduces the risk of strategic failure and increases the likelihood of successful innovation outcomes.</w:t>
      </w:r>
    </w:p>
    <w:p w:rsidR="56DF83F3" w:rsidP="3871C696" w:rsidRDefault="56DF83F3" w14:paraId="4AC99ADE" w14:textId="20A3F0EB">
      <w:pPr>
        <w:bidi w:val="0"/>
        <w:jc w:val="left"/>
        <w:rPr>
          <w:rFonts w:ascii="Calibri" w:hAnsi="Calibri" w:eastAsia="Calibri" w:cs="Calibri"/>
          <w:noProof w:val="0"/>
          <w:sz w:val="24"/>
          <w:szCs w:val="24"/>
          <w:lang w:val="en-GB"/>
        </w:rPr>
      </w:pPr>
      <w:r w:rsidRPr="3871C696" w:rsidR="56DF83F3">
        <w:rPr>
          <w:rFonts w:ascii="Calibri" w:hAnsi="Calibri" w:eastAsia="Calibri" w:cs="Calibri"/>
          <w:noProof w:val="0"/>
          <w:sz w:val="24"/>
          <w:szCs w:val="24"/>
          <w:lang w:val="en-GB"/>
        </w:rPr>
        <w:t>Overall, the implementation of sustainable stakeholder engagement practices within the ConnectPlus project is expected to deliver significant benefits in terms of financial performance, operational efficiency, risk reduction, and brand equity. However, it requires continuous effort, adaptability, and a strong commitment from all stakeholder groups to maintain long-term success.</w:t>
      </w:r>
    </w:p>
    <w:p w:rsidR="3871C696" w:rsidP="3871C696" w:rsidRDefault="3871C696" w14:paraId="2EE073DD" w14:textId="19265190">
      <w:pPr>
        <w:bidi w:val="0"/>
        <w:rPr>
          <w:rFonts w:ascii="Calibri" w:hAnsi="Calibri" w:eastAsia="Calibri" w:cs="Calibri"/>
        </w:rPr>
      </w:pPr>
      <w:r w:rsidRPr="3871C696">
        <w:rPr>
          <w:rFonts w:ascii="Calibri" w:hAnsi="Calibri" w:eastAsia="Calibri" w:cs="Calibri"/>
        </w:rPr>
        <w:br w:type="page"/>
      </w:r>
    </w:p>
    <w:p w:rsidR="7932E04D" w:rsidP="3871C696" w:rsidRDefault="7932E04D" w14:paraId="7E99B93C" w14:textId="04871BFB">
      <w:pPr>
        <w:pStyle w:val="Normal"/>
        <w:bidi w:val="0"/>
        <w:spacing w:before="0" w:beforeAutospacing="off" w:after="0" w:afterAutospacing="off"/>
        <w:ind w:left="0"/>
        <w:jc w:val="left"/>
        <w:rPr>
          <w:rFonts w:ascii="Calibri" w:hAnsi="Calibri" w:eastAsia="Calibri" w:cs="Calibri"/>
          <w:b w:val="1"/>
          <w:bCs w:val="1"/>
          <w:noProof w:val="0"/>
          <w:sz w:val="24"/>
          <w:szCs w:val="24"/>
          <w:u w:val="single"/>
          <w:lang w:val="en-GB"/>
        </w:rPr>
      </w:pPr>
      <w:r w:rsidRPr="3871C696" w:rsidR="7932E04D">
        <w:rPr>
          <w:rFonts w:ascii="Calibri" w:hAnsi="Calibri" w:eastAsia="Calibri" w:cs="Calibri"/>
          <w:b w:val="1"/>
          <w:bCs w:val="1"/>
          <w:noProof w:val="0"/>
          <w:sz w:val="24"/>
          <w:szCs w:val="24"/>
          <w:u w:val="single"/>
          <w:lang w:val="en-GB"/>
        </w:rPr>
        <w:t>Recommendations and Conclusion</w:t>
      </w:r>
    </w:p>
    <w:p w:rsidR="7932E04D" w:rsidP="3871C696" w:rsidRDefault="7932E04D" w14:paraId="4C11333A" w14:textId="2840C0F0">
      <w:pPr>
        <w:bidi w:val="0"/>
        <w:jc w:val="left"/>
        <w:rPr>
          <w:rFonts w:ascii="Calibri" w:hAnsi="Calibri" w:eastAsia="Calibri" w:cs="Calibri"/>
          <w:noProof w:val="0"/>
          <w:sz w:val="24"/>
          <w:szCs w:val="24"/>
          <w:lang w:val="en-GB"/>
        </w:rPr>
      </w:pPr>
      <w:r w:rsidRPr="3871C696" w:rsidR="7932E04D">
        <w:rPr>
          <w:rFonts w:ascii="Calibri" w:hAnsi="Calibri" w:eastAsia="Calibri" w:cs="Calibri"/>
          <w:noProof w:val="0"/>
          <w:sz w:val="24"/>
          <w:szCs w:val="24"/>
          <w:lang w:val="en-GB"/>
        </w:rPr>
        <w:t>To ensure the successful implementation and long-term sustainability of the ConnectPlus platform, several key recommendations should be considered. Firstly, Tesco should adopt a structured and continuous stakeholder engagement strategy that ensures all relevant groups are involved throughout the project lifecycle. This includes maintaining regular communication with internal teams and external partners to ensure alignment of expectations and project objectives.</w:t>
      </w:r>
    </w:p>
    <w:p w:rsidR="7932E04D" w:rsidP="3871C696" w:rsidRDefault="7932E04D" w14:paraId="3DACA0B8" w14:textId="0214C137">
      <w:pPr>
        <w:bidi w:val="0"/>
        <w:jc w:val="left"/>
        <w:rPr>
          <w:rFonts w:ascii="Calibri" w:hAnsi="Calibri" w:eastAsia="Calibri" w:cs="Calibri"/>
          <w:noProof w:val="0"/>
          <w:sz w:val="24"/>
          <w:szCs w:val="24"/>
          <w:lang w:val="en-GB"/>
        </w:rPr>
      </w:pPr>
      <w:r w:rsidRPr="3871C696" w:rsidR="7932E04D">
        <w:rPr>
          <w:rFonts w:ascii="Calibri" w:hAnsi="Calibri" w:eastAsia="Calibri" w:cs="Calibri"/>
          <w:noProof w:val="0"/>
          <w:sz w:val="24"/>
          <w:szCs w:val="24"/>
          <w:lang w:val="en-GB"/>
        </w:rPr>
        <w:t>Secondly, the organisation should invest in comprehensive training and change management programmes for employees. This will help reduce resistance to change, improve digital literacy, and ensure that staff are confident in supporting customers using the new platform. Effective internal engagement is essential for achieving smooth adoption across all operational areas.</w:t>
      </w:r>
    </w:p>
    <w:p w:rsidR="7932E04D" w:rsidP="3871C696" w:rsidRDefault="7932E04D" w14:paraId="568D85F8" w14:textId="0F2AB9B0">
      <w:pPr>
        <w:bidi w:val="0"/>
        <w:jc w:val="left"/>
        <w:rPr>
          <w:rFonts w:ascii="Calibri" w:hAnsi="Calibri" w:eastAsia="Calibri" w:cs="Calibri"/>
          <w:noProof w:val="0"/>
          <w:sz w:val="24"/>
          <w:szCs w:val="24"/>
          <w:lang w:val="en-GB"/>
        </w:rPr>
      </w:pPr>
      <w:r w:rsidRPr="3871C696" w:rsidR="7932E04D">
        <w:rPr>
          <w:rFonts w:ascii="Calibri" w:hAnsi="Calibri" w:eastAsia="Calibri" w:cs="Calibri"/>
          <w:noProof w:val="0"/>
          <w:sz w:val="24"/>
          <w:szCs w:val="24"/>
          <w:lang w:val="en-GB"/>
        </w:rPr>
        <w:t>Thirdly, data governance and ethical AI practices should be prioritised. Given the reliance on customer data and artificial intelligence, Tesco must ensure full compliance with data protection regulations such as GDPR. Transparency in how customer data is collected, stored, and used will be essential for building and maintaining trust among stakeholders.</w:t>
      </w:r>
    </w:p>
    <w:p w:rsidR="7932E04D" w:rsidP="3871C696" w:rsidRDefault="7932E04D" w14:paraId="45C8638E" w14:textId="012CA751">
      <w:pPr>
        <w:bidi w:val="0"/>
        <w:jc w:val="left"/>
        <w:rPr>
          <w:rFonts w:ascii="Calibri" w:hAnsi="Calibri" w:eastAsia="Calibri" w:cs="Calibri"/>
          <w:noProof w:val="0"/>
          <w:sz w:val="24"/>
          <w:szCs w:val="24"/>
          <w:lang w:val="en-GB"/>
        </w:rPr>
      </w:pPr>
      <w:r w:rsidRPr="3871C696" w:rsidR="7932E04D">
        <w:rPr>
          <w:rFonts w:ascii="Calibri" w:hAnsi="Calibri" w:eastAsia="Calibri" w:cs="Calibri"/>
          <w:noProof w:val="0"/>
          <w:sz w:val="24"/>
          <w:szCs w:val="24"/>
          <w:lang w:val="en-GB"/>
        </w:rPr>
        <w:t>Fourthly, Tesco should implement a robust feedback mechanism that allows customers and employees to continuously provide input on the performance of ConnectPlus. This will enable the organisation to make ongoing improvements and adapt the platform to changing user needs and market conditions.</w:t>
      </w:r>
    </w:p>
    <w:p w:rsidR="7932E04D" w:rsidP="3871C696" w:rsidRDefault="7932E04D" w14:paraId="27FA16BF" w14:textId="75D2DAEB">
      <w:pPr>
        <w:bidi w:val="0"/>
        <w:jc w:val="left"/>
        <w:rPr>
          <w:rFonts w:ascii="Calibri" w:hAnsi="Calibri" w:eastAsia="Calibri" w:cs="Calibri"/>
          <w:noProof w:val="0"/>
          <w:sz w:val="24"/>
          <w:szCs w:val="24"/>
          <w:lang w:val="en-GB"/>
        </w:rPr>
      </w:pPr>
      <w:r w:rsidRPr="3871C696" w:rsidR="7932E04D">
        <w:rPr>
          <w:rFonts w:ascii="Calibri" w:hAnsi="Calibri" w:eastAsia="Calibri" w:cs="Calibri"/>
          <w:noProof w:val="0"/>
          <w:sz w:val="24"/>
          <w:szCs w:val="24"/>
          <w:lang w:val="en-GB"/>
        </w:rPr>
        <w:t>In conclusion, the successful launch of ConnectPlus depends heavily on effective stakeholder engagement across all levels of the organisation and its external environment. The application of stakeholder theories and engagement frameworks demonstrates that value creation is maximised when organisations actively manage relationships rather than focusing solely on internal objectives. By adopting a structured, ethical, and inclusive approach to stakeholder management, Tesco can enhance customer satisfaction, strengthen competitive advantage, and ensure the long-term success of the ConnectPlus platform in both domestic and international markets.</w:t>
      </w:r>
    </w:p>
    <w:p w:rsidR="3871C696" w:rsidP="3871C696" w:rsidRDefault="3871C696" w14:paraId="5A37ED0E" w14:textId="65EDEC79">
      <w:pPr>
        <w:bidi w:val="0"/>
        <w:rPr>
          <w:rFonts w:ascii="Calibri" w:hAnsi="Calibri" w:eastAsia="Calibri" w:cs="Calibri"/>
        </w:rPr>
      </w:pPr>
      <w:r w:rsidRPr="3871C696">
        <w:rPr>
          <w:rFonts w:ascii="Calibri" w:hAnsi="Calibri" w:eastAsia="Calibri" w:cs="Calibri"/>
        </w:rPr>
        <w:br w:type="page"/>
      </w:r>
    </w:p>
    <w:p w:rsidR="696AE8FD" w:rsidP="3871C696" w:rsidRDefault="696AE8FD" w14:paraId="4778BDD6" w14:textId="00FE4E6C">
      <w:pPr>
        <w:pStyle w:val="Normal"/>
        <w:bidi w:val="0"/>
        <w:jc w:val="left"/>
        <w:rPr>
          <w:rFonts w:ascii="Calibri" w:hAnsi="Calibri" w:eastAsia="Calibri" w:cs="Calibri"/>
          <w:b w:val="1"/>
          <w:bCs w:val="1"/>
          <w:noProof w:val="0"/>
          <w:sz w:val="24"/>
          <w:szCs w:val="24"/>
          <w:u w:val="single"/>
          <w:lang w:val="en-GB"/>
        </w:rPr>
      </w:pPr>
      <w:r w:rsidRPr="3871C696" w:rsidR="696AE8FD">
        <w:rPr>
          <w:rFonts w:ascii="Calibri" w:hAnsi="Calibri" w:eastAsia="Calibri" w:cs="Calibri"/>
          <w:b w:val="1"/>
          <w:bCs w:val="1"/>
          <w:noProof w:val="0"/>
          <w:sz w:val="24"/>
          <w:szCs w:val="24"/>
          <w:u w:val="single"/>
          <w:lang w:val="en-GB"/>
        </w:rPr>
        <w:t>REFERENCES</w:t>
      </w:r>
    </w:p>
    <w:p w:rsidR="3871C696" w:rsidP="3871C696" w:rsidRDefault="3871C696" w14:paraId="3EC94376" w14:textId="6FCFC232">
      <w:pPr>
        <w:pStyle w:val="Normal"/>
        <w:bidi w:val="0"/>
        <w:jc w:val="left"/>
        <w:rPr>
          <w:rFonts w:ascii="Calibri" w:hAnsi="Calibri" w:eastAsia="Calibri" w:cs="Calibri"/>
          <w:b w:val="1"/>
          <w:bCs w:val="1"/>
          <w:noProof w:val="0"/>
          <w:sz w:val="24"/>
          <w:szCs w:val="24"/>
          <w:u w:val="single"/>
          <w:lang w:val="en-GB"/>
        </w:rPr>
      </w:pPr>
    </w:p>
    <w:p w:rsidR="696AE8FD" w:rsidP="3871C696" w:rsidRDefault="696AE8FD" w14:paraId="067A9A70" w14:textId="16C0DFBE">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Ashcroft, J. (2017) </w:t>
      </w:r>
      <w:r w:rsidRPr="3871C696" w:rsidR="696AE8FD">
        <w:rPr>
          <w:rFonts w:ascii="Calibri" w:hAnsi="Calibri" w:eastAsia="Calibri" w:cs="Calibri"/>
          <w:i w:val="1"/>
          <w:iCs w:val="1"/>
          <w:noProof w:val="0"/>
          <w:sz w:val="24"/>
          <w:szCs w:val="24"/>
          <w:lang w:val="en-GB"/>
        </w:rPr>
        <w:t>The relational lens: understanding, measuring, and managing stakeholder relationships</w:t>
      </w:r>
      <w:r w:rsidRPr="3871C696" w:rsidR="696AE8FD">
        <w:rPr>
          <w:rFonts w:ascii="Calibri" w:hAnsi="Calibri" w:eastAsia="Calibri" w:cs="Calibri"/>
          <w:noProof w:val="0"/>
          <w:sz w:val="24"/>
          <w:szCs w:val="24"/>
          <w:lang w:val="en-GB"/>
        </w:rPr>
        <w:t>. Cambridge: Cambridge University Press.</w:t>
      </w:r>
    </w:p>
    <w:p w:rsidR="696AE8FD" w:rsidP="3871C696" w:rsidRDefault="696AE8FD" w14:paraId="762A53B3" w14:textId="6B1A34EC">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Freeman, R.E. (1984) </w:t>
      </w:r>
      <w:r w:rsidRPr="3871C696" w:rsidR="696AE8FD">
        <w:rPr>
          <w:rFonts w:ascii="Calibri" w:hAnsi="Calibri" w:eastAsia="Calibri" w:cs="Calibri"/>
          <w:i w:val="1"/>
          <w:iCs w:val="1"/>
          <w:noProof w:val="0"/>
          <w:sz w:val="24"/>
          <w:szCs w:val="24"/>
          <w:lang w:val="en-GB"/>
        </w:rPr>
        <w:t>Strategic management: a stakeholder approach</w:t>
      </w:r>
      <w:r w:rsidRPr="3871C696" w:rsidR="696AE8FD">
        <w:rPr>
          <w:rFonts w:ascii="Calibri" w:hAnsi="Calibri" w:eastAsia="Calibri" w:cs="Calibri"/>
          <w:noProof w:val="0"/>
          <w:sz w:val="24"/>
          <w:szCs w:val="24"/>
          <w:lang w:val="en-GB"/>
        </w:rPr>
        <w:t>. Boston: Pitman.</w:t>
      </w:r>
    </w:p>
    <w:p w:rsidR="696AE8FD" w:rsidP="3871C696" w:rsidRDefault="696AE8FD" w14:paraId="45A90BC7" w14:textId="0B8310AD">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Mendelow, A.L. (1991) ‘Environmental scanning: the impact of stakeholder concept’, in Proceedings of the 2nd International Conference on Information Systems, Cambridge, MA.</w:t>
      </w:r>
    </w:p>
    <w:p w:rsidR="696AE8FD" w:rsidP="3871C696" w:rsidRDefault="696AE8FD" w14:paraId="4B99037E" w14:textId="5496D5A9">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Mitchell, R.K., Agle, B.R. and Wood, D.J. (1997) ‘Toward a theory of stakeholder identification and salience: defining the principle of who and what really counts’, </w:t>
      </w:r>
      <w:r w:rsidRPr="3871C696" w:rsidR="696AE8FD">
        <w:rPr>
          <w:rFonts w:ascii="Calibri" w:hAnsi="Calibri" w:eastAsia="Calibri" w:cs="Calibri"/>
          <w:i w:val="1"/>
          <w:iCs w:val="1"/>
          <w:noProof w:val="0"/>
          <w:sz w:val="24"/>
          <w:szCs w:val="24"/>
          <w:lang w:val="en-GB"/>
        </w:rPr>
        <w:t>Academy of Management Review</w:t>
      </w:r>
      <w:r w:rsidRPr="3871C696" w:rsidR="696AE8FD">
        <w:rPr>
          <w:rFonts w:ascii="Calibri" w:hAnsi="Calibri" w:eastAsia="Calibri" w:cs="Calibri"/>
          <w:noProof w:val="0"/>
          <w:sz w:val="24"/>
          <w:szCs w:val="24"/>
          <w:lang w:val="en-GB"/>
        </w:rPr>
        <w:t>, 22(4), pp. 853–886.</w:t>
      </w:r>
    </w:p>
    <w:p w:rsidR="696AE8FD" w:rsidP="3871C696" w:rsidRDefault="696AE8FD" w14:paraId="0CA8D70B" w14:textId="68316C6A">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Christopher, M., Payne, A. and Ballantyne, D. (2013) </w:t>
      </w:r>
      <w:r w:rsidRPr="3871C696" w:rsidR="696AE8FD">
        <w:rPr>
          <w:rFonts w:ascii="Calibri" w:hAnsi="Calibri" w:eastAsia="Calibri" w:cs="Calibri"/>
          <w:i w:val="1"/>
          <w:iCs w:val="1"/>
          <w:noProof w:val="0"/>
          <w:sz w:val="24"/>
          <w:szCs w:val="24"/>
          <w:lang w:val="en-GB"/>
        </w:rPr>
        <w:t>Relationship marketing: creating stakeholder value</w:t>
      </w:r>
      <w:r w:rsidRPr="3871C696" w:rsidR="696AE8FD">
        <w:rPr>
          <w:rFonts w:ascii="Calibri" w:hAnsi="Calibri" w:eastAsia="Calibri" w:cs="Calibri"/>
          <w:noProof w:val="0"/>
          <w:sz w:val="24"/>
          <w:szCs w:val="24"/>
          <w:lang w:val="en-GB"/>
        </w:rPr>
        <w:t>. London: Routledge.</w:t>
      </w:r>
    </w:p>
    <w:p w:rsidR="696AE8FD" w:rsidP="3871C696" w:rsidRDefault="696AE8FD" w14:paraId="389FCAB6" w14:textId="615E3732">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Tesco PLC (2025) </w:t>
      </w:r>
      <w:r w:rsidRPr="3871C696" w:rsidR="696AE8FD">
        <w:rPr>
          <w:rFonts w:ascii="Calibri" w:hAnsi="Calibri" w:eastAsia="Calibri" w:cs="Calibri"/>
          <w:i w:val="1"/>
          <w:iCs w:val="1"/>
          <w:noProof w:val="0"/>
          <w:sz w:val="24"/>
          <w:szCs w:val="24"/>
          <w:lang w:val="en-GB"/>
        </w:rPr>
        <w:t>Annual report and financial statements</w:t>
      </w:r>
      <w:r w:rsidRPr="3871C696" w:rsidR="696AE8FD">
        <w:rPr>
          <w:rFonts w:ascii="Calibri" w:hAnsi="Calibri" w:eastAsia="Calibri" w:cs="Calibri"/>
          <w:noProof w:val="0"/>
          <w:sz w:val="24"/>
          <w:szCs w:val="24"/>
          <w:lang w:val="en-GB"/>
        </w:rPr>
        <w:t xml:space="preserve">. Available at: </w:t>
      </w:r>
      <w:hyperlink r:id="R8907dbf309824788">
        <w:r w:rsidRPr="3871C696" w:rsidR="696AE8FD">
          <w:rPr>
            <w:rStyle w:val="Hyperlink"/>
            <w:rFonts w:ascii="Calibri" w:hAnsi="Calibri" w:eastAsia="Calibri" w:cs="Calibri"/>
            <w:noProof w:val="0"/>
            <w:lang w:val="en-GB"/>
          </w:rPr>
          <w:t>https://www.tescoplc.com</w:t>
        </w:r>
      </w:hyperlink>
      <w:r w:rsidRPr="3871C696" w:rsidR="696AE8FD">
        <w:rPr>
          <w:rFonts w:ascii="Calibri" w:hAnsi="Calibri" w:eastAsia="Calibri" w:cs="Calibri"/>
          <w:noProof w:val="0"/>
          <w:sz w:val="24"/>
          <w:szCs w:val="24"/>
          <w:lang w:val="en-GB"/>
        </w:rPr>
        <w:t xml:space="preserve"> (Accessed: 25 June 2026).</w:t>
      </w:r>
    </w:p>
    <w:p w:rsidR="696AE8FD" w:rsidP="3871C696" w:rsidRDefault="696AE8FD" w14:paraId="50B745B4" w14:textId="6EC693AF">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Deloitte (2024) </w:t>
      </w:r>
      <w:r w:rsidRPr="3871C696" w:rsidR="696AE8FD">
        <w:rPr>
          <w:rFonts w:ascii="Calibri" w:hAnsi="Calibri" w:eastAsia="Calibri" w:cs="Calibri"/>
          <w:i w:val="1"/>
          <w:iCs w:val="1"/>
          <w:noProof w:val="0"/>
          <w:sz w:val="24"/>
          <w:szCs w:val="24"/>
          <w:lang w:val="en-GB"/>
        </w:rPr>
        <w:t>Digital transformation in retail: customer engagement strategies</w:t>
      </w:r>
      <w:r w:rsidRPr="3871C696" w:rsidR="696AE8FD">
        <w:rPr>
          <w:rFonts w:ascii="Calibri" w:hAnsi="Calibri" w:eastAsia="Calibri" w:cs="Calibri"/>
          <w:noProof w:val="0"/>
          <w:sz w:val="24"/>
          <w:szCs w:val="24"/>
          <w:lang w:val="en-GB"/>
        </w:rPr>
        <w:t xml:space="preserve">. Available at: </w:t>
      </w:r>
      <w:hyperlink r:id="Rc3e835387fd34949">
        <w:r w:rsidRPr="3871C696" w:rsidR="696AE8FD">
          <w:rPr>
            <w:rStyle w:val="Hyperlink"/>
            <w:rFonts w:ascii="Calibri" w:hAnsi="Calibri" w:eastAsia="Calibri" w:cs="Calibri"/>
            <w:noProof w:val="0"/>
            <w:lang w:val="en-GB"/>
          </w:rPr>
          <w:t>https://www2.deloitte.com</w:t>
        </w:r>
      </w:hyperlink>
      <w:r w:rsidRPr="3871C696" w:rsidR="696AE8FD">
        <w:rPr>
          <w:rFonts w:ascii="Calibri" w:hAnsi="Calibri" w:eastAsia="Calibri" w:cs="Calibri"/>
          <w:noProof w:val="0"/>
          <w:sz w:val="24"/>
          <w:szCs w:val="24"/>
          <w:lang w:val="en-GB"/>
        </w:rPr>
        <w:t xml:space="preserve"> (Accessed: 25 June 2026).</w:t>
      </w:r>
    </w:p>
    <w:p w:rsidR="696AE8FD" w:rsidP="3871C696" w:rsidRDefault="696AE8FD" w14:paraId="56E4FCFF" w14:textId="18FAC7AB">
      <w:pPr>
        <w:bidi w:val="0"/>
        <w:jc w:val="left"/>
        <w:rPr>
          <w:rFonts w:ascii="Calibri" w:hAnsi="Calibri" w:eastAsia="Calibri" w:cs="Calibri"/>
          <w:noProof w:val="0"/>
          <w:sz w:val="24"/>
          <w:szCs w:val="24"/>
          <w:lang w:val="en-GB"/>
        </w:rPr>
      </w:pPr>
      <w:r w:rsidRPr="3871C696" w:rsidR="696AE8FD">
        <w:rPr>
          <w:rFonts w:ascii="Calibri" w:hAnsi="Calibri" w:eastAsia="Calibri" w:cs="Calibri"/>
          <w:noProof w:val="0"/>
          <w:sz w:val="24"/>
          <w:szCs w:val="24"/>
          <w:lang w:val="en-GB"/>
        </w:rPr>
        <w:t xml:space="preserve">McKinsey &amp; Company (2023) </w:t>
      </w:r>
      <w:r w:rsidRPr="3871C696" w:rsidR="696AE8FD">
        <w:rPr>
          <w:rFonts w:ascii="Calibri" w:hAnsi="Calibri" w:eastAsia="Calibri" w:cs="Calibri"/>
          <w:i w:val="1"/>
          <w:iCs w:val="1"/>
          <w:noProof w:val="0"/>
          <w:sz w:val="24"/>
          <w:szCs w:val="24"/>
          <w:lang w:val="en-GB"/>
        </w:rPr>
        <w:t>The future of retail personalization and AI</w:t>
      </w:r>
      <w:r w:rsidRPr="3871C696" w:rsidR="696AE8FD">
        <w:rPr>
          <w:rFonts w:ascii="Calibri" w:hAnsi="Calibri" w:eastAsia="Calibri" w:cs="Calibri"/>
          <w:noProof w:val="0"/>
          <w:sz w:val="24"/>
          <w:szCs w:val="24"/>
          <w:lang w:val="en-GB"/>
        </w:rPr>
        <w:t xml:space="preserve">. Available at: </w:t>
      </w:r>
      <w:hyperlink r:id="R964f4f034dc6473e">
        <w:r w:rsidRPr="3871C696" w:rsidR="696AE8FD">
          <w:rPr>
            <w:rStyle w:val="Hyperlink"/>
            <w:rFonts w:ascii="Calibri" w:hAnsi="Calibri" w:eastAsia="Calibri" w:cs="Calibri"/>
            <w:noProof w:val="0"/>
            <w:lang w:val="en-GB"/>
          </w:rPr>
          <w:t>https://www.mckinsey.com</w:t>
        </w:r>
      </w:hyperlink>
      <w:r w:rsidRPr="3871C696" w:rsidR="696AE8FD">
        <w:rPr>
          <w:rFonts w:ascii="Calibri" w:hAnsi="Calibri" w:eastAsia="Calibri" w:cs="Calibri"/>
          <w:noProof w:val="0"/>
          <w:sz w:val="24"/>
          <w:szCs w:val="24"/>
          <w:lang w:val="en-GB"/>
        </w:rPr>
        <w:t xml:space="preserve"> (Accessed: 25 June 2026).</w:t>
      </w:r>
    </w:p>
    <w:p w:rsidR="3871C696" w:rsidP="3871C696" w:rsidRDefault="3871C696" w14:paraId="0C6A70D8" w14:textId="1ADAF744">
      <w:pPr>
        <w:pStyle w:val="Normal"/>
        <w:bidi w:val="0"/>
        <w:jc w:val="left"/>
        <w:rPr>
          <w:rFonts w:ascii="Calibri" w:hAnsi="Calibri" w:eastAsia="Calibri" w:cs="Calibri"/>
          <w:b w:val="1"/>
          <w:bCs w:val="1"/>
          <w:noProof w:val="0"/>
          <w:sz w:val="24"/>
          <w:szCs w:val="24"/>
          <w:u w:val="single"/>
          <w:lang w:val="en-GB"/>
        </w:rPr>
      </w:pPr>
    </w:p>
    <w:p w:rsidR="3871C696" w:rsidP="3871C696" w:rsidRDefault="3871C696" w14:paraId="10951CA6" w14:textId="468C470B">
      <w:pPr>
        <w:pStyle w:val="Normal"/>
        <w:bidi w:val="0"/>
        <w:jc w:val="left"/>
        <w:rPr>
          <w:rFonts w:ascii="Calibri" w:hAnsi="Calibri" w:eastAsia="Calibri" w:cs="Calibri"/>
          <w:noProof w:val="0"/>
          <w:sz w:val="24"/>
          <w:szCs w:val="24"/>
          <w:lang w:val="en-GB"/>
        </w:rPr>
      </w:pPr>
    </w:p>
    <w:p w:rsidR="3871C696" w:rsidP="3871C696" w:rsidRDefault="3871C696" w14:paraId="7A556BEB" w14:textId="05E3951D">
      <w:pPr>
        <w:pStyle w:val="Normal"/>
        <w:bidi w:val="0"/>
        <w:jc w:val="left"/>
        <w:rPr>
          <w:rFonts w:ascii="Calibri" w:hAnsi="Calibri" w:eastAsia="Calibri" w:cs="Calibri"/>
          <w:noProof w:val="0"/>
          <w:sz w:val="24"/>
          <w:szCs w:val="24"/>
          <w:lang w:val="en-GB"/>
        </w:rPr>
      </w:pPr>
    </w:p>
    <w:p w:rsidR="3871C696" w:rsidP="3871C696" w:rsidRDefault="3871C696" w14:paraId="6716FDFA" w14:textId="13733A53">
      <w:pPr>
        <w:pStyle w:val="Normal"/>
        <w:bidi w:val="0"/>
        <w:jc w:val="left"/>
        <w:rPr>
          <w:rFonts w:ascii="Calibri" w:hAnsi="Calibri" w:eastAsia="Calibri" w:cs="Calibri"/>
          <w:noProof w:val="0"/>
          <w:sz w:val="24"/>
          <w:szCs w:val="24"/>
          <w:lang w:val="en-GB"/>
        </w:rPr>
      </w:pPr>
    </w:p>
    <w:p w:rsidR="3871C696" w:rsidP="3871C696" w:rsidRDefault="3871C696" w14:paraId="1232466E" w14:textId="6D3CBFB6">
      <w:pPr>
        <w:bidi w:val="0"/>
        <w:jc w:val="left"/>
        <w:rPr>
          <w:rFonts w:ascii="Calibri" w:hAnsi="Calibri" w:eastAsia="Calibri" w:cs="Calibri"/>
          <w:noProof w:val="0"/>
          <w:sz w:val="24"/>
          <w:szCs w:val="24"/>
          <w:lang w:val="en-GB"/>
        </w:rPr>
      </w:pPr>
    </w:p>
    <w:p w:rsidR="3871C696" w:rsidP="3871C696" w:rsidRDefault="3871C696" w14:paraId="05F9E747" w14:textId="42C5F8B4">
      <w:pPr>
        <w:bidi w:val="0"/>
        <w:jc w:val="left"/>
        <w:rPr>
          <w:rFonts w:ascii="Calibri" w:hAnsi="Calibri" w:eastAsia="Calibri" w:cs="Calibri"/>
          <w:noProof w:val="0"/>
          <w:sz w:val="24"/>
          <w:szCs w:val="24"/>
          <w:lang w:val="en-GB"/>
        </w:rPr>
      </w:pPr>
    </w:p>
    <w:p w:rsidR="3871C696" w:rsidP="3871C696" w:rsidRDefault="3871C696" w14:paraId="69B53BA9" w14:textId="5539479F">
      <w:pPr>
        <w:bidi w:val="0"/>
        <w:jc w:val="left"/>
        <w:rPr>
          <w:rFonts w:ascii="Calibri" w:hAnsi="Calibri" w:eastAsia="Calibri" w:cs="Calibri"/>
          <w:noProof w:val="0"/>
          <w:sz w:val="24"/>
          <w:szCs w:val="24"/>
          <w:lang w:val="en-GB"/>
        </w:rPr>
      </w:pPr>
    </w:p>
    <w:p w:rsidR="3871C696" w:rsidP="3871C696" w:rsidRDefault="3871C696" w14:paraId="76872D6E" w14:textId="5DF96858">
      <w:pPr>
        <w:bidi w:val="0"/>
        <w:jc w:val="left"/>
        <w:rPr>
          <w:rFonts w:ascii="Calibri" w:hAnsi="Calibri" w:eastAsia="Calibri" w:cs="Calibri"/>
          <w:noProof w:val="0"/>
          <w:sz w:val="24"/>
          <w:szCs w:val="24"/>
          <w:lang w:val="en-GB"/>
        </w:rPr>
      </w:pPr>
    </w:p>
    <w:p w:rsidR="3871C696" w:rsidP="3871C696" w:rsidRDefault="3871C696" w14:paraId="6FB13D6A" w14:textId="577DC962">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9">
    <w:nsid w:val="6bcac4d6"/>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d5c9de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8400128"/>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79ba96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81c92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c039c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87ed5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598c1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0ebf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0F98D"/>
    <w:rsid w:val="0071FB83"/>
    <w:rsid w:val="03C0B711"/>
    <w:rsid w:val="0412E438"/>
    <w:rsid w:val="09507227"/>
    <w:rsid w:val="0C69380B"/>
    <w:rsid w:val="0C69380B"/>
    <w:rsid w:val="1527B0F8"/>
    <w:rsid w:val="166CC506"/>
    <w:rsid w:val="1757762D"/>
    <w:rsid w:val="1C058CF9"/>
    <w:rsid w:val="22EECDBC"/>
    <w:rsid w:val="23D7BAE6"/>
    <w:rsid w:val="25328592"/>
    <w:rsid w:val="2887011C"/>
    <w:rsid w:val="2887011C"/>
    <w:rsid w:val="2D778B27"/>
    <w:rsid w:val="2FA0026F"/>
    <w:rsid w:val="2FA866B2"/>
    <w:rsid w:val="31DEDF11"/>
    <w:rsid w:val="33461130"/>
    <w:rsid w:val="383DC26E"/>
    <w:rsid w:val="3871C696"/>
    <w:rsid w:val="38C3D646"/>
    <w:rsid w:val="38C3D646"/>
    <w:rsid w:val="3C55C9C7"/>
    <w:rsid w:val="3E20F98D"/>
    <w:rsid w:val="3FF844F6"/>
    <w:rsid w:val="422347C3"/>
    <w:rsid w:val="42FA79CD"/>
    <w:rsid w:val="440A2651"/>
    <w:rsid w:val="44E44533"/>
    <w:rsid w:val="4519631D"/>
    <w:rsid w:val="4A285EF0"/>
    <w:rsid w:val="4AE1F85D"/>
    <w:rsid w:val="524BEA22"/>
    <w:rsid w:val="56DF83F3"/>
    <w:rsid w:val="61F24920"/>
    <w:rsid w:val="620ABDC5"/>
    <w:rsid w:val="62CD685B"/>
    <w:rsid w:val="631896DF"/>
    <w:rsid w:val="636AA363"/>
    <w:rsid w:val="63B4430F"/>
    <w:rsid w:val="663D44E7"/>
    <w:rsid w:val="696AE8FD"/>
    <w:rsid w:val="6DB7A623"/>
    <w:rsid w:val="7050ABF4"/>
    <w:rsid w:val="753C984D"/>
    <w:rsid w:val="7932E04D"/>
    <w:rsid w:val="7CCAEE38"/>
    <w:rsid w:val="7DA10933"/>
    <w:rsid w:val="7E36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D952D"/>
  <w15:chartTrackingRefBased/>
  <w15:docId w15:val="{50695846-C09A-4D17-AC0F-210757DFCD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71C696"/>
    <w:pPr>
      <w:spacing/>
      <w:ind w:left="720"/>
      <w:contextualSpacing/>
    </w:pPr>
  </w:style>
  <w:style w:type="character" w:styleId="Hyperlink">
    <w:uiPriority w:val="99"/>
    <w:name w:val="Hyperlink"/>
    <w:basedOn w:val="DefaultParagraphFont"/>
    <w:unhideWhenUsed/>
    <w:rsid w:val="3871C6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escoplc.com/" TargetMode="External" Id="R8907dbf309824788" /><Relationship Type="http://schemas.openxmlformats.org/officeDocument/2006/relationships/hyperlink" Target="https://www2.deloitte.com/" TargetMode="External" Id="Rc3e835387fd34949" /><Relationship Type="http://schemas.openxmlformats.org/officeDocument/2006/relationships/hyperlink" Target="https://www.mckinsey.com/" TargetMode="External" Id="R964f4f034dc6473e" /><Relationship Type="http://schemas.openxmlformats.org/officeDocument/2006/relationships/numbering" Target="/word/numbering.xml" Id="R7c383969e0094b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Stoica (2424781)</dc:creator>
  <keywords/>
  <dc:description/>
  <lastModifiedBy>Andrei Stoica (2424781)</lastModifiedBy>
  <revision>2</revision>
  <dcterms:created xsi:type="dcterms:W3CDTF">2026-06-25T09:52:50.7570853Z</dcterms:created>
  <dcterms:modified xsi:type="dcterms:W3CDTF">2026-06-25T10:29:10.6886225Z</dcterms:modified>
</coreProperties>
</file>