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DA86C" w14:textId="77777777" w:rsidR="000D7964" w:rsidRDefault="000D7964">
      <w:pPr>
        <w:rPr>
          <w:rFonts w:ascii="Times New Roman" w:eastAsia="Times New Roman" w:hAnsi="Times New Roman" w:cs="Times New Roman"/>
          <w:b/>
          <w:bCs/>
          <w:color w:val="000000"/>
          <w:sz w:val="24"/>
          <w:szCs w:val="24"/>
        </w:rPr>
      </w:pPr>
      <w:bookmarkStart w:id="0" w:name="_x2tgte36s84i" w:colFirst="0" w:colLast="0"/>
      <w:bookmarkEnd w:id="0"/>
    </w:p>
    <w:p w14:paraId="638FDCBF" w14:textId="77777777" w:rsidR="000D7964" w:rsidRDefault="000D7964">
      <w:pPr>
        <w:rPr>
          <w:rFonts w:ascii="Times New Roman" w:eastAsia="Times New Roman" w:hAnsi="Times New Roman" w:cs="Times New Roman"/>
          <w:b/>
          <w:bCs/>
          <w:color w:val="000000"/>
          <w:sz w:val="24"/>
          <w:szCs w:val="24"/>
        </w:rPr>
      </w:pPr>
    </w:p>
    <w:p w14:paraId="281FE0DD" w14:textId="77777777" w:rsidR="000D7964" w:rsidRDefault="000D7964">
      <w:pPr>
        <w:rPr>
          <w:rFonts w:ascii="Times New Roman" w:eastAsia="Times New Roman" w:hAnsi="Times New Roman" w:cs="Times New Roman"/>
          <w:b/>
          <w:bCs/>
          <w:color w:val="000000"/>
          <w:sz w:val="24"/>
          <w:szCs w:val="24"/>
        </w:rPr>
      </w:pPr>
    </w:p>
    <w:p w14:paraId="72FC4356" w14:textId="77777777" w:rsidR="000D7964" w:rsidRDefault="000D7964">
      <w:pPr>
        <w:rPr>
          <w:rFonts w:ascii="Times New Roman" w:eastAsia="Times New Roman" w:hAnsi="Times New Roman" w:cs="Times New Roman"/>
          <w:b/>
          <w:bCs/>
          <w:color w:val="000000"/>
          <w:sz w:val="24"/>
          <w:szCs w:val="24"/>
        </w:rPr>
      </w:pPr>
    </w:p>
    <w:p w14:paraId="49526C1D" w14:textId="77777777" w:rsidR="000D7964" w:rsidRDefault="000D7964">
      <w:pPr>
        <w:rPr>
          <w:rFonts w:ascii="Times New Roman" w:eastAsia="Times New Roman" w:hAnsi="Times New Roman" w:cs="Times New Roman"/>
          <w:b/>
          <w:bCs/>
          <w:color w:val="000000"/>
          <w:sz w:val="24"/>
          <w:szCs w:val="24"/>
        </w:rPr>
      </w:pPr>
    </w:p>
    <w:p w14:paraId="001069D5" w14:textId="77777777" w:rsidR="000D7964" w:rsidRDefault="000D7964">
      <w:pPr>
        <w:rPr>
          <w:rFonts w:ascii="Times New Roman" w:eastAsia="Times New Roman" w:hAnsi="Times New Roman" w:cs="Times New Roman"/>
          <w:b/>
          <w:bCs/>
          <w:color w:val="000000"/>
          <w:sz w:val="24"/>
          <w:szCs w:val="24"/>
        </w:rPr>
      </w:pPr>
    </w:p>
    <w:p w14:paraId="6964C3A4" w14:textId="77777777" w:rsidR="000D7964" w:rsidRDefault="000D7964" w:rsidP="000D7964">
      <w:pPr>
        <w:jc w:val="center"/>
        <w:rPr>
          <w:rFonts w:ascii="Times New Roman" w:eastAsia="Times New Roman" w:hAnsi="Times New Roman" w:cs="Times New Roman"/>
          <w:b/>
          <w:bCs/>
          <w:color w:val="000000"/>
          <w:sz w:val="24"/>
          <w:szCs w:val="24"/>
        </w:rPr>
      </w:pPr>
      <w:r>
        <w:rPr>
          <w:noProof/>
          <w:lang w:val="en-IN"/>
        </w:rPr>
        <w:drawing>
          <wp:inline distT="0" distB="0" distL="0" distR="0" wp14:anchorId="42FE75FC" wp14:editId="011C08E1">
            <wp:extent cx="3778250" cy="1619250"/>
            <wp:effectExtent l="38100" t="38100" r="31750" b="381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8250" cy="1619250"/>
                    </a:xfrm>
                    <a:prstGeom prst="rect">
                      <a:avLst/>
                    </a:prstGeom>
                    <a:ln w="38100" cap="sq">
                      <a:solidFill>
                        <a:srgbClr val="000000"/>
                      </a:solidFill>
                      <a:prstDash val="solid"/>
                      <a:miter lim="800000"/>
                    </a:ln>
                    <a:effectLst/>
                  </pic:spPr>
                </pic:pic>
              </a:graphicData>
            </a:graphic>
          </wp:inline>
        </w:drawing>
      </w:r>
    </w:p>
    <w:p w14:paraId="29D31D98" w14:textId="77777777" w:rsidR="000D7964" w:rsidRDefault="000D7964" w:rsidP="000D7964">
      <w:pPr>
        <w:jc w:val="center"/>
        <w:rPr>
          <w:rFonts w:ascii="Times New Roman" w:eastAsia="Times New Roman" w:hAnsi="Times New Roman" w:cs="Times New Roman"/>
          <w:b/>
          <w:bCs/>
          <w:color w:val="000000"/>
          <w:sz w:val="24"/>
          <w:szCs w:val="24"/>
        </w:rPr>
      </w:pPr>
    </w:p>
    <w:p w14:paraId="1487B05A" w14:textId="77777777" w:rsidR="000D7964" w:rsidRDefault="000D7964" w:rsidP="000D7964">
      <w:pPr>
        <w:jc w:val="center"/>
        <w:rPr>
          <w:rFonts w:ascii="Times New Roman" w:eastAsia="Times New Roman" w:hAnsi="Times New Roman" w:cs="Times New Roman"/>
          <w:b/>
          <w:bCs/>
          <w:color w:val="000000"/>
          <w:sz w:val="24"/>
          <w:szCs w:val="24"/>
        </w:rPr>
      </w:pPr>
    </w:p>
    <w:p w14:paraId="73B6F811" w14:textId="77777777" w:rsidR="000D7964" w:rsidRDefault="000D7964" w:rsidP="000D7964">
      <w:pPr>
        <w:jc w:val="center"/>
        <w:rPr>
          <w:rFonts w:ascii="Times New Roman" w:eastAsia="Times New Roman" w:hAnsi="Times New Roman" w:cs="Times New Roman"/>
          <w:b/>
          <w:bCs/>
          <w:color w:val="000000"/>
          <w:sz w:val="24"/>
          <w:szCs w:val="24"/>
        </w:rPr>
      </w:pPr>
    </w:p>
    <w:p w14:paraId="242551C1" w14:textId="14F4A44F" w:rsidR="000D7964" w:rsidRPr="000D7964" w:rsidRDefault="000D7964" w:rsidP="000D7964">
      <w:pPr>
        <w:spacing w:line="360" w:lineRule="auto"/>
        <w:jc w:val="center"/>
        <w:rPr>
          <w:rFonts w:ascii="Times New Roman" w:eastAsia="Times New Roman" w:hAnsi="Times New Roman" w:cs="Times New Roman"/>
          <w:b/>
          <w:bCs/>
          <w:color w:val="000000"/>
          <w:sz w:val="32"/>
          <w:szCs w:val="24"/>
        </w:rPr>
      </w:pPr>
      <w:r w:rsidRPr="000D7964">
        <w:rPr>
          <w:rFonts w:ascii="Times New Roman" w:eastAsia="Times New Roman" w:hAnsi="Times New Roman" w:cs="Times New Roman"/>
          <w:b/>
          <w:bCs/>
          <w:color w:val="000000"/>
          <w:sz w:val="32"/>
          <w:szCs w:val="24"/>
        </w:rPr>
        <w:t>PROGRAMME: MASTER OF BUSINESS ADMINISTRATION</w:t>
      </w:r>
    </w:p>
    <w:p w14:paraId="46BE19ED" w14:textId="057A0C53" w:rsidR="000D7964" w:rsidRPr="000D7964" w:rsidRDefault="000D7964" w:rsidP="000D7964">
      <w:pPr>
        <w:spacing w:line="360" w:lineRule="auto"/>
        <w:jc w:val="center"/>
        <w:rPr>
          <w:rFonts w:ascii="Times New Roman" w:eastAsia="Times New Roman" w:hAnsi="Times New Roman" w:cs="Times New Roman"/>
          <w:b/>
          <w:bCs/>
          <w:color w:val="000000"/>
          <w:sz w:val="32"/>
          <w:szCs w:val="24"/>
        </w:rPr>
      </w:pPr>
      <w:r w:rsidRPr="000D7964">
        <w:rPr>
          <w:rFonts w:ascii="Times New Roman" w:eastAsia="Times New Roman" w:hAnsi="Times New Roman" w:cs="Times New Roman"/>
          <w:b/>
          <w:bCs/>
          <w:color w:val="000000"/>
          <w:sz w:val="32"/>
          <w:szCs w:val="24"/>
        </w:rPr>
        <w:t>MODULE: HUMAN CAPITAL MANAGEMENT</w:t>
      </w:r>
    </w:p>
    <w:p w14:paraId="713E36A4" w14:textId="09C379B1" w:rsidR="000D7964" w:rsidRPr="000D7964" w:rsidRDefault="000D7964" w:rsidP="000D7964">
      <w:pPr>
        <w:spacing w:line="360" w:lineRule="auto"/>
        <w:jc w:val="center"/>
        <w:rPr>
          <w:rFonts w:ascii="Times New Roman" w:eastAsia="Times New Roman" w:hAnsi="Times New Roman" w:cs="Times New Roman"/>
          <w:b/>
          <w:bCs/>
          <w:color w:val="000000"/>
          <w:sz w:val="32"/>
          <w:szCs w:val="24"/>
        </w:rPr>
      </w:pPr>
      <w:r w:rsidRPr="000D7964">
        <w:rPr>
          <w:rFonts w:ascii="Times New Roman" w:eastAsia="Times New Roman" w:hAnsi="Times New Roman" w:cs="Times New Roman"/>
          <w:b/>
          <w:bCs/>
          <w:color w:val="000000"/>
          <w:sz w:val="32"/>
          <w:szCs w:val="24"/>
        </w:rPr>
        <w:t>MODULE CODE: LCMB7023</w:t>
      </w:r>
    </w:p>
    <w:p w14:paraId="29490638" w14:textId="79C8879B" w:rsidR="000D7964" w:rsidRDefault="000D7964" w:rsidP="000D7964">
      <w:pPr>
        <w:spacing w:line="360" w:lineRule="auto"/>
        <w:jc w:val="center"/>
        <w:rPr>
          <w:rFonts w:ascii="Times New Roman" w:eastAsia="Times New Roman" w:hAnsi="Times New Roman" w:cs="Times New Roman"/>
          <w:b/>
          <w:bCs/>
          <w:color w:val="000000"/>
          <w:sz w:val="32"/>
          <w:szCs w:val="24"/>
        </w:rPr>
      </w:pPr>
    </w:p>
    <w:p w14:paraId="1D0748F6" w14:textId="77777777" w:rsidR="000D7964" w:rsidRPr="000D7964" w:rsidRDefault="000D7964" w:rsidP="000D7964">
      <w:pPr>
        <w:spacing w:line="360" w:lineRule="auto"/>
        <w:jc w:val="center"/>
        <w:rPr>
          <w:rFonts w:ascii="Times New Roman" w:eastAsia="Times New Roman" w:hAnsi="Times New Roman" w:cs="Times New Roman"/>
          <w:b/>
          <w:bCs/>
          <w:color w:val="000000"/>
          <w:sz w:val="32"/>
          <w:szCs w:val="24"/>
        </w:rPr>
      </w:pPr>
    </w:p>
    <w:p w14:paraId="3B42BE92" w14:textId="77777777" w:rsidR="000D7964" w:rsidRDefault="000D7964" w:rsidP="000D7964">
      <w:pPr>
        <w:spacing w:line="360" w:lineRule="auto"/>
        <w:jc w:val="center"/>
        <w:rPr>
          <w:rFonts w:ascii="Times New Roman" w:eastAsia="Times New Roman" w:hAnsi="Times New Roman" w:cs="Times New Roman"/>
          <w:b/>
          <w:bCs/>
          <w:color w:val="000000"/>
          <w:sz w:val="32"/>
          <w:szCs w:val="24"/>
        </w:rPr>
      </w:pPr>
      <w:r w:rsidRPr="000D7964">
        <w:rPr>
          <w:rFonts w:ascii="Times New Roman" w:eastAsia="Times New Roman" w:hAnsi="Times New Roman" w:cs="Times New Roman"/>
          <w:b/>
          <w:bCs/>
          <w:color w:val="000000"/>
          <w:sz w:val="32"/>
          <w:szCs w:val="24"/>
        </w:rPr>
        <w:t>ASSIGNMENT TITLE: ASSESSMENT COMPONENT 1: INDIVIDUAL REPORT</w:t>
      </w:r>
    </w:p>
    <w:p w14:paraId="51330C0D" w14:textId="77777777" w:rsidR="000D7964" w:rsidRDefault="000D7964" w:rsidP="000D7964">
      <w:pPr>
        <w:spacing w:line="360" w:lineRule="auto"/>
        <w:rPr>
          <w:rFonts w:ascii="Times New Roman" w:eastAsia="Times New Roman" w:hAnsi="Times New Roman" w:cs="Times New Roman"/>
          <w:b/>
          <w:bCs/>
          <w:color w:val="000000"/>
          <w:sz w:val="24"/>
          <w:szCs w:val="24"/>
        </w:rPr>
      </w:pPr>
    </w:p>
    <w:p w14:paraId="058FFB70" w14:textId="77777777" w:rsidR="000D7964" w:rsidRDefault="000D7964" w:rsidP="000D7964">
      <w:pPr>
        <w:spacing w:line="360" w:lineRule="auto"/>
        <w:jc w:val="center"/>
        <w:rPr>
          <w:rFonts w:ascii="Times New Roman" w:eastAsia="Times New Roman" w:hAnsi="Times New Roman" w:cs="Times New Roman"/>
          <w:b/>
          <w:bCs/>
          <w:color w:val="000000"/>
          <w:sz w:val="24"/>
          <w:szCs w:val="24"/>
        </w:rPr>
      </w:pPr>
    </w:p>
    <w:p w14:paraId="4577F153" w14:textId="77777777" w:rsidR="000D7964" w:rsidRDefault="000D7964" w:rsidP="000D7964">
      <w:pPr>
        <w:spacing w:line="360" w:lineRule="auto"/>
        <w:jc w:val="center"/>
        <w:rPr>
          <w:rFonts w:ascii="Times New Roman" w:eastAsia="Times New Roman" w:hAnsi="Times New Roman" w:cs="Times New Roman"/>
          <w:b/>
          <w:bCs/>
          <w:color w:val="000000"/>
          <w:sz w:val="24"/>
          <w:szCs w:val="24"/>
        </w:rPr>
      </w:pPr>
    </w:p>
    <w:p w14:paraId="755FABC2" w14:textId="63305331" w:rsidR="000D7964" w:rsidRPr="000D7964" w:rsidRDefault="000D7964" w:rsidP="000D7964">
      <w:pPr>
        <w:spacing w:line="360" w:lineRule="auto"/>
        <w:jc w:val="center"/>
        <w:rPr>
          <w:rFonts w:ascii="Times New Roman" w:eastAsia="Times New Roman" w:hAnsi="Times New Roman" w:cs="Times New Roman"/>
          <w:b/>
          <w:bCs/>
          <w:color w:val="000000"/>
          <w:sz w:val="32"/>
          <w:szCs w:val="24"/>
        </w:rPr>
      </w:pPr>
      <w:r w:rsidRPr="000D7964">
        <w:rPr>
          <w:rFonts w:ascii="Times New Roman" w:eastAsia="Times New Roman" w:hAnsi="Times New Roman" w:cs="Times New Roman"/>
          <w:b/>
          <w:bCs/>
          <w:color w:val="000000"/>
          <w:sz w:val="32"/>
          <w:szCs w:val="24"/>
        </w:rPr>
        <w:t>STUDENT NAME:</w:t>
      </w:r>
      <w:r w:rsidR="00F97631">
        <w:rPr>
          <w:rFonts w:ascii="Times New Roman" w:eastAsia="Times New Roman" w:hAnsi="Times New Roman" w:cs="Times New Roman"/>
          <w:b/>
          <w:bCs/>
          <w:color w:val="000000"/>
          <w:sz w:val="32"/>
          <w:szCs w:val="24"/>
        </w:rPr>
        <w:t xml:space="preserve"> Gorasiya Vivekkumar </w:t>
      </w:r>
      <w:proofErr w:type="spellStart"/>
      <w:r w:rsidR="00F97631">
        <w:rPr>
          <w:rFonts w:ascii="Times New Roman" w:eastAsia="Times New Roman" w:hAnsi="Times New Roman" w:cs="Times New Roman"/>
          <w:b/>
          <w:bCs/>
          <w:color w:val="000000"/>
          <w:sz w:val="32"/>
          <w:szCs w:val="24"/>
        </w:rPr>
        <w:t>Kishorebhai</w:t>
      </w:r>
      <w:proofErr w:type="spellEnd"/>
    </w:p>
    <w:p w14:paraId="05DC865D" w14:textId="0F4F05FE" w:rsidR="000D7964" w:rsidRDefault="000D7964" w:rsidP="000D7964">
      <w:pPr>
        <w:spacing w:line="360" w:lineRule="auto"/>
        <w:jc w:val="center"/>
        <w:rPr>
          <w:rFonts w:ascii="Times New Roman" w:eastAsia="Times New Roman" w:hAnsi="Times New Roman" w:cs="Times New Roman"/>
          <w:b/>
          <w:bCs/>
          <w:color w:val="000000"/>
          <w:sz w:val="24"/>
          <w:szCs w:val="24"/>
        </w:rPr>
      </w:pPr>
      <w:r w:rsidRPr="000D7964">
        <w:rPr>
          <w:rFonts w:ascii="Times New Roman" w:eastAsia="Times New Roman" w:hAnsi="Times New Roman" w:cs="Times New Roman"/>
          <w:b/>
          <w:bCs/>
          <w:color w:val="000000"/>
          <w:sz w:val="32"/>
          <w:szCs w:val="24"/>
        </w:rPr>
        <w:t>STUDENT ID:</w:t>
      </w:r>
      <w:r w:rsidR="00F97631">
        <w:rPr>
          <w:rFonts w:ascii="Times New Roman" w:eastAsia="Times New Roman" w:hAnsi="Times New Roman" w:cs="Times New Roman"/>
          <w:b/>
          <w:bCs/>
          <w:color w:val="000000"/>
          <w:sz w:val="32"/>
          <w:szCs w:val="24"/>
        </w:rPr>
        <w:t xml:space="preserve"> 2542076</w:t>
      </w:r>
      <w:r>
        <w:rPr>
          <w:rFonts w:ascii="Times New Roman" w:eastAsia="Times New Roman" w:hAnsi="Times New Roman" w:cs="Times New Roman"/>
          <w:b/>
          <w:bCs/>
          <w:color w:val="000000"/>
          <w:sz w:val="24"/>
          <w:szCs w:val="24"/>
        </w:rPr>
        <w:br w:type="page"/>
      </w:r>
    </w:p>
    <w:sdt>
      <w:sdtPr>
        <w:rPr>
          <w:rFonts w:ascii="Arial" w:eastAsia="Arial" w:hAnsi="Arial" w:cs="Arial"/>
          <w:b/>
          <w:color w:val="auto"/>
          <w:sz w:val="22"/>
          <w:szCs w:val="22"/>
          <w:lang w:val="en-GB" w:eastAsia="en-IN"/>
        </w:rPr>
        <w:id w:val="-2133995"/>
        <w:docPartObj>
          <w:docPartGallery w:val="Table of Contents"/>
          <w:docPartUnique/>
        </w:docPartObj>
      </w:sdtPr>
      <w:sdtEndPr>
        <w:rPr>
          <w:bCs/>
          <w:noProof/>
        </w:rPr>
      </w:sdtEndPr>
      <w:sdtContent>
        <w:p w14:paraId="2284EC3A" w14:textId="3893249B" w:rsidR="000D7964" w:rsidRPr="000D7964" w:rsidRDefault="000D7964" w:rsidP="000D7964">
          <w:pPr>
            <w:pStyle w:val="TOCHeading"/>
            <w:spacing w:before="0" w:line="360" w:lineRule="auto"/>
            <w:jc w:val="center"/>
            <w:rPr>
              <w:rFonts w:ascii="Times New Roman" w:hAnsi="Times New Roman" w:cs="Times New Roman"/>
              <w:b/>
              <w:color w:val="auto"/>
              <w:sz w:val="24"/>
              <w:szCs w:val="24"/>
            </w:rPr>
          </w:pPr>
          <w:r w:rsidRPr="000D7964">
            <w:rPr>
              <w:rFonts w:ascii="Times New Roman" w:hAnsi="Times New Roman" w:cs="Times New Roman"/>
              <w:b/>
              <w:color w:val="auto"/>
              <w:sz w:val="24"/>
              <w:szCs w:val="24"/>
            </w:rPr>
            <w:t>Table of Contents</w:t>
          </w:r>
        </w:p>
        <w:p w14:paraId="7F5F2440" w14:textId="7EDE3C01"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r w:rsidRPr="000D7964">
            <w:rPr>
              <w:rFonts w:ascii="Times New Roman" w:hAnsi="Times New Roman" w:cs="Times New Roman"/>
              <w:sz w:val="24"/>
              <w:szCs w:val="24"/>
            </w:rPr>
            <w:fldChar w:fldCharType="begin"/>
          </w:r>
          <w:r w:rsidRPr="000D7964">
            <w:rPr>
              <w:rFonts w:ascii="Times New Roman" w:hAnsi="Times New Roman" w:cs="Times New Roman"/>
              <w:sz w:val="24"/>
              <w:szCs w:val="24"/>
            </w:rPr>
            <w:instrText xml:space="preserve"> TOC \o "1-3" \h \z \u </w:instrText>
          </w:r>
          <w:r w:rsidRPr="000D7964">
            <w:rPr>
              <w:rFonts w:ascii="Times New Roman" w:hAnsi="Times New Roman" w:cs="Times New Roman"/>
              <w:sz w:val="24"/>
              <w:szCs w:val="24"/>
            </w:rPr>
            <w:fldChar w:fldCharType="separate"/>
          </w:r>
          <w:hyperlink w:anchor="_Toc235038474" w:history="1">
            <w:r w:rsidRPr="000D7964">
              <w:rPr>
                <w:rStyle w:val="Hyperlink"/>
                <w:rFonts w:ascii="Times New Roman" w:hAnsi="Times New Roman" w:cs="Times New Roman"/>
                <w:noProof/>
                <w:sz w:val="24"/>
                <w:szCs w:val="24"/>
              </w:rPr>
              <w:t>Introduction</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_Toc235038474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3</w:t>
            </w:r>
            <w:r w:rsidRPr="000D7964">
              <w:rPr>
                <w:rFonts w:ascii="Times New Roman" w:hAnsi="Times New Roman" w:cs="Times New Roman"/>
                <w:noProof/>
                <w:webHidden/>
                <w:sz w:val="24"/>
                <w:szCs w:val="24"/>
              </w:rPr>
              <w:fldChar w:fldCharType="end"/>
            </w:r>
          </w:hyperlink>
        </w:p>
        <w:p w14:paraId="7FFEA874" w14:textId="65B3AC34"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75" w:history="1">
            <w:r w:rsidRPr="000D7964">
              <w:rPr>
                <w:rStyle w:val="Hyperlink"/>
                <w:rFonts w:ascii="Times New Roman" w:hAnsi="Times New Roman" w:cs="Times New Roman"/>
                <w:noProof/>
                <w:sz w:val="24"/>
                <w:szCs w:val="24"/>
              </w:rPr>
              <w:t>TASK A: Socialisation, Identity and Business Activism</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_Toc235038475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3</w:t>
            </w:r>
            <w:r w:rsidRPr="000D7964">
              <w:rPr>
                <w:rFonts w:ascii="Times New Roman" w:hAnsi="Times New Roman" w:cs="Times New Roman"/>
                <w:noProof/>
                <w:webHidden/>
                <w:sz w:val="24"/>
                <w:szCs w:val="24"/>
              </w:rPr>
              <w:fldChar w:fldCharType="end"/>
            </w:r>
          </w:hyperlink>
        </w:p>
        <w:p w14:paraId="6791580F" w14:textId="3FC62CED"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76" w:history="1">
            <w:r w:rsidRPr="000D7964">
              <w:rPr>
                <w:rStyle w:val="Hyperlink"/>
                <w:rFonts w:ascii="Times New Roman" w:hAnsi="Times New Roman" w:cs="Times New Roman"/>
                <w:noProof/>
                <w:sz w:val="24"/>
                <w:szCs w:val="24"/>
              </w:rPr>
              <w:t>Traditional Onboarding versus Strategic Organisational Socialisation</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_Toc235038476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3</w:t>
            </w:r>
            <w:r w:rsidRPr="000D7964">
              <w:rPr>
                <w:rFonts w:ascii="Times New Roman" w:hAnsi="Times New Roman" w:cs="Times New Roman"/>
                <w:noProof/>
                <w:webHidden/>
                <w:sz w:val="24"/>
                <w:szCs w:val="24"/>
              </w:rPr>
              <w:fldChar w:fldCharType="end"/>
            </w:r>
          </w:hyperlink>
        </w:p>
        <w:p w14:paraId="4DEC2345" w14:textId="73F0E173"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77" w:history="1">
            <w:r w:rsidRPr="000D7964">
              <w:rPr>
                <w:rStyle w:val="Hyperlink"/>
                <w:rFonts w:ascii="Times New Roman" w:hAnsi="Times New Roman" w:cs="Times New Roman"/>
                <w:noProof/>
                <w:sz w:val="24"/>
                <w:szCs w:val="24"/>
              </w:rPr>
              <w:t>A Structured Socialisation Framework for Helios</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_Toc235038477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4</w:t>
            </w:r>
            <w:r w:rsidRPr="000D7964">
              <w:rPr>
                <w:rFonts w:ascii="Times New Roman" w:hAnsi="Times New Roman" w:cs="Times New Roman"/>
                <w:noProof/>
                <w:webHidden/>
                <w:sz w:val="24"/>
                <w:szCs w:val="24"/>
              </w:rPr>
              <w:fldChar w:fldCharType="end"/>
            </w:r>
          </w:hyperlink>
        </w:p>
        <w:p w14:paraId="7711F683" w14:textId="65F92880"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78" w:history="1">
            <w:r w:rsidRPr="000D7964">
              <w:rPr>
                <w:rStyle w:val="Hyperlink"/>
                <w:rFonts w:ascii="Times New Roman" w:hAnsi="Times New Roman" w:cs="Times New Roman"/>
                <w:noProof/>
                <w:sz w:val="24"/>
                <w:szCs w:val="24"/>
              </w:rPr>
              <w:t>Cultivating Organisational Identity and the Business Activist Mindset</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_Toc235038478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4</w:t>
            </w:r>
            <w:r w:rsidRPr="000D7964">
              <w:rPr>
                <w:rFonts w:ascii="Times New Roman" w:hAnsi="Times New Roman" w:cs="Times New Roman"/>
                <w:noProof/>
                <w:webHidden/>
                <w:sz w:val="24"/>
                <w:szCs w:val="24"/>
              </w:rPr>
              <w:fldChar w:fldCharType="end"/>
            </w:r>
          </w:hyperlink>
        </w:p>
        <w:p w14:paraId="072B07BD" w14:textId="0C74CF37"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79" w:history="1">
            <w:r w:rsidRPr="000D7964">
              <w:rPr>
                <w:rStyle w:val="Hyperlink"/>
                <w:rFonts w:ascii="Times New Roman" w:hAnsi="Times New Roman" w:cs="Times New Roman"/>
                <w:noProof/>
                <w:sz w:val="24"/>
                <w:szCs w:val="24"/>
              </w:rPr>
              <w:t>TASK B: Job Design Strategy</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_Toc235038479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5</w:t>
            </w:r>
            <w:r w:rsidRPr="000D7964">
              <w:rPr>
                <w:rFonts w:ascii="Times New Roman" w:hAnsi="Times New Roman" w:cs="Times New Roman"/>
                <w:noProof/>
                <w:webHidden/>
                <w:sz w:val="24"/>
                <w:szCs w:val="24"/>
              </w:rPr>
              <w:fldChar w:fldCharType="end"/>
            </w:r>
          </w:hyperlink>
        </w:p>
        <w:p w14:paraId="18D492C9" w14:textId="3E647B9C"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0" w:history="1">
            <w:r w:rsidRPr="000D7964">
              <w:rPr>
                <w:rStyle w:val="Hyperlink"/>
                <w:rFonts w:ascii="Times New Roman" w:hAnsi="Times New Roman" w:cs="Times New Roman"/>
                <w:noProof/>
                <w:sz w:val="24"/>
                <w:szCs w:val="24"/>
              </w:rPr>
              <w:t>The Job Characteristics Model</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_Toc235038480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5</w:t>
            </w:r>
            <w:r w:rsidRPr="000D7964">
              <w:rPr>
                <w:rFonts w:ascii="Times New Roman" w:hAnsi="Times New Roman" w:cs="Times New Roman"/>
                <w:noProof/>
                <w:webHidden/>
                <w:sz w:val="24"/>
                <w:szCs w:val="24"/>
              </w:rPr>
              <w:fldChar w:fldCharType="end"/>
            </w:r>
          </w:hyperlink>
        </w:p>
        <w:p w14:paraId="2E0FFA8B" w14:textId="11142A04"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1" w:history="1">
            <w:r w:rsidRPr="000D7964">
              <w:rPr>
                <w:rStyle w:val="Hyperlink"/>
                <w:rFonts w:ascii="Times New Roman" w:hAnsi="Times New Roman" w:cs="Times New Roman"/>
                <w:noProof/>
                <w:sz w:val="24"/>
                <w:szCs w:val="24"/>
              </w:rPr>
              <w:t>Job Crafting Theory</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_Toc235038481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6</w:t>
            </w:r>
            <w:r w:rsidRPr="000D7964">
              <w:rPr>
                <w:rFonts w:ascii="Times New Roman" w:hAnsi="Times New Roman" w:cs="Times New Roman"/>
                <w:noProof/>
                <w:webHidden/>
                <w:sz w:val="24"/>
                <w:szCs w:val="24"/>
              </w:rPr>
              <w:fldChar w:fldCharType="end"/>
            </w:r>
          </w:hyperlink>
        </w:p>
        <w:p w14:paraId="360B71F3" w14:textId="6A60060C"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2" w:history="1">
            <w:r w:rsidRPr="000D7964">
              <w:rPr>
                <w:rStyle w:val="Hyperlink"/>
                <w:rFonts w:ascii="Times New Roman" w:hAnsi="Times New Roman" w:cs="Times New Roman"/>
                <w:noProof/>
                <w:sz w:val="24"/>
                <w:szCs w:val="24"/>
              </w:rPr>
              <w:t>Skills-Based Architecture and Internal Talent Marketplaces</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_Toc235038482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6</w:t>
            </w:r>
            <w:r w:rsidRPr="000D7964">
              <w:rPr>
                <w:rFonts w:ascii="Times New Roman" w:hAnsi="Times New Roman" w:cs="Times New Roman"/>
                <w:noProof/>
                <w:webHidden/>
                <w:sz w:val="24"/>
                <w:szCs w:val="24"/>
              </w:rPr>
              <w:fldChar w:fldCharType="end"/>
            </w:r>
          </w:hyperlink>
        </w:p>
        <w:p w14:paraId="701F4DBE" w14:textId="40021944"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3" w:history="1">
            <w:r w:rsidRPr="000D7964">
              <w:rPr>
                <w:rStyle w:val="Hyperlink"/>
                <w:rFonts w:ascii="Times New Roman" w:hAnsi="Times New Roman" w:cs="Times New Roman"/>
                <w:noProof/>
                <w:sz w:val="24"/>
                <w:szCs w:val="24"/>
              </w:rPr>
              <w:t>TASK C: Reflective Report</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_Toc235038483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7</w:t>
            </w:r>
            <w:r w:rsidRPr="000D7964">
              <w:rPr>
                <w:rFonts w:ascii="Times New Roman" w:hAnsi="Times New Roman" w:cs="Times New Roman"/>
                <w:noProof/>
                <w:webHidden/>
                <w:sz w:val="24"/>
                <w:szCs w:val="24"/>
              </w:rPr>
              <w:fldChar w:fldCharType="end"/>
            </w:r>
          </w:hyperlink>
        </w:p>
        <w:p w14:paraId="7BF66363" w14:textId="779CB1E8"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4" w:history="1">
            <w:r w:rsidRPr="000D7964">
              <w:rPr>
                <w:rStyle w:val="Hyperlink"/>
                <w:rFonts w:ascii="Times New Roman" w:hAnsi="Times New Roman" w:cs="Times New Roman"/>
                <w:noProof/>
                <w:sz w:val="24"/>
                <w:szCs w:val="24"/>
              </w:rPr>
              <w:t>AI as a Decision-Support Tool in HRM</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_Toc235038484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7</w:t>
            </w:r>
            <w:r w:rsidRPr="000D7964">
              <w:rPr>
                <w:rFonts w:ascii="Times New Roman" w:hAnsi="Times New Roman" w:cs="Times New Roman"/>
                <w:noProof/>
                <w:webHidden/>
                <w:sz w:val="24"/>
                <w:szCs w:val="24"/>
              </w:rPr>
              <w:fldChar w:fldCharType="end"/>
            </w:r>
          </w:hyperlink>
        </w:p>
        <w:p w14:paraId="364FC66D" w14:textId="2BC3DB1C" w:rsidR="000D7964" w:rsidRPr="000D7964" w:rsidRDefault="000D7964" w:rsidP="000D7964">
          <w:pPr>
            <w:pStyle w:val="TOC2"/>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5" w:history="1">
            <w:r w:rsidRPr="000D7964">
              <w:rPr>
                <w:rStyle w:val="Hyperlink"/>
                <w:rFonts w:ascii="Times New Roman" w:hAnsi="Times New Roman" w:cs="Times New Roman"/>
                <w:noProof/>
                <w:sz w:val="24"/>
                <w:szCs w:val="24"/>
              </w:rPr>
              <w:t>Personal Capability Development Plan</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_Toc235038485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7</w:t>
            </w:r>
            <w:r w:rsidRPr="000D7964">
              <w:rPr>
                <w:rFonts w:ascii="Times New Roman" w:hAnsi="Times New Roman" w:cs="Times New Roman"/>
                <w:noProof/>
                <w:webHidden/>
                <w:sz w:val="24"/>
                <w:szCs w:val="24"/>
              </w:rPr>
              <w:fldChar w:fldCharType="end"/>
            </w:r>
          </w:hyperlink>
        </w:p>
        <w:p w14:paraId="2D7C0802" w14:textId="449FFCB5"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6" w:history="1">
            <w:r w:rsidRPr="000D7964">
              <w:rPr>
                <w:rStyle w:val="Hyperlink"/>
                <w:rFonts w:ascii="Times New Roman" w:hAnsi="Times New Roman" w:cs="Times New Roman"/>
                <w:noProof/>
                <w:sz w:val="24"/>
                <w:szCs w:val="24"/>
              </w:rPr>
              <w:t>Conclusion</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_Toc235038486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8</w:t>
            </w:r>
            <w:r w:rsidRPr="000D7964">
              <w:rPr>
                <w:rFonts w:ascii="Times New Roman" w:hAnsi="Times New Roman" w:cs="Times New Roman"/>
                <w:noProof/>
                <w:webHidden/>
                <w:sz w:val="24"/>
                <w:szCs w:val="24"/>
              </w:rPr>
              <w:fldChar w:fldCharType="end"/>
            </w:r>
          </w:hyperlink>
        </w:p>
        <w:p w14:paraId="0A4C085A" w14:textId="428EEA46" w:rsidR="000D7964" w:rsidRPr="000D7964" w:rsidRDefault="000D7964" w:rsidP="000D7964">
          <w:pPr>
            <w:pStyle w:val="TOC1"/>
            <w:tabs>
              <w:tab w:val="right" w:leader="dot" w:pos="9019"/>
            </w:tabs>
            <w:spacing w:line="360" w:lineRule="auto"/>
            <w:jc w:val="center"/>
            <w:rPr>
              <w:rFonts w:ascii="Times New Roman" w:eastAsiaTheme="minorEastAsia" w:hAnsi="Times New Roman" w:cs="Times New Roman"/>
              <w:noProof/>
              <w:sz w:val="24"/>
              <w:szCs w:val="24"/>
              <w:lang w:val="en-IN"/>
            </w:rPr>
          </w:pPr>
          <w:hyperlink w:anchor="_Toc235038487" w:history="1">
            <w:r w:rsidRPr="000D7964">
              <w:rPr>
                <w:rStyle w:val="Hyperlink"/>
                <w:rFonts w:ascii="Times New Roman" w:hAnsi="Times New Roman" w:cs="Times New Roman"/>
                <w:noProof/>
                <w:sz w:val="24"/>
                <w:szCs w:val="24"/>
              </w:rPr>
              <w:t>Reference List</w:t>
            </w:r>
            <w:r w:rsidRPr="000D7964">
              <w:rPr>
                <w:rFonts w:ascii="Times New Roman" w:hAnsi="Times New Roman" w:cs="Times New Roman"/>
                <w:noProof/>
                <w:webHidden/>
                <w:sz w:val="24"/>
                <w:szCs w:val="24"/>
              </w:rPr>
              <w:tab/>
            </w:r>
            <w:r w:rsidRPr="000D7964">
              <w:rPr>
                <w:rFonts w:ascii="Times New Roman" w:hAnsi="Times New Roman" w:cs="Times New Roman"/>
                <w:noProof/>
                <w:webHidden/>
                <w:sz w:val="24"/>
                <w:szCs w:val="24"/>
              </w:rPr>
              <w:fldChar w:fldCharType="begin"/>
            </w:r>
            <w:r w:rsidRPr="000D7964">
              <w:rPr>
                <w:rFonts w:ascii="Times New Roman" w:hAnsi="Times New Roman" w:cs="Times New Roman"/>
                <w:noProof/>
                <w:webHidden/>
                <w:sz w:val="24"/>
                <w:szCs w:val="24"/>
              </w:rPr>
              <w:instrText xml:space="preserve"> PAGEREF _Toc235038487 \h </w:instrText>
            </w:r>
            <w:r w:rsidRPr="000D7964">
              <w:rPr>
                <w:rFonts w:ascii="Times New Roman" w:hAnsi="Times New Roman" w:cs="Times New Roman"/>
                <w:noProof/>
                <w:webHidden/>
                <w:sz w:val="24"/>
                <w:szCs w:val="24"/>
              </w:rPr>
            </w:r>
            <w:r w:rsidRPr="000D7964">
              <w:rPr>
                <w:rFonts w:ascii="Times New Roman" w:hAnsi="Times New Roman" w:cs="Times New Roman"/>
                <w:noProof/>
                <w:webHidden/>
                <w:sz w:val="24"/>
                <w:szCs w:val="24"/>
              </w:rPr>
              <w:fldChar w:fldCharType="separate"/>
            </w:r>
            <w:r w:rsidRPr="000D7964">
              <w:rPr>
                <w:rFonts w:ascii="Times New Roman" w:hAnsi="Times New Roman" w:cs="Times New Roman"/>
                <w:noProof/>
                <w:webHidden/>
                <w:sz w:val="24"/>
                <w:szCs w:val="24"/>
              </w:rPr>
              <w:t>9</w:t>
            </w:r>
            <w:r w:rsidRPr="000D7964">
              <w:rPr>
                <w:rFonts w:ascii="Times New Roman" w:hAnsi="Times New Roman" w:cs="Times New Roman"/>
                <w:noProof/>
                <w:webHidden/>
                <w:sz w:val="24"/>
                <w:szCs w:val="24"/>
              </w:rPr>
              <w:fldChar w:fldCharType="end"/>
            </w:r>
          </w:hyperlink>
        </w:p>
        <w:p w14:paraId="60673C1E" w14:textId="4C76A9DB" w:rsidR="000D7964" w:rsidRDefault="000D7964" w:rsidP="000D7964">
          <w:pPr>
            <w:spacing w:line="360" w:lineRule="auto"/>
            <w:jc w:val="center"/>
          </w:pPr>
          <w:r w:rsidRPr="000D7964">
            <w:rPr>
              <w:rFonts w:ascii="Times New Roman" w:hAnsi="Times New Roman" w:cs="Times New Roman"/>
              <w:b/>
              <w:bCs/>
              <w:noProof/>
              <w:sz w:val="24"/>
              <w:szCs w:val="24"/>
            </w:rPr>
            <w:fldChar w:fldCharType="end"/>
          </w:r>
        </w:p>
      </w:sdtContent>
    </w:sdt>
    <w:p w14:paraId="254C1A5A" w14:textId="77777777" w:rsidR="000D7964" w:rsidRDefault="000D7964">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14:paraId="00000001" w14:textId="16B7D3FC" w:rsidR="00FB6482" w:rsidRPr="000D7964" w:rsidRDefault="00F64B88" w:rsidP="000D7964">
      <w:pPr>
        <w:pStyle w:val="Heading1"/>
      </w:pPr>
      <w:bookmarkStart w:id="1" w:name="_Toc235038474"/>
      <w:r w:rsidRPr="000D7964">
        <w:lastRenderedPageBreak/>
        <w:t>Introduction</w:t>
      </w:r>
      <w:bookmarkEnd w:id="1"/>
    </w:p>
    <w:p w14:paraId="00000002"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Helios Urban Mobility (HUM), a European smart-transport start-up, has 450 employees in London, Berlin, and Singapore. Yet, after five years of growth, the organisation is also grappling with three key human capital issues: the time it takes employees to become productive is on average eight months, while the average employee engagement rate is 54% and the rate of high-performing graduate attrition remains high. This report is an external Strategic Human Capital Advisor (SHCA) addressing each challenge with three intertwined tasks: creating a strategic socialisation framework, offering a job design strategy to tackle this challenge, and presenting a critical reflection on the role of Artificial Intelligence (AI) as a decision-support tool in contemporary HRM practice.</w:t>
      </w:r>
      <w:r>
        <w:rPr>
          <w:rFonts w:ascii="Times New Roman" w:eastAsia="Times New Roman" w:hAnsi="Times New Roman" w:cs="Times New Roman"/>
          <w:sz w:val="24"/>
          <w:szCs w:val="24"/>
        </w:rPr>
        <w:t xml:space="preserve"> </w:t>
      </w:r>
    </w:p>
    <w:p w14:paraId="00000003" w14:textId="77777777" w:rsidR="00FB6482" w:rsidRPr="000D7964" w:rsidRDefault="00F64B88" w:rsidP="000D7964">
      <w:pPr>
        <w:pStyle w:val="Heading1"/>
      </w:pPr>
      <w:bookmarkStart w:id="2" w:name="_grznie1wygvi" w:colFirst="0" w:colLast="0"/>
      <w:bookmarkStart w:id="3" w:name="_Toc235038475"/>
      <w:bookmarkEnd w:id="2"/>
      <w:r w:rsidRPr="000D7964">
        <w:t>TASK A: Socialisation, Identity and Business Activism</w:t>
      </w:r>
      <w:bookmarkEnd w:id="3"/>
    </w:p>
    <w:p w14:paraId="00000004" w14:textId="77777777" w:rsidR="00FB6482" w:rsidRPr="000D7964" w:rsidRDefault="00F64B88" w:rsidP="000D7964">
      <w:pPr>
        <w:pStyle w:val="Heading2"/>
      </w:pPr>
      <w:bookmarkStart w:id="4" w:name="_ausj0p4rka1" w:colFirst="0" w:colLast="0"/>
      <w:bookmarkStart w:id="5" w:name="_Toc235038476"/>
      <w:bookmarkEnd w:id="4"/>
      <w:r w:rsidRPr="000D7964">
        <w:t>Traditional Onboarding versus Strategic Organisational Socialisation</w:t>
      </w:r>
      <w:bookmarkEnd w:id="5"/>
    </w:p>
    <w:p w14:paraId="00000005" w14:textId="142A24C1"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In the past, onboarding was thought of as a sort of short and quick administrative induction, a series of paperwork, IT access and a facility tour. Such an action is based on a fundamental lack of sufficient design and engagement, and at the core of it is the need to develop the deeper organisational commitment that Helios requires. In another systematic study on formal onboarding programmes in professional organisations, </w:t>
      </w:r>
      <w:proofErr w:type="spellStart"/>
      <w:r>
        <w:rPr>
          <w:rFonts w:ascii="Times New Roman" w:eastAsia="Times New Roman" w:hAnsi="Times New Roman" w:cs="Times New Roman"/>
          <w:sz w:val="23"/>
          <w:szCs w:val="23"/>
        </w:rPr>
        <w:t>Frögéli</w:t>
      </w:r>
      <w:proofErr w:type="spellEnd"/>
      <w:r>
        <w:rPr>
          <w:rFonts w:ascii="Times New Roman" w:eastAsia="Times New Roman" w:hAnsi="Times New Roman" w:cs="Times New Roman"/>
          <w:sz w:val="23"/>
          <w:szCs w:val="23"/>
        </w:rPr>
        <w:t xml:space="preserve">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(2023) found that formal onboarding programmes characterised by sequential steps and increasing social integration over time have particularly strong effects on lessening newcomer uncertainty, speeding </w:t>
      </w:r>
      <w:r w:rsidR="00A35E15">
        <w:rPr>
          <w:rFonts w:ascii="Times New Roman" w:eastAsia="Times New Roman" w:hAnsi="Times New Roman" w:cs="Times New Roman"/>
          <w:sz w:val="23"/>
          <w:szCs w:val="23"/>
        </w:rPr>
        <w:t>newcomers’</w:t>
      </w:r>
      <w:r>
        <w:rPr>
          <w:rFonts w:ascii="Times New Roman" w:eastAsia="Times New Roman" w:hAnsi="Times New Roman" w:cs="Times New Roman"/>
          <w:sz w:val="23"/>
          <w:szCs w:val="23"/>
        </w:rPr>
        <w:t xml:space="preserve"> role mastery, and increasing retention. More importantly, they identified and distinguished the two processes: onboarding as a one-off event, and organisational socialisation as a gradual developmental process that individuals go through in which they internalize norms, values, and identity.</w:t>
      </w:r>
    </w:p>
    <w:p w14:paraId="00000006" w14:textId="26DFC8D3"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Van Maanen and Schein (1979) are still very important in understanding how it works. They classify their tactics as collective and individual, formal and informal, sequential and random, and investiture and divestiture, which offers a design approach. Helios: The approach is collective, formal, and sequential, in which new employees are added to a group, the groups are programmed, and the groups are gradually moved to manage changes in their role. In a thorough review of the literature, including 452 studies on “onboarding,” Didion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found that the key processes of successful or unsuccessful onboarding nowadays relate to psychological contracts, newcomer proactivity, and building relational networks. </w:t>
      </w:r>
    </w:p>
    <w:p w14:paraId="00000007" w14:textId="7A8A9D66"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 xml:space="preserve">According to the theory of psychological contracts (first systematised by Rousseau, 1989), an employee believes that each member of the client has some expectations or requirements that the other must fulfil. With the tendency to commit and engage increasing as these commitments are met, the tendency to disengage and leave the ranks becomes equally swift if these commitments are violated, at least in one's perception. Ngobeni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(2022), in a South African major bank </w:t>
      </w:r>
      <w:r>
        <w:rPr>
          <w:rFonts w:ascii="Times New Roman" w:eastAsia="Times New Roman" w:hAnsi="Times New Roman" w:cs="Times New Roman"/>
          <w:sz w:val="23"/>
          <w:szCs w:val="23"/>
        </w:rPr>
        <w:lastRenderedPageBreak/>
        <w:t>context-based qualitative study, have found a direct and positive relationship between psychological contract fulfilment and employee engagement and trust, organisational loyalty. In Helios' case, where engagement is already low at 54%, this indicates that development prospects, freedom, and organisational mission may not always be what employees were offered when they were recruited to the company. Therefore, there is a need to make the psychological contracts a conscious and explicit HRM practice.</w:t>
      </w:r>
    </w:p>
    <w:p w14:paraId="00000008" w14:textId="77777777" w:rsidR="00FB6482" w:rsidRPr="000D7964" w:rsidRDefault="00F64B88" w:rsidP="000D7964">
      <w:pPr>
        <w:pStyle w:val="Heading2"/>
      </w:pPr>
      <w:bookmarkStart w:id="6" w:name="_iywaygi2fkpi" w:colFirst="0" w:colLast="0"/>
      <w:bookmarkStart w:id="7" w:name="_Toc235038477"/>
      <w:bookmarkEnd w:id="6"/>
      <w:r w:rsidRPr="000D7964">
        <w:t>A Structured Socialisation Framework for Helios</w:t>
      </w:r>
      <w:bookmarkEnd w:id="7"/>
    </w:p>
    <w:p w14:paraId="00000009"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Pre-boarding (Offer Acceptance to Day 1):</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Helios should send tailored welcome packs, assign virtual ‘buddies’ and give early access to internal tools and info for their roles. This phase is used to identify the organisation and minimise the confusion and uncertainty with which young people usually join their new employers.</w:t>
      </w:r>
    </w:p>
    <w:p w14:paraId="0000000A" w14:textId="58C60AB8"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First 90 Days:</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 xml:space="preserve">A cohort-based structured programme should be adopted and include weekly check-ins with line managers, exposure to other parts of the business through internal panels and bi-weekly psychological contract check-ins. </w:t>
      </w:r>
      <w:proofErr w:type="spellStart"/>
      <w:r>
        <w:rPr>
          <w:rFonts w:ascii="Times New Roman" w:eastAsia="Times New Roman" w:hAnsi="Times New Roman" w:cs="Times New Roman"/>
          <w:sz w:val="23"/>
          <w:szCs w:val="23"/>
        </w:rPr>
        <w:t>Frögéli</w:t>
      </w:r>
      <w:proofErr w:type="spellEnd"/>
      <w:r>
        <w:rPr>
          <w:rFonts w:ascii="Times New Roman" w:eastAsia="Times New Roman" w:hAnsi="Times New Roman" w:cs="Times New Roman"/>
          <w:sz w:val="23"/>
          <w:szCs w:val="23"/>
        </w:rPr>
        <w:t xml:space="preserve">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(2023) state that this time frame is the most critical in terms of a lack of newcomer engagement due to a high level of role ambiguity and cultural disassociation.</w:t>
      </w:r>
      <w:r>
        <w:rPr>
          <w:rFonts w:ascii="Times New Roman" w:eastAsia="Times New Roman" w:hAnsi="Times New Roman" w:cs="Times New Roman"/>
          <w:sz w:val="24"/>
          <w:szCs w:val="24"/>
        </w:rPr>
        <w:t xml:space="preserve"> </w:t>
      </w:r>
    </w:p>
    <w:p w14:paraId="0000000B" w14:textId="56D54BB8"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 One:</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 xml:space="preserve">A system of progressive responsibility assignment, stretch assignments based on individual </w:t>
      </w:r>
      <w:r w:rsidR="00A35E15">
        <w:rPr>
          <w:rFonts w:ascii="Times New Roman" w:eastAsia="Times New Roman" w:hAnsi="Times New Roman" w:cs="Times New Roman"/>
          <w:sz w:val="23"/>
          <w:szCs w:val="23"/>
        </w:rPr>
        <w:t>strengths, and</w:t>
      </w:r>
      <w:r>
        <w:rPr>
          <w:rFonts w:ascii="Times New Roman" w:eastAsia="Times New Roman" w:hAnsi="Times New Roman" w:cs="Times New Roman"/>
          <w:sz w:val="23"/>
          <w:szCs w:val="23"/>
        </w:rPr>
        <w:t xml:space="preserve"> quarterly talent reviews should be in place in the whole process. </w:t>
      </w:r>
      <w:proofErr w:type="spellStart"/>
      <w:r>
        <w:rPr>
          <w:rFonts w:ascii="Times New Roman" w:eastAsia="Times New Roman" w:hAnsi="Times New Roman" w:cs="Times New Roman"/>
          <w:sz w:val="23"/>
          <w:szCs w:val="23"/>
        </w:rPr>
        <w:t>Kaliannan</w:t>
      </w:r>
      <w:proofErr w:type="spellEnd"/>
      <w:r>
        <w:rPr>
          <w:rFonts w:ascii="Times New Roman" w:eastAsia="Times New Roman" w:hAnsi="Times New Roman" w:cs="Times New Roman"/>
          <w:sz w:val="23"/>
          <w:szCs w:val="23"/>
        </w:rPr>
        <w:t xml:space="preserve">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(2023) found that Inclusive Talent Development, linking individual talent development with strategic organizational goals, is linked to retention and sustained performance. Helios should clearly connect milestones in year 1 with the ambition of bringing about transformation in urban mobility with AI on the global market.</w:t>
      </w:r>
      <w:r>
        <w:rPr>
          <w:rFonts w:ascii="Times New Roman" w:eastAsia="Times New Roman" w:hAnsi="Times New Roman" w:cs="Times New Roman"/>
          <w:sz w:val="24"/>
          <w:szCs w:val="24"/>
        </w:rPr>
        <w:t xml:space="preserve"> </w:t>
      </w:r>
    </w:p>
    <w:p w14:paraId="0000000C" w14:textId="77777777" w:rsidR="00FB6482" w:rsidRPr="000D7964" w:rsidRDefault="00F64B88" w:rsidP="000D7964">
      <w:pPr>
        <w:pStyle w:val="Heading2"/>
      </w:pPr>
      <w:bookmarkStart w:id="8" w:name="_6qis9exlawul" w:colFirst="0" w:colLast="0"/>
      <w:bookmarkStart w:id="9" w:name="_Toc235038478"/>
      <w:bookmarkEnd w:id="8"/>
      <w:r w:rsidRPr="000D7964">
        <w:t>Cultivating Organisational Identity and the Business Activist Mindset</w:t>
      </w:r>
      <w:bookmarkEnd w:id="9"/>
    </w:p>
    <w:p w14:paraId="0000000D" w14:textId="17ABDC99"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One of the strongest psychological tools to help employee retention is organisational identification: the sense of belonging an employee has as a member of the organisation. In this regard, Sinisterra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validated, via systematic review, that organisations with rather structured talent management processes achieve higher employee engagement and considerably lower turnover intention, especially among high-potential new graduates.</w:t>
      </w:r>
    </w:p>
    <w:p w14:paraId="0000000F" w14:textId="5CA6E598" w:rsidR="00FB6482" w:rsidRPr="00A35E15"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Business activism is an idea that brings the identity of the organization to a wider work and values-based attitude. The business activist, as defined by Ulrich (1997) with his increasingly expanded model of the role of the HR business partner</w:t>
      </w:r>
      <w:r w:rsidR="00A35E15">
        <w:rPr>
          <w:rFonts w:ascii="Times New Roman" w:eastAsia="Times New Roman" w:hAnsi="Times New Roman" w:cs="Times New Roman"/>
          <w:sz w:val="23"/>
          <w:szCs w:val="23"/>
        </w:rPr>
        <w:t xml:space="preserve"> </w:t>
      </w:r>
      <w:r>
        <w:rPr>
          <w:rFonts w:ascii="Times New Roman" w:eastAsia="Times New Roman" w:hAnsi="Times New Roman" w:cs="Times New Roman"/>
          <w:sz w:val="23"/>
          <w:szCs w:val="23"/>
        </w:rPr>
        <w:t xml:space="preserve">changed from administrative expert to strategic partner to today's purposeful catalyst for ethical, stakeholder, and socially responsible outcomes- uses his or her professional role to promote ethical, stakeholder, and socially responsible outcomes. </w:t>
      </w:r>
      <w:r w:rsidR="00A35E15">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 xml:space="preserve">One of the strongest psychological tools to help employee retention is organisational identification: the sense of belonging an employee has as a member of the organisation. In this regard, Sinisterra </w:t>
      </w:r>
      <w:r w:rsidR="00A35E15" w:rsidRPr="00A35E15">
        <w:rPr>
          <w:rFonts w:ascii="Times New Roman" w:eastAsia="Times New Roman" w:hAnsi="Times New Roman" w:cs="Times New Roman"/>
          <w:i/>
          <w:sz w:val="23"/>
          <w:szCs w:val="23"/>
        </w:rPr>
        <w:t xml:space="preserve">et </w:t>
      </w:r>
      <w:r w:rsidR="00A35E15" w:rsidRPr="00A35E15">
        <w:rPr>
          <w:rFonts w:ascii="Times New Roman" w:eastAsia="Times New Roman" w:hAnsi="Times New Roman" w:cs="Times New Roman"/>
          <w:i/>
          <w:sz w:val="23"/>
          <w:szCs w:val="23"/>
        </w:rPr>
        <w:lastRenderedPageBreak/>
        <w:t>al.,</w:t>
      </w:r>
      <w:r>
        <w:rPr>
          <w:rFonts w:ascii="Times New Roman" w:eastAsia="Times New Roman" w:hAnsi="Times New Roman" w:cs="Times New Roman"/>
          <w:sz w:val="23"/>
          <w:szCs w:val="23"/>
        </w:rPr>
        <w:t xml:space="preserve"> (2024) validated, via systematic review, that organisations with rather structured talent management processes achieve higher employee engagement and considerably lower turnover intention, especially among high-potential new graduates.</w:t>
      </w:r>
    </w:p>
    <w:p w14:paraId="00000010" w14:textId="0F5ABBB5"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Business activism is an idea that brings the identity of the organization to a wider work and values-based attitude. The business activist, as defined by Ulrich (1997) with his increasingly expanded model of the role of the HR business partner changed from administrative expert to strategic partner to today's purposeful catalyst for ethical, stakeholder, and socially responsible outcomes, is using his or her professional role to promote ethical, stakeholder, and socially responsible outcomes. A workforce that believes in the vital role their contributions play in creating healthy and vibrant, well-connected, resilient, and sustainable communities is more likely to have the strong commitment Helios is currently lacking to the change.</w:t>
      </w:r>
      <w:r>
        <w:rPr>
          <w:rFonts w:ascii="Times New Roman" w:eastAsia="Times New Roman" w:hAnsi="Times New Roman" w:cs="Times New Roman"/>
          <w:sz w:val="24"/>
          <w:szCs w:val="24"/>
        </w:rPr>
        <w:t xml:space="preserve"> </w:t>
      </w:r>
    </w:p>
    <w:p w14:paraId="00000011" w14:textId="77777777" w:rsidR="00FB6482" w:rsidRDefault="00F64B88" w:rsidP="000D7964">
      <w:pPr>
        <w:pStyle w:val="Heading1"/>
      </w:pPr>
      <w:bookmarkStart w:id="10" w:name="_hoay0xgvc4je" w:colFirst="0" w:colLast="0"/>
      <w:bookmarkStart w:id="11" w:name="_Toc235038479"/>
      <w:bookmarkEnd w:id="10"/>
      <w:r>
        <w:t>TASK B: Job Design Strategy</w:t>
      </w:r>
      <w:bookmarkEnd w:id="11"/>
    </w:p>
    <w:p w14:paraId="00000012" w14:textId="77777777" w:rsidR="00FB6482" w:rsidRPr="000D7964" w:rsidRDefault="00F64B88" w:rsidP="000D7964">
      <w:pPr>
        <w:pStyle w:val="Heading2"/>
      </w:pPr>
      <w:bookmarkStart w:id="12" w:name="_yf69bfp9gi63" w:colFirst="0" w:colLast="0"/>
      <w:bookmarkStart w:id="13" w:name="_Toc235038480"/>
      <w:bookmarkEnd w:id="12"/>
      <w:r w:rsidRPr="000D7964">
        <w:t>The Job Characteristics Model</w:t>
      </w:r>
      <w:bookmarkEnd w:id="13"/>
    </w:p>
    <w:p w14:paraId="00000013" w14:textId="4D10158C"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Hackman and Oldham (1976) theorized that there were five core dimensions of a job (skill variety, task identity, task significance, autonomy, and feedback) that resulted in three important psychological states (experienced meaningfulness, experienced responsibility, and knowledge of results). These states combined create intrinsic motivation, job satisfaction, and continued performance. In the largest meta-analysis to date, Holman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identified 58 independent samples comprising more than 20,000 employees and found that direct changes in task resources that map directly to the JCM dimensions led to significant positive increases in the well-being and positive job attitudes of employees. </w:t>
      </w:r>
    </w:p>
    <w:p w14:paraId="00000014"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All roles need to be scored for Helios along the five JCM dimensions and get a Motivating Potential Score. For instance, in the transport sector, data scientists and transport engineers should have a high degree of autonomy, should be able to see their models and infrastructure applied in real-life smart city applications (task identity and significance), and should be provided feedback from the city government clients and other multi-disciplinary project teams in an organised fashion. Helios' current engagement deficit means that when roles score below threshold on the MPS they should be put on a list for urgent action, such as promotion to project-based roles, client-facing roles, mentoring or similar.</w:t>
      </w:r>
      <w:r>
        <w:rPr>
          <w:rFonts w:ascii="Times New Roman" w:eastAsia="Times New Roman" w:hAnsi="Times New Roman" w:cs="Times New Roman"/>
          <w:sz w:val="24"/>
          <w:szCs w:val="24"/>
        </w:rPr>
        <w:t xml:space="preserve"> </w:t>
      </w:r>
    </w:p>
    <w:p w14:paraId="00000015" w14:textId="722817B9"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Hackman and Oldham (1976) theorized that there were five core dimensions of a job (skill variety, task identity, task significance, autonomy and feedback) that resulted in three important psychological states (experienced meaningfulness, experienced responsibility and knowledge of results). These states combined create intrinsic motivation, job satisfaction, and continued performance. In the largest meta-analysis to date, Holman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identified 58 independent samples comprising more than 20,000 employees and found that direct changes in task resources </w:t>
      </w:r>
      <w:r>
        <w:rPr>
          <w:rFonts w:ascii="Times New Roman" w:eastAsia="Times New Roman" w:hAnsi="Times New Roman" w:cs="Times New Roman"/>
          <w:sz w:val="23"/>
          <w:szCs w:val="23"/>
        </w:rPr>
        <w:lastRenderedPageBreak/>
        <w:t xml:space="preserve">that map directly to the JCM dimensions led to significant positive increases in the well-being and positive job attitudes of employees. </w:t>
      </w:r>
    </w:p>
    <w:p w14:paraId="00000016"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All roles need to be scored for Helios along the five JCM dimensions and get a Motivating Potential Score. For instance, in the transport sector, data scientists and transport engineers should have a high degree of autonomy, should be able to see their models and infrastructure applied in real-life smart city applications (task identity and significance), and should be provided feedback from the city government clients and other multi-disciplinary project teams in an organised fashion. Helios' current engagement deficit means that when roles score below threshold on the MPS they should be put on a list for urgent action, such as promotion to project-based roles, client facing roles, mentoring or similar.</w:t>
      </w:r>
      <w:r>
        <w:rPr>
          <w:rFonts w:ascii="Times New Roman" w:eastAsia="Times New Roman" w:hAnsi="Times New Roman" w:cs="Times New Roman"/>
          <w:sz w:val="24"/>
          <w:szCs w:val="24"/>
        </w:rPr>
        <w:t xml:space="preserve"> </w:t>
      </w:r>
    </w:p>
    <w:p w14:paraId="00000017" w14:textId="77777777" w:rsidR="00FB6482" w:rsidRPr="000D7964" w:rsidRDefault="00F64B88" w:rsidP="000D7964">
      <w:pPr>
        <w:pStyle w:val="Heading2"/>
      </w:pPr>
      <w:bookmarkStart w:id="14" w:name="_p4bpuw77kdln" w:colFirst="0" w:colLast="0"/>
      <w:bookmarkStart w:id="15" w:name="_Toc235038481"/>
      <w:bookmarkEnd w:id="14"/>
      <w:r w:rsidRPr="000D7964">
        <w:t>Job Crafting Theory</w:t>
      </w:r>
      <w:bookmarkEnd w:id="15"/>
    </w:p>
    <w:p w14:paraId="00000018" w14:textId="33A11096"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While the JCM offers a managerially “top-down”, perspective of job redesign, Job Crafting theory (</w:t>
      </w:r>
      <w:proofErr w:type="spellStart"/>
      <w:r>
        <w:rPr>
          <w:rFonts w:ascii="Times New Roman" w:eastAsia="Times New Roman" w:hAnsi="Times New Roman" w:cs="Times New Roman"/>
          <w:sz w:val="23"/>
          <w:szCs w:val="23"/>
        </w:rPr>
        <w:t>Wrzesniewski</w:t>
      </w:r>
      <w:proofErr w:type="spellEnd"/>
      <w:r>
        <w:rPr>
          <w:rFonts w:ascii="Times New Roman" w:eastAsia="Times New Roman" w:hAnsi="Times New Roman" w:cs="Times New Roman"/>
          <w:sz w:val="23"/>
          <w:szCs w:val="23"/>
        </w:rPr>
        <w:t xml:space="preserve"> &amp; Dutton, 2001) acknowledges that job reshaping could also be initiated by employees themselves. Job crafting involves proactively changing the functional scope, boundaries, or relationships, and mental models or representations of one's job as a way to suit it to his/her interests, values, and strengths. In particular, across their 302-strong knowledge worker sample in China, Song &amp; Jo (2023) showed that an autonomous motivational orientation towards job crafting is highly positively associated with innovative behaviour</w:t>
      </w:r>
      <w:r w:rsidR="00A35E15">
        <w:rPr>
          <w:rFonts w:ascii="Times New Roman" w:eastAsia="Times New Roman" w:hAnsi="Times New Roman" w:cs="Times New Roman"/>
          <w:sz w:val="23"/>
          <w:szCs w:val="23"/>
        </w:rPr>
        <w:t xml:space="preserve">, </w:t>
      </w:r>
      <w:r>
        <w:rPr>
          <w:rFonts w:ascii="Times New Roman" w:eastAsia="Times New Roman" w:hAnsi="Times New Roman" w:cs="Times New Roman"/>
          <w:sz w:val="23"/>
          <w:szCs w:val="23"/>
        </w:rPr>
        <w:t xml:space="preserve">a factor that is of major importance for Helios' ability to build a competitive advantage for the company by remaining innovative through ongoing AI advancements. In addition, Güçlü Nergiz and </w:t>
      </w:r>
      <w:proofErr w:type="spellStart"/>
      <w:r>
        <w:rPr>
          <w:rFonts w:ascii="Times New Roman" w:eastAsia="Times New Roman" w:hAnsi="Times New Roman" w:cs="Times New Roman"/>
          <w:sz w:val="23"/>
          <w:szCs w:val="23"/>
        </w:rPr>
        <w:t>Unsal</w:t>
      </w:r>
      <w:proofErr w:type="spellEnd"/>
      <w:r>
        <w:rPr>
          <w:rFonts w:ascii="Times New Roman" w:eastAsia="Times New Roman" w:hAnsi="Times New Roman" w:cs="Times New Roman"/>
          <w:sz w:val="23"/>
          <w:szCs w:val="23"/>
        </w:rPr>
        <w:t>-Akbiyik (2024) determined that both task performance and perceived future employability are positively mediated by job crafting, two of which are key for Helios' graduate talent pipeline to stay in the company and motivate them.</w:t>
      </w:r>
    </w:p>
    <w:p w14:paraId="00000019"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Helios should make job crafting a habit by building in structured conversations at quarterly performance reviews. Structural changes are needed to support employees to broaden the scope of their work to include aspects of intrinsic interest (task crafting), strengthen relationships with individual cross-functional personnel and organizational supporters or customers outside their immediate work unit (relational crafting), and change how they think about their contribution to daily operations in the context of the larger goal of urban mobility (cognitive crafting). This is especially strong in a mission-driven, purpose organization where everyone can visualize the meaning for society of what they are doing.</w:t>
      </w:r>
      <w:r>
        <w:rPr>
          <w:rFonts w:ascii="Times New Roman" w:eastAsia="Times New Roman" w:hAnsi="Times New Roman" w:cs="Times New Roman"/>
          <w:sz w:val="24"/>
          <w:szCs w:val="24"/>
        </w:rPr>
        <w:t xml:space="preserve"> </w:t>
      </w:r>
    </w:p>
    <w:p w14:paraId="0000001A" w14:textId="77777777" w:rsidR="00FB6482" w:rsidRPr="000D7964" w:rsidRDefault="00F64B88" w:rsidP="000D7964">
      <w:pPr>
        <w:pStyle w:val="Heading2"/>
      </w:pPr>
      <w:bookmarkStart w:id="16" w:name="_mlo4d4wpgw5y" w:colFirst="0" w:colLast="0"/>
      <w:bookmarkStart w:id="17" w:name="_Toc235038482"/>
      <w:bookmarkEnd w:id="16"/>
      <w:r w:rsidRPr="000D7964">
        <w:t>Skills-Based Architecture and Internal Talent Marketplaces</w:t>
      </w:r>
      <w:bookmarkEnd w:id="17"/>
    </w:p>
    <w:p w14:paraId="0000001B" w14:textId="026811A5"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Helios' third axis of job design intervention is to move from role-based employment to a more flexible skills-based one. Based on this, </w:t>
      </w:r>
      <w:proofErr w:type="spellStart"/>
      <w:r>
        <w:rPr>
          <w:rFonts w:ascii="Times New Roman" w:eastAsia="Times New Roman" w:hAnsi="Times New Roman" w:cs="Times New Roman"/>
          <w:sz w:val="23"/>
          <w:szCs w:val="23"/>
        </w:rPr>
        <w:t>Kaliannan</w:t>
      </w:r>
      <w:proofErr w:type="spellEnd"/>
      <w:r>
        <w:rPr>
          <w:rFonts w:ascii="Times New Roman" w:eastAsia="Times New Roman" w:hAnsi="Times New Roman" w:cs="Times New Roman"/>
          <w:sz w:val="23"/>
          <w:szCs w:val="23"/>
        </w:rPr>
        <w:t xml:space="preserve">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(2023) delineated the importance of inclusive talent development, flexible skills frameworks that focus on the individual instead of the </w:t>
      </w:r>
      <w:r>
        <w:rPr>
          <w:rFonts w:ascii="Times New Roman" w:eastAsia="Times New Roman" w:hAnsi="Times New Roman" w:cs="Times New Roman"/>
          <w:sz w:val="23"/>
          <w:szCs w:val="23"/>
        </w:rPr>
        <w:lastRenderedPageBreak/>
        <w:t xml:space="preserve">job title as a strategy of companies competing in knowledge-intensive and fast-paced industries. As to Helios, HRM practices relevant to the field were found to be a significant predictor of work engagement as well as reduced turnover intention by Salunkhe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in their study on HRM practices in IT companies.</w:t>
      </w:r>
    </w:p>
    <w:p w14:paraId="0000001C" w14:textId="6B5141A0"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Helios should create a system that unites talents in their company but fosters the development of talents and matches them with cross-functional projects and rotations to learning pathways and mentoring opportunities in all three of its global hubs. This will untie organisational silos between these three cities (London, Berlin, Singapore), offer visible and tailored career paths for the high-potential graduates, and enable Helios to tap existing talent within the organisation rather than engage in risky and expensive external recruitment. Further, structured investment in internal talent correlates strongly and consistently with increased engagement and decreased attrition, which is consistent with evidence found by Sinisterra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and is an evidence-based strategic investment direction for Helios.</w:t>
      </w:r>
    </w:p>
    <w:p w14:paraId="0000001E" w14:textId="77777777" w:rsidR="00FB6482" w:rsidRDefault="00F64B88" w:rsidP="000D7964">
      <w:pPr>
        <w:pStyle w:val="Heading1"/>
      </w:pPr>
      <w:bookmarkStart w:id="18" w:name="_q40c8ttwpvpo" w:colFirst="0" w:colLast="0"/>
      <w:bookmarkStart w:id="19" w:name="_Toc235038483"/>
      <w:bookmarkEnd w:id="18"/>
      <w:r>
        <w:t>TASK C: Reflective Report</w:t>
      </w:r>
      <w:bookmarkEnd w:id="19"/>
    </w:p>
    <w:p w14:paraId="0000001F" w14:textId="77777777" w:rsidR="00FB6482" w:rsidRPr="000D7964" w:rsidRDefault="00F64B88" w:rsidP="000D7964">
      <w:pPr>
        <w:pStyle w:val="Heading2"/>
      </w:pPr>
      <w:bookmarkStart w:id="20" w:name="_li8shg5kpc2y" w:colFirst="0" w:colLast="0"/>
      <w:bookmarkStart w:id="21" w:name="_Toc235038484"/>
      <w:bookmarkEnd w:id="20"/>
      <w:r w:rsidRPr="000D7964">
        <w:t>AI as a Decision-Support Tool in HRM</w:t>
      </w:r>
      <w:bookmarkEnd w:id="21"/>
    </w:p>
    <w:p w14:paraId="00000020" w14:textId="062A1521"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AI technologies are making their way quickly and permanently into all aspects of HCM, from recruiting and engagement analytics to predictive attrition modelling to performance evaluation. However, AI's potential positive impact on human resource management (HRM) comes with its own set of challenges, as described by Fenwick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in</w:t>
      </w:r>
      <w:r w:rsidR="00A35E15">
        <w:rPr>
          <w:rFonts w:ascii="Times New Roman" w:eastAsia="Times New Roman" w:hAnsi="Times New Roman" w:cs="Times New Roman"/>
          <w:sz w:val="23"/>
          <w:szCs w:val="23"/>
        </w:rPr>
        <w:t xml:space="preserve"> </w:t>
      </w:r>
      <w:r>
        <w:rPr>
          <w:rFonts w:ascii="Times New Roman" w:eastAsia="Times New Roman" w:hAnsi="Times New Roman" w:cs="Times New Roman"/>
          <w:sz w:val="23"/>
          <w:szCs w:val="23"/>
        </w:rPr>
        <w:t xml:space="preserve">an </w:t>
      </w:r>
      <w:r w:rsidR="00A35E15">
        <w:rPr>
          <w:rFonts w:ascii="Times New Roman" w:eastAsia="Times New Roman" w:hAnsi="Times New Roman" w:cs="Times New Roman"/>
          <w:sz w:val="23"/>
          <w:szCs w:val="23"/>
        </w:rPr>
        <w:t>avant-garde</w:t>
      </w:r>
      <w:r>
        <w:rPr>
          <w:rFonts w:ascii="Times New Roman" w:eastAsia="Times New Roman" w:hAnsi="Times New Roman" w:cs="Times New Roman"/>
          <w:sz w:val="23"/>
          <w:szCs w:val="23"/>
        </w:rPr>
        <w:t xml:space="preserve"> and thoroughly probing look at the role of AI in HRM, which cautioned that a failure to consider human issues in the design and use of AI systems threatens sustainable and ethical HRM. </w:t>
      </w:r>
    </w:p>
    <w:p w14:paraId="00000021" w14:textId="17794711" w:rsidR="00FB6482" w:rsidRDefault="00F64B88" w:rsidP="000D7964">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AI is going to be a key part of my professional practice; it will help me glean early signs of disengagement, prevent skills gaps from turning into attrition. Yet, Du (2024) has pointed out the considerable moral and legal hurdles for AI in HRM, such as possible algorithmic bias (affected by biased training datasets), incompleteness of transparency in AI-driven HR decisions, and severe data security issues (especially regarding GDPR). AI-powered shortlisting algorithms could inadvertently and consistently discriminate against people of underrepresented groups if they are statistically trained with data from talent pools with a similar demographic.</w:t>
      </w:r>
    </w:p>
    <w:p w14:paraId="00000022" w14:textId="250F0A6F"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Therefore, my approach will be everything AI but purely human-in-the-loop: AI should be used to provide insights and to uncover patterns, but not to make consequential HR decisions</w:t>
      </w:r>
      <w:r w:rsidR="00A35E15">
        <w:rPr>
          <w:rFonts w:ascii="Times New Roman" w:eastAsia="Times New Roman" w:hAnsi="Times New Roman" w:cs="Times New Roman"/>
          <w:sz w:val="23"/>
          <w:szCs w:val="23"/>
        </w:rPr>
        <w:t>.</w:t>
      </w:r>
      <w:r>
        <w:rPr>
          <w:rFonts w:ascii="Times New Roman" w:eastAsia="Times New Roman" w:hAnsi="Times New Roman" w:cs="Times New Roman"/>
          <w:sz w:val="23"/>
          <w:szCs w:val="23"/>
        </w:rPr>
        <w:t xml:space="preserve"> This falls in line with growing consensus, as Tawfik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established that the organisations obtaining best results in terms of human resources are the ones that are strategically balancing algorithmic effectiveness and human oversight, avoiding delegating the authority to make decisions to algorithms.</w:t>
      </w:r>
      <w:r>
        <w:rPr>
          <w:rFonts w:ascii="Times New Roman" w:eastAsia="Times New Roman" w:hAnsi="Times New Roman" w:cs="Times New Roman"/>
          <w:sz w:val="24"/>
          <w:szCs w:val="24"/>
        </w:rPr>
        <w:t xml:space="preserve"> </w:t>
      </w:r>
    </w:p>
    <w:p w14:paraId="00000023" w14:textId="77777777" w:rsidR="00FB6482" w:rsidRPr="000D7964" w:rsidRDefault="00F64B88" w:rsidP="000D7964">
      <w:pPr>
        <w:pStyle w:val="Heading2"/>
      </w:pPr>
      <w:bookmarkStart w:id="22" w:name="_3yf7jhxbsa9m" w:colFirst="0" w:colLast="0"/>
      <w:bookmarkStart w:id="23" w:name="_Toc235038485"/>
      <w:bookmarkEnd w:id="22"/>
      <w:r w:rsidRPr="000D7964">
        <w:t>Personal Capability Development Plan</w:t>
      </w:r>
      <w:bookmarkEnd w:id="23"/>
    </w:p>
    <w:p w14:paraId="00000024"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lastRenderedPageBreak/>
        <w:t>In a growing AI-augmented world, I've found four aspects I need to work on to be a more successful Strategic Human Capital Advisor:</w:t>
      </w:r>
    </w:p>
    <w:p w14:paraId="00000025"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 Literacy:</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I'll strive to become certified in people analytics and HR data, gaining the necessary skills to question and not just take at face value what AI can produce. This means building operational knowledge and understanding of the limitations of models, and the situations where a predictive system may give incorrect results.</w:t>
      </w:r>
      <w:r>
        <w:rPr>
          <w:rFonts w:ascii="Times New Roman" w:eastAsia="Times New Roman" w:hAnsi="Times New Roman" w:cs="Times New Roman"/>
          <w:sz w:val="24"/>
          <w:szCs w:val="24"/>
        </w:rPr>
        <w:t xml:space="preserve"> </w:t>
      </w:r>
    </w:p>
    <w:p w14:paraId="00000026" w14:textId="425BB64F"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AI Augmentation in HR:</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 xml:space="preserve">I will be able to learn how to use the key AI technologies in different aspects of HRM such as hiring automation systems, predictive engagement tools, and sentiment analysis engines, and how to systematically assess their ethical considerations. According to Fenwick </w:t>
      </w:r>
      <w:r w:rsidR="00A35E15" w:rsidRPr="00A35E15">
        <w:rPr>
          <w:rFonts w:ascii="Times New Roman" w:eastAsia="Times New Roman" w:hAnsi="Times New Roman" w:cs="Times New Roman"/>
          <w:i/>
          <w:sz w:val="23"/>
          <w:szCs w:val="23"/>
        </w:rPr>
        <w:t>et al.,</w:t>
      </w:r>
      <w:r>
        <w:rPr>
          <w:rFonts w:ascii="Times New Roman" w:eastAsia="Times New Roman" w:hAnsi="Times New Roman" w:cs="Times New Roman"/>
          <w:sz w:val="23"/>
          <w:szCs w:val="23"/>
        </w:rPr>
        <w:t xml:space="preserve"> (2024), HR professionals need to be co-architects of the AI deployment process, making sure to integrate human values from the beginning of technological systems instead of after that.</w:t>
      </w:r>
      <w:r>
        <w:rPr>
          <w:rFonts w:ascii="Times New Roman" w:eastAsia="Times New Roman" w:hAnsi="Times New Roman" w:cs="Times New Roman"/>
          <w:sz w:val="24"/>
          <w:szCs w:val="24"/>
        </w:rPr>
        <w:t xml:space="preserve"> </w:t>
      </w:r>
    </w:p>
    <w:p w14:paraId="00000027" w14:textId="77777777"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Influencing Skills:</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Board executives and top management must be able to communicate and articulate evidence-based human capital recommendations and compelling, commercially-driven business stories. This will be done via executive leadership programmes, scenario-based advisory simulations and structured engagement with stakeholders.</w:t>
      </w:r>
      <w:r>
        <w:rPr>
          <w:rFonts w:ascii="Times New Roman" w:eastAsia="Times New Roman" w:hAnsi="Times New Roman" w:cs="Times New Roman"/>
          <w:sz w:val="24"/>
          <w:szCs w:val="24"/>
        </w:rPr>
        <w:t xml:space="preserve"> </w:t>
      </w:r>
    </w:p>
    <w:p w14:paraId="00000028" w14:textId="69278CF6"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Global Mobility Awareness:</w:t>
      </w:r>
      <w:r>
        <w:rPr>
          <w:rFonts w:ascii="Times New Roman" w:eastAsia="Times New Roman" w:hAnsi="Times New Roman" w:cs="Times New Roman"/>
          <w:sz w:val="24"/>
          <w:szCs w:val="24"/>
        </w:rPr>
        <w:t xml:space="preserve"> </w:t>
      </w:r>
      <w:r>
        <w:rPr>
          <w:rFonts w:ascii="Times New Roman" w:eastAsia="Times New Roman" w:hAnsi="Times New Roman" w:cs="Times New Roman"/>
          <w:sz w:val="23"/>
          <w:szCs w:val="23"/>
        </w:rPr>
        <w:t>I will develop a deeper knowledge of cross-cultural HRM, employment law across different countries, as well as about global talent mobility, given the multinational nature of organisations like Helios. Exhibiting to talent globally, inclusive talent development approaches (which consider workforce, cultural and legal differences across markets) are now more critical than ever</w:t>
      </w:r>
      <w:r w:rsidR="00A35E15">
        <w:rPr>
          <w:rFonts w:ascii="Times New Roman" w:eastAsia="Times New Roman" w:hAnsi="Times New Roman" w:cs="Times New Roman"/>
          <w:sz w:val="23"/>
          <w:szCs w:val="23"/>
        </w:rPr>
        <w:t xml:space="preserve">. </w:t>
      </w:r>
      <w:r>
        <w:rPr>
          <w:rFonts w:ascii="Times New Roman" w:eastAsia="Times New Roman" w:hAnsi="Times New Roman" w:cs="Times New Roman"/>
          <w:sz w:val="24"/>
          <w:szCs w:val="24"/>
        </w:rPr>
        <w:t xml:space="preserve"> </w:t>
      </w:r>
    </w:p>
    <w:p w14:paraId="00000029" w14:textId="77777777" w:rsidR="00FB6482" w:rsidRDefault="00F64B88" w:rsidP="000D7964">
      <w:pPr>
        <w:pStyle w:val="Heading1"/>
      </w:pPr>
      <w:bookmarkStart w:id="24" w:name="_oqc8xws6vqqh" w:colFirst="0" w:colLast="0"/>
      <w:bookmarkStart w:id="25" w:name="_Toc235038486"/>
      <w:bookmarkEnd w:id="24"/>
      <w:r>
        <w:t>Conclusion</w:t>
      </w:r>
      <w:bookmarkEnd w:id="25"/>
    </w:p>
    <w:p w14:paraId="0000002A" w14:textId="4E11BD52" w:rsidR="00FB6482" w:rsidRDefault="00F64B88" w:rsidP="000D79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This report has introduced a strategically consistent human capital system for Helios Urban Mobility. Task A put forward a categorised socialisation process based on ideas from Van Maanen and Schein (1979), and Rousseau (1989), and plans to develop the traits of organisational identification and the business activist mindset. Task B presented a three-pronged approach to job design based on the Job Characteristics Model, the theory of job crafting, and an in-house talent marketplace based on skills, focused directly on engagement and at the same time reducing attrition. Task C explored and doubts the use of AI as a tool to support decision-making and outlines a personal capability development strategy focused on being data literate, augmenting AI ethically, influencing strategy, and mobility on a global scale. All of these recommendations put in place a solid, evidence-driven set of guidelines to guide Helios' efforts to create a dedicated, innovative, and strategically agile human capital foundation.</w:t>
      </w:r>
      <w:r>
        <w:rPr>
          <w:rFonts w:ascii="Times New Roman" w:eastAsia="Times New Roman" w:hAnsi="Times New Roman" w:cs="Times New Roman"/>
          <w:sz w:val="24"/>
          <w:szCs w:val="24"/>
        </w:rPr>
        <w:t xml:space="preserve"> </w:t>
      </w:r>
    </w:p>
    <w:p w14:paraId="1998BFAB" w14:textId="13FDC489" w:rsidR="00913DFE" w:rsidRDefault="00913DFE" w:rsidP="000D796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9698534" w14:textId="773A1470" w:rsidR="00913DFE" w:rsidRDefault="00913DFE" w:rsidP="000D7964">
      <w:pPr>
        <w:pStyle w:val="Heading1"/>
      </w:pPr>
      <w:bookmarkStart w:id="26" w:name="_Toc235038487"/>
      <w:r>
        <w:lastRenderedPageBreak/>
        <w:t>Reference List</w:t>
      </w:r>
      <w:bookmarkEnd w:id="26"/>
    </w:p>
    <w:p w14:paraId="69FDC1AE" w14:textId="77777777" w:rsidR="00913DFE" w:rsidRDefault="00913DFE" w:rsidP="000D7964">
      <w:pPr>
        <w:pStyle w:val="font-claude-response-body"/>
        <w:spacing w:before="0" w:beforeAutospacing="0" w:after="0" w:afterAutospacing="0" w:line="360" w:lineRule="auto"/>
        <w:jc w:val="both"/>
      </w:pPr>
      <w:r>
        <w:t xml:space="preserve">Didion, E., Perello-Marin, M.R., Catala-Perez, D. and Ambrosius, U. (2024) 'Mapping the organizational socialization and onboarding literature: a bibliometric analysis of the field', </w:t>
      </w:r>
      <w:r>
        <w:rPr>
          <w:rStyle w:val="Emphasis"/>
        </w:rPr>
        <w:t>Cogent Business &amp; Management</w:t>
      </w:r>
      <w:r>
        <w:t xml:space="preserve">, 11(1), 2337957. </w:t>
      </w:r>
      <w:hyperlink r:id="rId8" w:history="1">
        <w:r>
          <w:rPr>
            <w:rStyle w:val="Hyperlink"/>
          </w:rPr>
          <w:t>https://doi.org/10.1080/23311975.2024.2337957</w:t>
        </w:r>
      </w:hyperlink>
    </w:p>
    <w:p w14:paraId="46FC0F12" w14:textId="77777777" w:rsidR="00913DFE" w:rsidRDefault="00913DFE" w:rsidP="000D7964">
      <w:pPr>
        <w:pStyle w:val="font-claude-response-body"/>
        <w:spacing w:before="0" w:beforeAutospacing="0" w:after="0" w:afterAutospacing="0" w:line="360" w:lineRule="auto"/>
        <w:jc w:val="both"/>
      </w:pPr>
      <w:r>
        <w:t xml:space="preserve">Du, J. (2024) 'Ethical and legal challenges of AI in human resource management', </w:t>
      </w:r>
      <w:r>
        <w:rPr>
          <w:rStyle w:val="Emphasis"/>
        </w:rPr>
        <w:t>Journal of Computing and Electronic Information Management</w:t>
      </w:r>
      <w:r>
        <w:t xml:space="preserve">, 13(2), pp. 71–77. </w:t>
      </w:r>
      <w:hyperlink r:id="rId9" w:history="1">
        <w:r>
          <w:rPr>
            <w:rStyle w:val="Hyperlink"/>
          </w:rPr>
          <w:t>https://doi.org/10.54097/83j64ub9</w:t>
        </w:r>
      </w:hyperlink>
    </w:p>
    <w:p w14:paraId="4EDAFDBB" w14:textId="77777777" w:rsidR="00913DFE" w:rsidRDefault="00913DFE" w:rsidP="000D7964">
      <w:pPr>
        <w:pStyle w:val="font-claude-response-body"/>
        <w:spacing w:before="0" w:beforeAutospacing="0" w:after="0" w:afterAutospacing="0" w:line="360" w:lineRule="auto"/>
        <w:jc w:val="both"/>
      </w:pPr>
      <w:r>
        <w:t xml:space="preserve">Fenwick, A., Molnar, G. and Frangos, P. (2024) 'Revisiting the role of HR in the age of AI: bringing humans and machines closer together in the workplace', </w:t>
      </w:r>
      <w:r>
        <w:rPr>
          <w:rStyle w:val="Emphasis"/>
        </w:rPr>
        <w:t>Frontiers in Artificial Intelligence</w:t>
      </w:r>
      <w:r>
        <w:t xml:space="preserve">, 6, 1272823. </w:t>
      </w:r>
      <w:hyperlink r:id="rId10" w:history="1">
        <w:r>
          <w:rPr>
            <w:rStyle w:val="Hyperlink"/>
          </w:rPr>
          <w:t>https://doi.org/10.3389/frai.2023.1272823</w:t>
        </w:r>
      </w:hyperlink>
    </w:p>
    <w:p w14:paraId="4244C0C1" w14:textId="77777777" w:rsidR="00913DFE" w:rsidRDefault="00913DFE" w:rsidP="000D7964">
      <w:pPr>
        <w:pStyle w:val="font-claude-response-body"/>
        <w:spacing w:before="0" w:beforeAutospacing="0" w:after="0" w:afterAutospacing="0" w:line="360" w:lineRule="auto"/>
        <w:jc w:val="both"/>
      </w:pPr>
      <w:proofErr w:type="spellStart"/>
      <w:r>
        <w:t>Frögéli</w:t>
      </w:r>
      <w:proofErr w:type="spellEnd"/>
      <w:r>
        <w:t xml:space="preserve">, E., Jenner, B. and Gustavsson, P. (2023) 'Effectiveness of formal onboarding for facilitating organizational socialization: a systematic review', </w:t>
      </w:r>
      <w:proofErr w:type="spellStart"/>
      <w:r>
        <w:rPr>
          <w:rStyle w:val="Emphasis"/>
        </w:rPr>
        <w:t>PLoS</w:t>
      </w:r>
      <w:proofErr w:type="spellEnd"/>
      <w:r>
        <w:rPr>
          <w:rStyle w:val="Emphasis"/>
        </w:rPr>
        <w:t xml:space="preserve"> ONE</w:t>
      </w:r>
      <w:r>
        <w:t xml:space="preserve">, 18(2), e0281823. </w:t>
      </w:r>
      <w:hyperlink r:id="rId11" w:history="1">
        <w:r>
          <w:rPr>
            <w:rStyle w:val="Hyperlink"/>
          </w:rPr>
          <w:t>https://doi.org/10.1371/journal.pone.0281823</w:t>
        </w:r>
      </w:hyperlink>
    </w:p>
    <w:p w14:paraId="62A39370" w14:textId="77777777" w:rsidR="00913DFE" w:rsidRDefault="00913DFE" w:rsidP="000D7964">
      <w:pPr>
        <w:pStyle w:val="font-claude-response-body"/>
        <w:spacing w:before="0" w:beforeAutospacing="0" w:after="0" w:afterAutospacing="0" w:line="360" w:lineRule="auto"/>
        <w:jc w:val="both"/>
      </w:pPr>
      <w:r>
        <w:t xml:space="preserve">Güçlü Nergiz, H. and </w:t>
      </w:r>
      <w:proofErr w:type="spellStart"/>
      <w:r>
        <w:t>Unsal</w:t>
      </w:r>
      <w:proofErr w:type="spellEnd"/>
      <w:r>
        <w:t xml:space="preserve">-Akbiyik, B.S. (2024) 'Job crafting, task performance, and employability: the role of work engagement', </w:t>
      </w:r>
      <w:r>
        <w:rPr>
          <w:rStyle w:val="Emphasis"/>
        </w:rPr>
        <w:t>SAGE Open</w:t>
      </w:r>
      <w:r>
        <w:t xml:space="preserve">, 14(3). </w:t>
      </w:r>
      <w:hyperlink r:id="rId12" w:history="1">
        <w:r>
          <w:rPr>
            <w:rStyle w:val="Hyperlink"/>
          </w:rPr>
          <w:t>https://doi.org/10.1177/21582440241271125</w:t>
        </w:r>
      </w:hyperlink>
    </w:p>
    <w:p w14:paraId="385C1C09" w14:textId="77777777" w:rsidR="00913DFE" w:rsidRDefault="00913DFE" w:rsidP="000D7964">
      <w:pPr>
        <w:pStyle w:val="font-claude-response-body"/>
        <w:spacing w:before="0" w:beforeAutospacing="0" w:after="0" w:afterAutospacing="0" w:line="360" w:lineRule="auto"/>
        <w:jc w:val="both"/>
      </w:pPr>
      <w:r>
        <w:t xml:space="preserve">Hackman, J.R. and Oldham, G.R. (1976) 'Motivation through the design of work: test of a theory', </w:t>
      </w:r>
      <w:r>
        <w:rPr>
          <w:rStyle w:val="Emphasis"/>
        </w:rPr>
        <w:t xml:space="preserve">Organizational </w:t>
      </w:r>
      <w:proofErr w:type="spellStart"/>
      <w:r>
        <w:rPr>
          <w:rStyle w:val="Emphasis"/>
        </w:rPr>
        <w:t>Behavior</w:t>
      </w:r>
      <w:proofErr w:type="spellEnd"/>
      <w:r>
        <w:rPr>
          <w:rStyle w:val="Emphasis"/>
        </w:rPr>
        <w:t xml:space="preserve"> and Human Performance</w:t>
      </w:r>
      <w:r>
        <w:t xml:space="preserve">, 16(2), pp. 250–279. </w:t>
      </w:r>
      <w:hyperlink r:id="rId13" w:history="1">
        <w:r>
          <w:rPr>
            <w:rStyle w:val="Hyperlink"/>
          </w:rPr>
          <w:t>https://doi.org/10.1016/0030-5073(76)90016-7</w:t>
        </w:r>
      </w:hyperlink>
    </w:p>
    <w:p w14:paraId="40AC51C6" w14:textId="77777777" w:rsidR="00913DFE" w:rsidRDefault="00913DFE" w:rsidP="000D7964">
      <w:pPr>
        <w:pStyle w:val="font-claude-response-body"/>
        <w:spacing w:before="0" w:beforeAutospacing="0" w:after="0" w:afterAutospacing="0" w:line="360" w:lineRule="auto"/>
        <w:jc w:val="both"/>
      </w:pPr>
      <w:r>
        <w:t xml:space="preserve">Holman, D., Escaffi-Schwarz, M., Vasquez, C.A., Irmer, J.P. and Zapf, D. (2024) 'Does job crafting affect employee outcomes via job characteristics? A meta-analytic test of a key job crafting mechanism', </w:t>
      </w:r>
      <w:r>
        <w:rPr>
          <w:rStyle w:val="Emphasis"/>
        </w:rPr>
        <w:t>Journal of Occupational and Organizational Psychology</w:t>
      </w:r>
      <w:r>
        <w:t xml:space="preserve">, 97(1), pp. 47–73. </w:t>
      </w:r>
      <w:hyperlink r:id="rId14" w:history="1">
        <w:r>
          <w:rPr>
            <w:rStyle w:val="Hyperlink"/>
          </w:rPr>
          <w:t>https://doi.org/10.1111/joop.12450</w:t>
        </w:r>
      </w:hyperlink>
    </w:p>
    <w:p w14:paraId="2DC9DDDD" w14:textId="77777777" w:rsidR="00913DFE" w:rsidRDefault="00913DFE" w:rsidP="000D7964">
      <w:pPr>
        <w:pStyle w:val="font-claude-response-body"/>
        <w:spacing w:before="0" w:beforeAutospacing="0" w:after="0" w:afterAutospacing="0" w:line="360" w:lineRule="auto"/>
        <w:jc w:val="both"/>
      </w:pPr>
      <w:proofErr w:type="spellStart"/>
      <w:r>
        <w:t>Kaliannan</w:t>
      </w:r>
      <w:proofErr w:type="spellEnd"/>
      <w:r>
        <w:t xml:space="preserve">, M., </w:t>
      </w:r>
      <w:proofErr w:type="spellStart"/>
      <w:r>
        <w:t>Darmalinggam</w:t>
      </w:r>
      <w:proofErr w:type="spellEnd"/>
      <w:r>
        <w:t xml:space="preserve">, D., Dorasamy, M. and Abraham, M. (2023) 'Inclusive talent development as a key talent management approach: a systematic literature review', </w:t>
      </w:r>
      <w:r>
        <w:rPr>
          <w:rStyle w:val="Emphasis"/>
        </w:rPr>
        <w:t>Human Resource Management Review</w:t>
      </w:r>
      <w:r>
        <w:t xml:space="preserve">, 33(1), 100926. </w:t>
      </w:r>
      <w:hyperlink r:id="rId15" w:history="1">
        <w:r>
          <w:rPr>
            <w:rStyle w:val="Hyperlink"/>
          </w:rPr>
          <w:t>https://doi.org/10.1016/j.hrmr.2022.100926</w:t>
        </w:r>
      </w:hyperlink>
    </w:p>
    <w:p w14:paraId="34514552" w14:textId="77777777" w:rsidR="00913DFE" w:rsidRDefault="00913DFE" w:rsidP="000D7964">
      <w:pPr>
        <w:pStyle w:val="font-claude-response-body"/>
        <w:spacing w:before="0" w:beforeAutospacing="0" w:after="0" w:afterAutospacing="0" w:line="360" w:lineRule="auto"/>
        <w:jc w:val="both"/>
      </w:pPr>
      <w:r>
        <w:t xml:space="preserve">Ngobeni, D.A., </w:t>
      </w:r>
      <w:proofErr w:type="spellStart"/>
      <w:r>
        <w:t>Saurombe</w:t>
      </w:r>
      <w:proofErr w:type="spellEnd"/>
      <w:r>
        <w:t xml:space="preserve">, M.D. and Joseph, R.M. (2022) 'The influence of the psychological contract on employee engagement in a South African bank', </w:t>
      </w:r>
      <w:r>
        <w:rPr>
          <w:rStyle w:val="Emphasis"/>
        </w:rPr>
        <w:t>Frontiers in Psychology</w:t>
      </w:r>
      <w:r>
        <w:t xml:space="preserve">, 13, 958127. </w:t>
      </w:r>
      <w:hyperlink r:id="rId16" w:history="1">
        <w:r>
          <w:rPr>
            <w:rStyle w:val="Hyperlink"/>
          </w:rPr>
          <w:t>https://doi.org/10.3389/fpsyg.2022.958127</w:t>
        </w:r>
      </w:hyperlink>
    </w:p>
    <w:p w14:paraId="2CDD330E" w14:textId="77777777" w:rsidR="00913DFE" w:rsidRDefault="00913DFE" w:rsidP="000D7964">
      <w:pPr>
        <w:pStyle w:val="font-claude-response-body"/>
        <w:spacing w:before="0" w:beforeAutospacing="0" w:after="0" w:afterAutospacing="0" w:line="360" w:lineRule="auto"/>
        <w:jc w:val="both"/>
      </w:pPr>
      <w:r>
        <w:t xml:space="preserve">Rousseau, D.M. (1989) 'Psychological and implied contracts in organizations', </w:t>
      </w:r>
      <w:r>
        <w:rPr>
          <w:rStyle w:val="Emphasis"/>
        </w:rPr>
        <w:t>Employee Responsibilities and Rights Journal</w:t>
      </w:r>
      <w:r>
        <w:t>, 2(2), pp. 121–139.</w:t>
      </w:r>
    </w:p>
    <w:p w14:paraId="3CFC78E0" w14:textId="77777777" w:rsidR="00913DFE" w:rsidRDefault="00913DFE" w:rsidP="000D7964">
      <w:pPr>
        <w:pStyle w:val="font-claude-response-body"/>
        <w:spacing w:before="0" w:beforeAutospacing="0" w:after="0" w:afterAutospacing="0" w:line="360" w:lineRule="auto"/>
        <w:jc w:val="both"/>
      </w:pPr>
      <w:r>
        <w:lastRenderedPageBreak/>
        <w:t xml:space="preserve">Salunkhe, H.A., Jain, D., Hinge, P. and </w:t>
      </w:r>
      <w:proofErr w:type="spellStart"/>
      <w:r>
        <w:t>Boralkar</w:t>
      </w:r>
      <w:proofErr w:type="spellEnd"/>
      <w:r>
        <w:t xml:space="preserve">, M. (2024) 'Impact of human resource practice on work engagement and turnover intention in information technology companies', </w:t>
      </w:r>
      <w:r>
        <w:rPr>
          <w:rStyle w:val="Emphasis"/>
        </w:rPr>
        <w:t>SA Journal of Human Resource Management</w:t>
      </w:r>
      <w:r>
        <w:t xml:space="preserve">, 22, a2723. </w:t>
      </w:r>
      <w:hyperlink r:id="rId17" w:history="1">
        <w:r>
          <w:rPr>
            <w:rStyle w:val="Hyperlink"/>
          </w:rPr>
          <w:t>https://doi.org/10.4102/sajhrm.v22i0.2723</w:t>
        </w:r>
      </w:hyperlink>
    </w:p>
    <w:p w14:paraId="3CB60C95" w14:textId="77777777" w:rsidR="00913DFE" w:rsidRDefault="00913DFE" w:rsidP="000D7964">
      <w:pPr>
        <w:pStyle w:val="font-claude-response-body"/>
        <w:spacing w:before="0" w:beforeAutospacing="0" w:after="0" w:afterAutospacing="0" w:line="360" w:lineRule="auto"/>
        <w:jc w:val="both"/>
      </w:pPr>
      <w:r>
        <w:t xml:space="preserve">Sinisterra, L., Peñalver, J. and </w:t>
      </w:r>
      <w:proofErr w:type="spellStart"/>
      <w:r>
        <w:t>Salanova</w:t>
      </w:r>
      <w:proofErr w:type="spellEnd"/>
      <w:r>
        <w:t xml:space="preserve">, M. (2024) 'Connecting the organizational incomes and outcomes: a systematic review of the relationship between talent management, employee engagement, and turnover intention', </w:t>
      </w:r>
      <w:r>
        <w:rPr>
          <w:rStyle w:val="Emphasis"/>
        </w:rPr>
        <w:t>Frontiers in Psychology</w:t>
      </w:r>
      <w:r>
        <w:t xml:space="preserve">, 15, 1439127. </w:t>
      </w:r>
      <w:hyperlink r:id="rId18" w:history="1">
        <w:r>
          <w:rPr>
            <w:rStyle w:val="Hyperlink"/>
          </w:rPr>
          <w:t>https://doi.org/10.3389/fpsyg.2024.1439127</w:t>
        </w:r>
      </w:hyperlink>
    </w:p>
    <w:p w14:paraId="2F0D767D" w14:textId="77777777" w:rsidR="00913DFE" w:rsidRDefault="00913DFE" w:rsidP="000D7964">
      <w:pPr>
        <w:pStyle w:val="font-claude-response-body"/>
        <w:spacing w:before="0" w:beforeAutospacing="0" w:after="0" w:afterAutospacing="0" w:line="360" w:lineRule="auto"/>
        <w:jc w:val="both"/>
      </w:pPr>
      <w:r>
        <w:t xml:space="preserve">Song, L. and Jo, S.J. (2023) 'How job crafting </w:t>
      </w:r>
      <w:proofErr w:type="spellStart"/>
      <w:r>
        <w:t>behaviors</w:t>
      </w:r>
      <w:proofErr w:type="spellEnd"/>
      <w:r>
        <w:t xml:space="preserve"> influence the innovative </w:t>
      </w:r>
      <w:proofErr w:type="spellStart"/>
      <w:r>
        <w:t>behavior</w:t>
      </w:r>
      <w:proofErr w:type="spellEnd"/>
      <w:r>
        <w:t xml:space="preserve"> of knowledge workers in the gig economy: based on the organismic integration theory', </w:t>
      </w:r>
      <w:r>
        <w:rPr>
          <w:rStyle w:val="Emphasis"/>
        </w:rPr>
        <w:t>Frontiers in Psychology</w:t>
      </w:r>
      <w:r>
        <w:t xml:space="preserve">, 14, 1228881. </w:t>
      </w:r>
      <w:hyperlink r:id="rId19" w:history="1">
        <w:r>
          <w:rPr>
            <w:rStyle w:val="Hyperlink"/>
          </w:rPr>
          <w:t>https://doi.org/10.3389/fpsyg.2023.1228881</w:t>
        </w:r>
      </w:hyperlink>
    </w:p>
    <w:p w14:paraId="32876264" w14:textId="77777777" w:rsidR="00913DFE" w:rsidRDefault="00913DFE" w:rsidP="000D7964">
      <w:pPr>
        <w:pStyle w:val="font-claude-response-body"/>
        <w:spacing w:before="0" w:beforeAutospacing="0" w:after="0" w:afterAutospacing="0" w:line="360" w:lineRule="auto"/>
        <w:jc w:val="both"/>
      </w:pPr>
      <w:r>
        <w:t xml:space="preserve">Tawfik, A.A. et al. (2024) 'From recruitment to retention: AI tools for human resource decision-making', </w:t>
      </w:r>
      <w:r>
        <w:rPr>
          <w:rStyle w:val="Emphasis"/>
        </w:rPr>
        <w:t>Applied Sciences</w:t>
      </w:r>
      <w:r>
        <w:t xml:space="preserve">, 14(24), 11750. </w:t>
      </w:r>
      <w:hyperlink r:id="rId20" w:history="1">
        <w:r>
          <w:rPr>
            <w:rStyle w:val="Hyperlink"/>
          </w:rPr>
          <w:t>https://doi.org/10.3390/app142411750</w:t>
        </w:r>
      </w:hyperlink>
    </w:p>
    <w:p w14:paraId="0ED66D06" w14:textId="77777777" w:rsidR="00913DFE" w:rsidRDefault="00913DFE" w:rsidP="000D7964">
      <w:pPr>
        <w:pStyle w:val="font-claude-response-body"/>
        <w:spacing w:before="0" w:beforeAutospacing="0" w:after="0" w:afterAutospacing="0" w:line="360" w:lineRule="auto"/>
        <w:jc w:val="both"/>
      </w:pPr>
      <w:r>
        <w:t xml:space="preserve">Ulrich, D. (1997) </w:t>
      </w:r>
      <w:r>
        <w:rPr>
          <w:rStyle w:val="Emphasis"/>
        </w:rPr>
        <w:t>Human Resource Champions: The Next Agenda for Adding Value and Delivering Results.</w:t>
      </w:r>
      <w:r>
        <w:t xml:space="preserve"> Boston: Harvard Business Press.</w:t>
      </w:r>
    </w:p>
    <w:p w14:paraId="532138B9" w14:textId="77777777" w:rsidR="00913DFE" w:rsidRDefault="00913DFE" w:rsidP="000D7964">
      <w:pPr>
        <w:pStyle w:val="font-claude-response-body"/>
        <w:spacing w:before="0" w:beforeAutospacing="0" w:after="0" w:afterAutospacing="0" w:line="360" w:lineRule="auto"/>
        <w:jc w:val="both"/>
      </w:pPr>
      <w:r>
        <w:t xml:space="preserve">Van Maanen, J. and Schein, E.H. (1979) 'Toward a theory of organizational socialization', </w:t>
      </w:r>
      <w:r>
        <w:rPr>
          <w:rStyle w:val="Emphasis"/>
        </w:rPr>
        <w:t xml:space="preserve">Research in Organizational </w:t>
      </w:r>
      <w:proofErr w:type="spellStart"/>
      <w:r>
        <w:rPr>
          <w:rStyle w:val="Emphasis"/>
        </w:rPr>
        <w:t>Behavior</w:t>
      </w:r>
      <w:proofErr w:type="spellEnd"/>
      <w:r>
        <w:t>, 1, pp. 209–264.</w:t>
      </w:r>
    </w:p>
    <w:p w14:paraId="3C89FE3A" w14:textId="77777777" w:rsidR="00913DFE" w:rsidRDefault="00913DFE" w:rsidP="000D7964">
      <w:pPr>
        <w:pStyle w:val="font-claude-response-body"/>
        <w:spacing w:before="0" w:beforeAutospacing="0" w:after="0" w:afterAutospacing="0" w:line="360" w:lineRule="auto"/>
        <w:jc w:val="both"/>
      </w:pPr>
      <w:r>
        <w:t xml:space="preserve">Wrzesniewski, A. and Dutton, J.E. (2001) 'Crafting a job: revisioning employees as active crafters of their work', </w:t>
      </w:r>
      <w:r>
        <w:rPr>
          <w:rStyle w:val="Emphasis"/>
        </w:rPr>
        <w:t>Academy of Management Review</w:t>
      </w:r>
      <w:r>
        <w:t>, 26(2), pp. 179–201.</w:t>
      </w:r>
    </w:p>
    <w:p w14:paraId="0A2F0B9F" w14:textId="77777777" w:rsidR="00913DFE" w:rsidRDefault="00913DFE" w:rsidP="000D7964">
      <w:pPr>
        <w:spacing w:line="360" w:lineRule="auto"/>
        <w:jc w:val="both"/>
        <w:rPr>
          <w:rFonts w:ascii="Times New Roman" w:eastAsia="Times New Roman" w:hAnsi="Times New Roman" w:cs="Times New Roman"/>
          <w:sz w:val="24"/>
          <w:szCs w:val="24"/>
        </w:rPr>
      </w:pPr>
    </w:p>
    <w:p w14:paraId="0000002B" w14:textId="77777777" w:rsidR="00FB6482" w:rsidRDefault="00FB6482" w:rsidP="000D7964">
      <w:pPr>
        <w:spacing w:line="360" w:lineRule="auto"/>
        <w:jc w:val="both"/>
        <w:rPr>
          <w:rFonts w:ascii="Times New Roman" w:eastAsia="Times New Roman" w:hAnsi="Times New Roman" w:cs="Times New Roman"/>
          <w:sz w:val="24"/>
          <w:szCs w:val="24"/>
        </w:rPr>
      </w:pPr>
    </w:p>
    <w:sectPr w:rsidR="00FB6482" w:rsidSect="00A35E15">
      <w:headerReference w:type="default" r:id="rId21"/>
      <w:footerReference w:type="default" r:id="rId22"/>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A3256" w14:textId="77777777" w:rsidR="002C1F1F" w:rsidRDefault="002C1F1F">
      <w:pPr>
        <w:spacing w:line="240" w:lineRule="auto"/>
      </w:pPr>
      <w:r>
        <w:separator/>
      </w:r>
    </w:p>
  </w:endnote>
  <w:endnote w:type="continuationSeparator" w:id="0">
    <w:p w14:paraId="0DCB4C01" w14:textId="77777777" w:rsidR="002C1F1F" w:rsidRDefault="002C1F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142D9B3-5DE8-4B9A-A91D-53D78E4B27A4}"/>
  </w:font>
  <w:font w:name="Cambria">
    <w:panose1 w:val="02040503050406030204"/>
    <w:charset w:val="00"/>
    <w:family w:val="roman"/>
    <w:pitch w:val="variable"/>
    <w:sig w:usb0="E00006FF" w:usb1="420024FF" w:usb2="02000000" w:usb3="00000000" w:csb0="0000019F" w:csb1="00000000"/>
    <w:embedRegular r:id="rId2" w:fontKey="{01F2A02D-2846-43AE-833C-384FD4C3367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071034"/>
      <w:docPartObj>
        <w:docPartGallery w:val="Page Numbers (Bottom of Page)"/>
        <w:docPartUnique/>
      </w:docPartObj>
    </w:sdtPr>
    <w:sdtEndPr>
      <w:rPr>
        <w:rFonts w:ascii="Times New Roman" w:hAnsi="Times New Roman" w:cs="Times New Roman"/>
        <w:noProof/>
        <w:sz w:val="20"/>
      </w:rPr>
    </w:sdtEndPr>
    <w:sdtContent>
      <w:p w14:paraId="7522E9D1" w14:textId="6911080A" w:rsidR="00913DFE" w:rsidRPr="00913DFE" w:rsidRDefault="00913DFE">
        <w:pPr>
          <w:pStyle w:val="Footer"/>
          <w:jc w:val="right"/>
          <w:rPr>
            <w:rFonts w:ascii="Times New Roman" w:hAnsi="Times New Roman" w:cs="Times New Roman"/>
            <w:sz w:val="20"/>
          </w:rPr>
        </w:pPr>
        <w:r w:rsidRPr="00913DFE">
          <w:rPr>
            <w:rFonts w:ascii="Times New Roman" w:hAnsi="Times New Roman" w:cs="Times New Roman"/>
            <w:sz w:val="20"/>
          </w:rPr>
          <w:fldChar w:fldCharType="begin"/>
        </w:r>
        <w:r w:rsidRPr="00913DFE">
          <w:rPr>
            <w:rFonts w:ascii="Times New Roman" w:hAnsi="Times New Roman" w:cs="Times New Roman"/>
            <w:sz w:val="20"/>
          </w:rPr>
          <w:instrText xml:space="preserve"> PAGE   \* MERGEFORMAT </w:instrText>
        </w:r>
        <w:r w:rsidRPr="00913DFE">
          <w:rPr>
            <w:rFonts w:ascii="Times New Roman" w:hAnsi="Times New Roman" w:cs="Times New Roman"/>
            <w:sz w:val="20"/>
          </w:rPr>
          <w:fldChar w:fldCharType="separate"/>
        </w:r>
        <w:r w:rsidR="00F97631">
          <w:rPr>
            <w:rFonts w:ascii="Times New Roman" w:hAnsi="Times New Roman" w:cs="Times New Roman"/>
            <w:noProof/>
            <w:sz w:val="20"/>
          </w:rPr>
          <w:t>10</w:t>
        </w:r>
        <w:r w:rsidRPr="00913DFE">
          <w:rPr>
            <w:rFonts w:ascii="Times New Roman" w:hAnsi="Times New Roman" w:cs="Times New Roman"/>
            <w:noProof/>
            <w:sz w:val="20"/>
          </w:rPr>
          <w:fldChar w:fldCharType="end"/>
        </w:r>
      </w:p>
    </w:sdtContent>
  </w:sdt>
  <w:p w14:paraId="78271ED7" w14:textId="77777777" w:rsidR="00913DFE" w:rsidRDefault="00913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7DBA5" w14:textId="77777777" w:rsidR="002C1F1F" w:rsidRDefault="002C1F1F">
      <w:pPr>
        <w:spacing w:line="240" w:lineRule="auto"/>
      </w:pPr>
      <w:r>
        <w:separator/>
      </w:r>
    </w:p>
  </w:footnote>
  <w:footnote w:type="continuationSeparator" w:id="0">
    <w:p w14:paraId="073C31BA" w14:textId="77777777" w:rsidR="002C1F1F" w:rsidRDefault="002C1F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221A3" w14:textId="1114E361" w:rsidR="000D7964" w:rsidRPr="000D7964" w:rsidRDefault="000D7964" w:rsidP="000D7964">
    <w:pPr>
      <w:pStyle w:val="Header"/>
      <w:jc w:val="right"/>
      <w:rPr>
        <w:rFonts w:ascii="Times New Roman" w:hAnsi="Times New Roman" w:cs="Times New Roman"/>
        <w:sz w:val="20"/>
      </w:rPr>
    </w:pPr>
    <w:r w:rsidRPr="000D7964">
      <w:rPr>
        <w:rFonts w:ascii="Times New Roman" w:hAnsi="Times New Roman" w:cs="Times New Roman"/>
        <w:sz w:val="20"/>
      </w:rPr>
      <w:t>HUMAN CAPITAL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482"/>
    <w:rsid w:val="000D7964"/>
    <w:rsid w:val="001A0A60"/>
    <w:rsid w:val="002C1F1F"/>
    <w:rsid w:val="007710AB"/>
    <w:rsid w:val="00913DFE"/>
    <w:rsid w:val="00A35E15"/>
    <w:rsid w:val="00DD5005"/>
    <w:rsid w:val="00F64B88"/>
    <w:rsid w:val="00F97631"/>
    <w:rsid w:val="00FB64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477DF"/>
  <w15:docId w15:val="{4E12D9D7-C42E-4A07-A1FD-80BD28CC9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3"/>
    <w:next w:val="Normal"/>
    <w:uiPriority w:val="9"/>
    <w:qFormat/>
    <w:rsid w:val="000D7964"/>
    <w:pPr>
      <w:keepNext w:val="0"/>
      <w:keepLines w:val="0"/>
      <w:spacing w:before="0" w:after="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Heading4"/>
    <w:next w:val="Normal"/>
    <w:uiPriority w:val="9"/>
    <w:unhideWhenUsed/>
    <w:qFormat/>
    <w:rsid w:val="000D7964"/>
    <w:pPr>
      <w:keepNext w:val="0"/>
      <w:keepLines w:val="0"/>
      <w:spacing w:before="0" w:after="0" w:line="360" w:lineRule="auto"/>
      <w:jc w:val="both"/>
      <w:outlineLvl w:val="1"/>
    </w:pPr>
    <w:rPr>
      <w:rFonts w:ascii="Times New Roman" w:eastAsia="Times New Roman" w:hAnsi="Times New Roman" w:cs="Times New Roman"/>
      <w:b/>
      <w:bCs/>
      <w:color w:val="000000"/>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13DFE"/>
    <w:pPr>
      <w:tabs>
        <w:tab w:val="center" w:pos="4513"/>
        <w:tab w:val="right" w:pos="9026"/>
      </w:tabs>
      <w:spacing w:line="240" w:lineRule="auto"/>
    </w:pPr>
  </w:style>
  <w:style w:type="character" w:customStyle="1" w:styleId="HeaderChar">
    <w:name w:val="Header Char"/>
    <w:basedOn w:val="DefaultParagraphFont"/>
    <w:link w:val="Header"/>
    <w:uiPriority w:val="99"/>
    <w:rsid w:val="00913DFE"/>
  </w:style>
  <w:style w:type="paragraph" w:styleId="Footer">
    <w:name w:val="footer"/>
    <w:basedOn w:val="Normal"/>
    <w:link w:val="FooterChar"/>
    <w:uiPriority w:val="99"/>
    <w:unhideWhenUsed/>
    <w:rsid w:val="00913DFE"/>
    <w:pPr>
      <w:tabs>
        <w:tab w:val="center" w:pos="4513"/>
        <w:tab w:val="right" w:pos="9026"/>
      </w:tabs>
      <w:spacing w:line="240" w:lineRule="auto"/>
    </w:pPr>
  </w:style>
  <w:style w:type="character" w:customStyle="1" w:styleId="FooterChar">
    <w:name w:val="Footer Char"/>
    <w:basedOn w:val="DefaultParagraphFont"/>
    <w:link w:val="Footer"/>
    <w:uiPriority w:val="99"/>
    <w:rsid w:val="00913DFE"/>
  </w:style>
  <w:style w:type="paragraph" w:customStyle="1" w:styleId="font-claude-response-body">
    <w:name w:val="font-claude-response-body"/>
    <w:basedOn w:val="Normal"/>
    <w:rsid w:val="00913DFE"/>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Emphasis">
    <w:name w:val="Emphasis"/>
    <w:basedOn w:val="DefaultParagraphFont"/>
    <w:uiPriority w:val="20"/>
    <w:qFormat/>
    <w:rsid w:val="00913DFE"/>
    <w:rPr>
      <w:i/>
      <w:iCs/>
    </w:rPr>
  </w:style>
  <w:style w:type="character" w:styleId="Hyperlink">
    <w:name w:val="Hyperlink"/>
    <w:basedOn w:val="DefaultParagraphFont"/>
    <w:uiPriority w:val="99"/>
    <w:unhideWhenUsed/>
    <w:rsid w:val="00913DFE"/>
    <w:rPr>
      <w:color w:val="0000FF"/>
      <w:u w:val="single"/>
    </w:rPr>
  </w:style>
  <w:style w:type="paragraph" w:styleId="TOCHeading">
    <w:name w:val="TOC Heading"/>
    <w:basedOn w:val="Heading1"/>
    <w:next w:val="Normal"/>
    <w:uiPriority w:val="39"/>
    <w:unhideWhenUsed/>
    <w:qFormat/>
    <w:rsid w:val="000D796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3">
    <w:name w:val="toc 3"/>
    <w:basedOn w:val="Normal"/>
    <w:next w:val="Normal"/>
    <w:autoRedefine/>
    <w:uiPriority w:val="39"/>
    <w:unhideWhenUsed/>
    <w:rsid w:val="000D7964"/>
    <w:pPr>
      <w:spacing w:after="100"/>
      <w:ind w:left="440"/>
    </w:pPr>
  </w:style>
  <w:style w:type="paragraph" w:styleId="TOC1">
    <w:name w:val="toc 1"/>
    <w:basedOn w:val="Normal"/>
    <w:next w:val="Normal"/>
    <w:autoRedefine/>
    <w:uiPriority w:val="39"/>
    <w:unhideWhenUsed/>
    <w:rsid w:val="000D7964"/>
    <w:pPr>
      <w:spacing w:after="100"/>
    </w:pPr>
  </w:style>
  <w:style w:type="paragraph" w:styleId="TOC2">
    <w:name w:val="toc 2"/>
    <w:basedOn w:val="Normal"/>
    <w:next w:val="Normal"/>
    <w:autoRedefine/>
    <w:uiPriority w:val="39"/>
    <w:unhideWhenUsed/>
    <w:rsid w:val="000D79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118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311975.2024.2337957" TargetMode="External"/><Relationship Id="rId13" Type="http://schemas.openxmlformats.org/officeDocument/2006/relationships/hyperlink" Target="https://doi.org/10.1016/0030-5073(76)90016-7" TargetMode="External"/><Relationship Id="rId18" Type="http://schemas.openxmlformats.org/officeDocument/2006/relationships/hyperlink" Target="https://doi.org/10.3389/fpsyg.2024.1439127"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1177/21582440241271125" TargetMode="External"/><Relationship Id="rId17" Type="http://schemas.openxmlformats.org/officeDocument/2006/relationships/hyperlink" Target="https://doi.org/10.4102/sajhrm.v22i0.2723" TargetMode="External"/><Relationship Id="rId2" Type="http://schemas.openxmlformats.org/officeDocument/2006/relationships/styles" Target="styles.xml"/><Relationship Id="rId16" Type="http://schemas.openxmlformats.org/officeDocument/2006/relationships/hyperlink" Target="https://doi.org/10.3389/fpsyg.2022.958127" TargetMode="External"/><Relationship Id="rId20" Type="http://schemas.openxmlformats.org/officeDocument/2006/relationships/hyperlink" Target="https://doi.org/10.3390/app1424117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71/journal.pone.028182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hrmr.2022.100926" TargetMode="External"/><Relationship Id="rId23" Type="http://schemas.openxmlformats.org/officeDocument/2006/relationships/fontTable" Target="fontTable.xml"/><Relationship Id="rId10" Type="http://schemas.openxmlformats.org/officeDocument/2006/relationships/hyperlink" Target="https://doi.org/10.3389/frai.2023.1272823" TargetMode="External"/><Relationship Id="rId19" Type="http://schemas.openxmlformats.org/officeDocument/2006/relationships/hyperlink" Target="https://doi.org/10.3389/fpsyg.2023.1228881" TargetMode="External"/><Relationship Id="rId4" Type="http://schemas.openxmlformats.org/officeDocument/2006/relationships/webSettings" Target="webSettings.xml"/><Relationship Id="rId9" Type="http://schemas.openxmlformats.org/officeDocument/2006/relationships/hyperlink" Target="https://doi.org/10.54097/83j64ub9" TargetMode="External"/><Relationship Id="rId14" Type="http://schemas.openxmlformats.org/officeDocument/2006/relationships/hyperlink" Target="https://doi.org/10.1111/joop.12450"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35A15-4C0C-460D-8013-1736858FA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3580</Words>
  <Characters>20412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VIVEK</dc:creator>
  <cp:lastModifiedBy>GORASIYA, Vivekkumar Kishorbhai</cp:lastModifiedBy>
  <cp:revision>2</cp:revision>
  <dcterms:created xsi:type="dcterms:W3CDTF">2026-07-15T17:37:00Z</dcterms:created>
  <dcterms:modified xsi:type="dcterms:W3CDTF">2026-07-15T17:37:00Z</dcterms:modified>
</cp:coreProperties>
</file>