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BBB80" w14:textId="2C450B92" w:rsidR="00C3284D" w:rsidRPr="00C3284D" w:rsidRDefault="00C3284D" w:rsidP="00C3284D">
      <w:pPr>
        <w:pStyle w:val="Header"/>
        <w:jc w:val="center"/>
        <w:rPr>
          <w:b/>
          <w:bCs/>
        </w:rPr>
      </w:pPr>
      <w:r w:rsidRPr="00C3284D">
        <w:rPr>
          <w:b/>
          <w:bCs/>
        </w:rPr>
        <w:t>What is known about the death of languages such as Manx and Cornish and why, in your view, has the Welsh language survived and been continuously spoken by native speakers?</w:t>
      </w:r>
    </w:p>
    <w:p w14:paraId="580E1859" w14:textId="77777777" w:rsidR="008B7DE5" w:rsidRPr="00C3284D" w:rsidRDefault="008B7DE5" w:rsidP="008B7DE5">
      <w:pPr>
        <w:rPr>
          <w:b/>
          <w:bCs/>
        </w:rPr>
      </w:pPr>
      <w:r w:rsidRPr="00C3284D">
        <w:rPr>
          <w:b/>
          <w:bCs/>
        </w:rPr>
        <w:t>Introduction</w:t>
      </w:r>
    </w:p>
    <w:p w14:paraId="4BCCF725" w14:textId="4582DF0F" w:rsidR="008B7DE5" w:rsidRPr="00C3284D" w:rsidRDefault="008B7DE5" w:rsidP="008B7DE5">
      <w:pPr>
        <w:rPr>
          <w:sz w:val="22"/>
          <w:szCs w:val="22"/>
        </w:rPr>
      </w:pPr>
      <w:r w:rsidRPr="00C3284D">
        <w:rPr>
          <w:sz w:val="22"/>
          <w:szCs w:val="22"/>
        </w:rPr>
        <w:t>Celtic languages</w:t>
      </w:r>
      <w:r w:rsidR="0059407C" w:rsidRPr="00C3284D">
        <w:rPr>
          <w:sz w:val="22"/>
          <w:szCs w:val="22"/>
        </w:rPr>
        <w:t xml:space="preserve"> were</w:t>
      </w:r>
      <w:r w:rsidRPr="00C3284D">
        <w:rPr>
          <w:sz w:val="22"/>
          <w:szCs w:val="22"/>
        </w:rPr>
        <w:t xml:space="preserve"> once spoken across vast regions of Europe, have experienced substantial decline and marginalisation over the past several centuries. Of the original languages that once formed the Celtic language family, only a few remain today: Welsh, Irish, Scottish Gaelic, Breton, and the more recently revived Cornish and Manx. The fates of these languages have been highly varied, with some coming close to complete extinction while others have persisted through political struggles, cultural efforts, and social movements. Among the Celtic languages, Manx and Cornish stand as cautionary examples of languages that were almost lost entirely, while Welsh has not only survived but has experienced a robust revival in recent decades. This essay examines the decline of Manx and Cornish, the survival of Welsh, and the socio-political factors that contributed to Welsh’s resilience, allowing it to retain native speakers into the modern era when many of its Celtic relatives faded away.</w:t>
      </w:r>
      <w:r w:rsidR="00E76998" w:rsidRPr="00C3284D">
        <w:rPr>
          <w:rStyle w:val="FootnoteReference"/>
          <w:sz w:val="22"/>
          <w:szCs w:val="22"/>
        </w:rPr>
        <w:footnoteReference w:id="1"/>
      </w:r>
    </w:p>
    <w:p w14:paraId="4ADC5E07" w14:textId="77777777" w:rsidR="008B7DE5" w:rsidRPr="008B7DE5" w:rsidRDefault="008B7DE5" w:rsidP="008B7DE5">
      <w:pPr>
        <w:rPr>
          <w:b/>
          <w:bCs/>
        </w:rPr>
      </w:pPr>
      <w:r w:rsidRPr="008B7DE5">
        <w:rPr>
          <w:b/>
          <w:bCs/>
        </w:rPr>
        <w:t>The Decline of Cornish</w:t>
      </w:r>
    </w:p>
    <w:p w14:paraId="03100545" w14:textId="37DF477E" w:rsidR="008B7DE5" w:rsidRPr="00C3284D" w:rsidRDefault="008B7DE5" w:rsidP="008B7DE5">
      <w:pPr>
        <w:rPr>
          <w:sz w:val="22"/>
          <w:szCs w:val="22"/>
        </w:rPr>
      </w:pPr>
      <w:r w:rsidRPr="00C3284D">
        <w:rPr>
          <w:sz w:val="22"/>
          <w:szCs w:val="22"/>
        </w:rPr>
        <w:t>The Cornish</w:t>
      </w:r>
      <w:r w:rsidR="00FD6CE1" w:rsidRPr="00C3284D">
        <w:rPr>
          <w:sz w:val="22"/>
          <w:szCs w:val="22"/>
        </w:rPr>
        <w:t xml:space="preserve"> language</w:t>
      </w:r>
      <w:r w:rsidRPr="00C3284D">
        <w:rPr>
          <w:sz w:val="22"/>
          <w:szCs w:val="22"/>
        </w:rPr>
        <w:t>, spoken in the south</w:t>
      </w:r>
      <w:r w:rsidR="00657B68" w:rsidRPr="00C3284D">
        <w:rPr>
          <w:sz w:val="22"/>
          <w:szCs w:val="22"/>
        </w:rPr>
        <w:t>-</w:t>
      </w:r>
      <w:r w:rsidRPr="00C3284D">
        <w:rPr>
          <w:sz w:val="22"/>
          <w:szCs w:val="22"/>
        </w:rPr>
        <w:t>western</w:t>
      </w:r>
      <w:r w:rsidR="00657B68" w:rsidRPr="00C3284D">
        <w:rPr>
          <w:sz w:val="22"/>
          <w:szCs w:val="22"/>
        </w:rPr>
        <w:t xml:space="preserve"> </w:t>
      </w:r>
      <w:r w:rsidRPr="00C3284D">
        <w:rPr>
          <w:sz w:val="22"/>
          <w:szCs w:val="22"/>
        </w:rPr>
        <w:t>most region of England, is one of gradual erosion. Cornish was part of the Brythonic branch</w:t>
      </w:r>
      <w:r w:rsidR="00BC2EB5" w:rsidRPr="00C3284D">
        <w:rPr>
          <w:sz w:val="22"/>
          <w:szCs w:val="22"/>
        </w:rPr>
        <w:t xml:space="preserve"> of Celtic languages</w:t>
      </w:r>
      <w:r w:rsidRPr="00C3284D">
        <w:rPr>
          <w:sz w:val="22"/>
          <w:szCs w:val="22"/>
        </w:rPr>
        <w:t xml:space="preserve">, and it </w:t>
      </w:r>
      <w:r w:rsidR="00BC2EB5" w:rsidRPr="00C3284D">
        <w:rPr>
          <w:sz w:val="22"/>
          <w:szCs w:val="22"/>
        </w:rPr>
        <w:t>was</w:t>
      </w:r>
      <w:r w:rsidRPr="00C3284D">
        <w:rPr>
          <w:sz w:val="22"/>
          <w:szCs w:val="22"/>
        </w:rPr>
        <w:t xml:space="preserve"> once spoken by the majority of the population in Cornwall. However, by the 16th century, external pressures from the expanding influence of the English language had begun to erode the dominance of Cornish. The introduction of English as the primary language of administration, law, and education marked the first major step in the decline of Cornish.</w:t>
      </w:r>
      <w:r w:rsidR="00F336F0" w:rsidRPr="00C3284D">
        <w:rPr>
          <w:rStyle w:val="FootnoteReference"/>
          <w:sz w:val="22"/>
          <w:szCs w:val="22"/>
        </w:rPr>
        <w:footnoteReference w:id="2"/>
      </w:r>
    </w:p>
    <w:p w14:paraId="1918D946" w14:textId="5EC0E08A" w:rsidR="0059407C" w:rsidRPr="00C3284D" w:rsidRDefault="0059407C" w:rsidP="0059407C">
      <w:pPr>
        <w:rPr>
          <w:sz w:val="22"/>
          <w:szCs w:val="22"/>
        </w:rPr>
      </w:pPr>
      <w:r w:rsidRPr="00C3284D">
        <w:rPr>
          <w:sz w:val="22"/>
          <w:szCs w:val="22"/>
        </w:rPr>
        <w:t>A defining moment in the decline of the Cornish language came with the 1549 Prayer Book Rebellion, a major uprising in Cornwall and parts of Devon. This revolt was sparked by the English government's imposition of the Book of Common Prayer, which replaced the traditional Latin liturgy with services in English. For many in Cornwall, where Cornish was still widely spoken and understood, this change was not merely a religious reform but a cultural and linguistic attack. The new prayer book was incomprehensible to much of the Cornish population, who saw it as a symbol of forced assimilation into English culture and a direct threat to their traditional way of life.</w:t>
      </w:r>
    </w:p>
    <w:p w14:paraId="18A6C990" w14:textId="5F40206E" w:rsidR="008B7DE5" w:rsidRPr="00C3284D" w:rsidRDefault="0059407C" w:rsidP="008B7DE5">
      <w:pPr>
        <w:rPr>
          <w:sz w:val="22"/>
          <w:szCs w:val="22"/>
        </w:rPr>
      </w:pPr>
      <w:r w:rsidRPr="00C3284D">
        <w:rPr>
          <w:sz w:val="22"/>
          <w:szCs w:val="22"/>
        </w:rPr>
        <w:t>The rebellion was brutally suppressed by the forces of King Edward VI. Thousands of Cornish and Devon rebels were killed, including clergy and laypeople. This violent response not only crushed immediate resistance but also served as a stark warning against further opposition to English authority.</w:t>
      </w:r>
      <w:r w:rsidR="00885524" w:rsidRPr="00C3284D">
        <w:rPr>
          <w:rStyle w:val="FootnoteReference"/>
          <w:sz w:val="22"/>
          <w:szCs w:val="22"/>
        </w:rPr>
        <w:footnoteReference w:id="3"/>
      </w:r>
      <w:r w:rsidRPr="00C3284D">
        <w:rPr>
          <w:sz w:val="22"/>
          <w:szCs w:val="22"/>
        </w:rPr>
        <w:t xml:space="preserve"> Although the rebellion did not directly cause the disappearance of the Cornish language, it marked a significant rupture between Cornish</w:t>
      </w:r>
      <w:r w:rsidR="005650CB" w:rsidRPr="00C3284D">
        <w:rPr>
          <w:sz w:val="22"/>
          <w:szCs w:val="22"/>
        </w:rPr>
        <w:t xml:space="preserve"> </w:t>
      </w:r>
      <w:r w:rsidRPr="00C3284D">
        <w:rPr>
          <w:sz w:val="22"/>
          <w:szCs w:val="22"/>
        </w:rPr>
        <w:t xml:space="preserve">speaking communities and the political powers of the English. In the aftermath, the enforcement of English in religious, </w:t>
      </w:r>
      <w:r w:rsidRPr="00C3284D">
        <w:rPr>
          <w:sz w:val="22"/>
          <w:szCs w:val="22"/>
        </w:rPr>
        <w:lastRenderedPageBreak/>
        <w:t>legal, and educational contexts accelerated. The Cornish language was increasingly excluded from public and official use, leading to a gradual shift toward English, particularly in towns and among younger generations seeking social and economic mobility.</w:t>
      </w:r>
      <w:r w:rsidR="00821D54" w:rsidRPr="00C3284D">
        <w:rPr>
          <w:rStyle w:val="FootnoteReference"/>
          <w:sz w:val="22"/>
          <w:szCs w:val="22"/>
        </w:rPr>
        <w:footnoteReference w:id="4"/>
      </w:r>
      <w:r w:rsidRPr="00C3284D">
        <w:rPr>
          <w:sz w:val="22"/>
          <w:szCs w:val="22"/>
        </w:rPr>
        <w:t xml:space="preserve"> Over time, this contributed to the marginalization of Cornish and hastened its decline as a community language.</w:t>
      </w:r>
    </w:p>
    <w:p w14:paraId="518F5435" w14:textId="3FB4D501" w:rsidR="008B7DE5" w:rsidRPr="00C3284D" w:rsidRDefault="008B7DE5" w:rsidP="008B7DE5">
      <w:pPr>
        <w:rPr>
          <w:sz w:val="22"/>
          <w:szCs w:val="22"/>
        </w:rPr>
      </w:pPr>
      <w:r w:rsidRPr="00C3284D">
        <w:rPr>
          <w:sz w:val="22"/>
          <w:szCs w:val="22"/>
        </w:rPr>
        <w:t xml:space="preserve">Cornish continued to be spoken in rural Cornwall into the 18th century, </w:t>
      </w:r>
      <w:r w:rsidR="005650CB" w:rsidRPr="00C3284D">
        <w:rPr>
          <w:sz w:val="22"/>
          <w:szCs w:val="22"/>
        </w:rPr>
        <w:t>however,</w:t>
      </w:r>
      <w:r w:rsidRPr="00C3284D">
        <w:rPr>
          <w:sz w:val="22"/>
          <w:szCs w:val="22"/>
        </w:rPr>
        <w:t xml:space="preserve"> by the early 1800s, the language was becoming increasingly marginalized.</w:t>
      </w:r>
      <w:r w:rsidR="00E35205" w:rsidRPr="00C3284D">
        <w:rPr>
          <w:rStyle w:val="FootnoteReference"/>
          <w:sz w:val="22"/>
          <w:szCs w:val="22"/>
        </w:rPr>
        <w:footnoteReference w:id="5"/>
      </w:r>
      <w:r w:rsidRPr="00C3284D">
        <w:rPr>
          <w:sz w:val="22"/>
          <w:szCs w:val="22"/>
        </w:rPr>
        <w:t xml:space="preserve"> The death of Dolly Pentreath in 1777, often cited as the last "native" speaker of Cornish, has been mythologized,</w:t>
      </w:r>
      <w:r w:rsidR="009442C0" w:rsidRPr="00C3284D">
        <w:rPr>
          <w:rStyle w:val="FootnoteReference"/>
          <w:sz w:val="22"/>
          <w:szCs w:val="22"/>
        </w:rPr>
        <w:footnoteReference w:id="6"/>
      </w:r>
      <w:r w:rsidRPr="00C3284D">
        <w:rPr>
          <w:sz w:val="22"/>
          <w:szCs w:val="22"/>
        </w:rPr>
        <w:t xml:space="preserve"> though it is likely that Cornish persisted in </w:t>
      </w:r>
      <w:r w:rsidR="009442C0" w:rsidRPr="00C3284D">
        <w:rPr>
          <w:sz w:val="22"/>
          <w:szCs w:val="22"/>
        </w:rPr>
        <w:t>a</w:t>
      </w:r>
      <w:r w:rsidRPr="00C3284D">
        <w:rPr>
          <w:sz w:val="22"/>
          <w:szCs w:val="22"/>
        </w:rPr>
        <w:t xml:space="preserve"> fragmented form </w:t>
      </w:r>
      <w:r w:rsidR="009442C0" w:rsidRPr="00C3284D">
        <w:rPr>
          <w:sz w:val="22"/>
          <w:szCs w:val="22"/>
        </w:rPr>
        <w:t xml:space="preserve">used by fishermen </w:t>
      </w:r>
      <w:r w:rsidRPr="00C3284D">
        <w:rPr>
          <w:sz w:val="22"/>
          <w:szCs w:val="22"/>
        </w:rPr>
        <w:t xml:space="preserve">for </w:t>
      </w:r>
      <w:r w:rsidR="009442C0" w:rsidRPr="00C3284D">
        <w:rPr>
          <w:sz w:val="22"/>
          <w:szCs w:val="22"/>
        </w:rPr>
        <w:t xml:space="preserve">some </w:t>
      </w:r>
      <w:r w:rsidRPr="00C3284D">
        <w:rPr>
          <w:sz w:val="22"/>
          <w:szCs w:val="22"/>
        </w:rPr>
        <w:t>decades after her passing.</w:t>
      </w:r>
      <w:r w:rsidR="009442C0" w:rsidRPr="00C3284D">
        <w:rPr>
          <w:rStyle w:val="FootnoteReference"/>
          <w:sz w:val="22"/>
          <w:szCs w:val="22"/>
        </w:rPr>
        <w:footnoteReference w:id="7"/>
      </w:r>
      <w:r w:rsidRPr="00C3284D">
        <w:rPr>
          <w:sz w:val="22"/>
          <w:szCs w:val="22"/>
        </w:rPr>
        <w:t xml:space="preserve"> </w:t>
      </w:r>
    </w:p>
    <w:p w14:paraId="106C64F4" w14:textId="756DD8C7" w:rsidR="008B7DE5" w:rsidRPr="00C3284D" w:rsidRDefault="008B7DE5" w:rsidP="008B7DE5">
      <w:pPr>
        <w:rPr>
          <w:sz w:val="22"/>
          <w:szCs w:val="22"/>
        </w:rPr>
      </w:pPr>
      <w:r w:rsidRPr="00C3284D">
        <w:rPr>
          <w:sz w:val="22"/>
          <w:szCs w:val="22"/>
        </w:rPr>
        <w:t>The 20th-century revival of Cornish, spurred by the Cornish Language Partnership, was built on historical records, early dictionaries, and the linguistic work of scholars and activists.</w:t>
      </w:r>
      <w:r w:rsidR="00550395" w:rsidRPr="00C3284D">
        <w:rPr>
          <w:rStyle w:val="FootnoteReference"/>
          <w:sz w:val="22"/>
          <w:szCs w:val="22"/>
        </w:rPr>
        <w:footnoteReference w:id="8"/>
      </w:r>
      <w:r w:rsidRPr="00C3284D">
        <w:rPr>
          <w:sz w:val="22"/>
          <w:szCs w:val="22"/>
        </w:rPr>
        <w:t xml:space="preserve"> Efforts to reconstruct the language were centred on using these materials to create a standardised orthography and grammar, allowing for language classes and community initiatives. While these efforts have led to a modest number of second-language speakers and a resurgence of interest in Cornish, it has not been fully revived as a community language. Moreover, it lacks the robust institutional support seen in Welsh or language movements that flourished in other parts of the world.</w:t>
      </w:r>
      <w:r w:rsidR="00550395" w:rsidRPr="00C3284D">
        <w:rPr>
          <w:rStyle w:val="FootnoteReference"/>
          <w:sz w:val="22"/>
          <w:szCs w:val="22"/>
        </w:rPr>
        <w:footnoteReference w:id="9"/>
      </w:r>
    </w:p>
    <w:p w14:paraId="29698C0F" w14:textId="77777777" w:rsidR="008B7DE5" w:rsidRPr="008B7DE5" w:rsidRDefault="008B7DE5" w:rsidP="008B7DE5">
      <w:pPr>
        <w:rPr>
          <w:b/>
          <w:bCs/>
        </w:rPr>
      </w:pPr>
      <w:r w:rsidRPr="008B7DE5">
        <w:rPr>
          <w:b/>
          <w:bCs/>
        </w:rPr>
        <w:t>The Decline of Manx</w:t>
      </w:r>
    </w:p>
    <w:p w14:paraId="512ED465" w14:textId="36E10538" w:rsidR="008B7DE5" w:rsidRPr="00C3284D" w:rsidRDefault="008B7DE5" w:rsidP="008B7DE5">
      <w:pPr>
        <w:rPr>
          <w:sz w:val="22"/>
          <w:szCs w:val="22"/>
        </w:rPr>
      </w:pPr>
      <w:r w:rsidRPr="00C3284D">
        <w:rPr>
          <w:sz w:val="22"/>
          <w:szCs w:val="22"/>
        </w:rPr>
        <w:t xml:space="preserve">Manx, spoken on the Isle of Man, was once a thriving member of the Goidelic branch of Celtic languages. Manx shared linguistic roots </w:t>
      </w:r>
      <w:r w:rsidR="004A61D8" w:rsidRPr="00C3284D">
        <w:rPr>
          <w:sz w:val="22"/>
          <w:szCs w:val="22"/>
        </w:rPr>
        <w:t xml:space="preserve">primarily </w:t>
      </w:r>
      <w:r w:rsidRPr="00C3284D">
        <w:rPr>
          <w:sz w:val="22"/>
          <w:szCs w:val="22"/>
        </w:rPr>
        <w:t xml:space="preserve">with Irish Gaelic but became distinct in its development. Like Cornish, the decline of Manx was gradual but irreversible. Manx was spoken regularly in both rural and urban settings </w:t>
      </w:r>
      <w:r w:rsidR="004A61D8" w:rsidRPr="00C3284D">
        <w:rPr>
          <w:sz w:val="22"/>
          <w:szCs w:val="22"/>
        </w:rPr>
        <w:t>until</w:t>
      </w:r>
      <w:r w:rsidRPr="00C3284D">
        <w:rPr>
          <w:sz w:val="22"/>
          <w:szCs w:val="22"/>
        </w:rPr>
        <w:t xml:space="preserve"> the </w:t>
      </w:r>
      <w:r w:rsidR="004A61D8" w:rsidRPr="00C3284D">
        <w:rPr>
          <w:sz w:val="22"/>
          <w:szCs w:val="22"/>
        </w:rPr>
        <w:t>mid-19</w:t>
      </w:r>
      <w:r w:rsidRPr="00C3284D">
        <w:rPr>
          <w:sz w:val="22"/>
          <w:szCs w:val="22"/>
        </w:rPr>
        <w:t xml:space="preserve">th century, </w:t>
      </w:r>
      <w:r w:rsidR="004A61D8" w:rsidRPr="00C3284D">
        <w:rPr>
          <w:sz w:val="22"/>
          <w:szCs w:val="22"/>
        </w:rPr>
        <w:t xml:space="preserve">when Manx began to decline, </w:t>
      </w:r>
      <w:r w:rsidRPr="00C3284D">
        <w:rPr>
          <w:sz w:val="22"/>
          <w:szCs w:val="22"/>
        </w:rPr>
        <w:t xml:space="preserve">especially among </w:t>
      </w:r>
      <w:r w:rsidR="004A61D8" w:rsidRPr="00C3284D">
        <w:rPr>
          <w:sz w:val="22"/>
          <w:szCs w:val="22"/>
        </w:rPr>
        <w:t>younger</w:t>
      </w:r>
      <w:r w:rsidRPr="00C3284D">
        <w:rPr>
          <w:sz w:val="22"/>
          <w:szCs w:val="22"/>
        </w:rPr>
        <w:t xml:space="preserve"> generations. However, as English gained prominence throughout the 19th and 20th centuries, the use of Manx began to fade, particularly due to the stigma attached to the language and the perception that English was the more "modern" and "prestigious" language.</w:t>
      </w:r>
      <w:r w:rsidR="004A61D8" w:rsidRPr="00C3284D">
        <w:rPr>
          <w:rStyle w:val="FootnoteReference"/>
          <w:sz w:val="22"/>
          <w:szCs w:val="22"/>
        </w:rPr>
        <w:footnoteReference w:id="10"/>
      </w:r>
    </w:p>
    <w:p w14:paraId="0C970255" w14:textId="1DE16AB7" w:rsidR="008B7DE5" w:rsidRPr="00C3284D" w:rsidRDefault="008B7DE5" w:rsidP="008B7DE5">
      <w:pPr>
        <w:rPr>
          <w:sz w:val="22"/>
          <w:szCs w:val="22"/>
        </w:rPr>
      </w:pPr>
      <w:r w:rsidRPr="00C3284D">
        <w:rPr>
          <w:sz w:val="22"/>
          <w:szCs w:val="22"/>
        </w:rPr>
        <w:t xml:space="preserve">The Industrial Revolution and the rise of emigration were significant factors in the decline of Manx. As people moved away from the Isle of Man in search of work, they increasingly adopted </w:t>
      </w:r>
      <w:r w:rsidRPr="00C3284D">
        <w:rPr>
          <w:sz w:val="22"/>
          <w:szCs w:val="22"/>
        </w:rPr>
        <w:lastRenderedPageBreak/>
        <w:t>English, and the small and often insular community of Manx speakers began to dwindle.</w:t>
      </w:r>
      <w:r w:rsidR="00ED409E" w:rsidRPr="00C3284D">
        <w:rPr>
          <w:rStyle w:val="FootnoteReference"/>
          <w:sz w:val="22"/>
          <w:szCs w:val="22"/>
        </w:rPr>
        <w:footnoteReference w:id="11"/>
      </w:r>
      <w:r w:rsidRPr="00C3284D">
        <w:rPr>
          <w:sz w:val="22"/>
          <w:szCs w:val="22"/>
        </w:rPr>
        <w:t xml:space="preserve"> By the mid-20th century, Manx had few remaining native speakers, and by 1974, when Ned Maddrell, the last fluent speaker, passed away, the language was widely considered extinct.</w:t>
      </w:r>
      <w:r w:rsidR="004A61D8" w:rsidRPr="00C3284D">
        <w:rPr>
          <w:rStyle w:val="FootnoteReference"/>
          <w:sz w:val="22"/>
          <w:szCs w:val="22"/>
        </w:rPr>
        <w:footnoteReference w:id="12"/>
      </w:r>
    </w:p>
    <w:p w14:paraId="17DA4D09" w14:textId="42EA1AD2" w:rsidR="008B7DE5" w:rsidRPr="00C3284D" w:rsidRDefault="008B7DE5" w:rsidP="008B7DE5">
      <w:pPr>
        <w:rPr>
          <w:sz w:val="22"/>
          <w:szCs w:val="22"/>
        </w:rPr>
      </w:pPr>
      <w:r w:rsidRPr="00C3284D">
        <w:rPr>
          <w:sz w:val="22"/>
          <w:szCs w:val="22"/>
        </w:rPr>
        <w:t>However, unlike Cornish, Manx has seen a more active language revival in recent decades. Revived by language enthusiasts and linguists who sought to reconstruct the language using existing records, Manx has been the subject of renewed interest, particularly on the Isle of Man.</w:t>
      </w:r>
      <w:r w:rsidR="00ED409E" w:rsidRPr="00C3284D">
        <w:rPr>
          <w:rStyle w:val="FootnoteReference"/>
          <w:sz w:val="22"/>
          <w:szCs w:val="22"/>
        </w:rPr>
        <w:footnoteReference w:id="13"/>
      </w:r>
      <w:r w:rsidRPr="00C3284D">
        <w:rPr>
          <w:sz w:val="22"/>
          <w:szCs w:val="22"/>
        </w:rPr>
        <w:t xml:space="preserve"> Manx language classes have been introduced, and the language is even taught in some schools</w:t>
      </w:r>
      <w:r w:rsidR="00691E7A" w:rsidRPr="00C3284D">
        <w:rPr>
          <w:sz w:val="22"/>
          <w:szCs w:val="22"/>
        </w:rPr>
        <w:t xml:space="preserve"> under the 2001 </w:t>
      </w:r>
      <w:r w:rsidR="00BC2EB5" w:rsidRPr="00C3284D">
        <w:rPr>
          <w:sz w:val="22"/>
          <w:szCs w:val="22"/>
        </w:rPr>
        <w:t>E</w:t>
      </w:r>
      <w:r w:rsidR="00691E7A" w:rsidRPr="00C3284D">
        <w:rPr>
          <w:sz w:val="22"/>
          <w:szCs w:val="22"/>
        </w:rPr>
        <w:t xml:space="preserve">ducation </w:t>
      </w:r>
      <w:r w:rsidR="00BC2EB5" w:rsidRPr="00C3284D">
        <w:rPr>
          <w:sz w:val="22"/>
          <w:szCs w:val="22"/>
        </w:rPr>
        <w:t>A</w:t>
      </w:r>
      <w:r w:rsidR="00691E7A" w:rsidRPr="00C3284D">
        <w:rPr>
          <w:sz w:val="22"/>
          <w:szCs w:val="22"/>
        </w:rPr>
        <w:t>ct</w:t>
      </w:r>
      <w:r w:rsidRPr="00C3284D">
        <w:rPr>
          <w:sz w:val="22"/>
          <w:szCs w:val="22"/>
        </w:rPr>
        <w:t>.</w:t>
      </w:r>
      <w:r w:rsidR="004A61D8" w:rsidRPr="00C3284D">
        <w:rPr>
          <w:rStyle w:val="FootnoteReference"/>
          <w:sz w:val="22"/>
          <w:szCs w:val="22"/>
        </w:rPr>
        <w:footnoteReference w:id="14"/>
      </w:r>
      <w:r w:rsidRPr="00C3284D">
        <w:rPr>
          <w:sz w:val="22"/>
          <w:szCs w:val="22"/>
        </w:rPr>
        <w:t xml:space="preserve"> Additionally, the Manx Language Strategy of 2000 outlined plans for the preservation and revitalization of the language, though these efforts have not led to the widespread use of Manx in everyday life. Manx continues to be largely a second language for learners, despite some revival successes in education and media.</w:t>
      </w:r>
      <w:r w:rsidR="004A61D8" w:rsidRPr="00C3284D">
        <w:rPr>
          <w:rStyle w:val="FootnoteReference"/>
          <w:sz w:val="22"/>
          <w:szCs w:val="22"/>
        </w:rPr>
        <w:footnoteReference w:id="15"/>
      </w:r>
    </w:p>
    <w:p w14:paraId="2CCA0320" w14:textId="77777777" w:rsidR="008B7DE5" w:rsidRPr="00C3284D" w:rsidRDefault="008B7DE5" w:rsidP="008B7DE5">
      <w:pPr>
        <w:rPr>
          <w:b/>
          <w:bCs/>
        </w:rPr>
      </w:pPr>
      <w:r w:rsidRPr="00C3284D">
        <w:rPr>
          <w:b/>
          <w:bCs/>
        </w:rPr>
        <w:t>Welsh: A Language that Never Died</w:t>
      </w:r>
    </w:p>
    <w:p w14:paraId="5CE6A695" w14:textId="77777777" w:rsidR="008B7DE5" w:rsidRPr="00C3284D" w:rsidRDefault="008B7DE5" w:rsidP="008B7DE5">
      <w:pPr>
        <w:rPr>
          <w:sz w:val="22"/>
          <w:szCs w:val="22"/>
        </w:rPr>
      </w:pPr>
      <w:r w:rsidRPr="00C3284D">
        <w:rPr>
          <w:sz w:val="22"/>
          <w:szCs w:val="22"/>
        </w:rPr>
        <w:t>In contrast to the near-total disappearance of Cornish and Manx, Welsh has survived and flourished, despite centuries of external pressures, political forces, and cultural shifts aimed at diminishing its use. Welsh, a Brythonic language like Cornish, is spoken in Wales, a country that has long been at the crossroads of linguistic and cultural tensions with England.</w:t>
      </w:r>
    </w:p>
    <w:p w14:paraId="479A993C" w14:textId="67354120" w:rsidR="008B7DE5" w:rsidRPr="00C3284D" w:rsidRDefault="008B7DE5" w:rsidP="008B7DE5">
      <w:pPr>
        <w:rPr>
          <w:sz w:val="22"/>
          <w:szCs w:val="22"/>
        </w:rPr>
      </w:pPr>
      <w:r w:rsidRPr="00C3284D">
        <w:rPr>
          <w:sz w:val="22"/>
          <w:szCs w:val="22"/>
        </w:rPr>
        <w:t>One of the primary reasons for Welsh's survival is the sheer number of speakers. Even during the 19th century, a significant portion of Wales’ population was still Welsh-speaking, with the language thriving in both rural and urban communities. Unlike Cornish or Manx, which had smaller, more isolated speaker populations, Welsh benefited from a critical mass of speakers who could pass the language down through generations. Rural Wales, particularly the north and west, remained largely Welsh-speaking well into the 20th century.</w:t>
      </w:r>
      <w:r w:rsidR="00ED409E" w:rsidRPr="00C3284D">
        <w:rPr>
          <w:rStyle w:val="FootnoteReference"/>
          <w:sz w:val="22"/>
          <w:szCs w:val="22"/>
        </w:rPr>
        <w:footnoteReference w:id="16"/>
      </w:r>
    </w:p>
    <w:p w14:paraId="10F566B8" w14:textId="348358F5" w:rsidR="008B7DE5" w:rsidRPr="00C3284D" w:rsidRDefault="008B7DE5" w:rsidP="008B7DE5">
      <w:pPr>
        <w:rPr>
          <w:sz w:val="22"/>
          <w:szCs w:val="22"/>
        </w:rPr>
      </w:pPr>
      <w:r w:rsidRPr="00C3284D">
        <w:rPr>
          <w:sz w:val="22"/>
          <w:szCs w:val="22"/>
        </w:rPr>
        <w:t>Even though English began to encroach upon Welsh-speaking communities from the 16th century onwards, especially with the Acts of Union (1536 and 1543), which formally annexed Wales to England, the language persisted as a community language in rural areas. Furthermore, the Welsh language was deeply intertwined with Welsh culture, literature, and religion, and its prestige was maintained through its use in the church and in local courts, even when English was used in broader national politics.</w:t>
      </w:r>
      <w:r w:rsidR="00ED409E" w:rsidRPr="00C3284D">
        <w:rPr>
          <w:rStyle w:val="FootnoteReference"/>
          <w:sz w:val="22"/>
          <w:szCs w:val="22"/>
        </w:rPr>
        <w:footnoteReference w:id="17"/>
      </w:r>
    </w:p>
    <w:p w14:paraId="3172651B" w14:textId="77777777" w:rsidR="008B7DE5" w:rsidRPr="008B7DE5" w:rsidRDefault="008B7DE5" w:rsidP="008B7DE5">
      <w:pPr>
        <w:rPr>
          <w:b/>
          <w:bCs/>
        </w:rPr>
      </w:pPr>
      <w:r w:rsidRPr="008B7DE5">
        <w:rPr>
          <w:b/>
          <w:bCs/>
        </w:rPr>
        <w:lastRenderedPageBreak/>
        <w:t>Cultural and Literary Prestige</w:t>
      </w:r>
    </w:p>
    <w:p w14:paraId="0C9D827F" w14:textId="5835239B" w:rsidR="008B7DE5" w:rsidRPr="00C3284D" w:rsidRDefault="008B7DE5" w:rsidP="008B7DE5">
      <w:pPr>
        <w:rPr>
          <w:sz w:val="22"/>
          <w:szCs w:val="22"/>
        </w:rPr>
      </w:pPr>
      <w:r w:rsidRPr="00C3284D">
        <w:rPr>
          <w:sz w:val="22"/>
          <w:szCs w:val="22"/>
        </w:rPr>
        <w:t>One of the defining features of Welsh is its rich cultural and literary tradition. The Eisteddfod, a festival celebrating Welsh culture, poetry, and song, has been a vital aspect of Welsh heritage since the medieval period. The bardic tradition, which had a significant role in preserving the language, was elevated through the Eisteddfod, where poets and musicians competed in the Welsh language, ensuring that Welsh had not only a means of daily communication but also a literary and artistic legacy.</w:t>
      </w:r>
      <w:r w:rsidR="00ED409E" w:rsidRPr="00C3284D">
        <w:rPr>
          <w:rStyle w:val="FootnoteReference"/>
          <w:sz w:val="22"/>
          <w:szCs w:val="22"/>
        </w:rPr>
        <w:footnoteReference w:id="18"/>
      </w:r>
    </w:p>
    <w:p w14:paraId="11A3F2C5" w14:textId="3192FE82" w:rsidR="008B7DE5" w:rsidRPr="00C3284D" w:rsidRDefault="008B7DE5" w:rsidP="008B7DE5">
      <w:pPr>
        <w:rPr>
          <w:sz w:val="22"/>
          <w:szCs w:val="22"/>
        </w:rPr>
      </w:pPr>
      <w:r w:rsidRPr="00C3284D">
        <w:rPr>
          <w:sz w:val="22"/>
          <w:szCs w:val="22"/>
        </w:rPr>
        <w:t>Welsh literature flourished through the centuries, especially in the medieval period, with important works such as the Mabinogion (a collection of Welsh myths and legends)</w:t>
      </w:r>
      <w:r w:rsidR="00ED409E" w:rsidRPr="00C3284D">
        <w:rPr>
          <w:rStyle w:val="FootnoteReference"/>
          <w:sz w:val="22"/>
          <w:szCs w:val="22"/>
        </w:rPr>
        <w:footnoteReference w:id="19"/>
      </w:r>
      <w:r w:rsidRPr="00C3284D">
        <w:rPr>
          <w:sz w:val="22"/>
          <w:szCs w:val="22"/>
        </w:rPr>
        <w:t xml:space="preserve"> and the poetry of Dafydd ap Gwilym.</w:t>
      </w:r>
      <w:r w:rsidR="00ED409E" w:rsidRPr="00C3284D">
        <w:rPr>
          <w:rStyle w:val="FootnoteReference"/>
          <w:sz w:val="22"/>
          <w:szCs w:val="22"/>
        </w:rPr>
        <w:footnoteReference w:id="20"/>
      </w:r>
      <w:r w:rsidRPr="00C3284D">
        <w:rPr>
          <w:sz w:val="22"/>
          <w:szCs w:val="22"/>
        </w:rPr>
        <w:t xml:space="preserve"> This strong literary heritage provided the language with continued cultural relevance, and this prestige contributed to its survival despite external pressures.</w:t>
      </w:r>
      <w:r w:rsidR="00ED409E" w:rsidRPr="00C3284D">
        <w:rPr>
          <w:rStyle w:val="FootnoteReference"/>
          <w:sz w:val="22"/>
          <w:szCs w:val="22"/>
        </w:rPr>
        <w:footnoteReference w:id="21"/>
      </w:r>
    </w:p>
    <w:p w14:paraId="59A51E9F" w14:textId="77777777" w:rsidR="008B7DE5" w:rsidRPr="008B7DE5" w:rsidRDefault="008B7DE5" w:rsidP="008B7DE5">
      <w:pPr>
        <w:rPr>
          <w:b/>
          <w:bCs/>
        </w:rPr>
      </w:pPr>
      <w:r w:rsidRPr="008B7DE5">
        <w:rPr>
          <w:b/>
          <w:bCs/>
        </w:rPr>
        <w:t>Political Advocacy and Revitalization</w:t>
      </w:r>
    </w:p>
    <w:p w14:paraId="2E94964D" w14:textId="23527C9E" w:rsidR="008B7DE5" w:rsidRPr="00C3284D" w:rsidRDefault="008B7DE5" w:rsidP="008B7DE5">
      <w:pPr>
        <w:rPr>
          <w:sz w:val="22"/>
          <w:szCs w:val="22"/>
        </w:rPr>
      </w:pPr>
      <w:r w:rsidRPr="00C3284D">
        <w:rPr>
          <w:sz w:val="22"/>
          <w:szCs w:val="22"/>
        </w:rPr>
        <w:t>Welsh’s survival also owes much to political efforts and a growing movement for the language’s protection and revitalization. The rise of Cymdeithas yr Iaith Gymraeg (the Welsh Language Society) in the 1960s marked a key turning point in the modern campaign to preserve Welsh. The society led campaigns for bilingual signage, the creation of Welsh-medium schools, and the recognition of Welsh as an official language of Wales. These efforts, which began with grassroots activism, grew to include widespread support in Wales, particularly during the late 20th century.</w:t>
      </w:r>
      <w:r w:rsidR="00D75A48" w:rsidRPr="00C3284D">
        <w:rPr>
          <w:rStyle w:val="FootnoteReference"/>
          <w:sz w:val="22"/>
          <w:szCs w:val="22"/>
        </w:rPr>
        <w:footnoteReference w:id="22"/>
      </w:r>
    </w:p>
    <w:p w14:paraId="1556C7F7" w14:textId="178BB7E8" w:rsidR="008B7DE5" w:rsidRPr="00C3284D" w:rsidRDefault="008B7DE5" w:rsidP="008B7DE5">
      <w:pPr>
        <w:rPr>
          <w:sz w:val="22"/>
          <w:szCs w:val="22"/>
        </w:rPr>
      </w:pPr>
      <w:r w:rsidRPr="00C3284D">
        <w:rPr>
          <w:sz w:val="22"/>
          <w:szCs w:val="22"/>
        </w:rPr>
        <w:t>In 1993, the Welsh Language Act was passed, which required the Welsh Government to treat Welsh and English equally in public services.</w:t>
      </w:r>
      <w:r w:rsidR="00D75A48" w:rsidRPr="00C3284D">
        <w:rPr>
          <w:rStyle w:val="FootnoteReference"/>
          <w:sz w:val="22"/>
          <w:szCs w:val="22"/>
        </w:rPr>
        <w:footnoteReference w:id="23"/>
      </w:r>
      <w:r w:rsidRPr="00C3284D">
        <w:rPr>
          <w:sz w:val="22"/>
          <w:szCs w:val="22"/>
        </w:rPr>
        <w:t xml:space="preserve"> This was followed by the Welsh Language Measure of 2011, which further strengthened the rights of Welsh speakers and made provisions for the creation of Welsh-language media,</w:t>
      </w:r>
      <w:r w:rsidR="00D75A48" w:rsidRPr="00C3284D">
        <w:rPr>
          <w:rStyle w:val="FootnoteReference"/>
          <w:sz w:val="22"/>
          <w:szCs w:val="22"/>
        </w:rPr>
        <w:footnoteReference w:id="24"/>
      </w:r>
      <w:r w:rsidRPr="00C3284D">
        <w:rPr>
          <w:sz w:val="22"/>
          <w:szCs w:val="22"/>
        </w:rPr>
        <w:t xml:space="preserve"> such as the S4C television channel, which broadcasts entirely in Welsh.</w:t>
      </w:r>
      <w:r w:rsidR="00D75A48" w:rsidRPr="00C3284D">
        <w:rPr>
          <w:rStyle w:val="FootnoteReference"/>
          <w:sz w:val="22"/>
          <w:szCs w:val="22"/>
        </w:rPr>
        <w:footnoteReference w:id="25"/>
      </w:r>
    </w:p>
    <w:p w14:paraId="290DB4E9" w14:textId="511BF165" w:rsidR="008B7DE5" w:rsidRPr="00C3284D" w:rsidRDefault="008B7DE5" w:rsidP="008B7DE5">
      <w:pPr>
        <w:rPr>
          <w:sz w:val="22"/>
          <w:szCs w:val="22"/>
        </w:rPr>
      </w:pPr>
      <w:r w:rsidRPr="00C3284D">
        <w:rPr>
          <w:sz w:val="22"/>
          <w:szCs w:val="22"/>
        </w:rPr>
        <w:t>Welsh also achieved significant political milestones with the establishment of the Welsh Parliament (Senedd Cymru) in 1999, where the language has received increased political backing and legislative protection.</w:t>
      </w:r>
      <w:r w:rsidR="00D75A48" w:rsidRPr="00C3284D">
        <w:rPr>
          <w:rStyle w:val="FootnoteReference"/>
          <w:sz w:val="22"/>
          <w:szCs w:val="22"/>
        </w:rPr>
        <w:footnoteReference w:id="26"/>
      </w:r>
      <w:r w:rsidRPr="00C3284D">
        <w:rPr>
          <w:sz w:val="22"/>
          <w:szCs w:val="22"/>
        </w:rPr>
        <w:t xml:space="preserve"> In recent years, the Welsh Government has set an ambitious goal to reach one million Welsh speakers by 2050, illustrating the growing political </w:t>
      </w:r>
      <w:r w:rsidRPr="00C3284D">
        <w:rPr>
          <w:sz w:val="22"/>
          <w:szCs w:val="22"/>
        </w:rPr>
        <w:lastRenderedPageBreak/>
        <w:t>commitment to language revitalization.</w:t>
      </w:r>
      <w:r w:rsidR="005F2315" w:rsidRPr="00C3284D">
        <w:rPr>
          <w:rStyle w:val="FootnoteReference"/>
          <w:sz w:val="22"/>
          <w:szCs w:val="22"/>
        </w:rPr>
        <w:footnoteReference w:id="27"/>
      </w:r>
      <w:r w:rsidRPr="00C3284D">
        <w:rPr>
          <w:sz w:val="22"/>
          <w:szCs w:val="22"/>
        </w:rPr>
        <w:t xml:space="preserve"> This contrasts sharply with the fate of Manx and Cornish, which have not received comparable institutional support.</w:t>
      </w:r>
    </w:p>
    <w:p w14:paraId="0DE20EB6" w14:textId="77777777" w:rsidR="008B7DE5" w:rsidRPr="008B7DE5" w:rsidRDefault="008B7DE5" w:rsidP="008B7DE5">
      <w:pPr>
        <w:rPr>
          <w:b/>
          <w:bCs/>
        </w:rPr>
      </w:pPr>
      <w:r w:rsidRPr="008B7DE5">
        <w:rPr>
          <w:b/>
          <w:bCs/>
        </w:rPr>
        <w:t>Why Welsh Survived: A Comparative View</w:t>
      </w:r>
    </w:p>
    <w:p w14:paraId="3F73BF34" w14:textId="24F83281" w:rsidR="005650CB" w:rsidRPr="00C3284D" w:rsidRDefault="005650CB" w:rsidP="005650CB">
      <w:pPr>
        <w:rPr>
          <w:sz w:val="22"/>
          <w:szCs w:val="22"/>
        </w:rPr>
      </w:pPr>
      <w:r w:rsidRPr="00C3284D">
        <w:rPr>
          <w:sz w:val="22"/>
          <w:szCs w:val="22"/>
        </w:rPr>
        <w:t>The demographic factors play a significant role in the vitality of a language, and Welsh had a distinct advantage in this regard. Unlike Cornish and Manx, Welsh boasted a larger, geographically concentrated speaker population. This concentration provided a stronger foundation for intergenerational transmission, as speakers were more likely to interact with one another, pass the language on to younger generations, and maintain daily use of Welsh. In contrast, the communities speaking Cornish and Manx were smaller and more isolated, which made it more difficult to sustain the languages over time. The limited number of speakers in these communities created a challenge in terms of language revitalization and the intergenerational transmission necessary for long-term survival.</w:t>
      </w:r>
      <w:r w:rsidR="005F2315" w:rsidRPr="00C3284D">
        <w:rPr>
          <w:rStyle w:val="FootnoteReference"/>
          <w:sz w:val="22"/>
          <w:szCs w:val="22"/>
        </w:rPr>
        <w:footnoteReference w:id="28"/>
      </w:r>
    </w:p>
    <w:p w14:paraId="567AF73F" w14:textId="4F52722F" w:rsidR="005650CB" w:rsidRPr="00C3284D" w:rsidRDefault="005650CB" w:rsidP="005650CB">
      <w:pPr>
        <w:rPr>
          <w:sz w:val="22"/>
          <w:szCs w:val="22"/>
        </w:rPr>
      </w:pPr>
      <w:r w:rsidRPr="00C3284D">
        <w:rPr>
          <w:sz w:val="22"/>
          <w:szCs w:val="22"/>
        </w:rPr>
        <w:t>Cultural prestige also played a key role in the continued prominence of the Welsh language. Welsh maintained its cultural significance, bolstered by a rich literary and poetic heritage that has been preserved for centuries. Welsh continued to hold a prominent place in religious and cultural practices, ensuring its continued relevance in daily life and public rituals. In comparison, the cultural prestige of Cornish and Manx diminished over time, making it harder for these languages to regain the same level of respect and recognition.</w:t>
      </w:r>
      <w:r w:rsidR="005F2315" w:rsidRPr="00C3284D">
        <w:rPr>
          <w:rStyle w:val="FootnoteReference"/>
          <w:sz w:val="22"/>
          <w:szCs w:val="22"/>
        </w:rPr>
        <w:footnoteReference w:id="29"/>
      </w:r>
    </w:p>
    <w:p w14:paraId="466BFF0F" w14:textId="790B2C47" w:rsidR="005650CB" w:rsidRPr="00C3284D" w:rsidRDefault="005650CB" w:rsidP="005650CB">
      <w:pPr>
        <w:rPr>
          <w:sz w:val="22"/>
          <w:szCs w:val="22"/>
        </w:rPr>
      </w:pPr>
      <w:r w:rsidRPr="00C3284D">
        <w:rPr>
          <w:sz w:val="22"/>
          <w:szCs w:val="22"/>
        </w:rPr>
        <w:t>Political advocacy has been another critical factor in Welsh language maintenance. Welsh had an established network of advocacy groups and political support for centuries, with organizations like Cymdeithas yr Iaith (the Welsh Language Society) leading the charge for language rights and revitalization.</w:t>
      </w:r>
      <w:r w:rsidR="005F2315" w:rsidRPr="00C3284D">
        <w:rPr>
          <w:rStyle w:val="FootnoteReference"/>
          <w:sz w:val="22"/>
          <w:szCs w:val="22"/>
        </w:rPr>
        <w:footnoteReference w:id="30"/>
      </w:r>
      <w:r w:rsidRPr="00C3284D">
        <w:rPr>
          <w:sz w:val="22"/>
          <w:szCs w:val="22"/>
        </w:rPr>
        <w:t xml:space="preserve"> This long-standing activism culminated in significant political gains during the 20th century, including greater recognition of the language and improvements in its status. In contrast, both Cornish and Manx only saw serious language revival efforts after the languages had already ceased to be widely spoken, limiting the effectiveness of political advocacy in these cases.</w:t>
      </w:r>
    </w:p>
    <w:p w14:paraId="3C57875F" w14:textId="3CAA7FE5" w:rsidR="008B7DE5" w:rsidRPr="00C3284D" w:rsidRDefault="005650CB" w:rsidP="008B7DE5">
      <w:pPr>
        <w:rPr>
          <w:sz w:val="22"/>
          <w:szCs w:val="22"/>
        </w:rPr>
      </w:pPr>
      <w:r w:rsidRPr="00C3284D">
        <w:rPr>
          <w:sz w:val="22"/>
          <w:szCs w:val="22"/>
        </w:rPr>
        <w:t>Legal support has also been a crucial element in the preservation and revitalization of the Welsh language. The Welsh language has benefitted from substantial legal protection, such as the Welsh Language Act of 1993</w:t>
      </w:r>
      <w:r w:rsidR="0020024A" w:rsidRPr="00C3284D">
        <w:rPr>
          <w:rStyle w:val="FootnoteReference"/>
          <w:sz w:val="22"/>
          <w:szCs w:val="22"/>
        </w:rPr>
        <w:footnoteReference w:id="31"/>
      </w:r>
      <w:r w:rsidRPr="00C3284D">
        <w:rPr>
          <w:sz w:val="22"/>
          <w:szCs w:val="22"/>
        </w:rPr>
        <w:t xml:space="preserve"> and the Welsh Language Measure of 2011, which granted Welsh official status within the Welsh Government and ensured its use in public life.</w:t>
      </w:r>
      <w:r w:rsidR="0020024A" w:rsidRPr="00C3284D">
        <w:rPr>
          <w:rStyle w:val="FootnoteReference"/>
          <w:sz w:val="22"/>
          <w:szCs w:val="22"/>
        </w:rPr>
        <w:footnoteReference w:id="32"/>
      </w:r>
      <w:r w:rsidRPr="00C3284D">
        <w:rPr>
          <w:sz w:val="22"/>
          <w:szCs w:val="22"/>
        </w:rPr>
        <w:t xml:space="preserve"> This legal framework has been essential in promoting the language's use in education, media, and government services. In contrast, Cornish and Manx have not received such comprehensive </w:t>
      </w:r>
      <w:r w:rsidRPr="00C3284D">
        <w:rPr>
          <w:sz w:val="22"/>
          <w:szCs w:val="22"/>
        </w:rPr>
        <w:lastRenderedPageBreak/>
        <w:t>institutional support, making their revitalization efforts less impactful and leaving them more vulnerable to decline.</w:t>
      </w:r>
    </w:p>
    <w:p w14:paraId="04F125C7" w14:textId="77777777" w:rsidR="008B7DE5" w:rsidRPr="008B7DE5" w:rsidRDefault="008B7DE5" w:rsidP="008B7DE5">
      <w:pPr>
        <w:rPr>
          <w:b/>
          <w:bCs/>
        </w:rPr>
      </w:pPr>
      <w:r w:rsidRPr="008B7DE5">
        <w:rPr>
          <w:b/>
          <w:bCs/>
        </w:rPr>
        <w:t>Conclusion</w:t>
      </w:r>
    </w:p>
    <w:p w14:paraId="3242E3BD" w14:textId="102B6403" w:rsidR="008B7DE5" w:rsidRPr="00C3284D" w:rsidRDefault="008B7DE5" w:rsidP="008B7DE5">
      <w:pPr>
        <w:rPr>
          <w:sz w:val="22"/>
          <w:szCs w:val="22"/>
        </w:rPr>
      </w:pPr>
      <w:r w:rsidRPr="00C3284D">
        <w:rPr>
          <w:sz w:val="22"/>
          <w:szCs w:val="22"/>
        </w:rPr>
        <w:t xml:space="preserve">The fates of Manx, Cornish, and Welsh reflect both the fragility and resilience of minority languages. While Manx and Cornish faced language death, they have since become important </w:t>
      </w:r>
      <w:r w:rsidR="005650CB" w:rsidRPr="00C3284D">
        <w:rPr>
          <w:sz w:val="22"/>
          <w:szCs w:val="22"/>
        </w:rPr>
        <w:t>subjects</w:t>
      </w:r>
      <w:r w:rsidRPr="00C3284D">
        <w:rPr>
          <w:sz w:val="22"/>
          <w:szCs w:val="22"/>
        </w:rPr>
        <w:t xml:space="preserve"> of revival efforts. However, Welsh is a rare example of a minority language that has resisted extinction and remains a living, evolving tongue spoken by hundreds of thousands of people. Its survival can be attributed to a combination of demographic strength, cultural prestige, political activism, and governmental support. For scholars of Celtic languages, the contrasting histories of these languages provide profound insights into the challenges and possibilities that face endangered languages in the modern world.</w:t>
      </w:r>
    </w:p>
    <w:p w14:paraId="50C8A898" w14:textId="77777777" w:rsidR="00FD6CE1" w:rsidRDefault="00FD6CE1" w:rsidP="00FD6CE1">
      <w:pPr>
        <w:pStyle w:val="FootnoteText"/>
      </w:pPr>
    </w:p>
    <w:p w14:paraId="295E1730" w14:textId="77777777" w:rsidR="00FD6CE1" w:rsidRDefault="00FD6CE1" w:rsidP="00FD6CE1">
      <w:pPr>
        <w:pStyle w:val="FootnoteText"/>
        <w:rPr>
          <w:i/>
          <w:iCs/>
        </w:rPr>
      </w:pPr>
    </w:p>
    <w:p w14:paraId="3DA0C12D" w14:textId="77777777" w:rsidR="00C3284D" w:rsidRDefault="00C3284D" w:rsidP="00FD6CE1">
      <w:pPr>
        <w:pStyle w:val="FootnoteText"/>
        <w:rPr>
          <w:i/>
          <w:iCs/>
        </w:rPr>
      </w:pPr>
    </w:p>
    <w:p w14:paraId="6768E749" w14:textId="77777777" w:rsidR="00C3284D" w:rsidRDefault="00C3284D" w:rsidP="00FD6CE1">
      <w:pPr>
        <w:pStyle w:val="FootnoteText"/>
        <w:rPr>
          <w:i/>
          <w:iCs/>
        </w:rPr>
      </w:pPr>
    </w:p>
    <w:p w14:paraId="1C5A639F" w14:textId="77777777" w:rsidR="00C3284D" w:rsidRDefault="00C3284D" w:rsidP="00FD6CE1">
      <w:pPr>
        <w:pStyle w:val="FootnoteText"/>
        <w:rPr>
          <w:b/>
          <w:bCs/>
          <w:sz w:val="24"/>
          <w:szCs w:val="24"/>
        </w:rPr>
      </w:pPr>
    </w:p>
    <w:p w14:paraId="40C3E131" w14:textId="77777777" w:rsidR="00C3284D" w:rsidRDefault="00C3284D" w:rsidP="00FD6CE1">
      <w:pPr>
        <w:pStyle w:val="FootnoteText"/>
        <w:rPr>
          <w:b/>
          <w:bCs/>
          <w:sz w:val="24"/>
          <w:szCs w:val="24"/>
        </w:rPr>
      </w:pPr>
    </w:p>
    <w:p w14:paraId="45DAE490" w14:textId="77777777" w:rsidR="00C3284D" w:rsidRDefault="00C3284D" w:rsidP="00FD6CE1">
      <w:pPr>
        <w:pStyle w:val="FootnoteText"/>
        <w:rPr>
          <w:b/>
          <w:bCs/>
          <w:sz w:val="24"/>
          <w:szCs w:val="24"/>
        </w:rPr>
      </w:pPr>
    </w:p>
    <w:p w14:paraId="20817635" w14:textId="77777777" w:rsidR="00C3284D" w:rsidRDefault="00C3284D" w:rsidP="00FD6CE1">
      <w:pPr>
        <w:pStyle w:val="FootnoteText"/>
        <w:rPr>
          <w:b/>
          <w:bCs/>
          <w:sz w:val="24"/>
          <w:szCs w:val="24"/>
        </w:rPr>
      </w:pPr>
    </w:p>
    <w:p w14:paraId="27288192" w14:textId="77777777" w:rsidR="00C3284D" w:rsidRDefault="00C3284D" w:rsidP="00FD6CE1">
      <w:pPr>
        <w:pStyle w:val="FootnoteText"/>
        <w:rPr>
          <w:b/>
          <w:bCs/>
          <w:sz w:val="24"/>
          <w:szCs w:val="24"/>
        </w:rPr>
      </w:pPr>
    </w:p>
    <w:p w14:paraId="0189BA66" w14:textId="77777777" w:rsidR="00C3284D" w:rsidRDefault="00C3284D" w:rsidP="00FD6CE1">
      <w:pPr>
        <w:pStyle w:val="FootnoteText"/>
        <w:rPr>
          <w:b/>
          <w:bCs/>
          <w:sz w:val="24"/>
          <w:szCs w:val="24"/>
        </w:rPr>
      </w:pPr>
    </w:p>
    <w:p w14:paraId="4698B887" w14:textId="77777777" w:rsidR="00C3284D" w:rsidRDefault="00C3284D" w:rsidP="00FD6CE1">
      <w:pPr>
        <w:pStyle w:val="FootnoteText"/>
        <w:rPr>
          <w:b/>
          <w:bCs/>
          <w:sz w:val="24"/>
          <w:szCs w:val="24"/>
        </w:rPr>
      </w:pPr>
    </w:p>
    <w:p w14:paraId="52439A65" w14:textId="77777777" w:rsidR="00C3284D" w:rsidRDefault="00C3284D" w:rsidP="00FD6CE1">
      <w:pPr>
        <w:pStyle w:val="FootnoteText"/>
        <w:rPr>
          <w:b/>
          <w:bCs/>
          <w:sz w:val="24"/>
          <w:szCs w:val="24"/>
        </w:rPr>
      </w:pPr>
    </w:p>
    <w:p w14:paraId="04428902" w14:textId="77777777" w:rsidR="00C3284D" w:rsidRDefault="00C3284D" w:rsidP="00FD6CE1">
      <w:pPr>
        <w:pStyle w:val="FootnoteText"/>
        <w:rPr>
          <w:b/>
          <w:bCs/>
          <w:sz w:val="24"/>
          <w:szCs w:val="24"/>
        </w:rPr>
      </w:pPr>
    </w:p>
    <w:p w14:paraId="0D2FD68C" w14:textId="77777777" w:rsidR="00C3284D" w:rsidRDefault="00C3284D" w:rsidP="00FD6CE1">
      <w:pPr>
        <w:pStyle w:val="FootnoteText"/>
        <w:rPr>
          <w:b/>
          <w:bCs/>
          <w:sz w:val="24"/>
          <w:szCs w:val="24"/>
        </w:rPr>
      </w:pPr>
    </w:p>
    <w:p w14:paraId="4AF379B5" w14:textId="77777777" w:rsidR="00C3284D" w:rsidRDefault="00C3284D" w:rsidP="00FD6CE1">
      <w:pPr>
        <w:pStyle w:val="FootnoteText"/>
        <w:rPr>
          <w:b/>
          <w:bCs/>
          <w:sz w:val="24"/>
          <w:szCs w:val="24"/>
        </w:rPr>
      </w:pPr>
    </w:p>
    <w:p w14:paraId="49D2FB3C" w14:textId="77777777" w:rsidR="00C3284D" w:rsidRDefault="00C3284D" w:rsidP="00FD6CE1">
      <w:pPr>
        <w:pStyle w:val="FootnoteText"/>
        <w:rPr>
          <w:b/>
          <w:bCs/>
          <w:sz w:val="24"/>
          <w:szCs w:val="24"/>
        </w:rPr>
      </w:pPr>
    </w:p>
    <w:p w14:paraId="2D060322" w14:textId="77777777" w:rsidR="00C3284D" w:rsidRDefault="00C3284D" w:rsidP="00FD6CE1">
      <w:pPr>
        <w:pStyle w:val="FootnoteText"/>
        <w:rPr>
          <w:b/>
          <w:bCs/>
          <w:sz w:val="24"/>
          <w:szCs w:val="24"/>
        </w:rPr>
      </w:pPr>
    </w:p>
    <w:p w14:paraId="1E60D1E9" w14:textId="77777777" w:rsidR="00C3284D" w:rsidRDefault="00C3284D" w:rsidP="00FD6CE1">
      <w:pPr>
        <w:pStyle w:val="FootnoteText"/>
        <w:rPr>
          <w:b/>
          <w:bCs/>
          <w:sz w:val="24"/>
          <w:szCs w:val="24"/>
        </w:rPr>
      </w:pPr>
    </w:p>
    <w:p w14:paraId="528FDA00" w14:textId="77777777" w:rsidR="00C3284D" w:rsidRDefault="00C3284D" w:rsidP="00FD6CE1">
      <w:pPr>
        <w:pStyle w:val="FootnoteText"/>
        <w:rPr>
          <w:b/>
          <w:bCs/>
          <w:sz w:val="24"/>
          <w:szCs w:val="24"/>
        </w:rPr>
      </w:pPr>
    </w:p>
    <w:p w14:paraId="02B5D702" w14:textId="77777777" w:rsidR="00C3284D" w:rsidRDefault="00C3284D" w:rsidP="00FD6CE1">
      <w:pPr>
        <w:pStyle w:val="FootnoteText"/>
        <w:rPr>
          <w:b/>
          <w:bCs/>
          <w:sz w:val="24"/>
          <w:szCs w:val="24"/>
        </w:rPr>
      </w:pPr>
    </w:p>
    <w:p w14:paraId="252EF880" w14:textId="77777777" w:rsidR="00C3284D" w:rsidRDefault="00C3284D" w:rsidP="00FD6CE1">
      <w:pPr>
        <w:pStyle w:val="FootnoteText"/>
        <w:rPr>
          <w:b/>
          <w:bCs/>
          <w:sz w:val="24"/>
          <w:szCs w:val="24"/>
        </w:rPr>
      </w:pPr>
    </w:p>
    <w:p w14:paraId="1A0B87A4" w14:textId="77777777" w:rsidR="00C3284D" w:rsidRDefault="00C3284D" w:rsidP="00FD6CE1">
      <w:pPr>
        <w:pStyle w:val="FootnoteText"/>
        <w:rPr>
          <w:b/>
          <w:bCs/>
          <w:sz w:val="24"/>
          <w:szCs w:val="24"/>
        </w:rPr>
      </w:pPr>
    </w:p>
    <w:p w14:paraId="2DE75FC0" w14:textId="77777777" w:rsidR="00C3284D" w:rsidRDefault="00C3284D" w:rsidP="00FD6CE1">
      <w:pPr>
        <w:pStyle w:val="FootnoteText"/>
        <w:rPr>
          <w:b/>
          <w:bCs/>
          <w:sz w:val="24"/>
          <w:szCs w:val="24"/>
        </w:rPr>
      </w:pPr>
    </w:p>
    <w:p w14:paraId="645824A3" w14:textId="77777777" w:rsidR="00C3284D" w:rsidRDefault="00C3284D" w:rsidP="00FD6CE1">
      <w:pPr>
        <w:pStyle w:val="FootnoteText"/>
        <w:rPr>
          <w:b/>
          <w:bCs/>
          <w:sz w:val="24"/>
          <w:szCs w:val="24"/>
        </w:rPr>
      </w:pPr>
    </w:p>
    <w:p w14:paraId="3A6CFCEB" w14:textId="77777777" w:rsidR="00C3284D" w:rsidRDefault="00C3284D" w:rsidP="00FD6CE1">
      <w:pPr>
        <w:pStyle w:val="FootnoteText"/>
        <w:rPr>
          <w:b/>
          <w:bCs/>
          <w:sz w:val="24"/>
          <w:szCs w:val="24"/>
        </w:rPr>
      </w:pPr>
    </w:p>
    <w:p w14:paraId="77DFD016" w14:textId="77777777" w:rsidR="00C3284D" w:rsidRDefault="00C3284D" w:rsidP="00FD6CE1">
      <w:pPr>
        <w:pStyle w:val="FootnoteText"/>
        <w:rPr>
          <w:b/>
          <w:bCs/>
          <w:sz w:val="24"/>
          <w:szCs w:val="24"/>
        </w:rPr>
      </w:pPr>
    </w:p>
    <w:p w14:paraId="6780E82D" w14:textId="77777777" w:rsidR="00C3284D" w:rsidRDefault="00C3284D" w:rsidP="00FD6CE1">
      <w:pPr>
        <w:pStyle w:val="FootnoteText"/>
        <w:rPr>
          <w:b/>
          <w:bCs/>
          <w:sz w:val="24"/>
          <w:szCs w:val="24"/>
        </w:rPr>
      </w:pPr>
    </w:p>
    <w:p w14:paraId="6719FFBA" w14:textId="77777777" w:rsidR="00C3284D" w:rsidRDefault="00C3284D" w:rsidP="00FD6CE1">
      <w:pPr>
        <w:pStyle w:val="FootnoteText"/>
        <w:rPr>
          <w:b/>
          <w:bCs/>
          <w:sz w:val="24"/>
          <w:szCs w:val="24"/>
        </w:rPr>
      </w:pPr>
    </w:p>
    <w:p w14:paraId="6FE9562D" w14:textId="77777777" w:rsidR="00C3284D" w:rsidRDefault="00C3284D" w:rsidP="00FD6CE1">
      <w:pPr>
        <w:pStyle w:val="FootnoteText"/>
        <w:rPr>
          <w:b/>
          <w:bCs/>
          <w:sz w:val="24"/>
          <w:szCs w:val="24"/>
        </w:rPr>
      </w:pPr>
    </w:p>
    <w:p w14:paraId="2B1ACBA5" w14:textId="77777777" w:rsidR="00C3284D" w:rsidRDefault="00C3284D" w:rsidP="00FD6CE1">
      <w:pPr>
        <w:pStyle w:val="FootnoteText"/>
        <w:rPr>
          <w:b/>
          <w:bCs/>
          <w:sz w:val="24"/>
          <w:szCs w:val="24"/>
        </w:rPr>
      </w:pPr>
    </w:p>
    <w:p w14:paraId="1ECE0860" w14:textId="77777777" w:rsidR="00C3284D" w:rsidRDefault="00C3284D" w:rsidP="00FD6CE1">
      <w:pPr>
        <w:pStyle w:val="FootnoteText"/>
        <w:rPr>
          <w:b/>
          <w:bCs/>
          <w:sz w:val="24"/>
          <w:szCs w:val="24"/>
        </w:rPr>
      </w:pPr>
    </w:p>
    <w:p w14:paraId="408D8A14" w14:textId="77777777" w:rsidR="00C3284D" w:rsidRDefault="00C3284D" w:rsidP="00FD6CE1">
      <w:pPr>
        <w:pStyle w:val="FootnoteText"/>
        <w:rPr>
          <w:b/>
          <w:bCs/>
          <w:sz w:val="24"/>
          <w:szCs w:val="24"/>
        </w:rPr>
      </w:pPr>
    </w:p>
    <w:p w14:paraId="6D3FF5A9" w14:textId="77777777" w:rsidR="00C3284D" w:rsidRDefault="00C3284D" w:rsidP="00FD6CE1">
      <w:pPr>
        <w:pStyle w:val="FootnoteText"/>
        <w:rPr>
          <w:b/>
          <w:bCs/>
          <w:sz w:val="24"/>
          <w:szCs w:val="24"/>
        </w:rPr>
      </w:pPr>
    </w:p>
    <w:p w14:paraId="78D40E62" w14:textId="1340B500" w:rsidR="00C3284D" w:rsidRPr="00C3284D" w:rsidRDefault="00C3284D" w:rsidP="00FD6CE1">
      <w:pPr>
        <w:pStyle w:val="FootnoteText"/>
        <w:rPr>
          <w:b/>
          <w:bCs/>
          <w:sz w:val="24"/>
          <w:szCs w:val="24"/>
        </w:rPr>
      </w:pPr>
      <w:r w:rsidRPr="00C3284D">
        <w:rPr>
          <w:b/>
          <w:bCs/>
          <w:sz w:val="24"/>
          <w:szCs w:val="24"/>
        </w:rPr>
        <w:t>Bibliography</w:t>
      </w:r>
    </w:p>
    <w:p w14:paraId="5DD14371" w14:textId="77777777" w:rsidR="00FD6CE1" w:rsidRDefault="00FD6CE1" w:rsidP="00FD6CE1">
      <w:pPr>
        <w:spacing w:after="0"/>
        <w:rPr>
          <w:sz w:val="20"/>
          <w:szCs w:val="20"/>
        </w:rPr>
      </w:pPr>
    </w:p>
    <w:p w14:paraId="08DC3851" w14:textId="7C98AE34" w:rsidR="00FD6CE1" w:rsidRPr="00C3284D" w:rsidRDefault="00934F7F" w:rsidP="00934F7F">
      <w:pPr>
        <w:spacing w:line="276" w:lineRule="auto"/>
        <w:ind w:left="720" w:hanging="720"/>
        <w:rPr>
          <w:sz w:val="22"/>
          <w:szCs w:val="22"/>
        </w:rPr>
      </w:pPr>
      <w:r w:rsidRPr="00C3284D">
        <w:rPr>
          <w:sz w:val="22"/>
          <w:szCs w:val="22"/>
        </w:rPr>
        <w:lastRenderedPageBreak/>
        <w:t>Booth</w:t>
      </w:r>
      <w:r w:rsidRPr="00C3284D">
        <w:rPr>
          <w:sz w:val="22"/>
          <w:szCs w:val="22"/>
        </w:rPr>
        <w:t xml:space="preserve">, </w:t>
      </w:r>
      <w:r w:rsidR="00FD6CE1" w:rsidRPr="00C3284D">
        <w:rPr>
          <w:sz w:val="22"/>
          <w:szCs w:val="22"/>
        </w:rPr>
        <w:t xml:space="preserve">Andrew, </w:t>
      </w:r>
      <w:r w:rsidR="00FD6CE1" w:rsidRPr="00C3284D">
        <w:rPr>
          <w:i/>
          <w:iCs/>
          <w:sz w:val="22"/>
          <w:szCs w:val="22"/>
        </w:rPr>
        <w:t>Manx English: a phonological investigation into levelling and diffusion from across the water</w:t>
      </w:r>
      <w:r w:rsidR="00FD6CE1" w:rsidRPr="00C3284D">
        <w:rPr>
          <w:sz w:val="22"/>
          <w:szCs w:val="22"/>
        </w:rPr>
        <w:t>. (Unpublished PhD thesis, University of Westminster, 2020)</w:t>
      </w:r>
    </w:p>
    <w:p w14:paraId="751794B6" w14:textId="77777777" w:rsidR="00FD6CE1" w:rsidRPr="00C3284D" w:rsidRDefault="00FD6CE1" w:rsidP="00934F7F">
      <w:pPr>
        <w:spacing w:after="120" w:line="276" w:lineRule="auto"/>
        <w:ind w:left="720" w:hanging="720"/>
        <w:rPr>
          <w:sz w:val="22"/>
          <w:szCs w:val="22"/>
        </w:rPr>
      </w:pPr>
      <w:r w:rsidRPr="00C3284D">
        <w:rPr>
          <w:sz w:val="22"/>
          <w:szCs w:val="22"/>
        </w:rPr>
        <w:t xml:space="preserve">Brain, Jessica, ‘The Welsh Language’, </w:t>
      </w:r>
      <w:r w:rsidRPr="00C3284D">
        <w:rPr>
          <w:i/>
          <w:iCs/>
          <w:sz w:val="22"/>
          <w:szCs w:val="22"/>
        </w:rPr>
        <w:t>Historic UK</w:t>
      </w:r>
      <w:r w:rsidRPr="00C3284D">
        <w:rPr>
          <w:sz w:val="22"/>
          <w:szCs w:val="22"/>
        </w:rPr>
        <w:t>, &lt;https://www.historic-uk.com/HistoryUK/HistoryofWales/Welsh-Language/&gt; [Accessed 22 April 2025]</w:t>
      </w:r>
    </w:p>
    <w:p w14:paraId="1109845D" w14:textId="4A9A6540" w:rsidR="00FD6CE1" w:rsidRPr="00C3284D" w:rsidRDefault="00934F7F" w:rsidP="00934F7F">
      <w:pPr>
        <w:spacing w:after="120" w:line="276" w:lineRule="auto"/>
        <w:ind w:left="720" w:hanging="720"/>
        <w:rPr>
          <w:sz w:val="22"/>
          <w:szCs w:val="22"/>
        </w:rPr>
      </w:pPr>
      <w:r w:rsidRPr="00C3284D">
        <w:rPr>
          <w:sz w:val="22"/>
          <w:szCs w:val="22"/>
        </w:rPr>
        <w:t>Broadhurst</w:t>
      </w:r>
      <w:r w:rsidRPr="00C3284D">
        <w:rPr>
          <w:sz w:val="22"/>
          <w:szCs w:val="22"/>
        </w:rPr>
        <w:t xml:space="preserve">, </w:t>
      </w:r>
      <w:r w:rsidR="00FD6CE1" w:rsidRPr="00C3284D">
        <w:rPr>
          <w:sz w:val="22"/>
          <w:szCs w:val="22"/>
        </w:rPr>
        <w:t xml:space="preserve">Kensa, </w:t>
      </w:r>
      <w:r w:rsidR="00FD6CE1" w:rsidRPr="00C3284D">
        <w:rPr>
          <w:i/>
          <w:iCs/>
          <w:sz w:val="22"/>
          <w:szCs w:val="22"/>
        </w:rPr>
        <w:t>Dolly Pentreath: a “very singular female”</w:t>
      </w:r>
      <w:r w:rsidR="00FD6CE1" w:rsidRPr="00C3284D">
        <w:rPr>
          <w:sz w:val="22"/>
          <w:szCs w:val="22"/>
        </w:rPr>
        <w:t>. (Unpublished PhD thesis, University of Exeter, 2021)</w:t>
      </w:r>
    </w:p>
    <w:p w14:paraId="24B1012E" w14:textId="77777777" w:rsidR="00FD6CE1" w:rsidRPr="00C3284D" w:rsidRDefault="00FD6CE1" w:rsidP="00934F7F">
      <w:pPr>
        <w:spacing w:after="120" w:line="276" w:lineRule="auto"/>
        <w:ind w:left="720" w:hanging="720"/>
        <w:rPr>
          <w:sz w:val="22"/>
          <w:szCs w:val="22"/>
        </w:rPr>
      </w:pPr>
      <w:r w:rsidRPr="00C3284D">
        <w:rPr>
          <w:sz w:val="22"/>
          <w:szCs w:val="22"/>
        </w:rPr>
        <w:t>Carter, Beverley, Wales, Encyclopedia Britannica, 11 Mar. 2025, &lt;https://www.britannica.com/topic/Act-of-Union-England-and-Wales-1536.&gt; [Accessed 22 April 2025]</w:t>
      </w:r>
    </w:p>
    <w:p w14:paraId="35870D51"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 xml:space="preserve">Cunliffe, Barry, </w:t>
      </w:r>
      <w:r w:rsidRPr="00C3284D">
        <w:rPr>
          <w:i/>
          <w:iCs/>
          <w:sz w:val="22"/>
          <w:szCs w:val="22"/>
        </w:rPr>
        <w:t>Celtic from the West: Alternative Perspectives from Archaeology, Genetics, Language and Literature</w:t>
      </w:r>
      <w:r w:rsidRPr="00C3284D">
        <w:rPr>
          <w:sz w:val="22"/>
          <w:szCs w:val="22"/>
        </w:rPr>
        <w:t>, ‘Part Three: Language and Literature’ (Oxford: Oxbow Books, 2010), DOI: 10.2307/j.ctv13pk64k.10</w:t>
      </w:r>
    </w:p>
    <w:p w14:paraId="1780CAF5" w14:textId="75EAC527" w:rsidR="00934F7F" w:rsidRPr="00C3284D" w:rsidRDefault="00934F7F" w:rsidP="00934F7F">
      <w:pPr>
        <w:pStyle w:val="FootnoteText"/>
        <w:spacing w:after="240" w:line="276" w:lineRule="auto"/>
        <w:ind w:left="720" w:hanging="720"/>
        <w:rPr>
          <w:sz w:val="22"/>
          <w:szCs w:val="22"/>
        </w:rPr>
      </w:pPr>
      <w:r w:rsidRPr="00C3284D">
        <w:rPr>
          <w:sz w:val="22"/>
          <w:szCs w:val="22"/>
        </w:rPr>
        <w:t xml:space="preserve">Cymdeithas yr Iaith Gymraeg, </w:t>
      </w:r>
      <w:r w:rsidRPr="00C3284D">
        <w:rPr>
          <w:i/>
          <w:iCs/>
          <w:sz w:val="22"/>
          <w:szCs w:val="22"/>
        </w:rPr>
        <w:t>What is Cumdeithas yr laith?</w:t>
      </w:r>
      <w:r w:rsidRPr="00C3284D">
        <w:rPr>
          <w:sz w:val="22"/>
          <w:szCs w:val="22"/>
        </w:rPr>
        <w:t xml:space="preserve"> &lt;https://cymdeithas.cymru/what-is-cymdeithas-yr-iaith&gt; [Accessed 22 April 2025]</w:t>
      </w:r>
    </w:p>
    <w:p w14:paraId="19169A78"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Davies, Janet, The Welsh Language</w:t>
      </w:r>
      <w:r w:rsidRPr="00C3284D">
        <w:rPr>
          <w:rFonts w:ascii="Arial" w:hAnsi="Arial" w:cs="Arial"/>
          <w:sz w:val="22"/>
          <w:szCs w:val="22"/>
        </w:rPr>
        <w:t> </w:t>
      </w:r>
      <w:r w:rsidRPr="00C3284D">
        <w:rPr>
          <w:sz w:val="22"/>
          <w:szCs w:val="22"/>
        </w:rPr>
        <w:t>: A History, 2nd ed. (Cardiff: University of Wales Press, 2014) &lt;https://www-jstor-org.ezproxy.uwtsd.ac.uk/stable/j.ctt9qhg9t&gt; [Accessed 22 April 2025]</w:t>
      </w:r>
    </w:p>
    <w:p w14:paraId="4727EC37" w14:textId="3A1BD1B2" w:rsidR="00934F7F" w:rsidRPr="00C3284D" w:rsidRDefault="00934F7F" w:rsidP="00934F7F">
      <w:pPr>
        <w:spacing w:line="276" w:lineRule="auto"/>
        <w:ind w:left="720" w:hanging="720"/>
        <w:rPr>
          <w:sz w:val="22"/>
          <w:szCs w:val="22"/>
        </w:rPr>
      </w:pPr>
      <w:r w:rsidRPr="00C3284D">
        <w:rPr>
          <w:sz w:val="22"/>
          <w:szCs w:val="22"/>
        </w:rPr>
        <w:t xml:space="preserve">Edwards, John, ‘Celtic languages and sociolinguistics: a very brief overview of pertinent issues’, </w:t>
      </w:r>
      <w:r w:rsidRPr="00C3284D">
        <w:rPr>
          <w:i/>
          <w:iCs/>
          <w:sz w:val="22"/>
          <w:szCs w:val="22"/>
        </w:rPr>
        <w:t>Language, Culture and Curriculum</w:t>
      </w:r>
      <w:r w:rsidRPr="00C3284D">
        <w:rPr>
          <w:sz w:val="22"/>
          <w:szCs w:val="22"/>
        </w:rPr>
        <w:t xml:space="preserve">, 30.1 13-31&lt;DOI: </w:t>
      </w:r>
      <w:r w:rsidRPr="00C3284D">
        <w:rPr>
          <w:sz w:val="22"/>
          <w:szCs w:val="22"/>
        </w:rPr>
        <w:t>10.1080/07908318.2016.1230618</w:t>
      </w:r>
      <w:r w:rsidRPr="00C3284D">
        <w:rPr>
          <w:sz w:val="22"/>
          <w:szCs w:val="22"/>
        </w:rPr>
        <w:t>&gt;</w:t>
      </w:r>
    </w:p>
    <w:p w14:paraId="4DEA66D4" w14:textId="77777777" w:rsidR="00FD6CE1" w:rsidRPr="00C3284D" w:rsidRDefault="00FD6CE1" w:rsidP="00934F7F">
      <w:pPr>
        <w:spacing w:after="120" w:line="276" w:lineRule="auto"/>
        <w:ind w:left="720" w:hanging="720"/>
        <w:rPr>
          <w:sz w:val="22"/>
          <w:szCs w:val="22"/>
        </w:rPr>
      </w:pPr>
      <w:r w:rsidRPr="00C3284D">
        <w:rPr>
          <w:sz w:val="22"/>
          <w:szCs w:val="22"/>
        </w:rPr>
        <w:t xml:space="preserve">Edwards, Nancy, </w:t>
      </w:r>
      <w:r w:rsidRPr="00C3284D">
        <w:rPr>
          <w:i/>
          <w:iCs/>
          <w:sz w:val="22"/>
          <w:szCs w:val="22"/>
        </w:rPr>
        <w:t xml:space="preserve">Early Medieval Wales – a matter of identity </w:t>
      </w:r>
      <w:r w:rsidRPr="00C3284D">
        <w:rPr>
          <w:sz w:val="22"/>
          <w:szCs w:val="22"/>
        </w:rPr>
        <w:t>[video]. 2020 &lt;https://www.youtube.com/watch?v=pYuBNOe_rYw&gt; [Accessed 22 April 2025]</w:t>
      </w:r>
    </w:p>
    <w:p w14:paraId="3477AFB4" w14:textId="77777777" w:rsidR="00FD6CE1" w:rsidRPr="00C3284D" w:rsidRDefault="00FD6CE1" w:rsidP="00934F7F">
      <w:pPr>
        <w:spacing w:after="120" w:line="276" w:lineRule="auto"/>
        <w:ind w:left="720" w:hanging="720"/>
        <w:rPr>
          <w:sz w:val="22"/>
          <w:szCs w:val="22"/>
        </w:rPr>
      </w:pPr>
      <w:r w:rsidRPr="00C3284D">
        <w:rPr>
          <w:sz w:val="22"/>
          <w:szCs w:val="22"/>
        </w:rPr>
        <w:t xml:space="preserve">Fontaine, Lise and Lowri Williams, </w:t>
      </w:r>
      <w:r w:rsidRPr="00C3284D">
        <w:rPr>
          <w:i/>
          <w:iCs/>
          <w:sz w:val="22"/>
          <w:szCs w:val="22"/>
        </w:rPr>
        <w:t>A Preliminary Description of Mood in Welsh</w:t>
      </w:r>
      <w:r w:rsidRPr="00C3284D">
        <w:rPr>
          <w:sz w:val="22"/>
          <w:szCs w:val="22"/>
        </w:rPr>
        <w:t>, (Cardiff University, 2021), p.3 &lt;https://orca.cardiff.ac.uk/id/eprint/138636/1/Fontaine%20and%20Williams%20preprint.pdf&gt; [Accessed 22 April 2025]</w:t>
      </w:r>
    </w:p>
    <w:p w14:paraId="6E9C5A50" w14:textId="77777777" w:rsidR="00FD6CE1" w:rsidRPr="00C3284D" w:rsidRDefault="00FD6CE1" w:rsidP="00934F7F">
      <w:pPr>
        <w:spacing w:after="120" w:line="276" w:lineRule="auto"/>
        <w:ind w:left="720" w:hanging="720"/>
        <w:rPr>
          <w:sz w:val="22"/>
          <w:szCs w:val="22"/>
        </w:rPr>
      </w:pPr>
      <w:r w:rsidRPr="00C3284D">
        <w:rPr>
          <w:sz w:val="22"/>
          <w:szCs w:val="22"/>
        </w:rPr>
        <w:t>Gallacher, Johnnie, Celtic Origins: Archaeologically Speaking, University of the Highlands and Islands, &lt;https://www.abdn.ac.uk/media/site/llmvc/documents/Ch9-Gallacher.pdf&gt;  [Accessed 22 April 2025]</w:t>
      </w:r>
    </w:p>
    <w:p w14:paraId="6FEBFA18" w14:textId="4AE669A6" w:rsidR="00FD6CE1" w:rsidRPr="00C3284D" w:rsidRDefault="00FD6CE1" w:rsidP="00934F7F">
      <w:pPr>
        <w:spacing w:after="120" w:line="276" w:lineRule="auto"/>
        <w:ind w:left="720" w:hanging="720"/>
        <w:rPr>
          <w:sz w:val="22"/>
          <w:szCs w:val="22"/>
        </w:rPr>
      </w:pPr>
      <w:r w:rsidRPr="00C3284D">
        <w:rPr>
          <w:sz w:val="22"/>
          <w:szCs w:val="22"/>
        </w:rPr>
        <w:t xml:space="preserve">Gawne, Philip, </w:t>
      </w:r>
      <w:r w:rsidRPr="00C3284D">
        <w:rPr>
          <w:i/>
          <w:iCs/>
          <w:sz w:val="22"/>
          <w:szCs w:val="22"/>
        </w:rPr>
        <w:t>Securing the Future of Manx Gaelic</w:t>
      </w:r>
      <w:r w:rsidRPr="00C3284D">
        <w:rPr>
          <w:sz w:val="22"/>
          <w:szCs w:val="22"/>
        </w:rPr>
        <w:t xml:space="preserve"> &lt;https://www.poileasaidh.celtscot.ed.ac.uk/gawneseminar.html&gt; [accessed 22 April 2025].</w:t>
      </w:r>
    </w:p>
    <w:p w14:paraId="7F41ABAA"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Greene, David, ‘Celtic languages’, </w:t>
      </w:r>
      <w:r w:rsidRPr="00C3284D">
        <w:rPr>
          <w:i/>
          <w:iCs/>
          <w:sz w:val="22"/>
          <w:szCs w:val="22"/>
        </w:rPr>
        <w:t>Encyclopedia Britannica</w:t>
      </w:r>
      <w:r w:rsidRPr="00C3284D">
        <w:rPr>
          <w:sz w:val="22"/>
          <w:szCs w:val="22"/>
        </w:rPr>
        <w:t>, 8 November 2024, &lt;https://www.britannica.com/topic/Celtic-languages&gt; [Accessed 22 April 2025]</w:t>
      </w:r>
    </w:p>
    <w:p w14:paraId="15639BA9"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 xml:space="preserve">Gwenogvryn, John, </w:t>
      </w:r>
      <w:r w:rsidRPr="00C3284D">
        <w:rPr>
          <w:i/>
          <w:iCs/>
          <w:sz w:val="22"/>
          <w:szCs w:val="22"/>
        </w:rPr>
        <w:t>Poems from the Book of Taliesin</w:t>
      </w:r>
      <w:r w:rsidRPr="00C3284D">
        <w:rPr>
          <w:sz w:val="22"/>
          <w:szCs w:val="22"/>
        </w:rPr>
        <w:t>, (Tremban,1915) &lt;https://archive.org/details/cu31924068919541&gt; [Accessed 22 April 2025]</w:t>
      </w:r>
    </w:p>
    <w:p w14:paraId="2D75BDFC" w14:textId="77777777" w:rsidR="00934F7F" w:rsidRPr="00C3284D" w:rsidRDefault="00934F7F" w:rsidP="00934F7F">
      <w:pPr>
        <w:spacing w:line="276" w:lineRule="auto"/>
        <w:ind w:left="720" w:hanging="720"/>
        <w:rPr>
          <w:sz w:val="22"/>
          <w:szCs w:val="22"/>
        </w:rPr>
      </w:pPr>
      <w:r w:rsidRPr="00C3284D">
        <w:rPr>
          <w:sz w:val="22"/>
          <w:szCs w:val="22"/>
        </w:rPr>
        <w:t>Harris</w:t>
      </w:r>
      <w:r w:rsidRPr="00C3284D">
        <w:rPr>
          <w:sz w:val="22"/>
          <w:szCs w:val="22"/>
        </w:rPr>
        <w:t xml:space="preserve">, </w:t>
      </w:r>
      <w:r w:rsidRPr="00C3284D">
        <w:rPr>
          <w:sz w:val="22"/>
          <w:szCs w:val="22"/>
        </w:rPr>
        <w:t xml:space="preserve">James, ‘Language, historical culture and the gentry of later Stuart Cornwall and south-west Wales’, </w:t>
      </w:r>
      <w:r w:rsidRPr="00C3284D">
        <w:rPr>
          <w:i/>
          <w:iCs/>
          <w:sz w:val="22"/>
          <w:szCs w:val="22"/>
        </w:rPr>
        <w:t>Historical Research</w:t>
      </w:r>
      <w:r w:rsidRPr="00C3284D">
        <w:rPr>
          <w:sz w:val="22"/>
          <w:szCs w:val="22"/>
        </w:rPr>
        <w:t xml:space="preserve">, 95.269 (2022), 348-369 &lt;DOI:10.1093/hisres/htac004&gt;. </w:t>
      </w:r>
    </w:p>
    <w:p w14:paraId="316EFFB7" w14:textId="26448381" w:rsidR="00FD6CE1" w:rsidRPr="00C3284D" w:rsidRDefault="00FD6CE1" w:rsidP="00934F7F">
      <w:pPr>
        <w:spacing w:line="276" w:lineRule="auto"/>
        <w:ind w:left="720" w:hanging="720"/>
        <w:rPr>
          <w:sz w:val="22"/>
          <w:szCs w:val="22"/>
        </w:rPr>
      </w:pPr>
      <w:r w:rsidRPr="00C3284D">
        <w:rPr>
          <w:sz w:val="22"/>
          <w:szCs w:val="22"/>
        </w:rPr>
        <w:lastRenderedPageBreak/>
        <w:t>Hughes</w:t>
      </w:r>
      <w:r w:rsidRPr="00C3284D">
        <w:rPr>
          <w:sz w:val="22"/>
          <w:szCs w:val="22"/>
        </w:rPr>
        <w:t xml:space="preserve">, </w:t>
      </w:r>
      <w:r w:rsidRPr="00C3284D">
        <w:rPr>
          <w:sz w:val="22"/>
          <w:szCs w:val="22"/>
        </w:rPr>
        <w:t xml:space="preserve">A. J., ‘Manx Speaker Ned Maddrell and Irish Gaelic Author Liam Mac Reachtain’, </w:t>
      </w:r>
      <w:r w:rsidRPr="00C3284D">
        <w:rPr>
          <w:i/>
          <w:iCs/>
          <w:sz w:val="22"/>
          <w:szCs w:val="22"/>
        </w:rPr>
        <w:t>Seanchas Ardmhacha: Journal of the Armagh Diocesan Historical Society</w:t>
      </w:r>
      <w:r w:rsidRPr="00C3284D">
        <w:rPr>
          <w:sz w:val="22"/>
          <w:szCs w:val="22"/>
        </w:rPr>
        <w:t>, 15.2 (1993), 125-129 &lt;DOI: 10.2307/29742593&gt;</w:t>
      </w:r>
    </w:p>
    <w:p w14:paraId="42117ED1" w14:textId="6E563CC8" w:rsidR="00FD6CE1" w:rsidRPr="00C3284D" w:rsidRDefault="00FD6CE1" w:rsidP="00934F7F">
      <w:pPr>
        <w:spacing w:line="276" w:lineRule="auto"/>
        <w:ind w:left="720" w:hanging="720"/>
        <w:rPr>
          <w:sz w:val="22"/>
          <w:szCs w:val="22"/>
        </w:rPr>
      </w:pPr>
      <w:r w:rsidRPr="00C3284D">
        <w:rPr>
          <w:sz w:val="22"/>
          <w:szCs w:val="22"/>
        </w:rPr>
        <w:t xml:space="preserve">Isle of Man Department of Education, Sport and Culture, </w:t>
      </w:r>
      <w:r w:rsidRPr="00C3284D">
        <w:rPr>
          <w:i/>
          <w:iCs/>
          <w:sz w:val="22"/>
          <w:szCs w:val="22"/>
        </w:rPr>
        <w:t xml:space="preserve">Manx Language in Schools </w:t>
      </w:r>
      <w:r w:rsidRPr="00C3284D">
        <w:rPr>
          <w:sz w:val="22"/>
          <w:szCs w:val="22"/>
        </w:rPr>
        <w:t>&lt;https://desc.gov.im/education/education/manx-language-in-schools/&gt; [accessed 22 April 2025]</w:t>
      </w:r>
    </w:p>
    <w:p w14:paraId="09D11715" w14:textId="03ABBBF4" w:rsidR="00FD6CE1" w:rsidRPr="00C3284D" w:rsidRDefault="00FD6CE1" w:rsidP="00934F7F">
      <w:pPr>
        <w:spacing w:line="276" w:lineRule="auto"/>
        <w:ind w:left="720" w:hanging="720"/>
        <w:rPr>
          <w:sz w:val="22"/>
          <w:szCs w:val="22"/>
        </w:rPr>
      </w:pPr>
      <w:r w:rsidRPr="00C3284D">
        <w:rPr>
          <w:sz w:val="22"/>
          <w:szCs w:val="22"/>
        </w:rPr>
        <w:t xml:space="preserve">Isle of Man Government, </w:t>
      </w:r>
      <w:r w:rsidRPr="00C3284D">
        <w:rPr>
          <w:i/>
          <w:iCs/>
          <w:sz w:val="22"/>
          <w:szCs w:val="22"/>
        </w:rPr>
        <w:t xml:space="preserve">Strategy to build on Manx Language Revival  </w:t>
      </w:r>
      <w:r w:rsidRPr="00C3284D">
        <w:rPr>
          <w:sz w:val="22"/>
          <w:szCs w:val="22"/>
        </w:rPr>
        <w:t>(2022) &lt;https://www.gov.im/news/2022/jun/24/strategy-to-build-on-manx-language-revival/&gt; [accessed 22 April 2025]</w:t>
      </w:r>
    </w:p>
    <w:p w14:paraId="186907F6"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 xml:space="preserve">Jackson, Kenneth Hurlstone, </w:t>
      </w:r>
      <w:r w:rsidRPr="00C3284D">
        <w:rPr>
          <w:i/>
          <w:iCs/>
          <w:sz w:val="22"/>
          <w:szCs w:val="22"/>
        </w:rPr>
        <w:t>The Brittonic Languages, and the Breton Migrations</w:t>
      </w:r>
      <w:r w:rsidRPr="00C3284D">
        <w:rPr>
          <w:sz w:val="22"/>
          <w:szCs w:val="22"/>
        </w:rPr>
        <w:t xml:space="preserve"> (Edinburgh: Edinburgh University Press, 1953), p. 5 &lt;https://contentstore-cla-co-uk.ezproxy.uwtsd.ac.uk/EReader/Index?guid=4172508a-3320-ec11-ae72-a04a5e5d2f8d&amp;pcid=2753002&amp;t=eyJhbGciOiJIUzI1NiIsInR5cCI6IkpXVCJ9.eyJqdGkiOiI3ZGQxODU5Zi00ZTI0LTQzZDgtYjZiNy1jMWFlZDM2OGY1MGQiLCJuYmYiOjE3NDE2ODk0MjUsImV4cCI6MTc&gt; [Accessed 22 April 2025]</w:t>
      </w:r>
    </w:p>
    <w:p w14:paraId="10631999"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 xml:space="preserve">Jackson, Kenneth Hurlstone, </w:t>
      </w:r>
      <w:r w:rsidRPr="00C3284D">
        <w:rPr>
          <w:i/>
          <w:iCs/>
          <w:sz w:val="22"/>
          <w:szCs w:val="22"/>
        </w:rPr>
        <w:t xml:space="preserve">Language and history in early Britain; a chronological survey of the Brittonic languages, first to twelfth century A.D, </w:t>
      </w:r>
      <w:r w:rsidRPr="00C3284D">
        <w:rPr>
          <w:sz w:val="22"/>
          <w:szCs w:val="22"/>
        </w:rPr>
        <w:t>(Edinburgh: Edinburgh University Press, 1953), p. 547 &lt;https://archive.org/details/languagehistoryi0000jack/page/547/mode/2up?q=brenin&gt; [Accessed 22 April 2025]</w:t>
      </w:r>
    </w:p>
    <w:p w14:paraId="44D9C305" w14:textId="77777777" w:rsidR="00FD6CE1" w:rsidRPr="00C3284D" w:rsidRDefault="00FD6CE1" w:rsidP="00934F7F">
      <w:pPr>
        <w:spacing w:after="120" w:line="276" w:lineRule="auto"/>
        <w:ind w:left="720" w:hanging="720"/>
        <w:rPr>
          <w:sz w:val="22"/>
          <w:szCs w:val="22"/>
        </w:rPr>
      </w:pPr>
      <w:r w:rsidRPr="00C3284D">
        <w:rPr>
          <w:sz w:val="22"/>
          <w:szCs w:val="22"/>
        </w:rPr>
        <w:t>Jasanoff, Jay H, Warren Cowgill, ‘Indo-European languages’, </w:t>
      </w:r>
      <w:r w:rsidRPr="00C3284D">
        <w:rPr>
          <w:i/>
          <w:iCs/>
          <w:sz w:val="22"/>
          <w:szCs w:val="22"/>
        </w:rPr>
        <w:t>Encyclopedia Britannica</w:t>
      </w:r>
      <w:r w:rsidRPr="00C3284D">
        <w:rPr>
          <w:sz w:val="22"/>
          <w:szCs w:val="22"/>
        </w:rPr>
        <w:t>, 12 February 2025 &lt;https://www.britannica.com/topic/Indo-European-languages/Morphology-and-syntax.&gt; [Accessed 22 April 2025]</w:t>
      </w:r>
    </w:p>
    <w:p w14:paraId="58A3702B" w14:textId="48DA8EF9" w:rsidR="00934F7F" w:rsidRPr="00C3284D" w:rsidRDefault="00934F7F" w:rsidP="00934F7F">
      <w:pPr>
        <w:pStyle w:val="FootnoteText"/>
        <w:spacing w:after="240" w:line="276" w:lineRule="auto"/>
        <w:ind w:left="720" w:hanging="720"/>
        <w:rPr>
          <w:sz w:val="22"/>
          <w:szCs w:val="22"/>
        </w:rPr>
      </w:pPr>
      <w:r w:rsidRPr="00C3284D">
        <w:rPr>
          <w:sz w:val="22"/>
          <w:szCs w:val="22"/>
        </w:rPr>
        <w:t xml:space="preserve">Llywodraeth Cymru, </w:t>
      </w:r>
      <w:r w:rsidRPr="00C3284D">
        <w:rPr>
          <w:i/>
          <w:iCs/>
          <w:sz w:val="22"/>
          <w:szCs w:val="22"/>
        </w:rPr>
        <w:t>Cymraeg 2050: A million Welsh speakers</w:t>
      </w:r>
      <w:r w:rsidRPr="00C3284D">
        <w:rPr>
          <w:sz w:val="22"/>
          <w:szCs w:val="22"/>
        </w:rPr>
        <w:t>, 2017 &lt;https://www.gov.wales/sites/default/files/publications/2018-12/cymraeg-2050-welsh-language-strategy.pdf&gt; [Accessed 22 April 2025]</w:t>
      </w:r>
    </w:p>
    <w:p w14:paraId="711B78BF"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 xml:space="preserve">Morgan, William, ‘1588 Welsh Bible’, </w:t>
      </w:r>
      <w:r w:rsidRPr="00C3284D">
        <w:rPr>
          <w:i/>
          <w:iCs/>
          <w:sz w:val="22"/>
          <w:szCs w:val="22"/>
        </w:rPr>
        <w:t>The National Library of Wales</w:t>
      </w:r>
      <w:r w:rsidRPr="00C3284D">
        <w:rPr>
          <w:sz w:val="22"/>
          <w:szCs w:val="22"/>
        </w:rPr>
        <w:t xml:space="preserve"> &lt;https://www.library.wales/discover-learn/digital-exhibitions/printed-material/1588-welsh-bible#:~:text=The%20year%201588%20saw%20the,John's%20College%2C%20Cambridge.&gt; [Accessed 22 April 2025]</w:t>
      </w:r>
    </w:p>
    <w:p w14:paraId="45F420BC"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 xml:space="preserve">Office for National Statistics, </w:t>
      </w:r>
      <w:r w:rsidRPr="00C3284D">
        <w:rPr>
          <w:i/>
          <w:iCs/>
          <w:sz w:val="22"/>
          <w:szCs w:val="22"/>
        </w:rPr>
        <w:t>Welsh language in Wales (Census 2021</w:t>
      </w:r>
      <w:r w:rsidRPr="00C3284D">
        <w:rPr>
          <w:sz w:val="22"/>
          <w:szCs w:val="22"/>
        </w:rPr>
        <w:t>) (2022) &lt;https://www.gov.wales/welsh-language-wales-census-2021-html#111193&gt; [Accessed 22 April 2025]</w:t>
      </w:r>
    </w:p>
    <w:p w14:paraId="4198B51F" w14:textId="77777777" w:rsidR="00FD6CE1" w:rsidRPr="00C3284D" w:rsidRDefault="00FD6CE1" w:rsidP="00934F7F">
      <w:pPr>
        <w:pStyle w:val="FootnoteText"/>
        <w:spacing w:after="120" w:line="276" w:lineRule="auto"/>
        <w:ind w:left="720" w:hanging="720"/>
        <w:rPr>
          <w:sz w:val="22"/>
          <w:szCs w:val="22"/>
        </w:rPr>
      </w:pPr>
      <w:r w:rsidRPr="00C3284D">
        <w:rPr>
          <w:sz w:val="22"/>
          <w:szCs w:val="22"/>
        </w:rPr>
        <w:t>Olander, Thomas</w:t>
      </w:r>
      <w:r w:rsidRPr="00C3284D">
        <w:rPr>
          <w:i/>
          <w:iCs/>
          <w:sz w:val="22"/>
          <w:szCs w:val="22"/>
        </w:rPr>
        <w:t>, The Indo-European Language Family</w:t>
      </w:r>
      <w:r w:rsidRPr="00C3284D">
        <w:rPr>
          <w:sz w:val="22"/>
          <w:szCs w:val="22"/>
        </w:rPr>
        <w:t>, ‘Celtic’ (Cambridge: Cambridge University Press, 2022) pp.143-148  &lt;https://books.google.co.uk/books?hl=en&amp;lr=&amp;id=gdCIEAAAQBAJ&amp;oi=fnd&amp;pg=PA135&amp;dq=indo+european&gt; [Accessed 22 April 2025]</w:t>
      </w:r>
    </w:p>
    <w:p w14:paraId="08F60644" w14:textId="4DE245B2" w:rsidR="00934F7F" w:rsidRPr="00C3284D" w:rsidRDefault="00FD6CE1" w:rsidP="00934F7F">
      <w:pPr>
        <w:pStyle w:val="FootnoteText"/>
        <w:spacing w:after="240" w:line="276" w:lineRule="auto"/>
        <w:ind w:left="720" w:hanging="720"/>
        <w:rPr>
          <w:sz w:val="22"/>
          <w:szCs w:val="22"/>
        </w:rPr>
      </w:pPr>
      <w:r w:rsidRPr="00C3284D">
        <w:rPr>
          <w:sz w:val="22"/>
          <w:szCs w:val="22"/>
        </w:rPr>
        <w:t xml:space="preserve">Poetry Foundation, </w:t>
      </w:r>
      <w:r w:rsidRPr="00C3284D">
        <w:rPr>
          <w:i/>
          <w:iCs/>
          <w:sz w:val="22"/>
          <w:szCs w:val="22"/>
        </w:rPr>
        <w:t>Dafydd ap Gwilym</w:t>
      </w:r>
      <w:r w:rsidRPr="00C3284D">
        <w:rPr>
          <w:sz w:val="22"/>
          <w:szCs w:val="22"/>
        </w:rPr>
        <w:t xml:space="preserve"> &lt;https://www.poetryfoundation.org/poets/dafydd-ap-gwilym&gt; [Accessed 22 April 2025]</w:t>
      </w:r>
    </w:p>
    <w:p w14:paraId="528243EB" w14:textId="4604FFEA" w:rsidR="00FD6CE1" w:rsidRPr="00C3284D" w:rsidRDefault="00FD6CE1" w:rsidP="00934F7F">
      <w:pPr>
        <w:pStyle w:val="FootnoteText"/>
        <w:spacing w:after="120" w:line="276" w:lineRule="auto"/>
        <w:ind w:left="720" w:hanging="720"/>
        <w:rPr>
          <w:sz w:val="22"/>
          <w:szCs w:val="22"/>
        </w:rPr>
      </w:pPr>
      <w:r w:rsidRPr="00C3284D">
        <w:rPr>
          <w:sz w:val="22"/>
          <w:szCs w:val="22"/>
        </w:rPr>
        <w:lastRenderedPageBreak/>
        <w:t>Pool</w:t>
      </w:r>
      <w:r w:rsidRPr="00C3284D">
        <w:rPr>
          <w:sz w:val="22"/>
          <w:szCs w:val="22"/>
        </w:rPr>
        <w:t xml:space="preserve">, </w:t>
      </w:r>
      <w:r w:rsidRPr="00C3284D">
        <w:rPr>
          <w:sz w:val="22"/>
          <w:szCs w:val="22"/>
        </w:rPr>
        <w:t xml:space="preserve">P. A. S., </w:t>
      </w:r>
      <w:r w:rsidRPr="00C3284D">
        <w:rPr>
          <w:i/>
          <w:iCs/>
          <w:sz w:val="22"/>
          <w:szCs w:val="22"/>
        </w:rPr>
        <w:t>The Death of Cornish</w:t>
      </w:r>
      <w:r w:rsidRPr="00C3284D">
        <w:rPr>
          <w:sz w:val="22"/>
          <w:szCs w:val="22"/>
        </w:rPr>
        <w:t>, (Penzance: The Author, 1975)</w:t>
      </w:r>
    </w:p>
    <w:p w14:paraId="6531E230" w14:textId="7E763923" w:rsidR="00FD6CE1" w:rsidRPr="00C3284D" w:rsidRDefault="00934F7F" w:rsidP="00934F7F">
      <w:pPr>
        <w:pStyle w:val="FootnoteText"/>
        <w:spacing w:after="120" w:line="276" w:lineRule="auto"/>
        <w:ind w:left="720" w:hanging="720"/>
        <w:rPr>
          <w:sz w:val="22"/>
          <w:szCs w:val="22"/>
        </w:rPr>
      </w:pPr>
      <w:r w:rsidRPr="00C3284D">
        <w:rPr>
          <w:sz w:val="22"/>
          <w:szCs w:val="22"/>
        </w:rPr>
        <w:t>Sayers</w:t>
      </w:r>
      <w:r w:rsidRPr="00C3284D">
        <w:rPr>
          <w:sz w:val="22"/>
          <w:szCs w:val="22"/>
        </w:rPr>
        <w:t xml:space="preserve">, </w:t>
      </w:r>
      <w:r w:rsidR="00FD6CE1" w:rsidRPr="00C3284D">
        <w:rPr>
          <w:sz w:val="22"/>
          <w:szCs w:val="22"/>
        </w:rPr>
        <w:t xml:space="preserve">Dave, </w:t>
      </w:r>
      <w:r w:rsidR="00FD6CE1" w:rsidRPr="00C3284D">
        <w:rPr>
          <w:i/>
          <w:iCs/>
          <w:sz w:val="22"/>
          <w:szCs w:val="22"/>
        </w:rPr>
        <w:t>Phoenix from the ashes; reconstructed Cornish in relation to Einar Haugen’s four-step model of language standardisation</w:t>
      </w:r>
      <w:r w:rsidR="00FD6CE1" w:rsidRPr="00C3284D">
        <w:rPr>
          <w:sz w:val="22"/>
          <w:szCs w:val="22"/>
        </w:rPr>
        <w:t>. (Unpublished PhD thesis, Sheffield Hallam University, 2015)</w:t>
      </w:r>
    </w:p>
    <w:p w14:paraId="1A694486" w14:textId="77777777" w:rsidR="00FD6CE1" w:rsidRPr="00C3284D" w:rsidRDefault="00FD6CE1" w:rsidP="00934F7F">
      <w:pPr>
        <w:spacing w:after="120" w:line="276" w:lineRule="auto"/>
        <w:ind w:left="720" w:hanging="720"/>
        <w:rPr>
          <w:sz w:val="22"/>
          <w:szCs w:val="22"/>
        </w:rPr>
      </w:pPr>
      <w:r w:rsidRPr="00C3284D">
        <w:rPr>
          <w:sz w:val="22"/>
          <w:szCs w:val="22"/>
        </w:rPr>
        <w:t>Smith, Jenkyn Beverley, Harold Carter and Pyrs Gruffudd, ‘Wales from the 16</w:t>
      </w:r>
      <w:r w:rsidRPr="00C3284D">
        <w:rPr>
          <w:sz w:val="22"/>
          <w:szCs w:val="22"/>
          <w:vertAlign w:val="superscript"/>
        </w:rPr>
        <w:t>th</w:t>
      </w:r>
      <w:r w:rsidRPr="00C3284D">
        <w:rPr>
          <w:sz w:val="22"/>
          <w:szCs w:val="22"/>
        </w:rPr>
        <w:t xml:space="preserve"> to the 21</w:t>
      </w:r>
      <w:r w:rsidRPr="00C3284D">
        <w:rPr>
          <w:sz w:val="22"/>
          <w:szCs w:val="22"/>
          <w:vertAlign w:val="superscript"/>
        </w:rPr>
        <w:t>st</w:t>
      </w:r>
      <w:r w:rsidRPr="00C3284D">
        <w:rPr>
          <w:sz w:val="22"/>
          <w:szCs w:val="22"/>
        </w:rPr>
        <w:t xml:space="preserve"> century’, </w:t>
      </w:r>
      <w:r w:rsidRPr="00C3284D">
        <w:rPr>
          <w:i/>
          <w:iCs/>
          <w:sz w:val="22"/>
          <w:szCs w:val="22"/>
        </w:rPr>
        <w:t>Encyclopedia Britannica</w:t>
      </w:r>
      <w:r w:rsidRPr="00C3284D">
        <w:rPr>
          <w:sz w:val="22"/>
          <w:szCs w:val="22"/>
        </w:rPr>
        <w:t>, 11 March 2025, &lt;https://www.britannica.com/topic/Act-of-Union-England-and-Wales-1536.&gt; [Accessed 22 April 2025]</w:t>
      </w:r>
    </w:p>
    <w:p w14:paraId="01751184" w14:textId="187AF2DF" w:rsidR="00FD6CE1" w:rsidRPr="00C3284D" w:rsidRDefault="00FD6CE1" w:rsidP="00934F7F">
      <w:pPr>
        <w:spacing w:after="120" w:line="276" w:lineRule="auto"/>
        <w:ind w:left="720" w:hanging="720"/>
        <w:rPr>
          <w:sz w:val="22"/>
          <w:szCs w:val="22"/>
        </w:rPr>
      </w:pPr>
      <w:r w:rsidRPr="00C3284D">
        <w:rPr>
          <w:sz w:val="22"/>
          <w:szCs w:val="22"/>
        </w:rPr>
        <w:t>Stoyle, Mark</w:t>
      </w:r>
      <w:r w:rsidRPr="00C3284D">
        <w:rPr>
          <w:sz w:val="22"/>
          <w:szCs w:val="22"/>
        </w:rPr>
        <w:t>,</w:t>
      </w:r>
      <w:r w:rsidRPr="00C3284D">
        <w:rPr>
          <w:i/>
          <w:iCs/>
          <w:sz w:val="22"/>
          <w:szCs w:val="22"/>
        </w:rPr>
        <w:t xml:space="preserve"> </w:t>
      </w:r>
      <w:r w:rsidRPr="00C3284D">
        <w:rPr>
          <w:i/>
          <w:iCs/>
          <w:sz w:val="22"/>
          <w:szCs w:val="22"/>
        </w:rPr>
        <w:t xml:space="preserve">The Cornish: A Neglected Nation? </w:t>
      </w:r>
      <w:r w:rsidRPr="00C3284D">
        <w:rPr>
          <w:sz w:val="22"/>
          <w:szCs w:val="22"/>
        </w:rPr>
        <w:t xml:space="preserve"> (2017) &lt;https://www.bbc.co.uk/history/british/empire_seapower/cornish_nation_01.shtml&gt; [accessed 22 April 2025]</w:t>
      </w:r>
    </w:p>
    <w:p w14:paraId="47A824F3" w14:textId="77777777" w:rsidR="00934F7F" w:rsidRPr="00C3284D" w:rsidRDefault="00934F7F" w:rsidP="00934F7F">
      <w:pPr>
        <w:pStyle w:val="FootnoteText"/>
        <w:spacing w:line="276" w:lineRule="auto"/>
        <w:rPr>
          <w:sz w:val="22"/>
          <w:szCs w:val="22"/>
        </w:rPr>
      </w:pPr>
      <w:r w:rsidRPr="00C3284D">
        <w:rPr>
          <w:sz w:val="22"/>
          <w:szCs w:val="22"/>
        </w:rPr>
        <w:t xml:space="preserve">S4C, </w:t>
      </w:r>
      <w:r w:rsidRPr="00C3284D">
        <w:rPr>
          <w:i/>
          <w:iCs/>
          <w:sz w:val="22"/>
          <w:szCs w:val="22"/>
        </w:rPr>
        <w:t>About Us</w:t>
      </w:r>
      <w:r w:rsidRPr="00C3284D">
        <w:rPr>
          <w:sz w:val="22"/>
          <w:szCs w:val="22"/>
        </w:rPr>
        <w:t xml:space="preserve"> &lt;https://www.s4c.cymru/en/about-us/&gt; [Accessed 22 April 2025].</w:t>
      </w:r>
    </w:p>
    <w:p w14:paraId="189E6934" w14:textId="7ECDD26A" w:rsidR="00934F7F" w:rsidRPr="00C3284D" w:rsidRDefault="00934F7F" w:rsidP="00C3284D">
      <w:pPr>
        <w:pStyle w:val="FootnoteText"/>
        <w:spacing w:after="240" w:line="276" w:lineRule="auto"/>
        <w:ind w:left="720" w:hanging="720"/>
        <w:rPr>
          <w:sz w:val="22"/>
          <w:szCs w:val="22"/>
        </w:rPr>
      </w:pPr>
      <w:r w:rsidRPr="00C3284D">
        <w:rPr>
          <w:sz w:val="22"/>
          <w:szCs w:val="22"/>
        </w:rPr>
        <w:t xml:space="preserve">Senedd Cymru, </w:t>
      </w:r>
      <w:r w:rsidRPr="00C3284D">
        <w:rPr>
          <w:i/>
          <w:iCs/>
          <w:sz w:val="22"/>
          <w:szCs w:val="22"/>
        </w:rPr>
        <w:t>History of devolution</w:t>
      </w:r>
      <w:r w:rsidRPr="00C3284D">
        <w:rPr>
          <w:sz w:val="22"/>
          <w:szCs w:val="22"/>
        </w:rPr>
        <w:t xml:space="preserve"> (2024) &lt;https://senedd.wales/how-we-work/history-of-devolution/&gt; [Accessed 22 April 2025]</w:t>
      </w:r>
    </w:p>
    <w:p w14:paraId="53768F7C" w14:textId="77777777" w:rsidR="00FD6CE1" w:rsidRPr="00C3284D" w:rsidRDefault="00FD6CE1" w:rsidP="00C3284D">
      <w:pPr>
        <w:pStyle w:val="FootnoteText"/>
        <w:spacing w:after="120" w:line="276" w:lineRule="auto"/>
        <w:ind w:left="720" w:hanging="720"/>
        <w:rPr>
          <w:sz w:val="22"/>
          <w:szCs w:val="22"/>
        </w:rPr>
      </w:pPr>
      <w:r w:rsidRPr="00C3284D">
        <w:rPr>
          <w:i/>
          <w:iCs/>
          <w:sz w:val="22"/>
          <w:szCs w:val="22"/>
        </w:rPr>
        <w:t>The Mabinogion</w:t>
      </w:r>
      <w:r w:rsidRPr="00C3284D">
        <w:rPr>
          <w:sz w:val="22"/>
          <w:szCs w:val="22"/>
        </w:rPr>
        <w:t xml:space="preserve">, trans. by Charlotte Guest (Project Gutenberg, 2021), &lt;https://www.gutenberg.org/files/5160/5160-h/5160-h.htm#chap09[Accessed 22 April 2025] </w:t>
      </w:r>
    </w:p>
    <w:p w14:paraId="1788466F" w14:textId="77777777" w:rsidR="00934F7F" w:rsidRPr="00C3284D" w:rsidRDefault="00934F7F" w:rsidP="00C3284D">
      <w:pPr>
        <w:spacing w:after="120" w:line="276" w:lineRule="auto"/>
        <w:ind w:left="720" w:hanging="720"/>
        <w:rPr>
          <w:sz w:val="22"/>
          <w:szCs w:val="22"/>
        </w:rPr>
      </w:pPr>
      <w:r w:rsidRPr="00C3284D">
        <w:rPr>
          <w:sz w:val="22"/>
          <w:szCs w:val="22"/>
        </w:rPr>
        <w:t xml:space="preserve">Thomson, Christopher Langmuir, </w:t>
      </w:r>
      <w:r w:rsidRPr="00C3284D">
        <w:rPr>
          <w:i/>
          <w:iCs/>
          <w:sz w:val="22"/>
          <w:szCs w:val="22"/>
        </w:rPr>
        <w:t>Language Death and Revival in the British Isles: Two Case Studies</w:t>
      </w:r>
      <w:r w:rsidRPr="00C3284D">
        <w:rPr>
          <w:sz w:val="22"/>
          <w:szCs w:val="22"/>
        </w:rPr>
        <w:t>. (Unpublished PhD thesis, Universidad de Sevilla, 2015)</w:t>
      </w:r>
    </w:p>
    <w:p w14:paraId="455225C1" w14:textId="77777777" w:rsidR="00934F7F" w:rsidRPr="00C3284D" w:rsidRDefault="00934F7F" w:rsidP="00C3284D">
      <w:pPr>
        <w:pStyle w:val="FootnoteText"/>
        <w:spacing w:after="240" w:line="276" w:lineRule="auto"/>
        <w:ind w:left="720" w:hanging="720"/>
        <w:rPr>
          <w:sz w:val="22"/>
          <w:szCs w:val="22"/>
        </w:rPr>
      </w:pPr>
      <w:r w:rsidRPr="00C3284D">
        <w:rPr>
          <w:sz w:val="22"/>
          <w:szCs w:val="22"/>
        </w:rPr>
        <w:t xml:space="preserve">Tsunoda, Tasaku, </w:t>
      </w:r>
      <w:r w:rsidRPr="00C3284D">
        <w:rPr>
          <w:i/>
          <w:iCs/>
          <w:sz w:val="22"/>
          <w:szCs w:val="22"/>
        </w:rPr>
        <w:t xml:space="preserve">Language Endangerment and Language Revitalization: An Introduction </w:t>
      </w:r>
      <w:r w:rsidRPr="00C3284D">
        <w:rPr>
          <w:sz w:val="22"/>
          <w:szCs w:val="22"/>
        </w:rPr>
        <w:t xml:space="preserve">(Berlin: Mouton de Gruyter, 2005), p.204. </w:t>
      </w:r>
    </w:p>
    <w:p w14:paraId="76571BE2" w14:textId="1C4E3181" w:rsidR="00FD6CE1" w:rsidRPr="00C3284D" w:rsidRDefault="00FD6CE1" w:rsidP="00C3284D">
      <w:pPr>
        <w:pStyle w:val="FootnoteText"/>
        <w:spacing w:after="120" w:line="276" w:lineRule="auto"/>
        <w:ind w:left="720" w:hanging="720"/>
        <w:rPr>
          <w:sz w:val="22"/>
          <w:szCs w:val="22"/>
        </w:rPr>
      </w:pPr>
      <w:r w:rsidRPr="00C3284D">
        <w:rPr>
          <w:sz w:val="22"/>
          <w:szCs w:val="22"/>
        </w:rPr>
        <w:t xml:space="preserve">‘Tudor revolt came close to reversing the English Reformation’, </w:t>
      </w:r>
      <w:r w:rsidRPr="00C3284D">
        <w:rPr>
          <w:i/>
          <w:iCs/>
          <w:sz w:val="22"/>
          <w:szCs w:val="22"/>
        </w:rPr>
        <w:t>University of Southampton</w:t>
      </w:r>
      <w:r w:rsidRPr="00C3284D">
        <w:rPr>
          <w:sz w:val="22"/>
          <w:szCs w:val="22"/>
        </w:rPr>
        <w:t>, 18 August 2022 &lt;https://www.southampton.ac.uk/news/2022/08/western-rebellion.page&gt; Accessed 22 April 2025</w:t>
      </w:r>
    </w:p>
    <w:p w14:paraId="64544812" w14:textId="77777777" w:rsidR="00FD6CE1" w:rsidRPr="00C3284D" w:rsidRDefault="00FD6CE1" w:rsidP="00C3284D">
      <w:pPr>
        <w:pStyle w:val="FootnoteText"/>
        <w:spacing w:after="120" w:line="276" w:lineRule="auto"/>
        <w:ind w:left="720" w:hanging="720"/>
        <w:rPr>
          <w:sz w:val="22"/>
          <w:szCs w:val="22"/>
        </w:rPr>
      </w:pPr>
      <w:r w:rsidRPr="00C3284D">
        <w:rPr>
          <w:i/>
          <w:iCs/>
          <w:sz w:val="22"/>
          <w:szCs w:val="22"/>
        </w:rPr>
        <w:t>Welsh Language Act 1993, c.38</w:t>
      </w:r>
      <w:r w:rsidRPr="00C3284D">
        <w:rPr>
          <w:sz w:val="22"/>
          <w:szCs w:val="22"/>
        </w:rPr>
        <w:t>, (London: Parliament of the United Kingdom, 1993) &lt;https://law.gov.wales/culture/welsh-language/welsh-language-act-1993&gt; [Accessed 22 April 2025]</w:t>
      </w:r>
    </w:p>
    <w:p w14:paraId="40C245E7" w14:textId="1036AB16" w:rsidR="00934F7F" w:rsidRPr="00C3284D" w:rsidRDefault="00934F7F" w:rsidP="00C3284D">
      <w:pPr>
        <w:pStyle w:val="FootnoteText"/>
        <w:spacing w:after="240" w:line="276" w:lineRule="auto"/>
        <w:ind w:left="720" w:hanging="720"/>
        <w:rPr>
          <w:sz w:val="22"/>
          <w:szCs w:val="22"/>
        </w:rPr>
      </w:pPr>
      <w:r w:rsidRPr="00C3284D">
        <w:rPr>
          <w:i/>
          <w:iCs/>
          <w:sz w:val="22"/>
          <w:szCs w:val="22"/>
        </w:rPr>
        <w:t>Welsh Language (Wales) Measure 2011, nawm 1</w:t>
      </w:r>
      <w:r w:rsidRPr="00C3284D">
        <w:rPr>
          <w:sz w:val="22"/>
          <w:szCs w:val="22"/>
        </w:rPr>
        <w:t>, (Cardiff: National Assembly for Wales, 2011) &lt;https://www.legislation.gov.uk/mwa/2011/1/contents&gt; [Accessed 22 April 2025]</w:t>
      </w:r>
    </w:p>
    <w:p w14:paraId="53EC2572" w14:textId="77777777" w:rsidR="00934F7F" w:rsidRPr="00657769" w:rsidRDefault="00934F7F" w:rsidP="00C3284D">
      <w:pPr>
        <w:pStyle w:val="FootnoteText"/>
        <w:spacing w:after="240" w:line="276" w:lineRule="auto"/>
        <w:ind w:left="720" w:hanging="720"/>
        <w:rPr>
          <w:sz w:val="24"/>
          <w:szCs w:val="24"/>
        </w:rPr>
      </w:pPr>
    </w:p>
    <w:p w14:paraId="0556FC3E" w14:textId="77777777" w:rsidR="00FD6CE1" w:rsidRPr="005F2315" w:rsidRDefault="00FD6CE1" w:rsidP="00FD6CE1">
      <w:pPr>
        <w:pStyle w:val="FootnoteText"/>
      </w:pPr>
    </w:p>
    <w:p w14:paraId="4C2C74DD" w14:textId="77777777" w:rsidR="00FD6CE1" w:rsidRDefault="00FD6CE1" w:rsidP="00FD6CE1"/>
    <w:sectPr w:rsidR="00FD6CE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F0130" w14:textId="77777777" w:rsidR="00D24ABA" w:rsidRDefault="00D24ABA" w:rsidP="00BC2EB5">
      <w:pPr>
        <w:spacing w:after="0" w:line="240" w:lineRule="auto"/>
      </w:pPr>
      <w:r>
        <w:separator/>
      </w:r>
    </w:p>
  </w:endnote>
  <w:endnote w:type="continuationSeparator" w:id="0">
    <w:p w14:paraId="76FB2E21" w14:textId="77777777" w:rsidR="00D24ABA" w:rsidRDefault="00D24ABA" w:rsidP="00BC2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16422" w14:textId="77777777" w:rsidR="00D24ABA" w:rsidRDefault="00D24ABA" w:rsidP="00BC2EB5">
      <w:pPr>
        <w:spacing w:after="0" w:line="240" w:lineRule="auto"/>
      </w:pPr>
      <w:r>
        <w:separator/>
      </w:r>
    </w:p>
  </w:footnote>
  <w:footnote w:type="continuationSeparator" w:id="0">
    <w:p w14:paraId="0D96A9FC" w14:textId="77777777" w:rsidR="00D24ABA" w:rsidRDefault="00D24ABA" w:rsidP="00BC2EB5">
      <w:pPr>
        <w:spacing w:after="0" w:line="240" w:lineRule="auto"/>
      </w:pPr>
      <w:r>
        <w:continuationSeparator/>
      </w:r>
    </w:p>
  </w:footnote>
  <w:footnote w:id="1">
    <w:p w14:paraId="5B3D417D" w14:textId="6FAC8ED9" w:rsidR="00E76998" w:rsidRPr="00C3284D" w:rsidRDefault="00E76998">
      <w:pPr>
        <w:pStyle w:val="FootnoteText"/>
      </w:pPr>
      <w:r w:rsidRPr="00C3284D">
        <w:rPr>
          <w:rStyle w:val="FootnoteReference"/>
        </w:rPr>
        <w:footnoteRef/>
      </w:r>
      <w:r w:rsidRPr="00C3284D">
        <w:t xml:space="preserve"> David Greene, </w:t>
      </w:r>
      <w:r w:rsidRPr="00C3284D">
        <w:rPr>
          <w:i/>
          <w:iCs/>
        </w:rPr>
        <w:t xml:space="preserve">Celtic Languages </w:t>
      </w:r>
      <w:r w:rsidRPr="00C3284D">
        <w:t>(2024) &lt;https://www.britannica.com/topic/Celtic-languages&gt; [accessed 22 April 2025].</w:t>
      </w:r>
    </w:p>
  </w:footnote>
  <w:footnote w:id="2">
    <w:p w14:paraId="35BBA802" w14:textId="320888A1" w:rsidR="00F336F0" w:rsidRPr="00550395" w:rsidRDefault="00F336F0" w:rsidP="00550395">
      <w:pPr>
        <w:rPr>
          <w:color w:val="0070C0"/>
          <w:sz w:val="20"/>
          <w:szCs w:val="20"/>
        </w:rPr>
      </w:pPr>
      <w:r w:rsidRPr="00C3284D">
        <w:rPr>
          <w:rStyle w:val="FootnoteReference"/>
          <w:sz w:val="20"/>
          <w:szCs w:val="20"/>
        </w:rPr>
        <w:footnoteRef/>
      </w:r>
      <w:r w:rsidRPr="00C3284D">
        <w:rPr>
          <w:sz w:val="20"/>
          <w:szCs w:val="20"/>
        </w:rPr>
        <w:t xml:space="preserve"> </w:t>
      </w:r>
      <w:r w:rsidR="00550395" w:rsidRPr="00C3284D">
        <w:rPr>
          <w:sz w:val="20"/>
          <w:szCs w:val="20"/>
        </w:rPr>
        <w:t xml:space="preserve">P. A. S. Pool, </w:t>
      </w:r>
      <w:r w:rsidR="00550395" w:rsidRPr="00C3284D">
        <w:rPr>
          <w:i/>
          <w:iCs/>
          <w:sz w:val="20"/>
          <w:szCs w:val="20"/>
        </w:rPr>
        <w:t>The Death of Cornish</w:t>
      </w:r>
      <w:r w:rsidR="00550395" w:rsidRPr="00C3284D">
        <w:rPr>
          <w:sz w:val="20"/>
          <w:szCs w:val="20"/>
        </w:rPr>
        <w:t>, (Penzance: The Author, 1975), p. 9.</w:t>
      </w:r>
      <w:r w:rsidR="00550395" w:rsidRPr="00550395">
        <w:rPr>
          <w:sz w:val="20"/>
          <w:szCs w:val="20"/>
        </w:rPr>
        <w:t xml:space="preserve"> </w:t>
      </w:r>
    </w:p>
  </w:footnote>
  <w:footnote w:id="3">
    <w:p w14:paraId="5F396A8D" w14:textId="65604E5E" w:rsidR="00885524" w:rsidRPr="00FD6CE1" w:rsidRDefault="00885524">
      <w:pPr>
        <w:pStyle w:val="FootnoteText"/>
      </w:pPr>
      <w:r w:rsidRPr="00FD6CE1">
        <w:rPr>
          <w:rStyle w:val="FootnoteReference"/>
        </w:rPr>
        <w:footnoteRef/>
      </w:r>
      <w:r w:rsidRPr="00FD6CE1">
        <w:t xml:space="preserve"> ‘Tudor revolt came close to reversing the English Reformation’, </w:t>
      </w:r>
      <w:r w:rsidRPr="00FD6CE1">
        <w:rPr>
          <w:i/>
          <w:iCs/>
        </w:rPr>
        <w:t>University of Southampton</w:t>
      </w:r>
      <w:r w:rsidRPr="00FD6CE1">
        <w:t>, 18 August 2022 &lt;https://www.southampton.ac.uk/news/2022/08/western-rebellion.page&gt; Accessed 22 April 2025.</w:t>
      </w:r>
    </w:p>
  </w:footnote>
  <w:footnote w:id="4">
    <w:p w14:paraId="3A291280" w14:textId="380D3F87" w:rsidR="00821D54" w:rsidRPr="00FD6CE1" w:rsidRDefault="00821D54" w:rsidP="00821D54">
      <w:pPr>
        <w:spacing w:after="0"/>
        <w:rPr>
          <w:sz w:val="20"/>
          <w:szCs w:val="20"/>
        </w:rPr>
      </w:pPr>
      <w:r w:rsidRPr="00FD6CE1">
        <w:rPr>
          <w:rStyle w:val="FootnoteReference"/>
          <w:sz w:val="20"/>
          <w:szCs w:val="20"/>
        </w:rPr>
        <w:footnoteRef/>
      </w:r>
      <w:r w:rsidRPr="00FD6CE1">
        <w:rPr>
          <w:sz w:val="20"/>
          <w:szCs w:val="20"/>
        </w:rPr>
        <w:t xml:space="preserve"> James Harris, ‘Language, historical culture and the gentry of later Stuart Cornwall and south-west Wales’, </w:t>
      </w:r>
      <w:r w:rsidRPr="00FD6CE1">
        <w:rPr>
          <w:i/>
          <w:iCs/>
          <w:sz w:val="20"/>
          <w:szCs w:val="20"/>
        </w:rPr>
        <w:t>Historical Research</w:t>
      </w:r>
      <w:r w:rsidRPr="00FD6CE1">
        <w:rPr>
          <w:sz w:val="20"/>
          <w:szCs w:val="20"/>
        </w:rPr>
        <w:t xml:space="preserve">, 95.269 (2022), 348-369 (p. 351) &lt;DOI:10.1093/hisres/htac004&gt;. </w:t>
      </w:r>
    </w:p>
  </w:footnote>
  <w:footnote w:id="5">
    <w:p w14:paraId="78EA5873" w14:textId="2D7857B0" w:rsidR="00E35205" w:rsidRPr="00FD6CE1" w:rsidRDefault="00E35205" w:rsidP="00E35205">
      <w:pPr>
        <w:spacing w:after="0"/>
        <w:rPr>
          <w:sz w:val="20"/>
          <w:szCs w:val="20"/>
        </w:rPr>
      </w:pPr>
      <w:r w:rsidRPr="00FD6CE1">
        <w:rPr>
          <w:rStyle w:val="FootnoteReference"/>
          <w:sz w:val="20"/>
          <w:szCs w:val="20"/>
        </w:rPr>
        <w:footnoteRef/>
      </w:r>
      <w:r w:rsidRPr="00FD6CE1">
        <w:rPr>
          <w:sz w:val="20"/>
          <w:szCs w:val="20"/>
        </w:rPr>
        <w:t xml:space="preserve"> Mark Stoyle, </w:t>
      </w:r>
      <w:r w:rsidRPr="00FD6CE1">
        <w:rPr>
          <w:i/>
          <w:iCs/>
          <w:sz w:val="20"/>
          <w:szCs w:val="20"/>
        </w:rPr>
        <w:t>The Cornis</w:t>
      </w:r>
      <w:r w:rsidR="009442C0" w:rsidRPr="00FD6CE1">
        <w:rPr>
          <w:i/>
          <w:iCs/>
          <w:sz w:val="20"/>
          <w:szCs w:val="20"/>
        </w:rPr>
        <w:t>h:</w:t>
      </w:r>
      <w:r w:rsidRPr="00FD6CE1">
        <w:rPr>
          <w:i/>
          <w:iCs/>
          <w:sz w:val="20"/>
          <w:szCs w:val="20"/>
        </w:rPr>
        <w:t xml:space="preserve"> A Neglected Nation? </w:t>
      </w:r>
      <w:r w:rsidRPr="00FD6CE1">
        <w:rPr>
          <w:sz w:val="20"/>
          <w:szCs w:val="20"/>
        </w:rPr>
        <w:t xml:space="preserve"> (2017) &lt;https://www.bbc.co.uk/history/british/empire_seapower/cornish_nation_01.shtml&gt; </w:t>
      </w:r>
      <w:bookmarkStart w:id="0" w:name="_Hlk196254653"/>
      <w:r w:rsidRPr="00FD6CE1">
        <w:rPr>
          <w:sz w:val="20"/>
          <w:szCs w:val="20"/>
        </w:rPr>
        <w:t xml:space="preserve">[accessed 22 April 2025]. </w:t>
      </w:r>
    </w:p>
    <w:bookmarkEnd w:id="0"/>
  </w:footnote>
  <w:footnote w:id="6">
    <w:p w14:paraId="6C324F8F" w14:textId="7859D5A2" w:rsidR="009442C0" w:rsidRPr="00FD6CE1" w:rsidRDefault="009442C0" w:rsidP="009442C0">
      <w:pPr>
        <w:spacing w:after="0"/>
        <w:rPr>
          <w:sz w:val="20"/>
          <w:szCs w:val="20"/>
        </w:rPr>
      </w:pPr>
      <w:r w:rsidRPr="00FD6CE1">
        <w:rPr>
          <w:rStyle w:val="FootnoteReference"/>
          <w:sz w:val="20"/>
          <w:szCs w:val="20"/>
        </w:rPr>
        <w:footnoteRef/>
      </w:r>
      <w:r w:rsidRPr="00FD6CE1">
        <w:rPr>
          <w:sz w:val="20"/>
          <w:szCs w:val="20"/>
        </w:rPr>
        <w:t xml:space="preserve"> Kensa Broadhurst, </w:t>
      </w:r>
      <w:r w:rsidRPr="00FD6CE1">
        <w:rPr>
          <w:i/>
          <w:iCs/>
          <w:sz w:val="20"/>
          <w:szCs w:val="20"/>
        </w:rPr>
        <w:t>Dolly Pentreath: a “very singular female”</w:t>
      </w:r>
      <w:r w:rsidRPr="00FD6CE1">
        <w:rPr>
          <w:sz w:val="20"/>
          <w:szCs w:val="20"/>
        </w:rPr>
        <w:t>. (</w:t>
      </w:r>
      <w:r w:rsidR="004A61D8" w:rsidRPr="00FD6CE1">
        <w:rPr>
          <w:sz w:val="20"/>
          <w:szCs w:val="20"/>
        </w:rPr>
        <w:t xml:space="preserve">Unpublished </w:t>
      </w:r>
      <w:r w:rsidRPr="00FD6CE1">
        <w:rPr>
          <w:sz w:val="20"/>
          <w:szCs w:val="20"/>
        </w:rPr>
        <w:t>PhD thesis, University of Exeter, 2021).</w:t>
      </w:r>
    </w:p>
  </w:footnote>
  <w:footnote w:id="7">
    <w:p w14:paraId="175C6613" w14:textId="719FB5B1" w:rsidR="009442C0" w:rsidRPr="00FD6CE1" w:rsidRDefault="009442C0">
      <w:pPr>
        <w:pStyle w:val="FootnoteText"/>
      </w:pPr>
      <w:r w:rsidRPr="00FD6CE1">
        <w:rPr>
          <w:rStyle w:val="FootnoteReference"/>
        </w:rPr>
        <w:footnoteRef/>
      </w:r>
      <w:r w:rsidRPr="00FD6CE1">
        <w:t xml:space="preserve"> Mark Stoyle, </w:t>
      </w:r>
      <w:r w:rsidRPr="00FD6CE1">
        <w:rPr>
          <w:i/>
          <w:iCs/>
        </w:rPr>
        <w:t>The Cornish: A Neglected Nation?</w:t>
      </w:r>
      <w:r w:rsidRPr="00FD6CE1">
        <w:t>.</w:t>
      </w:r>
    </w:p>
  </w:footnote>
  <w:footnote w:id="8">
    <w:p w14:paraId="5CCBA46D" w14:textId="143A043F" w:rsidR="00550395" w:rsidRPr="00FD6CE1" w:rsidRDefault="00550395">
      <w:pPr>
        <w:pStyle w:val="FootnoteText"/>
      </w:pPr>
      <w:r w:rsidRPr="00FD6CE1">
        <w:rPr>
          <w:rStyle w:val="FootnoteReference"/>
        </w:rPr>
        <w:footnoteRef/>
      </w:r>
      <w:r w:rsidRPr="00FD6CE1">
        <w:t xml:space="preserve"> Dave Sayers, </w:t>
      </w:r>
      <w:r w:rsidRPr="00FD6CE1">
        <w:rPr>
          <w:i/>
          <w:iCs/>
        </w:rPr>
        <w:t>Phoenix from the ashes; reconstructed Cornish in relation to Einar Haugen’s four-step model of language standardisation</w:t>
      </w:r>
      <w:r w:rsidRPr="00FD6CE1">
        <w:t>. (Unpublished PhD thesis, Sheffield Hallam University, 2015).</w:t>
      </w:r>
    </w:p>
  </w:footnote>
  <w:footnote w:id="9">
    <w:p w14:paraId="6EBF90CA" w14:textId="7B0548FF" w:rsidR="00550395" w:rsidRPr="00550395" w:rsidRDefault="00550395">
      <w:pPr>
        <w:pStyle w:val="FootnoteText"/>
      </w:pPr>
      <w:r w:rsidRPr="00FD6CE1">
        <w:rPr>
          <w:rStyle w:val="FootnoteReference"/>
        </w:rPr>
        <w:footnoteRef/>
      </w:r>
      <w:r w:rsidRPr="00FD6CE1">
        <w:t xml:space="preserve"> Christopher Langmuir Thomson, </w:t>
      </w:r>
      <w:r w:rsidRPr="00FD6CE1">
        <w:rPr>
          <w:i/>
          <w:iCs/>
        </w:rPr>
        <w:t>Language Death and Revival in the British Isles: Two Case Studies</w:t>
      </w:r>
      <w:r w:rsidRPr="00FD6CE1">
        <w:t>. (Unpublished PhD thesis, Universidad de Sevilla, 2015)</w:t>
      </w:r>
    </w:p>
  </w:footnote>
  <w:footnote w:id="10">
    <w:p w14:paraId="7191FEB2" w14:textId="179AC393" w:rsidR="004A61D8" w:rsidRPr="00FD6CE1" w:rsidRDefault="004A61D8" w:rsidP="004A61D8">
      <w:pPr>
        <w:spacing w:after="0"/>
        <w:rPr>
          <w:sz w:val="20"/>
          <w:szCs w:val="20"/>
        </w:rPr>
      </w:pPr>
      <w:r w:rsidRPr="00FD6CE1">
        <w:rPr>
          <w:rStyle w:val="FootnoteReference"/>
          <w:sz w:val="20"/>
          <w:szCs w:val="20"/>
        </w:rPr>
        <w:footnoteRef/>
      </w:r>
      <w:r w:rsidRPr="00FD6CE1">
        <w:rPr>
          <w:sz w:val="20"/>
          <w:szCs w:val="20"/>
        </w:rPr>
        <w:t xml:space="preserve"> Andrew Booth, </w:t>
      </w:r>
      <w:r w:rsidRPr="00FD6CE1">
        <w:rPr>
          <w:i/>
          <w:iCs/>
          <w:sz w:val="20"/>
          <w:szCs w:val="20"/>
        </w:rPr>
        <w:t>Manx English: a phonological investigation into levelling and diffusion from across the water</w:t>
      </w:r>
      <w:r w:rsidRPr="00FD6CE1">
        <w:rPr>
          <w:sz w:val="20"/>
          <w:szCs w:val="20"/>
        </w:rPr>
        <w:t xml:space="preserve">. (Unpublished PhD thesis, University of Westminster, 2020). </w:t>
      </w:r>
    </w:p>
  </w:footnote>
  <w:footnote w:id="11">
    <w:p w14:paraId="6BC7B549" w14:textId="6A88CE13" w:rsidR="00ED409E" w:rsidRPr="00FD6CE1" w:rsidRDefault="00ED409E">
      <w:pPr>
        <w:pStyle w:val="FootnoteText"/>
      </w:pPr>
      <w:r w:rsidRPr="00FD6CE1">
        <w:rPr>
          <w:rStyle w:val="FootnoteReference"/>
        </w:rPr>
        <w:footnoteRef/>
      </w:r>
      <w:r w:rsidRPr="00FD6CE1">
        <w:t xml:space="preserve"> Philip Gawne, </w:t>
      </w:r>
      <w:r w:rsidRPr="00FD6CE1">
        <w:rPr>
          <w:i/>
          <w:iCs/>
        </w:rPr>
        <w:t>Securing the Future of Manx Gaelic</w:t>
      </w:r>
      <w:r w:rsidRPr="00FD6CE1">
        <w:t xml:space="preserve"> &lt;https://www.poileasaidh.celtscot.ed.ac.uk/gawneseminar.html&gt; [accessed 22 April 2025].</w:t>
      </w:r>
    </w:p>
  </w:footnote>
  <w:footnote w:id="12">
    <w:p w14:paraId="26B331B4" w14:textId="21EE248A" w:rsidR="004A61D8" w:rsidRPr="00FD6CE1" w:rsidRDefault="004A61D8" w:rsidP="004A61D8">
      <w:pPr>
        <w:spacing w:after="0"/>
        <w:rPr>
          <w:sz w:val="20"/>
          <w:szCs w:val="20"/>
        </w:rPr>
      </w:pPr>
      <w:r w:rsidRPr="00FD6CE1">
        <w:rPr>
          <w:rStyle w:val="FootnoteReference"/>
          <w:sz w:val="20"/>
          <w:szCs w:val="20"/>
        </w:rPr>
        <w:footnoteRef/>
      </w:r>
      <w:r w:rsidRPr="00FD6CE1">
        <w:rPr>
          <w:sz w:val="20"/>
          <w:szCs w:val="20"/>
        </w:rPr>
        <w:t xml:space="preserve"> A. J. Hughes, ‘Manx Speaker Ned Maddrell and Irish Gaelic Author Liam Mac Reachtain’, </w:t>
      </w:r>
      <w:r w:rsidRPr="00FD6CE1">
        <w:rPr>
          <w:i/>
          <w:iCs/>
          <w:sz w:val="20"/>
          <w:szCs w:val="20"/>
        </w:rPr>
        <w:t>Seanchas Ardmhacha: Journal of the Armagh Diocesan Historical Society</w:t>
      </w:r>
      <w:r w:rsidRPr="00FD6CE1">
        <w:rPr>
          <w:sz w:val="20"/>
          <w:szCs w:val="20"/>
        </w:rPr>
        <w:t xml:space="preserve">, 15.2 (1993), 125-129 </w:t>
      </w:r>
      <w:r w:rsidR="00ED409E" w:rsidRPr="00FD6CE1">
        <w:rPr>
          <w:sz w:val="20"/>
          <w:szCs w:val="20"/>
        </w:rPr>
        <w:t xml:space="preserve">p.125 </w:t>
      </w:r>
      <w:r w:rsidRPr="00FD6CE1">
        <w:rPr>
          <w:sz w:val="20"/>
          <w:szCs w:val="20"/>
        </w:rPr>
        <w:t xml:space="preserve">&lt;DOI: 10.2307/29742593&gt;. </w:t>
      </w:r>
    </w:p>
  </w:footnote>
  <w:footnote w:id="13">
    <w:p w14:paraId="3D499B8C" w14:textId="33FF60E7" w:rsidR="00ED409E" w:rsidRPr="00FD6CE1" w:rsidRDefault="00ED409E">
      <w:pPr>
        <w:pStyle w:val="FootnoteText"/>
      </w:pPr>
      <w:r w:rsidRPr="00FD6CE1">
        <w:rPr>
          <w:rStyle w:val="FootnoteReference"/>
        </w:rPr>
        <w:footnoteRef/>
      </w:r>
      <w:r w:rsidRPr="00FD6CE1">
        <w:t xml:space="preserve"> Dave Sayers, </w:t>
      </w:r>
      <w:r w:rsidRPr="00FD6CE1">
        <w:rPr>
          <w:i/>
          <w:iCs/>
        </w:rPr>
        <w:t>Phoenix from the ashes; reconstructed Cornish in relation to Einar Haugen’s four-step model of language standardisation</w:t>
      </w:r>
      <w:r w:rsidRPr="00FD6CE1">
        <w:t>.</w:t>
      </w:r>
    </w:p>
  </w:footnote>
  <w:footnote w:id="14">
    <w:p w14:paraId="09A9EBD6" w14:textId="77FE4B85" w:rsidR="004A61D8" w:rsidRPr="00FD6CE1" w:rsidRDefault="004A61D8" w:rsidP="004A61D8">
      <w:pPr>
        <w:spacing w:after="0"/>
        <w:rPr>
          <w:sz w:val="20"/>
          <w:szCs w:val="20"/>
        </w:rPr>
      </w:pPr>
      <w:r w:rsidRPr="00FD6CE1">
        <w:rPr>
          <w:rStyle w:val="FootnoteReference"/>
          <w:sz w:val="20"/>
          <w:szCs w:val="20"/>
        </w:rPr>
        <w:footnoteRef/>
      </w:r>
      <w:r w:rsidRPr="00FD6CE1">
        <w:rPr>
          <w:sz w:val="20"/>
          <w:szCs w:val="20"/>
        </w:rPr>
        <w:t xml:space="preserve"> Isle of Man Department of Education, Sport and Culture, </w:t>
      </w:r>
      <w:r w:rsidRPr="00FD6CE1">
        <w:rPr>
          <w:i/>
          <w:iCs/>
          <w:sz w:val="20"/>
          <w:szCs w:val="20"/>
        </w:rPr>
        <w:t xml:space="preserve">Manx Language in Schools </w:t>
      </w:r>
      <w:r w:rsidRPr="00FD6CE1">
        <w:rPr>
          <w:sz w:val="20"/>
          <w:szCs w:val="20"/>
        </w:rPr>
        <w:t>&lt;https://desc.gov.im/education/education/manx-language-in-schools/&gt; [accessed 22 April 2025].</w:t>
      </w:r>
    </w:p>
  </w:footnote>
  <w:footnote w:id="15">
    <w:p w14:paraId="439B2BD1" w14:textId="178B9F25" w:rsidR="004A61D8" w:rsidRPr="00F336F0" w:rsidRDefault="004A61D8" w:rsidP="00F336F0">
      <w:pPr>
        <w:rPr>
          <w:sz w:val="20"/>
          <w:szCs w:val="20"/>
        </w:rPr>
      </w:pPr>
      <w:r w:rsidRPr="00FD6CE1">
        <w:rPr>
          <w:rStyle w:val="FootnoteReference"/>
          <w:sz w:val="20"/>
          <w:szCs w:val="20"/>
        </w:rPr>
        <w:footnoteRef/>
      </w:r>
      <w:r w:rsidRPr="00FD6CE1">
        <w:rPr>
          <w:sz w:val="20"/>
          <w:szCs w:val="20"/>
        </w:rPr>
        <w:t xml:space="preserve"> </w:t>
      </w:r>
      <w:r w:rsidR="00F336F0" w:rsidRPr="00FD6CE1">
        <w:rPr>
          <w:sz w:val="20"/>
          <w:szCs w:val="20"/>
        </w:rPr>
        <w:t xml:space="preserve">Isle of Man Government, </w:t>
      </w:r>
      <w:r w:rsidR="00F336F0" w:rsidRPr="00FD6CE1">
        <w:rPr>
          <w:i/>
          <w:iCs/>
          <w:sz w:val="20"/>
          <w:szCs w:val="20"/>
        </w:rPr>
        <w:t xml:space="preserve">Strategy to build on Manx Language Revival  </w:t>
      </w:r>
      <w:r w:rsidR="00F336F0" w:rsidRPr="00FD6CE1">
        <w:rPr>
          <w:sz w:val="20"/>
          <w:szCs w:val="20"/>
        </w:rPr>
        <w:t>(2022) &lt;https://www.gov.im/news/2022/jun/24/strategy-to-build-on-manx-language-revival/&gt; [accessed 22 April 2025].</w:t>
      </w:r>
    </w:p>
  </w:footnote>
  <w:footnote w:id="16">
    <w:p w14:paraId="01106635" w14:textId="3DB06E46" w:rsidR="00ED409E" w:rsidRPr="00ED409E" w:rsidRDefault="00ED409E">
      <w:pPr>
        <w:pStyle w:val="FootnoteText"/>
      </w:pPr>
      <w:r>
        <w:rPr>
          <w:rStyle w:val="FootnoteReference"/>
        </w:rPr>
        <w:footnoteRef/>
      </w:r>
      <w:r>
        <w:t xml:space="preserve"> Janet Davies, </w:t>
      </w:r>
      <w:r>
        <w:rPr>
          <w:i/>
          <w:iCs/>
        </w:rPr>
        <w:t>The Welsh Language</w:t>
      </w:r>
      <w:r>
        <w:t xml:space="preserve"> (Cardiff: University of Wales Press, 1999), p.32. </w:t>
      </w:r>
    </w:p>
  </w:footnote>
  <w:footnote w:id="17">
    <w:p w14:paraId="2DF88D91" w14:textId="6366EE58" w:rsidR="00ED409E" w:rsidRPr="00ED409E" w:rsidRDefault="00ED409E">
      <w:pPr>
        <w:pStyle w:val="FootnoteText"/>
      </w:pPr>
      <w:r>
        <w:rPr>
          <w:rStyle w:val="FootnoteReference"/>
        </w:rPr>
        <w:footnoteRef/>
      </w:r>
      <w:r>
        <w:t xml:space="preserve"> Ibid, p.14.</w:t>
      </w:r>
    </w:p>
  </w:footnote>
  <w:footnote w:id="18">
    <w:p w14:paraId="09A3D7BD" w14:textId="133CCE77" w:rsidR="00ED409E" w:rsidRDefault="00ED409E">
      <w:pPr>
        <w:pStyle w:val="FootnoteText"/>
      </w:pPr>
      <w:r>
        <w:rPr>
          <w:rStyle w:val="FootnoteReference"/>
        </w:rPr>
        <w:footnoteRef/>
      </w:r>
      <w:r>
        <w:t xml:space="preserve"> Ibid, p.28.</w:t>
      </w:r>
    </w:p>
  </w:footnote>
  <w:footnote w:id="19">
    <w:p w14:paraId="7D002E73" w14:textId="44A1FAAC" w:rsidR="00ED409E" w:rsidRDefault="00ED409E">
      <w:pPr>
        <w:pStyle w:val="FootnoteText"/>
      </w:pPr>
      <w:r>
        <w:rPr>
          <w:rStyle w:val="FootnoteReference"/>
        </w:rPr>
        <w:footnoteRef/>
      </w:r>
      <w:r>
        <w:t xml:space="preserve"> </w:t>
      </w:r>
      <w:r w:rsidRPr="00ED409E">
        <w:rPr>
          <w:i/>
          <w:iCs/>
        </w:rPr>
        <w:t>The Mabinogion</w:t>
      </w:r>
      <w:r w:rsidRPr="00ED409E">
        <w:t xml:space="preserve">, trans. by Charlotte Guest (Project Gutenberg, 2021), &lt;https://www.gutenberg.org/files/5160/5160-h/5160-h.htm#chap09&gt; [Accessed </w:t>
      </w:r>
      <w:r w:rsidR="00D75A48">
        <w:t>22</w:t>
      </w:r>
      <w:r w:rsidRPr="00ED409E">
        <w:t xml:space="preserve"> </w:t>
      </w:r>
      <w:r w:rsidR="00D75A48">
        <w:t>April</w:t>
      </w:r>
      <w:r w:rsidRPr="00ED409E">
        <w:t xml:space="preserve"> 2025].</w:t>
      </w:r>
    </w:p>
  </w:footnote>
  <w:footnote w:id="20">
    <w:p w14:paraId="6F3A9BD0" w14:textId="14699719" w:rsidR="00ED409E" w:rsidRPr="00D75A48" w:rsidRDefault="00ED409E">
      <w:pPr>
        <w:pStyle w:val="FootnoteText"/>
      </w:pPr>
      <w:r>
        <w:rPr>
          <w:rStyle w:val="FootnoteReference"/>
        </w:rPr>
        <w:footnoteRef/>
      </w:r>
      <w:r>
        <w:t xml:space="preserve"> </w:t>
      </w:r>
      <w:r w:rsidR="00D75A48">
        <w:t xml:space="preserve">Poetry Foundation, </w:t>
      </w:r>
      <w:r w:rsidR="00D75A48">
        <w:rPr>
          <w:i/>
          <w:iCs/>
        </w:rPr>
        <w:t>Dafydd ap Gwilym</w:t>
      </w:r>
      <w:r w:rsidR="00D75A48">
        <w:t xml:space="preserve"> &lt;</w:t>
      </w:r>
      <w:r w:rsidR="00D75A48" w:rsidRPr="00D75A48">
        <w:t>https://www.poetryfoundation.org/poets/dafydd-ap-gwilym</w:t>
      </w:r>
      <w:r w:rsidR="00D75A48">
        <w:t xml:space="preserve">&gt; </w:t>
      </w:r>
      <w:r w:rsidR="00D75A48" w:rsidRPr="00ED409E">
        <w:t xml:space="preserve">[Accessed </w:t>
      </w:r>
      <w:r w:rsidR="00D75A48">
        <w:t>22</w:t>
      </w:r>
      <w:r w:rsidR="00D75A48" w:rsidRPr="00ED409E">
        <w:t xml:space="preserve"> </w:t>
      </w:r>
      <w:r w:rsidR="00D75A48">
        <w:t>April</w:t>
      </w:r>
      <w:r w:rsidR="00D75A48" w:rsidRPr="00ED409E">
        <w:t xml:space="preserve"> 2025].</w:t>
      </w:r>
    </w:p>
  </w:footnote>
  <w:footnote w:id="21">
    <w:p w14:paraId="3165EF2D" w14:textId="5FD2B5BD" w:rsidR="00ED409E" w:rsidRPr="00ED409E" w:rsidRDefault="00ED409E">
      <w:pPr>
        <w:pStyle w:val="FootnoteText"/>
      </w:pPr>
      <w:r>
        <w:rPr>
          <w:rStyle w:val="FootnoteReference"/>
        </w:rPr>
        <w:footnoteRef/>
      </w:r>
      <w:r>
        <w:t xml:space="preserve"> Janet Davies, </w:t>
      </w:r>
      <w:r>
        <w:rPr>
          <w:i/>
          <w:iCs/>
        </w:rPr>
        <w:t>The Welsh Language</w:t>
      </w:r>
      <w:r>
        <w:t>, p.28.</w:t>
      </w:r>
    </w:p>
  </w:footnote>
  <w:footnote w:id="22">
    <w:p w14:paraId="1A9C6AAC" w14:textId="77777777" w:rsidR="00D75A48" w:rsidRPr="00D75A48" w:rsidRDefault="00D75A48" w:rsidP="00D75A48">
      <w:pPr>
        <w:pStyle w:val="FootnoteText"/>
      </w:pPr>
      <w:r>
        <w:rPr>
          <w:rStyle w:val="FootnoteReference"/>
        </w:rPr>
        <w:footnoteRef/>
      </w:r>
      <w:r>
        <w:t xml:space="preserve"> Cymdeithas yr Iaith Gymraeg, </w:t>
      </w:r>
      <w:r>
        <w:rPr>
          <w:i/>
          <w:iCs/>
        </w:rPr>
        <w:t>What is Cumdeithas yr laith?</w:t>
      </w:r>
      <w:r>
        <w:t xml:space="preserve"> &lt;</w:t>
      </w:r>
      <w:r w:rsidRPr="00D75A48">
        <w:t>https://cymdeithas.cymru/what-is-cymdeithas-yr-iaith</w:t>
      </w:r>
      <w:r>
        <w:t xml:space="preserve">&gt; </w:t>
      </w:r>
      <w:r w:rsidRPr="00ED409E">
        <w:t xml:space="preserve">[Accessed </w:t>
      </w:r>
      <w:r>
        <w:t>22</w:t>
      </w:r>
      <w:r w:rsidRPr="00ED409E">
        <w:t xml:space="preserve"> </w:t>
      </w:r>
      <w:r>
        <w:t>April</w:t>
      </w:r>
      <w:r w:rsidRPr="00ED409E">
        <w:t xml:space="preserve"> 2025].</w:t>
      </w:r>
    </w:p>
  </w:footnote>
  <w:footnote w:id="23">
    <w:p w14:paraId="5365A77C" w14:textId="6C056337" w:rsidR="00D75A48" w:rsidRDefault="00D75A48">
      <w:pPr>
        <w:pStyle w:val="FootnoteText"/>
      </w:pPr>
      <w:r>
        <w:rPr>
          <w:rStyle w:val="FootnoteReference"/>
        </w:rPr>
        <w:footnoteRef/>
      </w:r>
      <w:r>
        <w:t xml:space="preserve"> </w:t>
      </w:r>
      <w:r w:rsidRPr="00D75A48">
        <w:rPr>
          <w:i/>
          <w:iCs/>
        </w:rPr>
        <w:t>Welsh Language Act 1993, c.38</w:t>
      </w:r>
      <w:r w:rsidRPr="00D75A48">
        <w:t xml:space="preserve">, (London: Parliament of the United Kingdom, 1993) &lt;https://law.gov.wales/culture/welsh-language/welsh-language-act-1993&gt; [Accessed </w:t>
      </w:r>
      <w:r>
        <w:t>22 April</w:t>
      </w:r>
      <w:r w:rsidRPr="00D75A48">
        <w:t xml:space="preserve"> 2025]</w:t>
      </w:r>
      <w:r>
        <w:t>.</w:t>
      </w:r>
    </w:p>
  </w:footnote>
  <w:footnote w:id="24">
    <w:p w14:paraId="3ECD0F35" w14:textId="3439C8E8" w:rsidR="00D75A48" w:rsidRPr="00D75A48" w:rsidRDefault="00D75A48">
      <w:pPr>
        <w:pStyle w:val="FootnoteText"/>
      </w:pPr>
      <w:r>
        <w:rPr>
          <w:rStyle w:val="FootnoteReference"/>
        </w:rPr>
        <w:footnoteRef/>
      </w:r>
      <w:r>
        <w:t xml:space="preserve"> </w:t>
      </w:r>
      <w:r>
        <w:rPr>
          <w:i/>
          <w:iCs/>
        </w:rPr>
        <w:t>Welsh Language (Wales) Measure 2011, nawm 1</w:t>
      </w:r>
      <w:r>
        <w:t>, (Cardiff: National Assembly for Wales, 2011) &lt;</w:t>
      </w:r>
      <w:r w:rsidRPr="00D75A48">
        <w:t>https://www.legislation.gov.uk/mwa/2011/1/contents</w:t>
      </w:r>
      <w:r>
        <w:t>&gt;</w:t>
      </w:r>
      <w:r w:rsidRPr="00D75A48">
        <w:t xml:space="preserve"> [Accessed </w:t>
      </w:r>
      <w:r>
        <w:t>22 April</w:t>
      </w:r>
      <w:r w:rsidRPr="00D75A48">
        <w:t xml:space="preserve"> 2025]</w:t>
      </w:r>
      <w:r>
        <w:t>.</w:t>
      </w:r>
    </w:p>
  </w:footnote>
  <w:footnote w:id="25">
    <w:p w14:paraId="661B0F27" w14:textId="7EFC684A" w:rsidR="00D75A48" w:rsidRPr="00D75A48" w:rsidRDefault="00D75A48">
      <w:pPr>
        <w:pStyle w:val="FootnoteText"/>
      </w:pPr>
      <w:r>
        <w:rPr>
          <w:rStyle w:val="FootnoteReference"/>
        </w:rPr>
        <w:footnoteRef/>
      </w:r>
      <w:r>
        <w:t xml:space="preserve"> S4C, </w:t>
      </w:r>
      <w:r>
        <w:rPr>
          <w:i/>
          <w:iCs/>
        </w:rPr>
        <w:t>About Us</w:t>
      </w:r>
      <w:r>
        <w:t xml:space="preserve"> &lt;</w:t>
      </w:r>
      <w:r w:rsidRPr="00D75A48">
        <w:t>https://www.s4c.cymru/en/about-us/</w:t>
      </w:r>
      <w:r>
        <w:t xml:space="preserve">&gt; </w:t>
      </w:r>
      <w:r w:rsidRPr="00D75A48">
        <w:t xml:space="preserve">[Accessed </w:t>
      </w:r>
      <w:r>
        <w:t>22 April</w:t>
      </w:r>
      <w:r w:rsidRPr="00D75A48">
        <w:t xml:space="preserve"> 2025]</w:t>
      </w:r>
      <w:r>
        <w:t>.</w:t>
      </w:r>
    </w:p>
  </w:footnote>
  <w:footnote w:id="26">
    <w:p w14:paraId="6EFA6361" w14:textId="6A95C0CD" w:rsidR="00D75A48" w:rsidRPr="00D75A48" w:rsidRDefault="00D75A48">
      <w:pPr>
        <w:pStyle w:val="FootnoteText"/>
      </w:pPr>
      <w:r>
        <w:rPr>
          <w:rStyle w:val="FootnoteReference"/>
        </w:rPr>
        <w:footnoteRef/>
      </w:r>
      <w:r>
        <w:t xml:space="preserve"> Senedd Cymru, </w:t>
      </w:r>
      <w:r>
        <w:rPr>
          <w:i/>
          <w:iCs/>
        </w:rPr>
        <w:t>History of devolution</w:t>
      </w:r>
      <w:r>
        <w:t xml:space="preserve"> (2024) &lt;</w:t>
      </w:r>
      <w:r w:rsidRPr="00D75A48">
        <w:t>https://senedd.wales/how-we-work/history-of-devolution/</w:t>
      </w:r>
      <w:r>
        <w:t xml:space="preserve">&gt; </w:t>
      </w:r>
      <w:r w:rsidRPr="00D75A48">
        <w:t xml:space="preserve">[Accessed </w:t>
      </w:r>
      <w:r>
        <w:t>22 April</w:t>
      </w:r>
      <w:r w:rsidRPr="00D75A48">
        <w:t xml:space="preserve"> 2025]</w:t>
      </w:r>
      <w:r>
        <w:t>.</w:t>
      </w:r>
    </w:p>
  </w:footnote>
  <w:footnote w:id="27">
    <w:p w14:paraId="62C94ADB" w14:textId="0DDE51E3" w:rsidR="005F2315" w:rsidRPr="005F2315" w:rsidRDefault="005F2315">
      <w:pPr>
        <w:pStyle w:val="FootnoteText"/>
      </w:pPr>
      <w:r>
        <w:rPr>
          <w:rStyle w:val="FootnoteReference"/>
        </w:rPr>
        <w:footnoteRef/>
      </w:r>
      <w:r>
        <w:t xml:space="preserve"> Llywodraeth Cymru, </w:t>
      </w:r>
      <w:r>
        <w:rPr>
          <w:i/>
          <w:iCs/>
        </w:rPr>
        <w:t>Cymraeg 2050: A million Welsh speakers</w:t>
      </w:r>
      <w:r>
        <w:t>, 2017 &lt;</w:t>
      </w:r>
      <w:r w:rsidRPr="005F2315">
        <w:t>https://www.gov.wales/sites/default/files/publications/2018-12/cymraeg-2050-welsh-language-strategy.pdf</w:t>
      </w:r>
      <w:r>
        <w:t xml:space="preserve">&gt; </w:t>
      </w:r>
      <w:r w:rsidRPr="00D75A48">
        <w:t xml:space="preserve">[Accessed </w:t>
      </w:r>
      <w:r>
        <w:t>22 April</w:t>
      </w:r>
      <w:r w:rsidRPr="00D75A48">
        <w:t xml:space="preserve"> 2025]</w:t>
      </w:r>
      <w:r>
        <w:t>.</w:t>
      </w:r>
    </w:p>
  </w:footnote>
  <w:footnote w:id="28">
    <w:p w14:paraId="60B64BD0" w14:textId="266B9C9F" w:rsidR="005F2315" w:rsidRPr="005F2315" w:rsidRDefault="005F2315">
      <w:pPr>
        <w:pStyle w:val="FootnoteText"/>
      </w:pPr>
      <w:r>
        <w:rPr>
          <w:rStyle w:val="FootnoteReference"/>
        </w:rPr>
        <w:footnoteRef/>
      </w:r>
      <w:r>
        <w:t xml:space="preserve"> Tasaku Tsunoda, </w:t>
      </w:r>
      <w:r>
        <w:rPr>
          <w:i/>
          <w:iCs/>
        </w:rPr>
        <w:t xml:space="preserve">Language Endangerment and Language Revitalization: An Introduction </w:t>
      </w:r>
      <w:r>
        <w:t xml:space="preserve">(Berlin: Mouton de Gruyter, </w:t>
      </w:r>
      <w:r w:rsidR="0020024A">
        <w:t xml:space="preserve">2005), p.204. </w:t>
      </w:r>
    </w:p>
  </w:footnote>
  <w:footnote w:id="29">
    <w:p w14:paraId="28F34FBD" w14:textId="60355503" w:rsidR="005F2315" w:rsidRPr="005F2315" w:rsidRDefault="005F2315">
      <w:pPr>
        <w:pStyle w:val="FootnoteText"/>
      </w:pPr>
      <w:r>
        <w:rPr>
          <w:rStyle w:val="FootnoteReference"/>
        </w:rPr>
        <w:footnoteRef/>
      </w:r>
      <w:r>
        <w:t xml:space="preserve"> Janet Davies, </w:t>
      </w:r>
      <w:r>
        <w:rPr>
          <w:i/>
          <w:iCs/>
        </w:rPr>
        <w:t>The Welsh Language</w:t>
      </w:r>
      <w:r>
        <w:t xml:space="preserve">, p.28. </w:t>
      </w:r>
    </w:p>
  </w:footnote>
  <w:footnote w:id="30">
    <w:p w14:paraId="3CAE97FA" w14:textId="40AF7F6E" w:rsidR="005F2315" w:rsidRDefault="005F2315">
      <w:pPr>
        <w:pStyle w:val="FootnoteText"/>
      </w:pPr>
      <w:r>
        <w:rPr>
          <w:rStyle w:val="FootnoteReference"/>
        </w:rPr>
        <w:footnoteRef/>
      </w:r>
      <w:r>
        <w:t xml:space="preserve"> Cymdeithas yr Iaith Gymraeg, </w:t>
      </w:r>
      <w:r>
        <w:rPr>
          <w:i/>
          <w:iCs/>
        </w:rPr>
        <w:t>What is Cumdeithas yr laith?</w:t>
      </w:r>
      <w:r>
        <w:t>.</w:t>
      </w:r>
    </w:p>
  </w:footnote>
  <w:footnote w:id="31">
    <w:p w14:paraId="3632F84E" w14:textId="6BDD9BEF" w:rsidR="0020024A" w:rsidRDefault="0020024A">
      <w:pPr>
        <w:pStyle w:val="FootnoteText"/>
      </w:pPr>
      <w:r>
        <w:rPr>
          <w:rStyle w:val="FootnoteReference"/>
        </w:rPr>
        <w:footnoteRef/>
      </w:r>
      <w:r>
        <w:t xml:space="preserve"> </w:t>
      </w:r>
      <w:r w:rsidRPr="0020024A">
        <w:rPr>
          <w:i/>
          <w:iCs/>
        </w:rPr>
        <w:t>Welsh Language Act 1993, c.38</w:t>
      </w:r>
      <w:r>
        <w:t>.</w:t>
      </w:r>
    </w:p>
  </w:footnote>
  <w:footnote w:id="32">
    <w:p w14:paraId="00CF7AB5" w14:textId="53D936A0" w:rsidR="0020024A" w:rsidRPr="0020024A" w:rsidRDefault="0020024A">
      <w:pPr>
        <w:pStyle w:val="FootnoteText"/>
      </w:pPr>
      <w:r>
        <w:rPr>
          <w:rStyle w:val="FootnoteReference"/>
        </w:rPr>
        <w:footnoteRef/>
      </w:r>
      <w:r>
        <w:t xml:space="preserve"> </w:t>
      </w:r>
      <w:r>
        <w:rPr>
          <w:i/>
          <w:iCs/>
        </w:rPr>
        <w:t>Welsh Language (Wales) Measure 2011, nawm 1</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DF77E1" w14:textId="77777777" w:rsidR="00C3284D" w:rsidRDefault="00C3284D" w:rsidP="00C3284D">
    <w:pPr>
      <w:pStyle w:val="Header"/>
    </w:pPr>
    <w:r w:rsidRPr="00A03FD9">
      <w:t>Chris Guy</w:t>
    </w:r>
    <w:r w:rsidRPr="00A03FD9">
      <w:tab/>
      <w:t>An Introduction to the Celtic Languages</w:t>
    </w:r>
    <w:r w:rsidRPr="00A03FD9">
      <w:tab/>
      <w:t>HPCS4002</w:t>
    </w:r>
  </w:p>
  <w:p w14:paraId="402C433A" w14:textId="77777777" w:rsidR="00C3284D" w:rsidRDefault="00C328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12B4D"/>
    <w:multiLevelType w:val="multilevel"/>
    <w:tmpl w:val="E528D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711E5"/>
    <w:multiLevelType w:val="multilevel"/>
    <w:tmpl w:val="45067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32468"/>
    <w:multiLevelType w:val="multilevel"/>
    <w:tmpl w:val="D3E6E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B05B13"/>
    <w:multiLevelType w:val="multilevel"/>
    <w:tmpl w:val="4EBE2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D612C9"/>
    <w:multiLevelType w:val="multilevel"/>
    <w:tmpl w:val="C4D23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0144056">
    <w:abstractNumId w:val="4"/>
  </w:num>
  <w:num w:numId="2" w16cid:durableId="1409494499">
    <w:abstractNumId w:val="2"/>
  </w:num>
  <w:num w:numId="3" w16cid:durableId="929267273">
    <w:abstractNumId w:val="1"/>
  </w:num>
  <w:num w:numId="4" w16cid:durableId="2363769">
    <w:abstractNumId w:val="0"/>
  </w:num>
  <w:num w:numId="5" w16cid:durableId="18127468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E5"/>
    <w:rsid w:val="0020024A"/>
    <w:rsid w:val="002D337B"/>
    <w:rsid w:val="004A61D8"/>
    <w:rsid w:val="00550395"/>
    <w:rsid w:val="005650CB"/>
    <w:rsid w:val="00583436"/>
    <w:rsid w:val="0059407C"/>
    <w:rsid w:val="005F2315"/>
    <w:rsid w:val="00657B68"/>
    <w:rsid w:val="00691E7A"/>
    <w:rsid w:val="007A4303"/>
    <w:rsid w:val="00821D54"/>
    <w:rsid w:val="00885524"/>
    <w:rsid w:val="008B7DE5"/>
    <w:rsid w:val="00934F7F"/>
    <w:rsid w:val="009442C0"/>
    <w:rsid w:val="009E453D"/>
    <w:rsid w:val="00B04F79"/>
    <w:rsid w:val="00BC2EB5"/>
    <w:rsid w:val="00C3284D"/>
    <w:rsid w:val="00D036AA"/>
    <w:rsid w:val="00D24ABA"/>
    <w:rsid w:val="00D64CFC"/>
    <w:rsid w:val="00D75A48"/>
    <w:rsid w:val="00E35205"/>
    <w:rsid w:val="00E76998"/>
    <w:rsid w:val="00ED409E"/>
    <w:rsid w:val="00EE2F24"/>
    <w:rsid w:val="00F275A7"/>
    <w:rsid w:val="00F336F0"/>
    <w:rsid w:val="00F83879"/>
    <w:rsid w:val="00FD6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052A07"/>
  <w15:chartTrackingRefBased/>
  <w15:docId w15:val="{C5D84014-3C7E-4691-B184-B57BC90D4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D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D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D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D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D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D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D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D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D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D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D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D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D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D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D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D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D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DE5"/>
    <w:rPr>
      <w:rFonts w:eastAsiaTheme="majorEastAsia" w:cstheme="majorBidi"/>
      <w:color w:val="272727" w:themeColor="text1" w:themeTint="D8"/>
    </w:rPr>
  </w:style>
  <w:style w:type="paragraph" w:styleId="Title">
    <w:name w:val="Title"/>
    <w:basedOn w:val="Normal"/>
    <w:next w:val="Normal"/>
    <w:link w:val="TitleChar"/>
    <w:uiPriority w:val="10"/>
    <w:qFormat/>
    <w:rsid w:val="008B7D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D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D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D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DE5"/>
    <w:pPr>
      <w:spacing w:before="160"/>
      <w:jc w:val="center"/>
    </w:pPr>
    <w:rPr>
      <w:i/>
      <w:iCs/>
      <w:color w:val="404040" w:themeColor="text1" w:themeTint="BF"/>
    </w:rPr>
  </w:style>
  <w:style w:type="character" w:customStyle="1" w:styleId="QuoteChar">
    <w:name w:val="Quote Char"/>
    <w:basedOn w:val="DefaultParagraphFont"/>
    <w:link w:val="Quote"/>
    <w:uiPriority w:val="29"/>
    <w:rsid w:val="008B7DE5"/>
    <w:rPr>
      <w:i/>
      <w:iCs/>
      <w:color w:val="404040" w:themeColor="text1" w:themeTint="BF"/>
    </w:rPr>
  </w:style>
  <w:style w:type="paragraph" w:styleId="ListParagraph">
    <w:name w:val="List Paragraph"/>
    <w:basedOn w:val="Normal"/>
    <w:uiPriority w:val="34"/>
    <w:qFormat/>
    <w:rsid w:val="008B7DE5"/>
    <w:pPr>
      <w:ind w:left="720"/>
      <w:contextualSpacing/>
    </w:pPr>
  </w:style>
  <w:style w:type="character" w:styleId="IntenseEmphasis">
    <w:name w:val="Intense Emphasis"/>
    <w:basedOn w:val="DefaultParagraphFont"/>
    <w:uiPriority w:val="21"/>
    <w:qFormat/>
    <w:rsid w:val="008B7DE5"/>
    <w:rPr>
      <w:i/>
      <w:iCs/>
      <w:color w:val="0F4761" w:themeColor="accent1" w:themeShade="BF"/>
    </w:rPr>
  </w:style>
  <w:style w:type="paragraph" w:styleId="IntenseQuote">
    <w:name w:val="Intense Quote"/>
    <w:basedOn w:val="Normal"/>
    <w:next w:val="Normal"/>
    <w:link w:val="IntenseQuoteChar"/>
    <w:uiPriority w:val="30"/>
    <w:qFormat/>
    <w:rsid w:val="008B7D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DE5"/>
    <w:rPr>
      <w:i/>
      <w:iCs/>
      <w:color w:val="0F4761" w:themeColor="accent1" w:themeShade="BF"/>
    </w:rPr>
  </w:style>
  <w:style w:type="character" w:styleId="IntenseReference">
    <w:name w:val="Intense Reference"/>
    <w:basedOn w:val="DefaultParagraphFont"/>
    <w:uiPriority w:val="32"/>
    <w:qFormat/>
    <w:rsid w:val="008B7DE5"/>
    <w:rPr>
      <w:b/>
      <w:bCs/>
      <w:smallCaps/>
      <w:color w:val="0F4761" w:themeColor="accent1" w:themeShade="BF"/>
      <w:spacing w:val="5"/>
    </w:rPr>
  </w:style>
  <w:style w:type="character" w:styleId="CommentReference">
    <w:name w:val="annotation reference"/>
    <w:basedOn w:val="DefaultParagraphFont"/>
    <w:uiPriority w:val="99"/>
    <w:semiHidden/>
    <w:unhideWhenUsed/>
    <w:rsid w:val="0059407C"/>
    <w:rPr>
      <w:sz w:val="16"/>
      <w:szCs w:val="16"/>
    </w:rPr>
  </w:style>
  <w:style w:type="paragraph" w:styleId="CommentText">
    <w:name w:val="annotation text"/>
    <w:basedOn w:val="Normal"/>
    <w:link w:val="CommentTextChar"/>
    <w:uiPriority w:val="99"/>
    <w:unhideWhenUsed/>
    <w:rsid w:val="0059407C"/>
    <w:pPr>
      <w:spacing w:line="240" w:lineRule="auto"/>
    </w:pPr>
    <w:rPr>
      <w:sz w:val="20"/>
      <w:szCs w:val="20"/>
    </w:rPr>
  </w:style>
  <w:style w:type="character" w:customStyle="1" w:styleId="CommentTextChar">
    <w:name w:val="Comment Text Char"/>
    <w:basedOn w:val="DefaultParagraphFont"/>
    <w:link w:val="CommentText"/>
    <w:uiPriority w:val="99"/>
    <w:rsid w:val="0059407C"/>
    <w:rPr>
      <w:sz w:val="20"/>
      <w:szCs w:val="20"/>
    </w:rPr>
  </w:style>
  <w:style w:type="paragraph" w:styleId="CommentSubject">
    <w:name w:val="annotation subject"/>
    <w:basedOn w:val="CommentText"/>
    <w:next w:val="CommentText"/>
    <w:link w:val="CommentSubjectChar"/>
    <w:uiPriority w:val="99"/>
    <w:semiHidden/>
    <w:unhideWhenUsed/>
    <w:rsid w:val="0059407C"/>
    <w:rPr>
      <w:b/>
      <w:bCs/>
    </w:rPr>
  </w:style>
  <w:style w:type="character" w:customStyle="1" w:styleId="CommentSubjectChar">
    <w:name w:val="Comment Subject Char"/>
    <w:basedOn w:val="CommentTextChar"/>
    <w:link w:val="CommentSubject"/>
    <w:uiPriority w:val="99"/>
    <w:semiHidden/>
    <w:rsid w:val="0059407C"/>
    <w:rPr>
      <w:b/>
      <w:bCs/>
      <w:sz w:val="20"/>
      <w:szCs w:val="20"/>
    </w:rPr>
  </w:style>
  <w:style w:type="character" w:styleId="Hyperlink">
    <w:name w:val="Hyperlink"/>
    <w:basedOn w:val="DefaultParagraphFont"/>
    <w:uiPriority w:val="99"/>
    <w:unhideWhenUsed/>
    <w:rsid w:val="0059407C"/>
    <w:rPr>
      <w:color w:val="467886" w:themeColor="hyperlink"/>
      <w:u w:val="single"/>
    </w:rPr>
  </w:style>
  <w:style w:type="character" w:styleId="UnresolvedMention">
    <w:name w:val="Unresolved Mention"/>
    <w:basedOn w:val="DefaultParagraphFont"/>
    <w:uiPriority w:val="99"/>
    <w:semiHidden/>
    <w:unhideWhenUsed/>
    <w:rsid w:val="0059407C"/>
    <w:rPr>
      <w:color w:val="605E5C"/>
      <w:shd w:val="clear" w:color="auto" w:fill="E1DFDD"/>
    </w:rPr>
  </w:style>
  <w:style w:type="paragraph" w:styleId="Header">
    <w:name w:val="header"/>
    <w:basedOn w:val="Normal"/>
    <w:link w:val="HeaderChar"/>
    <w:uiPriority w:val="99"/>
    <w:unhideWhenUsed/>
    <w:rsid w:val="00BC2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EB5"/>
  </w:style>
  <w:style w:type="paragraph" w:styleId="Footer">
    <w:name w:val="footer"/>
    <w:basedOn w:val="Normal"/>
    <w:link w:val="FooterChar"/>
    <w:uiPriority w:val="99"/>
    <w:unhideWhenUsed/>
    <w:rsid w:val="00BC2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EB5"/>
  </w:style>
  <w:style w:type="paragraph" w:styleId="FootnoteText">
    <w:name w:val="footnote text"/>
    <w:basedOn w:val="Normal"/>
    <w:link w:val="FootnoteTextChar"/>
    <w:uiPriority w:val="99"/>
    <w:semiHidden/>
    <w:unhideWhenUsed/>
    <w:rsid w:val="008855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5524"/>
    <w:rPr>
      <w:sz w:val="20"/>
      <w:szCs w:val="20"/>
    </w:rPr>
  </w:style>
  <w:style w:type="character" w:styleId="FootnoteReference">
    <w:name w:val="footnote reference"/>
    <w:basedOn w:val="DefaultParagraphFont"/>
    <w:uiPriority w:val="99"/>
    <w:semiHidden/>
    <w:unhideWhenUsed/>
    <w:rsid w:val="008855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257481">
      <w:bodyDiv w:val="1"/>
      <w:marLeft w:val="0"/>
      <w:marRight w:val="0"/>
      <w:marTop w:val="0"/>
      <w:marBottom w:val="0"/>
      <w:divBdr>
        <w:top w:val="none" w:sz="0" w:space="0" w:color="auto"/>
        <w:left w:val="none" w:sz="0" w:space="0" w:color="auto"/>
        <w:bottom w:val="none" w:sz="0" w:space="0" w:color="auto"/>
        <w:right w:val="none" w:sz="0" w:space="0" w:color="auto"/>
      </w:divBdr>
    </w:div>
    <w:div w:id="232661322">
      <w:bodyDiv w:val="1"/>
      <w:marLeft w:val="0"/>
      <w:marRight w:val="0"/>
      <w:marTop w:val="0"/>
      <w:marBottom w:val="0"/>
      <w:divBdr>
        <w:top w:val="none" w:sz="0" w:space="0" w:color="auto"/>
        <w:left w:val="none" w:sz="0" w:space="0" w:color="auto"/>
        <w:bottom w:val="none" w:sz="0" w:space="0" w:color="auto"/>
        <w:right w:val="none" w:sz="0" w:space="0" w:color="auto"/>
      </w:divBdr>
    </w:div>
    <w:div w:id="253248641">
      <w:bodyDiv w:val="1"/>
      <w:marLeft w:val="0"/>
      <w:marRight w:val="0"/>
      <w:marTop w:val="0"/>
      <w:marBottom w:val="0"/>
      <w:divBdr>
        <w:top w:val="none" w:sz="0" w:space="0" w:color="auto"/>
        <w:left w:val="none" w:sz="0" w:space="0" w:color="auto"/>
        <w:bottom w:val="none" w:sz="0" w:space="0" w:color="auto"/>
        <w:right w:val="none" w:sz="0" w:space="0" w:color="auto"/>
      </w:divBdr>
    </w:div>
    <w:div w:id="293485619">
      <w:bodyDiv w:val="1"/>
      <w:marLeft w:val="0"/>
      <w:marRight w:val="0"/>
      <w:marTop w:val="0"/>
      <w:marBottom w:val="0"/>
      <w:divBdr>
        <w:top w:val="none" w:sz="0" w:space="0" w:color="auto"/>
        <w:left w:val="none" w:sz="0" w:space="0" w:color="auto"/>
        <w:bottom w:val="none" w:sz="0" w:space="0" w:color="auto"/>
        <w:right w:val="none" w:sz="0" w:space="0" w:color="auto"/>
      </w:divBdr>
    </w:div>
    <w:div w:id="336739674">
      <w:bodyDiv w:val="1"/>
      <w:marLeft w:val="0"/>
      <w:marRight w:val="0"/>
      <w:marTop w:val="0"/>
      <w:marBottom w:val="0"/>
      <w:divBdr>
        <w:top w:val="none" w:sz="0" w:space="0" w:color="auto"/>
        <w:left w:val="none" w:sz="0" w:space="0" w:color="auto"/>
        <w:bottom w:val="none" w:sz="0" w:space="0" w:color="auto"/>
        <w:right w:val="none" w:sz="0" w:space="0" w:color="auto"/>
      </w:divBdr>
    </w:div>
    <w:div w:id="368066184">
      <w:bodyDiv w:val="1"/>
      <w:marLeft w:val="0"/>
      <w:marRight w:val="0"/>
      <w:marTop w:val="0"/>
      <w:marBottom w:val="0"/>
      <w:divBdr>
        <w:top w:val="none" w:sz="0" w:space="0" w:color="auto"/>
        <w:left w:val="none" w:sz="0" w:space="0" w:color="auto"/>
        <w:bottom w:val="none" w:sz="0" w:space="0" w:color="auto"/>
        <w:right w:val="none" w:sz="0" w:space="0" w:color="auto"/>
      </w:divBdr>
    </w:div>
    <w:div w:id="425686257">
      <w:bodyDiv w:val="1"/>
      <w:marLeft w:val="0"/>
      <w:marRight w:val="0"/>
      <w:marTop w:val="0"/>
      <w:marBottom w:val="0"/>
      <w:divBdr>
        <w:top w:val="none" w:sz="0" w:space="0" w:color="auto"/>
        <w:left w:val="none" w:sz="0" w:space="0" w:color="auto"/>
        <w:bottom w:val="none" w:sz="0" w:space="0" w:color="auto"/>
        <w:right w:val="none" w:sz="0" w:space="0" w:color="auto"/>
      </w:divBdr>
    </w:div>
    <w:div w:id="535433746">
      <w:bodyDiv w:val="1"/>
      <w:marLeft w:val="0"/>
      <w:marRight w:val="0"/>
      <w:marTop w:val="0"/>
      <w:marBottom w:val="0"/>
      <w:divBdr>
        <w:top w:val="none" w:sz="0" w:space="0" w:color="auto"/>
        <w:left w:val="none" w:sz="0" w:space="0" w:color="auto"/>
        <w:bottom w:val="none" w:sz="0" w:space="0" w:color="auto"/>
        <w:right w:val="none" w:sz="0" w:space="0" w:color="auto"/>
      </w:divBdr>
    </w:div>
    <w:div w:id="840971961">
      <w:bodyDiv w:val="1"/>
      <w:marLeft w:val="0"/>
      <w:marRight w:val="0"/>
      <w:marTop w:val="0"/>
      <w:marBottom w:val="0"/>
      <w:divBdr>
        <w:top w:val="none" w:sz="0" w:space="0" w:color="auto"/>
        <w:left w:val="none" w:sz="0" w:space="0" w:color="auto"/>
        <w:bottom w:val="none" w:sz="0" w:space="0" w:color="auto"/>
        <w:right w:val="none" w:sz="0" w:space="0" w:color="auto"/>
      </w:divBdr>
    </w:div>
    <w:div w:id="1200437037">
      <w:bodyDiv w:val="1"/>
      <w:marLeft w:val="0"/>
      <w:marRight w:val="0"/>
      <w:marTop w:val="0"/>
      <w:marBottom w:val="0"/>
      <w:divBdr>
        <w:top w:val="none" w:sz="0" w:space="0" w:color="auto"/>
        <w:left w:val="none" w:sz="0" w:space="0" w:color="auto"/>
        <w:bottom w:val="none" w:sz="0" w:space="0" w:color="auto"/>
        <w:right w:val="none" w:sz="0" w:space="0" w:color="auto"/>
      </w:divBdr>
    </w:div>
    <w:div w:id="1244954218">
      <w:bodyDiv w:val="1"/>
      <w:marLeft w:val="0"/>
      <w:marRight w:val="0"/>
      <w:marTop w:val="0"/>
      <w:marBottom w:val="0"/>
      <w:divBdr>
        <w:top w:val="none" w:sz="0" w:space="0" w:color="auto"/>
        <w:left w:val="none" w:sz="0" w:space="0" w:color="auto"/>
        <w:bottom w:val="none" w:sz="0" w:space="0" w:color="auto"/>
        <w:right w:val="none" w:sz="0" w:space="0" w:color="auto"/>
      </w:divBdr>
    </w:div>
    <w:div w:id="1608391231">
      <w:bodyDiv w:val="1"/>
      <w:marLeft w:val="0"/>
      <w:marRight w:val="0"/>
      <w:marTop w:val="0"/>
      <w:marBottom w:val="0"/>
      <w:divBdr>
        <w:top w:val="none" w:sz="0" w:space="0" w:color="auto"/>
        <w:left w:val="none" w:sz="0" w:space="0" w:color="auto"/>
        <w:bottom w:val="none" w:sz="0" w:space="0" w:color="auto"/>
        <w:right w:val="none" w:sz="0" w:space="0" w:color="auto"/>
      </w:divBdr>
    </w:div>
    <w:div w:id="1898928426">
      <w:bodyDiv w:val="1"/>
      <w:marLeft w:val="0"/>
      <w:marRight w:val="0"/>
      <w:marTop w:val="0"/>
      <w:marBottom w:val="0"/>
      <w:divBdr>
        <w:top w:val="none" w:sz="0" w:space="0" w:color="auto"/>
        <w:left w:val="none" w:sz="0" w:space="0" w:color="auto"/>
        <w:bottom w:val="none" w:sz="0" w:space="0" w:color="auto"/>
        <w:right w:val="none" w:sz="0" w:space="0" w:color="auto"/>
      </w:divBdr>
    </w:div>
    <w:div w:id="198889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970EC-954F-43C5-943B-91AA9D060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2731</Words>
  <Characters>17645</Characters>
  <Application>Microsoft Office Word</Application>
  <DocSecurity>0</DocSecurity>
  <Lines>309</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4</cp:revision>
  <dcterms:created xsi:type="dcterms:W3CDTF">2025-04-22T22:35:00Z</dcterms:created>
  <dcterms:modified xsi:type="dcterms:W3CDTF">2025-04-22T22:36:00Z</dcterms:modified>
</cp:coreProperties>
</file>