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83969786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C6329B" w:rsidRDefault="00C6329B">
          <w:pPr>
            <w:pStyle w:val="TOCHeading"/>
          </w:pPr>
          <w:r>
            <w:t>Contents</w:t>
          </w:r>
        </w:p>
        <w:p w:rsidR="00C6329B" w:rsidRDefault="00C6329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3607799" w:history="1">
            <w:r w:rsidRPr="006C442C">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_Toc213607799 \h </w:instrText>
            </w:r>
            <w:r>
              <w:rPr>
                <w:noProof/>
                <w:webHidden/>
              </w:rPr>
            </w:r>
            <w:r>
              <w:rPr>
                <w:noProof/>
                <w:webHidden/>
              </w:rPr>
              <w:fldChar w:fldCharType="separate"/>
            </w:r>
            <w:r>
              <w:rPr>
                <w:noProof/>
                <w:webHidden/>
              </w:rPr>
              <w:t>2</w:t>
            </w:r>
            <w:r>
              <w:rPr>
                <w:noProof/>
                <w:webHidden/>
              </w:rPr>
              <w:fldChar w:fldCharType="end"/>
            </w:r>
          </w:hyperlink>
        </w:p>
        <w:p w:rsidR="00C6329B" w:rsidRDefault="00C6329B">
          <w:pPr>
            <w:pStyle w:val="TOC1"/>
            <w:tabs>
              <w:tab w:val="right" w:leader="dot" w:pos="9016"/>
            </w:tabs>
            <w:rPr>
              <w:rFonts w:eastAsiaTheme="minorEastAsia"/>
              <w:noProof/>
              <w:lang w:eastAsia="en-GB"/>
            </w:rPr>
          </w:pPr>
          <w:hyperlink w:anchor="_Toc213607800" w:history="1">
            <w:r w:rsidRPr="006C442C">
              <w:rPr>
                <w:rStyle w:val="Hyperlink"/>
                <w:rFonts w:ascii="Arial" w:hAnsi="Arial" w:cs="Arial"/>
                <w:noProof/>
              </w:rPr>
              <w:t>Task 1: Reflection on the Importance of Principles of Health and Social Care</w:t>
            </w:r>
            <w:r>
              <w:rPr>
                <w:noProof/>
                <w:webHidden/>
              </w:rPr>
              <w:tab/>
            </w:r>
            <w:r>
              <w:rPr>
                <w:noProof/>
                <w:webHidden/>
              </w:rPr>
              <w:fldChar w:fldCharType="begin"/>
            </w:r>
            <w:r>
              <w:rPr>
                <w:noProof/>
                <w:webHidden/>
              </w:rPr>
              <w:instrText xml:space="preserve"> PAGEREF _Toc213607800 \h </w:instrText>
            </w:r>
            <w:r>
              <w:rPr>
                <w:noProof/>
                <w:webHidden/>
              </w:rPr>
            </w:r>
            <w:r>
              <w:rPr>
                <w:noProof/>
                <w:webHidden/>
              </w:rPr>
              <w:fldChar w:fldCharType="separate"/>
            </w:r>
            <w:r>
              <w:rPr>
                <w:noProof/>
                <w:webHidden/>
              </w:rPr>
              <w:t>2</w:t>
            </w:r>
            <w:r>
              <w:rPr>
                <w:noProof/>
                <w:webHidden/>
              </w:rPr>
              <w:fldChar w:fldCharType="end"/>
            </w:r>
          </w:hyperlink>
        </w:p>
        <w:p w:rsidR="00C6329B" w:rsidRDefault="00C6329B">
          <w:pPr>
            <w:pStyle w:val="TOC1"/>
            <w:tabs>
              <w:tab w:val="right" w:leader="dot" w:pos="9016"/>
            </w:tabs>
            <w:rPr>
              <w:rFonts w:eastAsiaTheme="minorEastAsia"/>
              <w:noProof/>
              <w:lang w:eastAsia="en-GB"/>
            </w:rPr>
          </w:pPr>
          <w:hyperlink w:anchor="_Toc213607801" w:history="1">
            <w:r w:rsidRPr="006C442C">
              <w:rPr>
                <w:rStyle w:val="Hyperlink"/>
                <w:rFonts w:ascii="Arial" w:hAnsi="Arial" w:cs="Arial"/>
                <w:noProof/>
              </w:rPr>
              <w:t>Task 2: Application to Health and Social Care Policy and Practice</w:t>
            </w:r>
            <w:r>
              <w:rPr>
                <w:noProof/>
                <w:webHidden/>
              </w:rPr>
              <w:tab/>
            </w:r>
            <w:r>
              <w:rPr>
                <w:noProof/>
                <w:webHidden/>
              </w:rPr>
              <w:fldChar w:fldCharType="begin"/>
            </w:r>
            <w:r>
              <w:rPr>
                <w:noProof/>
                <w:webHidden/>
              </w:rPr>
              <w:instrText xml:space="preserve"> PAGEREF _Toc213607801 \h </w:instrText>
            </w:r>
            <w:r>
              <w:rPr>
                <w:noProof/>
                <w:webHidden/>
              </w:rPr>
            </w:r>
            <w:r>
              <w:rPr>
                <w:noProof/>
                <w:webHidden/>
              </w:rPr>
              <w:fldChar w:fldCharType="separate"/>
            </w:r>
            <w:r>
              <w:rPr>
                <w:noProof/>
                <w:webHidden/>
              </w:rPr>
              <w:t>5</w:t>
            </w:r>
            <w:r>
              <w:rPr>
                <w:noProof/>
                <w:webHidden/>
              </w:rPr>
              <w:fldChar w:fldCharType="end"/>
            </w:r>
          </w:hyperlink>
        </w:p>
        <w:p w:rsidR="00C6329B" w:rsidRDefault="00C6329B">
          <w:pPr>
            <w:pStyle w:val="TOC1"/>
            <w:tabs>
              <w:tab w:val="right" w:leader="dot" w:pos="9016"/>
            </w:tabs>
            <w:rPr>
              <w:rFonts w:eastAsiaTheme="minorEastAsia"/>
              <w:noProof/>
              <w:lang w:eastAsia="en-GB"/>
            </w:rPr>
          </w:pPr>
          <w:hyperlink w:anchor="_Toc213607802" w:history="1">
            <w:r w:rsidRPr="006C442C">
              <w:rPr>
                <w:rStyle w:val="Hyperlink"/>
                <w:rFonts w:ascii="Arial" w:hAnsi="Arial" w:cs="Arial"/>
                <w:noProof/>
              </w:rPr>
              <w:t>Recommendations and Conclusion</w:t>
            </w:r>
            <w:r>
              <w:rPr>
                <w:noProof/>
                <w:webHidden/>
              </w:rPr>
              <w:tab/>
            </w:r>
            <w:r>
              <w:rPr>
                <w:noProof/>
                <w:webHidden/>
              </w:rPr>
              <w:fldChar w:fldCharType="begin"/>
            </w:r>
            <w:r>
              <w:rPr>
                <w:noProof/>
                <w:webHidden/>
              </w:rPr>
              <w:instrText xml:space="preserve"> PAGEREF _Toc213607802 \h </w:instrText>
            </w:r>
            <w:r>
              <w:rPr>
                <w:noProof/>
                <w:webHidden/>
              </w:rPr>
            </w:r>
            <w:r>
              <w:rPr>
                <w:noProof/>
                <w:webHidden/>
              </w:rPr>
              <w:fldChar w:fldCharType="separate"/>
            </w:r>
            <w:r>
              <w:rPr>
                <w:noProof/>
                <w:webHidden/>
              </w:rPr>
              <w:t>7</w:t>
            </w:r>
            <w:r>
              <w:rPr>
                <w:noProof/>
                <w:webHidden/>
              </w:rPr>
              <w:fldChar w:fldCharType="end"/>
            </w:r>
          </w:hyperlink>
        </w:p>
        <w:p w:rsidR="00C6329B" w:rsidRDefault="00C6329B">
          <w:pPr>
            <w:pStyle w:val="TOC3"/>
            <w:tabs>
              <w:tab w:val="right" w:leader="dot" w:pos="9016"/>
            </w:tabs>
            <w:rPr>
              <w:rFonts w:eastAsiaTheme="minorEastAsia"/>
              <w:noProof/>
              <w:lang w:eastAsia="en-GB"/>
            </w:rPr>
          </w:pPr>
          <w:hyperlink w:anchor="_Toc213607803" w:history="1">
            <w:r w:rsidRPr="006C442C">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_Toc213607803 \h </w:instrText>
            </w:r>
            <w:r>
              <w:rPr>
                <w:noProof/>
                <w:webHidden/>
              </w:rPr>
            </w:r>
            <w:r>
              <w:rPr>
                <w:noProof/>
                <w:webHidden/>
              </w:rPr>
              <w:fldChar w:fldCharType="separate"/>
            </w:r>
            <w:r>
              <w:rPr>
                <w:noProof/>
                <w:webHidden/>
              </w:rPr>
              <w:t>8</w:t>
            </w:r>
            <w:r>
              <w:rPr>
                <w:noProof/>
                <w:webHidden/>
              </w:rPr>
              <w:fldChar w:fldCharType="end"/>
            </w:r>
          </w:hyperlink>
        </w:p>
        <w:p w:rsidR="00C6329B" w:rsidRDefault="00C6329B">
          <w:pPr>
            <w:pStyle w:val="TOC3"/>
            <w:tabs>
              <w:tab w:val="right" w:leader="dot" w:pos="9016"/>
            </w:tabs>
            <w:rPr>
              <w:rFonts w:eastAsiaTheme="minorEastAsia"/>
              <w:noProof/>
              <w:lang w:eastAsia="en-GB"/>
            </w:rPr>
          </w:pPr>
          <w:hyperlink w:anchor="_Toc213607804" w:history="1">
            <w:r w:rsidRPr="006C442C">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_Toc213607804 \h </w:instrText>
            </w:r>
            <w:r>
              <w:rPr>
                <w:noProof/>
                <w:webHidden/>
              </w:rPr>
            </w:r>
            <w:r>
              <w:rPr>
                <w:noProof/>
                <w:webHidden/>
              </w:rPr>
              <w:fldChar w:fldCharType="separate"/>
            </w:r>
            <w:r>
              <w:rPr>
                <w:noProof/>
                <w:webHidden/>
              </w:rPr>
              <w:t>9</w:t>
            </w:r>
            <w:r>
              <w:rPr>
                <w:noProof/>
                <w:webHidden/>
              </w:rPr>
              <w:fldChar w:fldCharType="end"/>
            </w:r>
          </w:hyperlink>
        </w:p>
        <w:p w:rsidR="00C6329B" w:rsidRDefault="00C6329B">
          <w:r>
            <w:rPr>
              <w:b/>
              <w:bCs/>
              <w:noProof/>
            </w:rPr>
            <w:fldChar w:fldCharType="end"/>
          </w:r>
        </w:p>
      </w:sdtContent>
    </w:sdt>
    <w:p w:rsidR="00C6329B" w:rsidRDefault="00C6329B" w:rsidP="00C6329B"/>
    <w:p w:rsidR="00C6329B" w:rsidRDefault="00C6329B" w:rsidP="00C6329B"/>
    <w:p w:rsidR="00C6329B" w:rsidRDefault="00C6329B" w:rsidP="00C6329B">
      <w:bookmarkStart w:id="0" w:name="_GoBack"/>
      <w:bookmarkEnd w:id="0"/>
    </w:p>
    <w:p w:rsidR="00C6329B" w:rsidRDefault="00C6329B" w:rsidP="00C6329B"/>
    <w:p w:rsidR="00C6329B" w:rsidRDefault="00C6329B" w:rsidP="00C6329B"/>
    <w:p w:rsidR="00C6329B" w:rsidRDefault="00C6329B" w:rsidP="00C6329B"/>
    <w:p w:rsidR="00C6329B" w:rsidRDefault="00C6329B" w:rsidP="00C6329B"/>
    <w:p w:rsidR="00C6329B" w:rsidRDefault="00C6329B" w:rsidP="00C6329B"/>
    <w:p w:rsidR="00C6329B" w:rsidRDefault="00C6329B" w:rsidP="00C6329B"/>
    <w:p w:rsidR="00C6329B" w:rsidRDefault="00C6329B" w:rsidP="00C6329B"/>
    <w:p w:rsidR="00C6329B" w:rsidRDefault="00C6329B" w:rsidP="00C6329B"/>
    <w:p w:rsidR="00C6329B" w:rsidRDefault="00C6329B" w:rsidP="00C6329B"/>
    <w:p w:rsidR="00C6329B" w:rsidRDefault="00C6329B" w:rsidP="00C6329B"/>
    <w:p w:rsidR="00C6329B" w:rsidRDefault="00C6329B" w:rsidP="00C6329B"/>
    <w:p w:rsidR="00C6329B" w:rsidRDefault="00C6329B" w:rsidP="00C6329B"/>
    <w:p w:rsidR="00C6329B" w:rsidRDefault="00C6329B" w:rsidP="00C6329B"/>
    <w:p w:rsidR="00C6329B" w:rsidRDefault="00C6329B" w:rsidP="00C6329B"/>
    <w:p w:rsidR="00C6329B" w:rsidRDefault="00C6329B" w:rsidP="00C6329B"/>
    <w:p w:rsidR="00C6329B" w:rsidRDefault="00C6329B" w:rsidP="00C6329B"/>
    <w:p w:rsidR="00C6329B" w:rsidRDefault="00C6329B" w:rsidP="00C6329B"/>
    <w:p w:rsidR="00C6329B" w:rsidRDefault="00C6329B" w:rsidP="00C6329B"/>
    <w:p w:rsidR="00C6329B" w:rsidRDefault="00C6329B" w:rsidP="00C6329B"/>
    <w:p w:rsidR="00BA7936" w:rsidRPr="00C6329B" w:rsidRDefault="00BA7936" w:rsidP="00C6329B">
      <w:pPr>
        <w:pStyle w:val="Heading1"/>
        <w:rPr>
          <w:rFonts w:ascii="Arial" w:hAnsi="Arial" w:cs="Arial"/>
          <w:sz w:val="28"/>
          <w:szCs w:val="28"/>
        </w:rPr>
      </w:pPr>
      <w:bookmarkStart w:id="1" w:name="_Toc213607799"/>
      <w:r w:rsidRPr="00C6329B">
        <w:rPr>
          <w:rFonts w:ascii="Arial" w:hAnsi="Arial" w:cs="Arial"/>
          <w:sz w:val="28"/>
          <w:szCs w:val="28"/>
        </w:rPr>
        <w:lastRenderedPageBreak/>
        <w:t>Introduction</w:t>
      </w:r>
      <w:bookmarkEnd w:id="1"/>
    </w:p>
    <w:p w:rsidR="00BA7936" w:rsidRPr="00DF7A4C" w:rsidRDefault="00BA7936" w:rsidP="00C6329B">
      <w:pPr>
        <w:pStyle w:val="NormalWeb"/>
        <w:spacing w:line="360" w:lineRule="auto"/>
        <w:jc w:val="both"/>
        <w:rPr>
          <w:rFonts w:ascii="Arial" w:hAnsi="Arial" w:cs="Arial"/>
        </w:rPr>
      </w:pPr>
      <w:r w:rsidRPr="00DF7A4C">
        <w:rPr>
          <w:rFonts w:ascii="Arial" w:hAnsi="Arial" w:cs="Arial"/>
        </w:rPr>
        <w:t xml:space="preserve">Health and social care services aim to improve the well-being, safety, and quality of life of individuals and communities. Central to achieving this is the adoption of </w:t>
      </w:r>
      <w:proofErr w:type="spellStart"/>
      <w:r w:rsidRPr="00DF7A4C">
        <w:rPr>
          <w:rFonts w:ascii="Arial" w:hAnsi="Arial" w:cs="Arial"/>
        </w:rPr>
        <w:t>well</w:t>
      </w:r>
      <w:r w:rsidR="00C6329B">
        <w:rPr>
          <w:rFonts w:ascii="Arial" w:hAnsi="Arial" w:cs="Arial"/>
        </w:rPr>
        <w:t xml:space="preserve"> </w:t>
      </w:r>
      <w:r w:rsidRPr="00DF7A4C">
        <w:rPr>
          <w:rFonts w:ascii="Arial" w:hAnsi="Arial" w:cs="Arial"/>
        </w:rPr>
        <w:t>established</w:t>
      </w:r>
      <w:proofErr w:type="spellEnd"/>
      <w:r w:rsidRPr="00DF7A4C">
        <w:rPr>
          <w:rFonts w:ascii="Arial" w:hAnsi="Arial" w:cs="Arial"/>
        </w:rPr>
        <w:t xml:space="preserve"> principles that guide ethical, effective, and person-focused care. One of the most influential concepts in contemporary practice is </w:t>
      </w:r>
      <w:r w:rsidRPr="00DF7A4C">
        <w:rPr>
          <w:rStyle w:val="Strong"/>
          <w:rFonts w:ascii="Arial" w:hAnsi="Arial" w:cs="Arial"/>
        </w:rPr>
        <w:t>person-centred care</w:t>
      </w:r>
      <w:r w:rsidRPr="00DF7A4C">
        <w:rPr>
          <w:rFonts w:ascii="Arial" w:hAnsi="Arial" w:cs="Arial"/>
        </w:rPr>
        <w:t xml:space="preserve">, which emphasises treating individuals as unique, valuing their experiences, and actively involving them in decision-making about their care (McCormack &amp; </w:t>
      </w:r>
      <w:proofErr w:type="spellStart"/>
      <w:r w:rsidRPr="00DF7A4C">
        <w:rPr>
          <w:rFonts w:ascii="Arial" w:hAnsi="Arial" w:cs="Arial"/>
        </w:rPr>
        <w:t>McCance</w:t>
      </w:r>
      <w:proofErr w:type="spellEnd"/>
      <w:r w:rsidRPr="00DF7A4C">
        <w:rPr>
          <w:rFonts w:ascii="Arial" w:hAnsi="Arial" w:cs="Arial"/>
        </w:rPr>
        <w:t>, 2017).</w:t>
      </w:r>
    </w:p>
    <w:p w:rsidR="00BA7936" w:rsidRPr="00DF7A4C" w:rsidRDefault="00BA7936" w:rsidP="00C6329B">
      <w:pPr>
        <w:pStyle w:val="NormalWeb"/>
        <w:spacing w:line="360" w:lineRule="auto"/>
        <w:jc w:val="both"/>
        <w:rPr>
          <w:rFonts w:ascii="Arial" w:hAnsi="Arial" w:cs="Arial"/>
        </w:rPr>
      </w:pPr>
      <w:r w:rsidRPr="00DF7A4C">
        <w:rPr>
          <w:rFonts w:ascii="Arial" w:hAnsi="Arial" w:cs="Arial"/>
        </w:rPr>
        <w:t>Person-centred care emerged as a response to traditional biomedical models, which often prioritised clinical outcomes over the needs and preferences of patients. By contrast, person-centred approaches focus on understanding the person as a whole, considering their physical, emotional, social, and cultural needs. This shift is critical in promoting dignity, autonomy, and equality, while fostering meaningful collaboration between service users, families, and healthcare professionals (</w:t>
      </w:r>
      <w:proofErr w:type="spellStart"/>
      <w:r w:rsidRPr="00DF7A4C">
        <w:rPr>
          <w:rFonts w:ascii="Arial" w:hAnsi="Arial" w:cs="Arial"/>
        </w:rPr>
        <w:t>Kitwood</w:t>
      </w:r>
      <w:proofErr w:type="spellEnd"/>
      <w:r w:rsidRPr="00DF7A4C">
        <w:rPr>
          <w:rFonts w:ascii="Arial" w:hAnsi="Arial" w:cs="Arial"/>
        </w:rPr>
        <w:t>, 1997).</w:t>
      </w:r>
    </w:p>
    <w:p w:rsidR="00BA7936" w:rsidRPr="00DF7A4C" w:rsidRDefault="00BA7936" w:rsidP="00C6329B">
      <w:pPr>
        <w:pStyle w:val="NormalWeb"/>
        <w:spacing w:line="360" w:lineRule="auto"/>
        <w:jc w:val="both"/>
        <w:rPr>
          <w:rFonts w:ascii="Arial" w:hAnsi="Arial" w:cs="Arial"/>
        </w:rPr>
      </w:pPr>
      <w:r w:rsidRPr="00DF7A4C">
        <w:rPr>
          <w:rFonts w:ascii="Arial" w:hAnsi="Arial" w:cs="Arial"/>
        </w:rPr>
        <w:t xml:space="preserve">The importance of person-centred care extends beyond individual interactions; it is embedded in health and social care </w:t>
      </w:r>
      <w:r w:rsidRPr="00DF7A4C">
        <w:rPr>
          <w:rStyle w:val="Strong"/>
          <w:rFonts w:ascii="Arial" w:hAnsi="Arial" w:cs="Arial"/>
        </w:rPr>
        <w:t>policy, legislation, and professional standards</w:t>
      </w:r>
      <w:r w:rsidRPr="00DF7A4C">
        <w:rPr>
          <w:rFonts w:ascii="Arial" w:hAnsi="Arial" w:cs="Arial"/>
        </w:rPr>
        <w:t>. Policies such as the Care Act (2014) and frameworks like the NHS Constitution (2015) underscore the ethical and practical necessity of empowering service users and delivering care tailored to their unique circumstances.</w:t>
      </w:r>
    </w:p>
    <w:p w:rsidR="00BA7936" w:rsidRPr="00DF7A4C" w:rsidRDefault="00BA7936" w:rsidP="00C6329B">
      <w:pPr>
        <w:pStyle w:val="NormalWeb"/>
        <w:spacing w:line="360" w:lineRule="auto"/>
        <w:jc w:val="both"/>
        <w:rPr>
          <w:rFonts w:ascii="Arial" w:hAnsi="Arial" w:cs="Arial"/>
        </w:rPr>
      </w:pPr>
      <w:r w:rsidRPr="00DF7A4C">
        <w:rPr>
          <w:rFonts w:ascii="Arial" w:hAnsi="Arial" w:cs="Arial"/>
        </w:rPr>
        <w:t>This essay will critically explore the principles underpinning person-centred care, reflect on their significance in health and social care practice, evaluate the application of these principles in policy and practice, and provide recommendations for improvement. By adopting a critical and analytical approach, the essay aims to demonstrate both theoretical understanding and practical relevance, highlighting the benefits, limitations, and future directions of person-centred care.</w:t>
      </w:r>
    </w:p>
    <w:p w:rsidR="00BA7936" w:rsidRPr="00DF7A4C" w:rsidRDefault="00BA7936" w:rsidP="00C6329B">
      <w:pPr>
        <w:pStyle w:val="Heading1"/>
        <w:spacing w:line="360" w:lineRule="auto"/>
        <w:jc w:val="both"/>
        <w:rPr>
          <w:rFonts w:ascii="Arial" w:hAnsi="Arial" w:cs="Arial"/>
          <w:sz w:val="28"/>
          <w:szCs w:val="28"/>
        </w:rPr>
      </w:pPr>
      <w:bookmarkStart w:id="2" w:name="_Toc213607800"/>
      <w:r w:rsidRPr="00DF7A4C">
        <w:rPr>
          <w:rFonts w:ascii="Arial" w:hAnsi="Arial" w:cs="Arial"/>
          <w:sz w:val="28"/>
          <w:szCs w:val="28"/>
        </w:rPr>
        <w:t>Task 1: Reflection on the Importance of Principles of Health and Social Care</w:t>
      </w:r>
      <w:bookmarkEnd w:id="2"/>
    </w:p>
    <w:p w:rsidR="00BA7936" w:rsidRPr="00DF7A4C" w:rsidRDefault="00BA7936" w:rsidP="00C6329B">
      <w:pPr>
        <w:pStyle w:val="NormalWeb"/>
        <w:spacing w:line="360" w:lineRule="auto"/>
        <w:jc w:val="both"/>
        <w:rPr>
          <w:rFonts w:ascii="Arial" w:hAnsi="Arial" w:cs="Arial"/>
        </w:rPr>
      </w:pPr>
      <w:r w:rsidRPr="00DF7A4C">
        <w:rPr>
          <w:rFonts w:ascii="Arial" w:hAnsi="Arial" w:cs="Arial"/>
        </w:rPr>
        <w:t xml:space="preserve">The principles of health and social care form the foundation of ethical, safe, and effective practice. These principles—including </w:t>
      </w:r>
      <w:r w:rsidRPr="00DF7A4C">
        <w:rPr>
          <w:rStyle w:val="Strong"/>
          <w:rFonts w:ascii="Arial" w:hAnsi="Arial" w:cs="Arial"/>
        </w:rPr>
        <w:t>dignity, respect, equality, autonomy, safeguarding, and confidentiality</w:t>
      </w:r>
      <w:r w:rsidRPr="00DF7A4C">
        <w:rPr>
          <w:rFonts w:ascii="Arial" w:hAnsi="Arial" w:cs="Arial"/>
        </w:rPr>
        <w:t xml:space="preserve">—ensure that services are delivered in a manner </w:t>
      </w:r>
      <w:r w:rsidRPr="00DF7A4C">
        <w:rPr>
          <w:rFonts w:ascii="Arial" w:hAnsi="Arial" w:cs="Arial"/>
        </w:rPr>
        <w:lastRenderedPageBreak/>
        <w:t>that prioritises the rights, needs, and well-being of individuals (Department of Health &amp; Social Care, 2018; Nolan, 2020). Reflecting critically on these principles highlights their central role in shaping individual care experiences, fostering professional accountability, and influencing broader organisational practices.</w:t>
      </w:r>
    </w:p>
    <w:p w:rsidR="00BA7936" w:rsidRPr="00DF7A4C" w:rsidRDefault="00BA7936" w:rsidP="00C6329B">
      <w:pPr>
        <w:pStyle w:val="NormalWeb"/>
        <w:spacing w:line="360" w:lineRule="auto"/>
        <w:jc w:val="both"/>
        <w:rPr>
          <w:rFonts w:ascii="Arial" w:hAnsi="Arial" w:cs="Arial"/>
        </w:rPr>
      </w:pPr>
      <w:r w:rsidRPr="00DF7A4C">
        <w:rPr>
          <w:rStyle w:val="Strong"/>
          <w:rFonts w:ascii="Arial" w:hAnsi="Arial" w:cs="Arial"/>
        </w:rPr>
        <w:t>Dignity and respect</w:t>
      </w:r>
      <w:r w:rsidRPr="00DF7A4C">
        <w:rPr>
          <w:rFonts w:ascii="Arial" w:hAnsi="Arial" w:cs="Arial"/>
        </w:rPr>
        <w:t xml:space="preserve"> are fundamental to person-centred care, ensuring that service users are treated as unique individuals with intrinsic value. Upholding dignity involves acknowledging personal preferences, cultural backgrounds, and emotional needs, which promotes trust, engagement, and therapeutic relationships (Brooker, 2015; McCormack &amp; </w:t>
      </w:r>
      <w:proofErr w:type="spellStart"/>
      <w:r w:rsidRPr="00DF7A4C">
        <w:rPr>
          <w:rFonts w:ascii="Arial" w:hAnsi="Arial" w:cs="Arial"/>
        </w:rPr>
        <w:t>McCance</w:t>
      </w:r>
      <w:proofErr w:type="spellEnd"/>
      <w:r w:rsidRPr="00DF7A4C">
        <w:rPr>
          <w:rFonts w:ascii="Arial" w:hAnsi="Arial" w:cs="Arial"/>
        </w:rPr>
        <w:t>, 2017). In practice, for example, respecting an elderly person’s routine choices or dietary preferences contributes not only to comfort and well-being but also to preserving identity and self-worth (Papadopoulos, 2018). Failure to uphold dignity can lead to negative outcomes, such as feelings of disempowerment, decreased compliance with care plans, and a reduced quality of life (Nolan et al., 2006).</w:t>
      </w:r>
    </w:p>
    <w:p w:rsidR="00BA7936" w:rsidRPr="00DF7A4C" w:rsidRDefault="00BA7936" w:rsidP="00C6329B">
      <w:pPr>
        <w:pStyle w:val="NormalWeb"/>
        <w:spacing w:line="360" w:lineRule="auto"/>
        <w:jc w:val="both"/>
        <w:rPr>
          <w:rFonts w:ascii="Arial" w:hAnsi="Arial" w:cs="Arial"/>
        </w:rPr>
      </w:pPr>
      <w:r w:rsidRPr="00DF7A4C">
        <w:rPr>
          <w:rStyle w:val="Strong"/>
          <w:rFonts w:ascii="Arial" w:hAnsi="Arial" w:cs="Arial"/>
        </w:rPr>
        <w:t>Equality, diversity, and inclusion</w:t>
      </w:r>
      <w:r w:rsidRPr="00DF7A4C">
        <w:rPr>
          <w:rFonts w:ascii="Arial" w:hAnsi="Arial" w:cs="Arial"/>
        </w:rPr>
        <w:t xml:space="preserve"> are critical principles that safeguard against discrimination and ensure services are accessible to all individuals, regardless of ethnicity, gender, disability, religion, or socioeconomic status (Berkman et al., 2019; RCN, 2021). Embedding equality in practice contributes to social justice and reduces health disparities. However, critical reflection highlights challenges in achieving these aims. Unconscious bias, organisational limitations, and systemic inequalities can compromise equitable care delivery (Fitzgerald &amp; Hurst, 2017; Briggs &amp; King, 2020). For instance, research has shown that minority ethnic groups are often underrepresented in health service consultations, which may limit their access to timely interventions (NHS England, 2020). Recognising these challenges encourages practitioners to engage in ongoing cultural competence training and reflective practice to mitigate bias.</w:t>
      </w:r>
    </w:p>
    <w:p w:rsidR="00BA7936" w:rsidRPr="00DF7A4C" w:rsidRDefault="00BA7936" w:rsidP="00C6329B">
      <w:pPr>
        <w:pStyle w:val="NormalWeb"/>
        <w:spacing w:line="360" w:lineRule="auto"/>
        <w:jc w:val="both"/>
        <w:rPr>
          <w:rFonts w:ascii="Arial" w:hAnsi="Arial" w:cs="Arial"/>
        </w:rPr>
      </w:pPr>
      <w:r w:rsidRPr="00DF7A4C">
        <w:rPr>
          <w:rStyle w:val="Strong"/>
          <w:rFonts w:ascii="Arial" w:hAnsi="Arial" w:cs="Arial"/>
        </w:rPr>
        <w:t>Autonomy and empowerment</w:t>
      </w:r>
      <w:r w:rsidRPr="00DF7A4C">
        <w:rPr>
          <w:rFonts w:ascii="Arial" w:hAnsi="Arial" w:cs="Arial"/>
        </w:rPr>
        <w:t xml:space="preserve"> underpin the ethical and legal foundations of health and social care practice. Encouraging service users to make informed decisions about their care enhances satisfaction, compliance, and a sense of control over their lives (Kane &amp; </w:t>
      </w:r>
      <w:proofErr w:type="spellStart"/>
      <w:r w:rsidRPr="00DF7A4C">
        <w:rPr>
          <w:rFonts w:ascii="Arial" w:hAnsi="Arial" w:cs="Arial"/>
        </w:rPr>
        <w:t>Kayser</w:t>
      </w:r>
      <w:proofErr w:type="spellEnd"/>
      <w:r w:rsidRPr="00DF7A4C">
        <w:rPr>
          <w:rFonts w:ascii="Arial" w:hAnsi="Arial" w:cs="Arial"/>
        </w:rPr>
        <w:t xml:space="preserve">-Jones, 2019). Legal frameworks, including the </w:t>
      </w:r>
      <w:r w:rsidRPr="00DF7A4C">
        <w:rPr>
          <w:rStyle w:val="Strong"/>
          <w:rFonts w:ascii="Arial" w:hAnsi="Arial" w:cs="Arial"/>
        </w:rPr>
        <w:t>Human Rights Act (1998)</w:t>
      </w:r>
      <w:r w:rsidRPr="00DF7A4C">
        <w:rPr>
          <w:rFonts w:ascii="Arial" w:hAnsi="Arial" w:cs="Arial"/>
        </w:rPr>
        <w:t xml:space="preserve"> and the </w:t>
      </w:r>
      <w:r w:rsidRPr="00DF7A4C">
        <w:rPr>
          <w:rStyle w:val="Strong"/>
          <w:rFonts w:ascii="Arial" w:hAnsi="Arial" w:cs="Arial"/>
        </w:rPr>
        <w:t>Mental Capacity Act (2005)</w:t>
      </w:r>
      <w:r w:rsidRPr="00DF7A4C">
        <w:rPr>
          <w:rFonts w:ascii="Arial" w:hAnsi="Arial" w:cs="Arial"/>
        </w:rPr>
        <w:t xml:space="preserve">, enshrine these principles, emphasising informed consent and the right to self-determination (Edwards &amp; Watson, 2020). </w:t>
      </w:r>
      <w:r w:rsidRPr="00DF7A4C">
        <w:rPr>
          <w:rFonts w:ascii="Arial" w:hAnsi="Arial" w:cs="Arial"/>
        </w:rPr>
        <w:lastRenderedPageBreak/>
        <w:t>Critically, however, autonomy can conflict with professional responsibility, particularly when choices made by service users may place themselves or others at risk. For example, in cases involving mental health crises, practitioners must balance respecting autonomy with safeguarding obligations, illustrating the complex interplay between ethical principles and real-world practice (Fisher, 2016).</w:t>
      </w:r>
    </w:p>
    <w:p w:rsidR="00BA7936" w:rsidRPr="00DF7A4C" w:rsidRDefault="00BA7936" w:rsidP="00C6329B">
      <w:pPr>
        <w:pStyle w:val="NormalWeb"/>
        <w:spacing w:line="360" w:lineRule="auto"/>
        <w:jc w:val="both"/>
        <w:rPr>
          <w:rFonts w:ascii="Arial" w:hAnsi="Arial" w:cs="Arial"/>
        </w:rPr>
      </w:pPr>
      <w:r w:rsidRPr="00DF7A4C">
        <w:rPr>
          <w:rStyle w:val="Strong"/>
          <w:rFonts w:ascii="Arial" w:hAnsi="Arial" w:cs="Arial"/>
        </w:rPr>
        <w:t>Safeguarding and protection</w:t>
      </w:r>
      <w:r w:rsidRPr="00DF7A4C">
        <w:rPr>
          <w:rFonts w:ascii="Arial" w:hAnsi="Arial" w:cs="Arial"/>
        </w:rPr>
        <w:t xml:space="preserve"> ensure that vulnerable populations, such as children, older adults, and individuals with disabilities, are protected from abuse, neglect, or harm. The </w:t>
      </w:r>
      <w:r w:rsidRPr="00DF7A4C">
        <w:rPr>
          <w:rStyle w:val="Strong"/>
          <w:rFonts w:ascii="Arial" w:hAnsi="Arial" w:cs="Arial"/>
        </w:rPr>
        <w:t>Care Act (2014)</w:t>
      </w:r>
      <w:r w:rsidRPr="00DF7A4C">
        <w:rPr>
          <w:rFonts w:ascii="Arial" w:hAnsi="Arial" w:cs="Arial"/>
        </w:rPr>
        <w:t xml:space="preserve"> outlines statutory duties for safeguarding, emphasising prevention, early intervention, and multi-agency collaboration (Care Quality Commission, 2020; LGA, 2019). Critical reflection on safeguarding highlights that it requires constant vigilance, professional judgement, and ethical sensitivity. Practitioners must not only respond to immediate risks but also anticipate systemic vulnerabilities, such as understaffing or resource constraints, which may compromise safe care (Munro, 2011).</w:t>
      </w:r>
    </w:p>
    <w:p w:rsidR="00BA7936" w:rsidRPr="00DF7A4C" w:rsidRDefault="00BA7936" w:rsidP="00C6329B">
      <w:pPr>
        <w:pStyle w:val="NormalWeb"/>
        <w:spacing w:line="360" w:lineRule="auto"/>
        <w:jc w:val="both"/>
        <w:rPr>
          <w:rFonts w:ascii="Arial" w:hAnsi="Arial" w:cs="Arial"/>
        </w:rPr>
      </w:pPr>
      <w:r w:rsidRPr="00DF7A4C">
        <w:rPr>
          <w:rStyle w:val="Strong"/>
          <w:rFonts w:ascii="Arial" w:hAnsi="Arial" w:cs="Arial"/>
        </w:rPr>
        <w:t>Confidentiality and information governance</w:t>
      </w:r>
      <w:r w:rsidRPr="00DF7A4C">
        <w:rPr>
          <w:rFonts w:ascii="Arial" w:hAnsi="Arial" w:cs="Arial"/>
        </w:rPr>
        <w:t xml:space="preserve"> are also essential principles, ensuring that service users’ private information is protected and shared appropriately. Breaches of confidentiality can undermine trust, reduce engagement with services, and lead to legal or professional consequences (</w:t>
      </w:r>
      <w:proofErr w:type="spellStart"/>
      <w:r w:rsidRPr="00DF7A4C">
        <w:rPr>
          <w:rFonts w:ascii="Arial" w:hAnsi="Arial" w:cs="Arial"/>
        </w:rPr>
        <w:t>Caldicott</w:t>
      </w:r>
      <w:proofErr w:type="spellEnd"/>
      <w:r w:rsidRPr="00DF7A4C">
        <w:rPr>
          <w:rFonts w:ascii="Arial" w:hAnsi="Arial" w:cs="Arial"/>
        </w:rPr>
        <w:t>, 2013; General Medical Council, 2020). Reflective practice reinforces the need for practitioners to balance confidentiality with the duty to share information where it is necessary to protect individuals from harm, illustrating the ethical nuance of everyday decision-making.</w:t>
      </w:r>
    </w:p>
    <w:p w:rsidR="00BA7936" w:rsidRPr="00DF7A4C" w:rsidRDefault="00DF7A4C" w:rsidP="00C6329B">
      <w:pPr>
        <w:pStyle w:val="NormalWeb"/>
        <w:spacing w:line="360" w:lineRule="auto"/>
        <w:jc w:val="both"/>
        <w:rPr>
          <w:rFonts w:ascii="Arial" w:hAnsi="Arial" w:cs="Arial"/>
        </w:rPr>
      </w:pPr>
      <w:r w:rsidRPr="00DF7A4C">
        <w:rPr>
          <w:rFonts w:ascii="Arial" w:hAnsi="Arial" w:cs="Arial"/>
        </w:rPr>
        <w:t>R</w:t>
      </w:r>
      <w:r w:rsidR="00BA7936" w:rsidRPr="00DF7A4C">
        <w:rPr>
          <w:rFonts w:ascii="Arial" w:hAnsi="Arial" w:cs="Arial"/>
        </w:rPr>
        <w:t xml:space="preserve">eflecting on the principles of health and social care demonstrates their multidimensional significance. They provide ethical guidance, inform professional conduct, support person-centred practice, and underpin organisational policies and legislation (Brooker, 2015; McCormack &amp; </w:t>
      </w:r>
      <w:proofErr w:type="spellStart"/>
      <w:r w:rsidR="00BA7936" w:rsidRPr="00DF7A4C">
        <w:rPr>
          <w:rFonts w:ascii="Arial" w:hAnsi="Arial" w:cs="Arial"/>
        </w:rPr>
        <w:t>McCance</w:t>
      </w:r>
      <w:proofErr w:type="spellEnd"/>
      <w:r w:rsidR="00BA7936" w:rsidRPr="00DF7A4C">
        <w:rPr>
          <w:rFonts w:ascii="Arial" w:hAnsi="Arial" w:cs="Arial"/>
        </w:rPr>
        <w:t>, 2017). While challenges exist</w:t>
      </w:r>
      <w:r w:rsidR="00C6329B">
        <w:rPr>
          <w:rFonts w:ascii="Arial" w:hAnsi="Arial" w:cs="Arial"/>
        </w:rPr>
        <w:t xml:space="preserve"> in their practical application </w:t>
      </w:r>
      <w:r w:rsidR="00BA7936" w:rsidRPr="00DF7A4C">
        <w:rPr>
          <w:rFonts w:ascii="Arial" w:hAnsi="Arial" w:cs="Arial"/>
        </w:rPr>
        <w:t>such as resource limitations, systemic ine</w:t>
      </w:r>
      <w:r w:rsidR="00C6329B">
        <w:rPr>
          <w:rFonts w:ascii="Arial" w:hAnsi="Arial" w:cs="Arial"/>
        </w:rPr>
        <w:t xml:space="preserve">qualities, and ethical dilemmas </w:t>
      </w:r>
      <w:r w:rsidR="00BA7936" w:rsidRPr="00DF7A4C">
        <w:rPr>
          <w:rFonts w:ascii="Arial" w:hAnsi="Arial" w:cs="Arial"/>
        </w:rPr>
        <w:t>these principles remain central to ensuring that care is delivered safely, equitably, and respectfully. Continuous reflection, professional development, and adherence to regulatory standards are essential to uphold these principles and improve the overall quality of health and social care services (Nolan, 2020; RCN, 2021).</w:t>
      </w:r>
    </w:p>
    <w:p w:rsidR="00BA7936" w:rsidRPr="00DF7A4C" w:rsidRDefault="00BA7936" w:rsidP="00C6329B">
      <w:pPr>
        <w:pStyle w:val="Heading1"/>
        <w:spacing w:line="360" w:lineRule="auto"/>
        <w:jc w:val="both"/>
        <w:rPr>
          <w:rFonts w:ascii="Arial" w:hAnsi="Arial" w:cs="Arial"/>
          <w:sz w:val="28"/>
          <w:szCs w:val="28"/>
        </w:rPr>
      </w:pPr>
      <w:bookmarkStart w:id="3" w:name="_Toc213607801"/>
      <w:r w:rsidRPr="00DF7A4C">
        <w:rPr>
          <w:rFonts w:ascii="Arial" w:hAnsi="Arial" w:cs="Arial"/>
          <w:sz w:val="28"/>
          <w:szCs w:val="28"/>
        </w:rPr>
        <w:lastRenderedPageBreak/>
        <w:t>Task 2: Application to Health and Social Care Policy and Practice</w:t>
      </w:r>
      <w:bookmarkEnd w:id="3"/>
    </w:p>
    <w:p w:rsidR="00BA7936" w:rsidRPr="00DF7A4C" w:rsidRDefault="00BA7936" w:rsidP="00C6329B">
      <w:pPr>
        <w:pStyle w:val="NormalWeb"/>
        <w:spacing w:line="360" w:lineRule="auto"/>
        <w:jc w:val="both"/>
        <w:rPr>
          <w:rFonts w:ascii="Arial" w:hAnsi="Arial" w:cs="Arial"/>
        </w:rPr>
      </w:pPr>
      <w:r w:rsidRPr="00DF7A4C">
        <w:rPr>
          <w:rFonts w:ascii="Arial" w:hAnsi="Arial" w:cs="Arial"/>
        </w:rPr>
        <w:t>The principles of health and social care—dignity, respect, autonomy, equality, safeguarding, and confidentiality—are not only theoretical ideals but are actively embedded in national policy frameworks and organisational practice. Their application ensures that care is person-centred, ethical, and legally compliant, while also promoting positive outcomes for service users. Examining policy documents, legislation, and real-world practice highlights both successes and ongoing challenges in operationalising these principles.</w:t>
      </w:r>
    </w:p>
    <w:p w:rsidR="00BA7936" w:rsidRPr="00DF7A4C" w:rsidRDefault="00BA7936" w:rsidP="00C6329B">
      <w:pPr>
        <w:pStyle w:val="NormalWeb"/>
        <w:spacing w:line="360" w:lineRule="auto"/>
        <w:jc w:val="both"/>
        <w:rPr>
          <w:rFonts w:ascii="Arial" w:hAnsi="Arial" w:cs="Arial"/>
        </w:rPr>
      </w:pPr>
      <w:r w:rsidRPr="00DF7A4C">
        <w:rPr>
          <w:rStyle w:val="Strong"/>
          <w:rFonts w:ascii="Arial" w:hAnsi="Arial" w:cs="Arial"/>
        </w:rPr>
        <w:t>Dignity and respect</w:t>
      </w:r>
      <w:r w:rsidRPr="00DF7A4C">
        <w:rPr>
          <w:rFonts w:ascii="Arial" w:hAnsi="Arial" w:cs="Arial"/>
        </w:rPr>
        <w:t xml:space="preserve"> are emphasised in the </w:t>
      </w:r>
      <w:r w:rsidRPr="00DF7A4C">
        <w:rPr>
          <w:rStyle w:val="Emphasis"/>
          <w:rFonts w:ascii="Arial" w:hAnsi="Arial" w:cs="Arial"/>
        </w:rPr>
        <w:t>Care Act (2014)</w:t>
      </w:r>
      <w:r w:rsidRPr="00DF7A4C">
        <w:rPr>
          <w:rFonts w:ascii="Arial" w:hAnsi="Arial" w:cs="Arial"/>
        </w:rPr>
        <w:t xml:space="preserve">, which outlines the duty of local authorities to assess individuals’ needs holistically and promote well-being (Department of Health &amp; Social Care, 2018). In practice, this translates to personalised care plans that consider service users’ preferences regarding routines, therapies, and daily activities (McCormack &amp; </w:t>
      </w:r>
      <w:proofErr w:type="spellStart"/>
      <w:r w:rsidRPr="00DF7A4C">
        <w:rPr>
          <w:rFonts w:ascii="Arial" w:hAnsi="Arial" w:cs="Arial"/>
        </w:rPr>
        <w:t>McCance</w:t>
      </w:r>
      <w:proofErr w:type="spellEnd"/>
      <w:r w:rsidRPr="00DF7A4C">
        <w:rPr>
          <w:rFonts w:ascii="Arial" w:hAnsi="Arial" w:cs="Arial"/>
        </w:rPr>
        <w:t>, 2017). For example, person-centred dementia care programmes often incorporate individual life histories and cultural preferences to enhance engagement and quality of life (Brooker, 2015). Similarly, in palliative care, prioritising dignity through sensitive communication, emotional support, and involvement in decision-making significantly improves patient satisfaction and reduces psychological distress (Smith et al., 2018). However, the practical application of dignity can be constrained by resource limitations, high staff turnover, and institutional routines, which sometimes reduce care to task completion rather than meaningful engagement (Nolan et al., 2006; Hughes et al., 2021).</w:t>
      </w:r>
    </w:p>
    <w:p w:rsidR="00BA7936" w:rsidRPr="00DF7A4C" w:rsidRDefault="00BA7936" w:rsidP="00C6329B">
      <w:pPr>
        <w:pStyle w:val="NormalWeb"/>
        <w:spacing w:line="360" w:lineRule="auto"/>
        <w:jc w:val="both"/>
        <w:rPr>
          <w:rFonts w:ascii="Arial" w:hAnsi="Arial" w:cs="Arial"/>
        </w:rPr>
      </w:pPr>
      <w:r w:rsidRPr="00DF7A4C">
        <w:rPr>
          <w:rStyle w:val="Strong"/>
          <w:rFonts w:ascii="Arial" w:hAnsi="Arial" w:cs="Arial"/>
        </w:rPr>
        <w:t>Equality and diversity</w:t>
      </w:r>
      <w:r w:rsidRPr="00DF7A4C">
        <w:rPr>
          <w:rFonts w:ascii="Arial" w:hAnsi="Arial" w:cs="Arial"/>
        </w:rPr>
        <w:t xml:space="preserve"> are central to policies such as the </w:t>
      </w:r>
      <w:r w:rsidRPr="00DF7A4C">
        <w:rPr>
          <w:rStyle w:val="Emphasis"/>
          <w:rFonts w:ascii="Arial" w:hAnsi="Arial" w:cs="Arial"/>
        </w:rPr>
        <w:t>Equality Act (2010)</w:t>
      </w:r>
      <w:r w:rsidRPr="00DF7A4C">
        <w:rPr>
          <w:rFonts w:ascii="Arial" w:hAnsi="Arial" w:cs="Arial"/>
        </w:rPr>
        <w:t xml:space="preserve">, which prohibits discrimination on grounds including race, disability, age, and religion, and mandates reasonable adjustments to ensure accessibility (RCN, 2021). In practice, this involves staff training on unconscious bias, cultural competence, and inclusive communication strategies (Berkman et al., 2019). For instance, mental health services embedding culturally sensitive interventions have increased access and treatment adherence for minority ethnic groups (Briggs &amp; King, 2020). Furthermore, initiatives such as translation services, gender-sensitive care, and accessibility adaptations for individuals with disabilities demonstrate practical commitment to equality principles (Watson &amp; Noble, 2017). Yet, systemic inequalities, such as socio-economic barriers, </w:t>
      </w:r>
      <w:r w:rsidRPr="00DF7A4C">
        <w:rPr>
          <w:rFonts w:ascii="Arial" w:hAnsi="Arial" w:cs="Arial"/>
        </w:rPr>
        <w:lastRenderedPageBreak/>
        <w:t xml:space="preserve">regional disparities, and implicit bias within institutions, often complicate the full realisation of equality principles, demonstrating a persistent gap between policy intention and practice (Fitzgerald &amp; Hurst, 2017; </w:t>
      </w:r>
      <w:proofErr w:type="spellStart"/>
      <w:r w:rsidRPr="00DF7A4C">
        <w:rPr>
          <w:rFonts w:ascii="Arial" w:hAnsi="Arial" w:cs="Arial"/>
        </w:rPr>
        <w:t>Nazroo</w:t>
      </w:r>
      <w:proofErr w:type="spellEnd"/>
      <w:r w:rsidRPr="00DF7A4C">
        <w:rPr>
          <w:rFonts w:ascii="Arial" w:hAnsi="Arial" w:cs="Arial"/>
        </w:rPr>
        <w:t xml:space="preserve"> et al., 2020).</w:t>
      </w:r>
    </w:p>
    <w:p w:rsidR="00BA7936" w:rsidRPr="00DF7A4C" w:rsidRDefault="00BA7936" w:rsidP="00C6329B">
      <w:pPr>
        <w:pStyle w:val="NormalWeb"/>
        <w:spacing w:line="360" w:lineRule="auto"/>
        <w:jc w:val="both"/>
        <w:rPr>
          <w:rFonts w:ascii="Arial" w:hAnsi="Arial" w:cs="Arial"/>
        </w:rPr>
      </w:pPr>
      <w:r w:rsidRPr="00DF7A4C">
        <w:rPr>
          <w:rStyle w:val="Strong"/>
          <w:rFonts w:ascii="Arial" w:hAnsi="Arial" w:cs="Arial"/>
        </w:rPr>
        <w:t>Autonomy and empowerment</w:t>
      </w:r>
      <w:r w:rsidRPr="00DF7A4C">
        <w:rPr>
          <w:rFonts w:ascii="Arial" w:hAnsi="Arial" w:cs="Arial"/>
        </w:rPr>
        <w:t xml:space="preserve"> are supported through legal frameworks such as the </w:t>
      </w:r>
      <w:r w:rsidRPr="00DF7A4C">
        <w:rPr>
          <w:rStyle w:val="Emphasis"/>
          <w:rFonts w:ascii="Arial" w:hAnsi="Arial" w:cs="Arial"/>
        </w:rPr>
        <w:t>Mental Capacity Act (2005)</w:t>
      </w:r>
      <w:r w:rsidRPr="00DF7A4C">
        <w:rPr>
          <w:rFonts w:ascii="Arial" w:hAnsi="Arial" w:cs="Arial"/>
        </w:rPr>
        <w:t xml:space="preserve"> and the </w:t>
      </w:r>
      <w:r w:rsidRPr="00DF7A4C">
        <w:rPr>
          <w:rStyle w:val="Emphasis"/>
          <w:rFonts w:ascii="Arial" w:hAnsi="Arial" w:cs="Arial"/>
        </w:rPr>
        <w:t>Human Rights Act (1998)</w:t>
      </w:r>
      <w:r w:rsidRPr="00DF7A4C">
        <w:rPr>
          <w:rFonts w:ascii="Arial" w:hAnsi="Arial" w:cs="Arial"/>
        </w:rPr>
        <w:t xml:space="preserve">, which promote informed consent, shared decision-making, and active participation in care planning (Kane &amp; </w:t>
      </w:r>
      <w:proofErr w:type="spellStart"/>
      <w:r w:rsidRPr="00DF7A4C">
        <w:rPr>
          <w:rFonts w:ascii="Arial" w:hAnsi="Arial" w:cs="Arial"/>
        </w:rPr>
        <w:t>Kayser</w:t>
      </w:r>
      <w:proofErr w:type="spellEnd"/>
      <w:r w:rsidRPr="00DF7A4C">
        <w:rPr>
          <w:rFonts w:ascii="Arial" w:hAnsi="Arial" w:cs="Arial"/>
        </w:rPr>
        <w:t>-Jones, 2019; Edwards &amp; Watson, 2020). Practitioners facilitate autonomy by using decision aids, involving family members, and documenting consent processes meticulously. For example, in end-of-life care, advance care planning allows individuals to make informed choices about preferred treatments, interventions, and living arrangements, which enhances satisfaction and reduces anxiety (</w:t>
      </w:r>
      <w:proofErr w:type="spellStart"/>
      <w:r w:rsidRPr="00DF7A4C">
        <w:rPr>
          <w:rFonts w:ascii="Arial" w:hAnsi="Arial" w:cs="Arial"/>
        </w:rPr>
        <w:t>Detering</w:t>
      </w:r>
      <w:proofErr w:type="spellEnd"/>
      <w:r w:rsidRPr="00DF7A4C">
        <w:rPr>
          <w:rFonts w:ascii="Arial" w:hAnsi="Arial" w:cs="Arial"/>
        </w:rPr>
        <w:t xml:space="preserve"> et al., 2010). However, challenges arise when patient choices conflict with professional guidance or safety considerations, such as refusal of life-saving interventions, requiring ethical deliberation and risk management (Fisher, 2016; </w:t>
      </w:r>
      <w:proofErr w:type="spellStart"/>
      <w:r w:rsidRPr="00DF7A4C">
        <w:rPr>
          <w:rFonts w:ascii="Arial" w:hAnsi="Arial" w:cs="Arial"/>
        </w:rPr>
        <w:t>Sokol</w:t>
      </w:r>
      <w:proofErr w:type="spellEnd"/>
      <w:r w:rsidRPr="00DF7A4C">
        <w:rPr>
          <w:rFonts w:ascii="Arial" w:hAnsi="Arial" w:cs="Arial"/>
        </w:rPr>
        <w:t>, 2017).</w:t>
      </w:r>
    </w:p>
    <w:p w:rsidR="00BA7936" w:rsidRPr="00DF7A4C" w:rsidRDefault="00BA7936" w:rsidP="00C6329B">
      <w:pPr>
        <w:pStyle w:val="NormalWeb"/>
        <w:spacing w:line="360" w:lineRule="auto"/>
        <w:jc w:val="both"/>
        <w:rPr>
          <w:rFonts w:ascii="Arial" w:hAnsi="Arial" w:cs="Arial"/>
        </w:rPr>
      </w:pPr>
      <w:r w:rsidRPr="00DF7A4C">
        <w:rPr>
          <w:rStyle w:val="Strong"/>
          <w:rFonts w:ascii="Arial" w:hAnsi="Arial" w:cs="Arial"/>
        </w:rPr>
        <w:t>Safeguarding and protection</w:t>
      </w:r>
      <w:r w:rsidRPr="00DF7A4C">
        <w:rPr>
          <w:rFonts w:ascii="Arial" w:hAnsi="Arial" w:cs="Arial"/>
        </w:rPr>
        <w:t xml:space="preserve"> are embedded in multi-agency policies, including </w:t>
      </w:r>
      <w:r w:rsidRPr="00DF7A4C">
        <w:rPr>
          <w:rStyle w:val="Emphasis"/>
          <w:rFonts w:ascii="Arial" w:hAnsi="Arial" w:cs="Arial"/>
        </w:rPr>
        <w:t>Working Together to Safeguard Children (2018)</w:t>
      </w:r>
      <w:r w:rsidRPr="00DF7A4C">
        <w:rPr>
          <w:rFonts w:ascii="Arial" w:hAnsi="Arial" w:cs="Arial"/>
        </w:rPr>
        <w:t xml:space="preserve"> and adult safeguarding provisions under the </w:t>
      </w:r>
      <w:r w:rsidRPr="00DF7A4C">
        <w:rPr>
          <w:rStyle w:val="Emphasis"/>
          <w:rFonts w:ascii="Arial" w:hAnsi="Arial" w:cs="Arial"/>
        </w:rPr>
        <w:t>Care Act (2014)</w:t>
      </w:r>
      <w:r w:rsidRPr="00DF7A4C">
        <w:rPr>
          <w:rFonts w:ascii="Arial" w:hAnsi="Arial" w:cs="Arial"/>
        </w:rPr>
        <w:t xml:space="preserve"> (CQC, 2020; LGA, 2019). These frameworks emphasise prevention, early intervention, and collaborative responses across health, social care, and law enforcement agencies. In practice, safeguarding measures include comprehensive risk assessments, clear reporting protocols, and structured inter-professional meetings to protect vulnerable populations. For example, in residential care settings, staff monitor for signs of abuse, neglect, or self-harm, while adhering to legal and ethical guidelines (Munro, 2011). Despite robust frameworks, challenges such as under-reporting, lack of awareness among staff, and organisational culture can impede effective safeguarding (Parton, 2014). Additionally, safeguarding vulnerable adults with complex needs, including mental health conditions, often requires nuanced understanding of risk, consent, and multi-agency collaboration (</w:t>
      </w:r>
      <w:proofErr w:type="spellStart"/>
      <w:r w:rsidRPr="00DF7A4C">
        <w:rPr>
          <w:rFonts w:ascii="Arial" w:hAnsi="Arial" w:cs="Arial"/>
        </w:rPr>
        <w:t>Manthorpe</w:t>
      </w:r>
      <w:proofErr w:type="spellEnd"/>
      <w:r w:rsidRPr="00DF7A4C">
        <w:rPr>
          <w:rFonts w:ascii="Arial" w:hAnsi="Arial" w:cs="Arial"/>
        </w:rPr>
        <w:t xml:space="preserve"> &amp; Martineau, 2019).</w:t>
      </w:r>
    </w:p>
    <w:p w:rsidR="00BA7936" w:rsidRPr="00DF7A4C" w:rsidRDefault="00BA7936" w:rsidP="00C6329B">
      <w:pPr>
        <w:pStyle w:val="NormalWeb"/>
        <w:spacing w:line="360" w:lineRule="auto"/>
        <w:jc w:val="both"/>
        <w:rPr>
          <w:rFonts w:ascii="Arial" w:hAnsi="Arial" w:cs="Arial"/>
        </w:rPr>
      </w:pPr>
      <w:r w:rsidRPr="00DF7A4C">
        <w:rPr>
          <w:rStyle w:val="Strong"/>
          <w:rFonts w:ascii="Arial" w:hAnsi="Arial" w:cs="Arial"/>
        </w:rPr>
        <w:t>Confidentiality and information governance</w:t>
      </w:r>
      <w:r w:rsidRPr="00DF7A4C">
        <w:rPr>
          <w:rFonts w:ascii="Arial" w:hAnsi="Arial" w:cs="Arial"/>
        </w:rPr>
        <w:t xml:space="preserve"> are maintained through policies such as the </w:t>
      </w:r>
      <w:r w:rsidRPr="00DF7A4C">
        <w:rPr>
          <w:rStyle w:val="Emphasis"/>
          <w:rFonts w:ascii="Arial" w:hAnsi="Arial" w:cs="Arial"/>
        </w:rPr>
        <w:t>Data Protection Act (2018)</w:t>
      </w:r>
      <w:r w:rsidRPr="00DF7A4C">
        <w:rPr>
          <w:rFonts w:ascii="Arial" w:hAnsi="Arial" w:cs="Arial"/>
        </w:rPr>
        <w:t xml:space="preserve"> and NHS Confidentiality Code of Practice, ensuring personal health information is handled securely and ethically (</w:t>
      </w:r>
      <w:proofErr w:type="spellStart"/>
      <w:r w:rsidRPr="00DF7A4C">
        <w:rPr>
          <w:rFonts w:ascii="Arial" w:hAnsi="Arial" w:cs="Arial"/>
        </w:rPr>
        <w:t>Caldicott</w:t>
      </w:r>
      <w:proofErr w:type="spellEnd"/>
      <w:r w:rsidRPr="00DF7A4C">
        <w:rPr>
          <w:rFonts w:ascii="Arial" w:hAnsi="Arial" w:cs="Arial"/>
        </w:rPr>
        <w:t xml:space="preserve">, 2013; General Medical Council, 2020). In practice, staff receive training in secure record-keeping, </w:t>
      </w:r>
      <w:proofErr w:type="spellStart"/>
      <w:r w:rsidRPr="00DF7A4C">
        <w:rPr>
          <w:rFonts w:ascii="Arial" w:hAnsi="Arial" w:cs="Arial"/>
        </w:rPr>
        <w:lastRenderedPageBreak/>
        <w:t>anonymisation</w:t>
      </w:r>
      <w:proofErr w:type="spellEnd"/>
      <w:r w:rsidRPr="00DF7A4C">
        <w:rPr>
          <w:rFonts w:ascii="Arial" w:hAnsi="Arial" w:cs="Arial"/>
        </w:rPr>
        <w:t>, and appropriate information-sharing. Trust is strengthened when service users are confident their information is managed professionally, which encourages disclosure and engagement with services (Papadopoulos, 2018). Nevertheless, dilemmas occur when information must be disclosed to protect individuals from harm, requiring professional judgement to balance ethical and legal responsibilities (McLeod &amp; Jones, 2018).</w:t>
      </w:r>
    </w:p>
    <w:p w:rsidR="00BA7936" w:rsidRPr="00DF7A4C" w:rsidRDefault="00BA7936" w:rsidP="00C6329B">
      <w:pPr>
        <w:pStyle w:val="NormalWeb"/>
        <w:spacing w:line="360" w:lineRule="auto"/>
        <w:jc w:val="both"/>
        <w:rPr>
          <w:rFonts w:ascii="Arial" w:hAnsi="Arial" w:cs="Arial"/>
        </w:rPr>
      </w:pPr>
      <w:r w:rsidRPr="00DF7A4C">
        <w:rPr>
          <w:rStyle w:val="Strong"/>
          <w:rFonts w:ascii="Arial" w:hAnsi="Arial" w:cs="Arial"/>
        </w:rPr>
        <w:t>Critical evaluation of practice</w:t>
      </w:r>
      <w:r w:rsidRPr="00DF7A4C">
        <w:rPr>
          <w:rFonts w:ascii="Arial" w:hAnsi="Arial" w:cs="Arial"/>
        </w:rPr>
        <w:t xml:space="preserve"> demonstrates that while principles are embedded in policy, translating them consistently into high-quality care is complex. Workforce shortages, increasing demand for services, organisational policies, and socio-economic disparities hinder person-centred care (NHS England, 2020). Moreover, practitioners’ interpretations of principles may vary, influenced by training, experience, and organisational culture, potentially leading to inconsistent application (Nolan, 2020). Reflective practice, supervision, and continuous professional development are essential to bridge the gap between policy and practice and to enhance practitioners’ capability to apply principles thoughtfully and ethically (</w:t>
      </w:r>
      <w:proofErr w:type="spellStart"/>
      <w:r w:rsidRPr="00DF7A4C">
        <w:rPr>
          <w:rFonts w:ascii="Arial" w:hAnsi="Arial" w:cs="Arial"/>
        </w:rPr>
        <w:t>Ghaye</w:t>
      </w:r>
      <w:proofErr w:type="spellEnd"/>
      <w:r w:rsidRPr="00DF7A4C">
        <w:rPr>
          <w:rFonts w:ascii="Arial" w:hAnsi="Arial" w:cs="Arial"/>
        </w:rPr>
        <w:t>, 2015).</w:t>
      </w:r>
    </w:p>
    <w:p w:rsidR="00BA7936" w:rsidRPr="00DF7A4C" w:rsidRDefault="00DF7A4C" w:rsidP="00C6329B">
      <w:pPr>
        <w:pStyle w:val="NormalWeb"/>
        <w:spacing w:line="360" w:lineRule="auto"/>
        <w:jc w:val="both"/>
        <w:rPr>
          <w:rFonts w:ascii="Arial" w:hAnsi="Arial" w:cs="Arial"/>
        </w:rPr>
      </w:pPr>
      <w:r w:rsidRPr="00DF7A4C">
        <w:rPr>
          <w:rFonts w:ascii="Arial" w:hAnsi="Arial" w:cs="Arial"/>
        </w:rPr>
        <w:t>H</w:t>
      </w:r>
      <w:r w:rsidR="00BA7936" w:rsidRPr="00DF7A4C">
        <w:rPr>
          <w:rFonts w:ascii="Arial" w:hAnsi="Arial" w:cs="Arial"/>
        </w:rPr>
        <w:t xml:space="preserve">ealth and social care policies provide a structured framework that operationalises the principles of dignity, respect, autonomy, equality, safeguarding, and confidentiality. Their application in practice demonstrates clear benefits, including enhanced well-being, empowerment, and protection for service users. Nevertheless, ongoing reflection, professional development, and resource investment are necessary to address systemic, organisational, and ethical challenges that may limit the effectiveness of these principles in practice (Brooker, 2015; McCormack &amp; </w:t>
      </w:r>
      <w:proofErr w:type="spellStart"/>
      <w:r w:rsidR="00BA7936" w:rsidRPr="00DF7A4C">
        <w:rPr>
          <w:rFonts w:ascii="Arial" w:hAnsi="Arial" w:cs="Arial"/>
        </w:rPr>
        <w:t>McCance</w:t>
      </w:r>
      <w:proofErr w:type="spellEnd"/>
      <w:r w:rsidR="00BA7936" w:rsidRPr="00DF7A4C">
        <w:rPr>
          <w:rFonts w:ascii="Arial" w:hAnsi="Arial" w:cs="Arial"/>
        </w:rPr>
        <w:t>, 2017; Hughes et al., 2021).</w:t>
      </w:r>
    </w:p>
    <w:p w:rsidR="00DF7A4C" w:rsidRPr="00C6329B" w:rsidRDefault="00DF7A4C" w:rsidP="00C6329B">
      <w:pPr>
        <w:pStyle w:val="Heading1"/>
        <w:rPr>
          <w:rFonts w:ascii="Arial" w:hAnsi="Arial" w:cs="Arial"/>
          <w:sz w:val="28"/>
          <w:szCs w:val="28"/>
        </w:rPr>
      </w:pPr>
      <w:bookmarkStart w:id="4" w:name="_Toc213607802"/>
      <w:r w:rsidRPr="00C6329B">
        <w:rPr>
          <w:rFonts w:ascii="Arial" w:hAnsi="Arial" w:cs="Arial"/>
          <w:sz w:val="28"/>
          <w:szCs w:val="28"/>
        </w:rPr>
        <w:t>Recommendations and Conclusion</w:t>
      </w:r>
      <w:bookmarkEnd w:id="4"/>
    </w:p>
    <w:p w:rsidR="00DF7A4C" w:rsidRPr="00DF7A4C" w:rsidRDefault="00DF7A4C" w:rsidP="00C6329B">
      <w:pPr>
        <w:pStyle w:val="NormalWeb"/>
        <w:spacing w:line="360" w:lineRule="auto"/>
        <w:jc w:val="both"/>
        <w:rPr>
          <w:rFonts w:ascii="Arial" w:hAnsi="Arial" w:cs="Arial"/>
        </w:rPr>
      </w:pPr>
      <w:r w:rsidRPr="00DF7A4C">
        <w:rPr>
          <w:rFonts w:ascii="Arial" w:hAnsi="Arial" w:cs="Arial"/>
        </w:rPr>
        <w:t>Based on the reflection and analysis of the principles of health and social care and their application in policy and practice, several recommendations can be made to enhance the delivery of person-centred care and strengthen compliance with ethical and legal standards. These recommendations address workforce development, organisational culture, policy adaptation, and the empowerment of service users, while acknowledging potential limitations and barriers.</w:t>
      </w:r>
    </w:p>
    <w:p w:rsidR="00DF7A4C" w:rsidRPr="00DF7A4C" w:rsidRDefault="00DF7A4C" w:rsidP="00C6329B">
      <w:pPr>
        <w:pStyle w:val="Heading3"/>
        <w:spacing w:line="360" w:lineRule="auto"/>
        <w:jc w:val="both"/>
        <w:rPr>
          <w:rFonts w:ascii="Arial" w:hAnsi="Arial" w:cs="Arial"/>
        </w:rPr>
      </w:pPr>
      <w:bookmarkStart w:id="5" w:name="_Toc213607803"/>
      <w:r w:rsidRPr="00DF7A4C">
        <w:rPr>
          <w:rFonts w:ascii="Arial" w:hAnsi="Arial" w:cs="Arial"/>
        </w:rPr>
        <w:lastRenderedPageBreak/>
        <w:t>Recommendations</w:t>
      </w:r>
      <w:bookmarkEnd w:id="5"/>
    </w:p>
    <w:p w:rsidR="00DF7A4C" w:rsidRPr="00DF7A4C" w:rsidRDefault="00DF7A4C" w:rsidP="00C6329B">
      <w:pPr>
        <w:pStyle w:val="NormalWeb"/>
        <w:numPr>
          <w:ilvl w:val="0"/>
          <w:numId w:val="6"/>
        </w:numPr>
        <w:spacing w:line="360" w:lineRule="auto"/>
        <w:jc w:val="both"/>
        <w:rPr>
          <w:rFonts w:ascii="Arial" w:hAnsi="Arial" w:cs="Arial"/>
        </w:rPr>
      </w:pPr>
      <w:r w:rsidRPr="00DF7A4C">
        <w:rPr>
          <w:rStyle w:val="Strong"/>
          <w:rFonts w:ascii="Arial" w:hAnsi="Arial" w:cs="Arial"/>
        </w:rPr>
        <w:t>Enhanced Workforce Training and Professional Development</w:t>
      </w:r>
      <w:r w:rsidRPr="00DF7A4C">
        <w:rPr>
          <w:rFonts w:ascii="Arial" w:hAnsi="Arial" w:cs="Arial"/>
        </w:rPr>
        <w:br/>
        <w:t xml:space="preserve">Continuous professional development (CPD) should be prioritised to ensure health and social care practitioners remain knowledgeable about the latest evidence-based practices and legal frameworks. Training should cover areas such as safeguarding, equality and diversity, confidentiality, and person-centred care techniques (McCormack &amp; </w:t>
      </w:r>
      <w:proofErr w:type="spellStart"/>
      <w:r w:rsidRPr="00DF7A4C">
        <w:rPr>
          <w:rFonts w:ascii="Arial" w:hAnsi="Arial" w:cs="Arial"/>
        </w:rPr>
        <w:t>McCance</w:t>
      </w:r>
      <w:proofErr w:type="spellEnd"/>
      <w:r w:rsidRPr="00DF7A4C">
        <w:rPr>
          <w:rFonts w:ascii="Arial" w:hAnsi="Arial" w:cs="Arial"/>
        </w:rPr>
        <w:t>, 2017). For example, scenario-based training and reflective practice sessions can improve ethical decision-making and help staff balance autonomy with safety considerations (</w:t>
      </w:r>
      <w:proofErr w:type="spellStart"/>
      <w:r w:rsidRPr="00DF7A4C">
        <w:rPr>
          <w:rFonts w:ascii="Arial" w:hAnsi="Arial" w:cs="Arial"/>
        </w:rPr>
        <w:t>Ghaye</w:t>
      </w:r>
      <w:proofErr w:type="spellEnd"/>
      <w:r w:rsidRPr="00DF7A4C">
        <w:rPr>
          <w:rFonts w:ascii="Arial" w:hAnsi="Arial" w:cs="Arial"/>
        </w:rPr>
        <w:t>, 2015). Additionally, embedding cultural competence modules and unconscious bias training can reduce disparities in care and ensure equitable service delivery (Berkman et al., 2019; Fitzgerald &amp; Hurst, 2017).</w:t>
      </w:r>
    </w:p>
    <w:p w:rsidR="00DF7A4C" w:rsidRPr="00DF7A4C" w:rsidRDefault="00DF7A4C" w:rsidP="00C6329B">
      <w:pPr>
        <w:pStyle w:val="NormalWeb"/>
        <w:numPr>
          <w:ilvl w:val="0"/>
          <w:numId w:val="6"/>
        </w:numPr>
        <w:spacing w:line="360" w:lineRule="auto"/>
        <w:jc w:val="both"/>
        <w:rPr>
          <w:rFonts w:ascii="Arial" w:hAnsi="Arial" w:cs="Arial"/>
        </w:rPr>
      </w:pPr>
      <w:r w:rsidRPr="00DF7A4C">
        <w:rPr>
          <w:rStyle w:val="Strong"/>
          <w:rFonts w:ascii="Arial" w:hAnsi="Arial" w:cs="Arial"/>
        </w:rPr>
        <w:t>Strengthening Organisational Culture and Leadership</w:t>
      </w:r>
      <w:r w:rsidRPr="00DF7A4C">
        <w:rPr>
          <w:rFonts w:ascii="Arial" w:hAnsi="Arial" w:cs="Arial"/>
        </w:rPr>
        <w:br/>
        <w:t>Organisations should cultivate a culture that prioritises dignity, respect, and empowerment across all levels of care delivery. Leadership plays a pivotal role in modelling professional behaviour, setting standards for ethical practice, and ensuring accountability (Nolan et al., 2006). Establishing regular supervision, mentoring programmes, and peer review processes can reinforce ethical principles and provide support for staff facing complex ethical dilemmas (Munro, 2011). Moreover, integrating feedback mechanisms from service users can encourage organisations to adapt practices based on lived experiences, ensuring care remains genuinely person-centred (Brooker, 2015).</w:t>
      </w:r>
    </w:p>
    <w:p w:rsidR="00DF7A4C" w:rsidRPr="00DF7A4C" w:rsidRDefault="00DF7A4C" w:rsidP="00C6329B">
      <w:pPr>
        <w:pStyle w:val="NormalWeb"/>
        <w:numPr>
          <w:ilvl w:val="0"/>
          <w:numId w:val="6"/>
        </w:numPr>
        <w:spacing w:line="360" w:lineRule="auto"/>
        <w:jc w:val="both"/>
        <w:rPr>
          <w:rFonts w:ascii="Arial" w:hAnsi="Arial" w:cs="Arial"/>
        </w:rPr>
      </w:pPr>
      <w:r w:rsidRPr="00DF7A4C">
        <w:rPr>
          <w:rStyle w:val="Strong"/>
          <w:rFonts w:ascii="Arial" w:hAnsi="Arial" w:cs="Arial"/>
        </w:rPr>
        <w:t>Policy Adaptation and Resource Allocation</w:t>
      </w:r>
      <w:r w:rsidRPr="00DF7A4C">
        <w:rPr>
          <w:rFonts w:ascii="Arial" w:hAnsi="Arial" w:cs="Arial"/>
        </w:rPr>
        <w:br/>
        <w:t>Policies should be continuously reviewed and updated to respond to evolving societal needs, demographic changes, and emerging health challenges. Greater investment in staffing, technology, and care infrastructure can address practical barriers such as high caseloads and resource constraints, which often impede the application of dignity and autonomy in practice (NHS England, 2020; Hughes et al., 2021). Policies should also include specific guidance for managing ethical conflicts, such as balancing autonomy with risk management, to support practitioners in making informed, consistent decisions (Fisher, 2016).</w:t>
      </w:r>
    </w:p>
    <w:p w:rsidR="00DF7A4C" w:rsidRPr="00DF7A4C" w:rsidRDefault="00DF7A4C" w:rsidP="00C6329B">
      <w:pPr>
        <w:pStyle w:val="NormalWeb"/>
        <w:numPr>
          <w:ilvl w:val="0"/>
          <w:numId w:val="6"/>
        </w:numPr>
        <w:spacing w:line="360" w:lineRule="auto"/>
        <w:jc w:val="both"/>
        <w:rPr>
          <w:rFonts w:ascii="Arial" w:hAnsi="Arial" w:cs="Arial"/>
        </w:rPr>
      </w:pPr>
      <w:r w:rsidRPr="00DF7A4C">
        <w:rPr>
          <w:rStyle w:val="Strong"/>
          <w:rFonts w:ascii="Arial" w:hAnsi="Arial" w:cs="Arial"/>
        </w:rPr>
        <w:t>Empowerment and Involvement of Service Users</w:t>
      </w:r>
      <w:r w:rsidRPr="00DF7A4C">
        <w:rPr>
          <w:rFonts w:ascii="Arial" w:hAnsi="Arial" w:cs="Arial"/>
        </w:rPr>
        <w:br/>
      </w:r>
      <w:proofErr w:type="gramStart"/>
      <w:r w:rsidRPr="00DF7A4C">
        <w:rPr>
          <w:rFonts w:ascii="Arial" w:hAnsi="Arial" w:cs="Arial"/>
        </w:rPr>
        <w:t>Promoting</w:t>
      </w:r>
      <w:proofErr w:type="gramEnd"/>
      <w:r w:rsidRPr="00DF7A4C">
        <w:rPr>
          <w:rFonts w:ascii="Arial" w:hAnsi="Arial" w:cs="Arial"/>
        </w:rPr>
        <w:t xml:space="preserve"> service user engagement in care planning and organisational </w:t>
      </w:r>
      <w:r w:rsidRPr="00DF7A4C">
        <w:rPr>
          <w:rFonts w:ascii="Arial" w:hAnsi="Arial" w:cs="Arial"/>
        </w:rPr>
        <w:lastRenderedPageBreak/>
        <w:t>decision-making can enhance autonomy and satisfaction. Mechanisms such as co-production of services, shared decision-making tools, and patient advisory boards allow individuals to influence the design and delivery of care (McLeod &amp; Jones, 2018). In addition, accessible information and advocacy services ensure that vulnerable populations can make informed choices and exercise their rights effectively (Papadopoulos, 2018).</w:t>
      </w:r>
    </w:p>
    <w:p w:rsidR="00DF7A4C" w:rsidRPr="00DF7A4C" w:rsidRDefault="00DF7A4C" w:rsidP="00C6329B">
      <w:pPr>
        <w:pStyle w:val="NormalWeb"/>
        <w:numPr>
          <w:ilvl w:val="0"/>
          <w:numId w:val="6"/>
        </w:numPr>
        <w:spacing w:line="360" w:lineRule="auto"/>
        <w:jc w:val="both"/>
        <w:rPr>
          <w:rFonts w:ascii="Arial" w:hAnsi="Arial" w:cs="Arial"/>
        </w:rPr>
      </w:pPr>
      <w:r w:rsidRPr="00DF7A4C">
        <w:rPr>
          <w:rStyle w:val="Strong"/>
          <w:rFonts w:ascii="Arial" w:hAnsi="Arial" w:cs="Arial"/>
        </w:rPr>
        <w:t>Integration of Multi-Agency Collaboration</w:t>
      </w:r>
      <w:r w:rsidRPr="00DF7A4C">
        <w:rPr>
          <w:rFonts w:ascii="Arial" w:hAnsi="Arial" w:cs="Arial"/>
        </w:rPr>
        <w:br/>
        <w:t>Effective safeguarding and protection require collaboration across health, social care, and legal agencies. Strengthening communication channels, joint training initiatives, and integrated information systems can improve risk assessment, reporting, and intervention strategies (LGA, 2019; Parton, 2014). This ensures that the principles of protection, dignity, and respect are consistently applied, especially for vulnerable populations such as children, older adults, and individuals with disabilities.</w:t>
      </w:r>
    </w:p>
    <w:p w:rsidR="00DF7A4C" w:rsidRPr="00DF7A4C" w:rsidRDefault="00DF7A4C" w:rsidP="00C6329B">
      <w:pPr>
        <w:pStyle w:val="Heading3"/>
        <w:spacing w:line="360" w:lineRule="auto"/>
        <w:jc w:val="both"/>
        <w:rPr>
          <w:rFonts w:ascii="Arial" w:hAnsi="Arial" w:cs="Arial"/>
        </w:rPr>
      </w:pPr>
      <w:bookmarkStart w:id="6" w:name="_Toc213607804"/>
      <w:r w:rsidRPr="00DF7A4C">
        <w:rPr>
          <w:rFonts w:ascii="Arial" w:hAnsi="Arial" w:cs="Arial"/>
        </w:rPr>
        <w:t>Conclusion</w:t>
      </w:r>
      <w:bookmarkEnd w:id="6"/>
    </w:p>
    <w:p w:rsidR="00DF7A4C" w:rsidRPr="00DF7A4C" w:rsidRDefault="00DF7A4C" w:rsidP="00C6329B">
      <w:pPr>
        <w:pStyle w:val="NormalWeb"/>
        <w:spacing w:line="360" w:lineRule="auto"/>
        <w:jc w:val="both"/>
        <w:rPr>
          <w:rFonts w:ascii="Arial" w:hAnsi="Arial" w:cs="Arial"/>
        </w:rPr>
      </w:pPr>
      <w:r w:rsidRPr="00DF7A4C">
        <w:rPr>
          <w:rFonts w:ascii="Arial" w:hAnsi="Arial" w:cs="Arial"/>
        </w:rPr>
        <w:t>In conclusion, the princ</w:t>
      </w:r>
      <w:r w:rsidR="00C6329B">
        <w:rPr>
          <w:rFonts w:ascii="Arial" w:hAnsi="Arial" w:cs="Arial"/>
        </w:rPr>
        <w:t xml:space="preserve">iples of health and social care </w:t>
      </w:r>
      <w:r w:rsidRPr="00DF7A4C">
        <w:rPr>
          <w:rFonts w:ascii="Arial" w:hAnsi="Arial" w:cs="Arial"/>
        </w:rPr>
        <w:t>dignity, respect, autonomy, equality, sa</w:t>
      </w:r>
      <w:r w:rsidR="00C6329B">
        <w:rPr>
          <w:rFonts w:ascii="Arial" w:hAnsi="Arial" w:cs="Arial"/>
        </w:rPr>
        <w:t xml:space="preserve">feguarding, and confidentiality </w:t>
      </w:r>
      <w:r w:rsidRPr="00DF7A4C">
        <w:rPr>
          <w:rFonts w:ascii="Arial" w:hAnsi="Arial" w:cs="Arial"/>
        </w:rPr>
        <w:t>are fundamental to ethical, safe, and effective service delivery. Their application within policy frameworks and practice has demonstrable benefits, including enhanced well-being, empowerment, and protection for service users. However, critical evaluation reveals that systemic barriers, resource constraints, workforce challenges, and ethical dilemmas can limit the consistent and high-quality application of these principles.</w:t>
      </w:r>
    </w:p>
    <w:p w:rsidR="00735676" w:rsidRPr="00735676" w:rsidRDefault="00735676" w:rsidP="00735676">
      <w:pPr>
        <w:spacing w:line="360" w:lineRule="auto"/>
        <w:jc w:val="both"/>
        <w:rPr>
          <w:rFonts w:ascii="Arial" w:hAnsi="Arial" w:cs="Arial"/>
          <w:b/>
        </w:rPr>
      </w:pPr>
      <w:r w:rsidRPr="00735676">
        <w:rPr>
          <w:rFonts w:ascii="Arial" w:hAnsi="Arial" w:cs="Arial"/>
          <w:b/>
        </w:rPr>
        <w:t>References:</w:t>
      </w:r>
    </w:p>
    <w:p w:rsidR="00735676" w:rsidRPr="00735676" w:rsidRDefault="00735676" w:rsidP="00735676">
      <w:pPr>
        <w:pStyle w:val="NormalWeb"/>
        <w:spacing w:line="360" w:lineRule="auto"/>
      </w:pPr>
      <w:r>
        <w:rPr>
          <w:rFonts w:ascii="Arial" w:hAnsi="Arial" w:cs="Arial"/>
        </w:rPr>
        <w:t xml:space="preserve"> </w:t>
      </w:r>
      <w:proofErr w:type="gramStart"/>
      <w:r w:rsidRPr="00735676">
        <w:rPr>
          <w:rFonts w:hAnsi="Symbol"/>
        </w:rPr>
        <w:t></w:t>
      </w:r>
      <w:r w:rsidRPr="00735676">
        <w:t xml:space="preserve">  Berkman</w:t>
      </w:r>
      <w:proofErr w:type="gramEnd"/>
      <w:r w:rsidRPr="00735676">
        <w:t xml:space="preserve">, N.D., Sheridan, S.L., Donahue, K.E., Halpern, D.J. and Crotty, K. (2019) </w:t>
      </w:r>
      <w:r w:rsidRPr="00735676">
        <w:rPr>
          <w:i/>
          <w:iCs/>
        </w:rPr>
        <w:t>Low Health Literacy and Health Outcomes: An Updated Systematic Review</w:t>
      </w:r>
      <w:r w:rsidRPr="00735676">
        <w:t>. Washington, DC: Agency for Healthcare Research and Quality.</w:t>
      </w:r>
    </w:p>
    <w:p w:rsidR="00735676" w:rsidRPr="00735676" w:rsidRDefault="00735676" w:rsidP="00735676">
      <w:pPr>
        <w:spacing w:before="100" w:beforeAutospacing="1" w:after="100" w:afterAutospacing="1" w:line="360" w:lineRule="auto"/>
        <w:rPr>
          <w:rFonts w:ascii="Times New Roman" w:eastAsia="Times New Roman" w:hAnsi="Times New Roman" w:cs="Times New Roman"/>
          <w:sz w:val="24"/>
          <w:szCs w:val="24"/>
          <w:lang w:eastAsia="en-GB"/>
        </w:rPr>
      </w:pPr>
      <w:proofErr w:type="gramStart"/>
      <w:r w:rsidRPr="00735676">
        <w:rPr>
          <w:rFonts w:ascii="Times New Roman" w:eastAsia="Times New Roman" w:hAnsi="Symbol" w:cs="Times New Roman"/>
          <w:sz w:val="24"/>
          <w:szCs w:val="24"/>
          <w:lang w:eastAsia="en-GB"/>
        </w:rPr>
        <w:t></w:t>
      </w:r>
      <w:r w:rsidRPr="00735676">
        <w:rPr>
          <w:rFonts w:ascii="Times New Roman" w:eastAsia="Times New Roman" w:hAnsi="Times New Roman" w:cs="Times New Roman"/>
          <w:sz w:val="24"/>
          <w:szCs w:val="24"/>
          <w:lang w:eastAsia="en-GB"/>
        </w:rPr>
        <w:t xml:space="preserve">  Brooker</w:t>
      </w:r>
      <w:proofErr w:type="gramEnd"/>
      <w:r w:rsidRPr="00735676">
        <w:rPr>
          <w:rFonts w:ascii="Times New Roman" w:eastAsia="Times New Roman" w:hAnsi="Times New Roman" w:cs="Times New Roman"/>
          <w:sz w:val="24"/>
          <w:szCs w:val="24"/>
          <w:lang w:eastAsia="en-GB"/>
        </w:rPr>
        <w:t xml:space="preserve">, D. (2015) </w:t>
      </w:r>
      <w:r w:rsidRPr="00735676">
        <w:rPr>
          <w:rFonts w:ascii="Times New Roman" w:eastAsia="Times New Roman" w:hAnsi="Times New Roman" w:cs="Times New Roman"/>
          <w:i/>
          <w:iCs/>
          <w:sz w:val="24"/>
          <w:szCs w:val="24"/>
          <w:lang w:eastAsia="en-GB"/>
        </w:rPr>
        <w:t>Person-Centred Dementia Care: Making Services Better</w:t>
      </w:r>
      <w:r w:rsidRPr="00735676">
        <w:rPr>
          <w:rFonts w:ascii="Times New Roman" w:eastAsia="Times New Roman" w:hAnsi="Times New Roman" w:cs="Times New Roman"/>
          <w:sz w:val="24"/>
          <w:szCs w:val="24"/>
          <w:lang w:eastAsia="en-GB"/>
        </w:rPr>
        <w:t xml:space="preserve">. 2nd </w:t>
      </w:r>
      <w:proofErr w:type="spellStart"/>
      <w:r w:rsidRPr="00735676">
        <w:rPr>
          <w:rFonts w:ascii="Times New Roman" w:eastAsia="Times New Roman" w:hAnsi="Times New Roman" w:cs="Times New Roman"/>
          <w:sz w:val="24"/>
          <w:szCs w:val="24"/>
          <w:lang w:eastAsia="en-GB"/>
        </w:rPr>
        <w:t>edn</w:t>
      </w:r>
      <w:proofErr w:type="spellEnd"/>
      <w:r w:rsidRPr="00735676">
        <w:rPr>
          <w:rFonts w:ascii="Times New Roman" w:eastAsia="Times New Roman" w:hAnsi="Times New Roman" w:cs="Times New Roman"/>
          <w:sz w:val="24"/>
          <w:szCs w:val="24"/>
          <w:lang w:eastAsia="en-GB"/>
        </w:rPr>
        <w:t>. London: Jessica Kingsley Publishers.</w:t>
      </w:r>
    </w:p>
    <w:p w:rsidR="00735676" w:rsidRPr="00735676" w:rsidRDefault="00735676" w:rsidP="00735676">
      <w:pPr>
        <w:spacing w:before="100" w:beforeAutospacing="1" w:after="100" w:afterAutospacing="1" w:line="360" w:lineRule="auto"/>
        <w:rPr>
          <w:rFonts w:ascii="Times New Roman" w:eastAsia="Times New Roman" w:hAnsi="Times New Roman" w:cs="Times New Roman"/>
          <w:sz w:val="24"/>
          <w:szCs w:val="24"/>
          <w:lang w:eastAsia="en-GB"/>
        </w:rPr>
      </w:pPr>
      <w:proofErr w:type="gramStart"/>
      <w:r w:rsidRPr="00735676">
        <w:rPr>
          <w:rFonts w:ascii="Times New Roman" w:eastAsia="Times New Roman" w:hAnsi="Symbol" w:cs="Times New Roman"/>
          <w:sz w:val="24"/>
          <w:szCs w:val="24"/>
          <w:lang w:eastAsia="en-GB"/>
        </w:rPr>
        <w:lastRenderedPageBreak/>
        <w:t></w:t>
      </w:r>
      <w:r w:rsidRPr="00735676">
        <w:rPr>
          <w:rFonts w:ascii="Times New Roman" w:eastAsia="Times New Roman" w:hAnsi="Times New Roman" w:cs="Times New Roman"/>
          <w:sz w:val="24"/>
          <w:szCs w:val="24"/>
          <w:lang w:eastAsia="en-GB"/>
        </w:rPr>
        <w:t xml:space="preserve">  Briggs</w:t>
      </w:r>
      <w:proofErr w:type="gramEnd"/>
      <w:r w:rsidRPr="00735676">
        <w:rPr>
          <w:rFonts w:ascii="Times New Roman" w:eastAsia="Times New Roman" w:hAnsi="Times New Roman" w:cs="Times New Roman"/>
          <w:sz w:val="24"/>
          <w:szCs w:val="24"/>
          <w:lang w:eastAsia="en-GB"/>
        </w:rPr>
        <w:t xml:space="preserve">, D. and King, N. (2020) ‘Culturally sensitive interventions in mental health services’, </w:t>
      </w:r>
      <w:r w:rsidRPr="00735676">
        <w:rPr>
          <w:rFonts w:ascii="Times New Roman" w:eastAsia="Times New Roman" w:hAnsi="Times New Roman" w:cs="Times New Roman"/>
          <w:i/>
          <w:iCs/>
          <w:sz w:val="24"/>
          <w:szCs w:val="24"/>
          <w:lang w:eastAsia="en-GB"/>
        </w:rPr>
        <w:t>Journal of Mental Health</w:t>
      </w:r>
      <w:r w:rsidRPr="00735676">
        <w:rPr>
          <w:rFonts w:ascii="Times New Roman" w:eastAsia="Times New Roman" w:hAnsi="Times New Roman" w:cs="Times New Roman"/>
          <w:sz w:val="24"/>
          <w:szCs w:val="24"/>
          <w:lang w:eastAsia="en-GB"/>
        </w:rPr>
        <w:t>, 29(2), pp. 123–130.</w:t>
      </w:r>
    </w:p>
    <w:p w:rsidR="00735676" w:rsidRPr="00735676" w:rsidRDefault="00735676" w:rsidP="00735676">
      <w:pPr>
        <w:spacing w:before="100" w:beforeAutospacing="1" w:after="100" w:afterAutospacing="1" w:line="360" w:lineRule="auto"/>
        <w:rPr>
          <w:rFonts w:ascii="Times New Roman" w:eastAsia="Times New Roman" w:hAnsi="Times New Roman" w:cs="Times New Roman"/>
          <w:sz w:val="24"/>
          <w:szCs w:val="24"/>
          <w:lang w:eastAsia="en-GB"/>
        </w:rPr>
      </w:pPr>
      <w:proofErr w:type="gramStart"/>
      <w:r w:rsidRPr="00735676">
        <w:rPr>
          <w:rFonts w:ascii="Times New Roman" w:eastAsia="Times New Roman" w:hAnsi="Symbol" w:cs="Times New Roman"/>
          <w:sz w:val="24"/>
          <w:szCs w:val="24"/>
          <w:lang w:eastAsia="en-GB"/>
        </w:rPr>
        <w:t></w:t>
      </w:r>
      <w:r w:rsidRPr="00735676">
        <w:rPr>
          <w:rFonts w:ascii="Times New Roman" w:eastAsia="Times New Roman" w:hAnsi="Times New Roman" w:cs="Times New Roman"/>
          <w:sz w:val="24"/>
          <w:szCs w:val="24"/>
          <w:lang w:eastAsia="en-GB"/>
        </w:rPr>
        <w:t xml:space="preserve">  </w:t>
      </w:r>
      <w:proofErr w:type="spellStart"/>
      <w:r w:rsidRPr="00735676">
        <w:rPr>
          <w:rFonts w:ascii="Times New Roman" w:eastAsia="Times New Roman" w:hAnsi="Times New Roman" w:cs="Times New Roman"/>
          <w:sz w:val="24"/>
          <w:szCs w:val="24"/>
          <w:lang w:eastAsia="en-GB"/>
        </w:rPr>
        <w:t>Caldicott</w:t>
      </w:r>
      <w:proofErr w:type="spellEnd"/>
      <w:proofErr w:type="gramEnd"/>
      <w:r w:rsidRPr="00735676">
        <w:rPr>
          <w:rFonts w:ascii="Times New Roman" w:eastAsia="Times New Roman" w:hAnsi="Times New Roman" w:cs="Times New Roman"/>
          <w:sz w:val="24"/>
          <w:szCs w:val="24"/>
          <w:lang w:eastAsia="en-GB"/>
        </w:rPr>
        <w:t xml:space="preserve">, F. (2013) </w:t>
      </w:r>
      <w:r w:rsidRPr="00735676">
        <w:rPr>
          <w:rFonts w:ascii="Times New Roman" w:eastAsia="Times New Roman" w:hAnsi="Times New Roman" w:cs="Times New Roman"/>
          <w:i/>
          <w:iCs/>
          <w:sz w:val="24"/>
          <w:szCs w:val="24"/>
          <w:lang w:eastAsia="en-GB"/>
        </w:rPr>
        <w:t>Information Governance and Confidentiality in Health Care</w:t>
      </w:r>
      <w:r w:rsidRPr="00735676">
        <w:rPr>
          <w:rFonts w:ascii="Times New Roman" w:eastAsia="Times New Roman" w:hAnsi="Times New Roman" w:cs="Times New Roman"/>
          <w:sz w:val="24"/>
          <w:szCs w:val="24"/>
          <w:lang w:eastAsia="en-GB"/>
        </w:rPr>
        <w:t xml:space="preserve">. London: </w:t>
      </w:r>
      <w:proofErr w:type="spellStart"/>
      <w:r w:rsidRPr="00735676">
        <w:rPr>
          <w:rFonts w:ascii="Times New Roman" w:eastAsia="Times New Roman" w:hAnsi="Times New Roman" w:cs="Times New Roman"/>
          <w:sz w:val="24"/>
          <w:szCs w:val="24"/>
          <w:lang w:eastAsia="en-GB"/>
        </w:rPr>
        <w:t>Caldicott</w:t>
      </w:r>
      <w:proofErr w:type="spellEnd"/>
      <w:r w:rsidRPr="00735676">
        <w:rPr>
          <w:rFonts w:ascii="Times New Roman" w:eastAsia="Times New Roman" w:hAnsi="Times New Roman" w:cs="Times New Roman"/>
          <w:sz w:val="24"/>
          <w:szCs w:val="24"/>
          <w:lang w:eastAsia="en-GB"/>
        </w:rPr>
        <w:t xml:space="preserve"> Review.</w:t>
      </w:r>
    </w:p>
    <w:p w:rsidR="00735676" w:rsidRPr="00735676" w:rsidRDefault="00735676" w:rsidP="00735676">
      <w:pPr>
        <w:spacing w:before="100" w:beforeAutospacing="1" w:after="100" w:afterAutospacing="1" w:line="360" w:lineRule="auto"/>
        <w:rPr>
          <w:rFonts w:ascii="Times New Roman" w:eastAsia="Times New Roman" w:hAnsi="Times New Roman" w:cs="Times New Roman"/>
          <w:sz w:val="24"/>
          <w:szCs w:val="24"/>
          <w:lang w:eastAsia="en-GB"/>
        </w:rPr>
      </w:pPr>
      <w:proofErr w:type="gramStart"/>
      <w:r w:rsidRPr="00735676">
        <w:rPr>
          <w:rFonts w:ascii="Times New Roman" w:eastAsia="Times New Roman" w:hAnsi="Symbol" w:cs="Times New Roman"/>
          <w:sz w:val="24"/>
          <w:szCs w:val="24"/>
          <w:lang w:eastAsia="en-GB"/>
        </w:rPr>
        <w:t></w:t>
      </w:r>
      <w:r w:rsidRPr="00735676">
        <w:rPr>
          <w:rFonts w:ascii="Times New Roman" w:eastAsia="Times New Roman" w:hAnsi="Times New Roman" w:cs="Times New Roman"/>
          <w:sz w:val="24"/>
          <w:szCs w:val="24"/>
          <w:lang w:eastAsia="en-GB"/>
        </w:rPr>
        <w:t xml:space="preserve">  Care</w:t>
      </w:r>
      <w:proofErr w:type="gramEnd"/>
      <w:r w:rsidRPr="00735676">
        <w:rPr>
          <w:rFonts w:ascii="Times New Roman" w:eastAsia="Times New Roman" w:hAnsi="Times New Roman" w:cs="Times New Roman"/>
          <w:sz w:val="24"/>
          <w:szCs w:val="24"/>
          <w:lang w:eastAsia="en-GB"/>
        </w:rPr>
        <w:t xml:space="preserve"> Quality Commission (CQC) (2020) </w:t>
      </w:r>
      <w:r w:rsidRPr="00735676">
        <w:rPr>
          <w:rFonts w:ascii="Times New Roman" w:eastAsia="Times New Roman" w:hAnsi="Times New Roman" w:cs="Times New Roman"/>
          <w:i/>
          <w:iCs/>
          <w:sz w:val="24"/>
          <w:szCs w:val="24"/>
          <w:lang w:eastAsia="en-GB"/>
        </w:rPr>
        <w:t>Safeguarding Adults Guidance</w:t>
      </w:r>
      <w:r w:rsidRPr="00735676">
        <w:rPr>
          <w:rFonts w:ascii="Times New Roman" w:eastAsia="Times New Roman" w:hAnsi="Times New Roman" w:cs="Times New Roman"/>
          <w:sz w:val="24"/>
          <w:szCs w:val="24"/>
          <w:lang w:eastAsia="en-GB"/>
        </w:rPr>
        <w:t>. London: CQC.</w:t>
      </w:r>
    </w:p>
    <w:p w:rsidR="00735676" w:rsidRPr="00735676" w:rsidRDefault="00735676" w:rsidP="00735676">
      <w:pPr>
        <w:spacing w:before="100" w:beforeAutospacing="1" w:after="100" w:afterAutospacing="1" w:line="360" w:lineRule="auto"/>
        <w:rPr>
          <w:rFonts w:ascii="Times New Roman" w:eastAsia="Times New Roman" w:hAnsi="Times New Roman" w:cs="Times New Roman"/>
          <w:sz w:val="24"/>
          <w:szCs w:val="24"/>
          <w:lang w:eastAsia="en-GB"/>
        </w:rPr>
      </w:pPr>
      <w:proofErr w:type="gramStart"/>
      <w:r w:rsidRPr="00735676">
        <w:rPr>
          <w:rFonts w:ascii="Times New Roman" w:eastAsia="Times New Roman" w:hAnsi="Symbol" w:cs="Times New Roman"/>
          <w:sz w:val="24"/>
          <w:szCs w:val="24"/>
          <w:lang w:eastAsia="en-GB"/>
        </w:rPr>
        <w:t></w:t>
      </w:r>
      <w:r w:rsidRPr="00735676">
        <w:rPr>
          <w:rFonts w:ascii="Times New Roman" w:eastAsia="Times New Roman" w:hAnsi="Times New Roman" w:cs="Times New Roman"/>
          <w:sz w:val="24"/>
          <w:szCs w:val="24"/>
          <w:lang w:eastAsia="en-GB"/>
        </w:rPr>
        <w:t xml:space="preserve">  Department</w:t>
      </w:r>
      <w:proofErr w:type="gramEnd"/>
      <w:r w:rsidRPr="00735676">
        <w:rPr>
          <w:rFonts w:ascii="Times New Roman" w:eastAsia="Times New Roman" w:hAnsi="Times New Roman" w:cs="Times New Roman"/>
          <w:sz w:val="24"/>
          <w:szCs w:val="24"/>
          <w:lang w:eastAsia="en-GB"/>
        </w:rPr>
        <w:t xml:space="preserve"> of Health &amp; Social Care (2018) </w:t>
      </w:r>
      <w:r w:rsidRPr="00735676">
        <w:rPr>
          <w:rFonts w:ascii="Times New Roman" w:eastAsia="Times New Roman" w:hAnsi="Times New Roman" w:cs="Times New Roman"/>
          <w:i/>
          <w:iCs/>
          <w:sz w:val="24"/>
          <w:szCs w:val="24"/>
          <w:lang w:eastAsia="en-GB"/>
        </w:rPr>
        <w:t>The Care Act 2014: Statutory Guidance for Implementation</w:t>
      </w:r>
      <w:r w:rsidRPr="00735676">
        <w:rPr>
          <w:rFonts w:ascii="Times New Roman" w:eastAsia="Times New Roman" w:hAnsi="Times New Roman" w:cs="Times New Roman"/>
          <w:sz w:val="24"/>
          <w:szCs w:val="24"/>
          <w:lang w:eastAsia="en-GB"/>
        </w:rPr>
        <w:t>. London: DHSC.</w:t>
      </w:r>
    </w:p>
    <w:p w:rsidR="00735676" w:rsidRPr="00735676" w:rsidRDefault="00735676" w:rsidP="00735676">
      <w:pPr>
        <w:spacing w:before="100" w:beforeAutospacing="1" w:after="100" w:afterAutospacing="1" w:line="360" w:lineRule="auto"/>
        <w:rPr>
          <w:rFonts w:ascii="Times New Roman" w:eastAsia="Times New Roman" w:hAnsi="Times New Roman" w:cs="Times New Roman"/>
          <w:sz w:val="24"/>
          <w:szCs w:val="24"/>
          <w:lang w:eastAsia="en-GB"/>
        </w:rPr>
      </w:pPr>
      <w:proofErr w:type="gramStart"/>
      <w:r w:rsidRPr="00735676">
        <w:rPr>
          <w:rFonts w:ascii="Times New Roman" w:eastAsia="Times New Roman" w:hAnsi="Symbol" w:cs="Times New Roman"/>
          <w:sz w:val="24"/>
          <w:szCs w:val="24"/>
          <w:lang w:eastAsia="en-GB"/>
        </w:rPr>
        <w:t></w:t>
      </w:r>
      <w:r w:rsidRPr="00735676">
        <w:rPr>
          <w:rFonts w:ascii="Times New Roman" w:eastAsia="Times New Roman" w:hAnsi="Times New Roman" w:cs="Times New Roman"/>
          <w:sz w:val="24"/>
          <w:szCs w:val="24"/>
          <w:lang w:eastAsia="en-GB"/>
        </w:rPr>
        <w:t xml:space="preserve">  Edwards</w:t>
      </w:r>
      <w:proofErr w:type="gramEnd"/>
      <w:r w:rsidRPr="00735676">
        <w:rPr>
          <w:rFonts w:ascii="Times New Roman" w:eastAsia="Times New Roman" w:hAnsi="Times New Roman" w:cs="Times New Roman"/>
          <w:sz w:val="24"/>
          <w:szCs w:val="24"/>
          <w:lang w:eastAsia="en-GB"/>
        </w:rPr>
        <w:t xml:space="preserve">, R. and Watson, J. (2020) </w:t>
      </w:r>
      <w:r w:rsidRPr="00735676">
        <w:rPr>
          <w:rFonts w:ascii="Times New Roman" w:eastAsia="Times New Roman" w:hAnsi="Times New Roman" w:cs="Times New Roman"/>
          <w:i/>
          <w:iCs/>
          <w:sz w:val="24"/>
          <w:szCs w:val="24"/>
          <w:lang w:eastAsia="en-GB"/>
        </w:rPr>
        <w:t>Ethics and Law in Health and Social Care</w:t>
      </w:r>
      <w:r w:rsidRPr="00735676">
        <w:rPr>
          <w:rFonts w:ascii="Times New Roman" w:eastAsia="Times New Roman" w:hAnsi="Times New Roman" w:cs="Times New Roman"/>
          <w:sz w:val="24"/>
          <w:szCs w:val="24"/>
          <w:lang w:eastAsia="en-GB"/>
        </w:rPr>
        <w:t xml:space="preserve">. 3rd </w:t>
      </w:r>
      <w:proofErr w:type="spellStart"/>
      <w:r w:rsidRPr="00735676">
        <w:rPr>
          <w:rFonts w:ascii="Times New Roman" w:eastAsia="Times New Roman" w:hAnsi="Times New Roman" w:cs="Times New Roman"/>
          <w:sz w:val="24"/>
          <w:szCs w:val="24"/>
          <w:lang w:eastAsia="en-GB"/>
        </w:rPr>
        <w:t>edn</w:t>
      </w:r>
      <w:proofErr w:type="spellEnd"/>
      <w:r w:rsidRPr="00735676">
        <w:rPr>
          <w:rFonts w:ascii="Times New Roman" w:eastAsia="Times New Roman" w:hAnsi="Times New Roman" w:cs="Times New Roman"/>
          <w:sz w:val="24"/>
          <w:szCs w:val="24"/>
          <w:lang w:eastAsia="en-GB"/>
        </w:rPr>
        <w:t>. London: Sage.</w:t>
      </w:r>
    </w:p>
    <w:p w:rsidR="00735676" w:rsidRPr="00735676" w:rsidRDefault="00735676" w:rsidP="00735676">
      <w:pPr>
        <w:spacing w:before="100" w:beforeAutospacing="1" w:after="100" w:afterAutospacing="1" w:line="360" w:lineRule="auto"/>
        <w:rPr>
          <w:rFonts w:ascii="Times New Roman" w:eastAsia="Times New Roman" w:hAnsi="Times New Roman" w:cs="Times New Roman"/>
          <w:sz w:val="24"/>
          <w:szCs w:val="24"/>
          <w:lang w:eastAsia="en-GB"/>
        </w:rPr>
      </w:pPr>
      <w:proofErr w:type="gramStart"/>
      <w:r w:rsidRPr="00735676">
        <w:rPr>
          <w:rFonts w:ascii="Times New Roman" w:eastAsia="Times New Roman" w:hAnsi="Symbol" w:cs="Times New Roman"/>
          <w:sz w:val="24"/>
          <w:szCs w:val="24"/>
          <w:lang w:eastAsia="en-GB"/>
        </w:rPr>
        <w:t></w:t>
      </w:r>
      <w:r w:rsidRPr="00735676">
        <w:rPr>
          <w:rFonts w:ascii="Times New Roman" w:eastAsia="Times New Roman" w:hAnsi="Times New Roman" w:cs="Times New Roman"/>
          <w:sz w:val="24"/>
          <w:szCs w:val="24"/>
          <w:lang w:eastAsia="en-GB"/>
        </w:rPr>
        <w:t xml:space="preserve">  Fitzgerald</w:t>
      </w:r>
      <w:proofErr w:type="gramEnd"/>
      <w:r w:rsidRPr="00735676">
        <w:rPr>
          <w:rFonts w:ascii="Times New Roman" w:eastAsia="Times New Roman" w:hAnsi="Times New Roman" w:cs="Times New Roman"/>
          <w:sz w:val="24"/>
          <w:szCs w:val="24"/>
          <w:lang w:eastAsia="en-GB"/>
        </w:rPr>
        <w:t xml:space="preserve">, C. and Hurst, S. (2017) ‘Implicit bias in healthcare professionals: A systematic review’, </w:t>
      </w:r>
      <w:r w:rsidRPr="00735676">
        <w:rPr>
          <w:rFonts w:ascii="Times New Roman" w:eastAsia="Times New Roman" w:hAnsi="Times New Roman" w:cs="Times New Roman"/>
          <w:i/>
          <w:iCs/>
          <w:sz w:val="24"/>
          <w:szCs w:val="24"/>
          <w:lang w:eastAsia="en-GB"/>
        </w:rPr>
        <w:t>BMC Medical Ethics</w:t>
      </w:r>
      <w:r w:rsidRPr="00735676">
        <w:rPr>
          <w:rFonts w:ascii="Times New Roman" w:eastAsia="Times New Roman" w:hAnsi="Times New Roman" w:cs="Times New Roman"/>
          <w:sz w:val="24"/>
          <w:szCs w:val="24"/>
          <w:lang w:eastAsia="en-GB"/>
        </w:rPr>
        <w:t>, 18(19), pp. 1–18.</w:t>
      </w:r>
    </w:p>
    <w:p w:rsidR="00735676" w:rsidRPr="00735676" w:rsidRDefault="00735676" w:rsidP="00735676">
      <w:pPr>
        <w:spacing w:before="100" w:beforeAutospacing="1" w:after="100" w:afterAutospacing="1" w:line="360" w:lineRule="auto"/>
        <w:rPr>
          <w:rFonts w:ascii="Times New Roman" w:eastAsia="Times New Roman" w:hAnsi="Times New Roman" w:cs="Times New Roman"/>
          <w:sz w:val="24"/>
          <w:szCs w:val="24"/>
          <w:lang w:eastAsia="en-GB"/>
        </w:rPr>
      </w:pPr>
      <w:proofErr w:type="gramStart"/>
      <w:r w:rsidRPr="00735676">
        <w:rPr>
          <w:rFonts w:ascii="Times New Roman" w:eastAsia="Times New Roman" w:hAnsi="Symbol" w:cs="Times New Roman"/>
          <w:sz w:val="24"/>
          <w:szCs w:val="24"/>
          <w:lang w:eastAsia="en-GB"/>
        </w:rPr>
        <w:t></w:t>
      </w:r>
      <w:r w:rsidRPr="00735676">
        <w:rPr>
          <w:rFonts w:ascii="Times New Roman" w:eastAsia="Times New Roman" w:hAnsi="Times New Roman" w:cs="Times New Roman"/>
          <w:sz w:val="24"/>
          <w:szCs w:val="24"/>
          <w:lang w:eastAsia="en-GB"/>
        </w:rPr>
        <w:t xml:space="preserve">  Fisher</w:t>
      </w:r>
      <w:proofErr w:type="gramEnd"/>
      <w:r w:rsidRPr="00735676">
        <w:rPr>
          <w:rFonts w:ascii="Times New Roman" w:eastAsia="Times New Roman" w:hAnsi="Times New Roman" w:cs="Times New Roman"/>
          <w:sz w:val="24"/>
          <w:szCs w:val="24"/>
          <w:lang w:eastAsia="en-GB"/>
        </w:rPr>
        <w:t xml:space="preserve">, M. (2016) ‘Balancing risk and autonomy in health care’, </w:t>
      </w:r>
      <w:r w:rsidRPr="00735676">
        <w:rPr>
          <w:rFonts w:ascii="Times New Roman" w:eastAsia="Times New Roman" w:hAnsi="Times New Roman" w:cs="Times New Roman"/>
          <w:i/>
          <w:iCs/>
          <w:sz w:val="24"/>
          <w:szCs w:val="24"/>
          <w:lang w:eastAsia="en-GB"/>
        </w:rPr>
        <w:t>Journal of Health Services Research &amp; Policy</w:t>
      </w:r>
      <w:r w:rsidRPr="00735676">
        <w:rPr>
          <w:rFonts w:ascii="Times New Roman" w:eastAsia="Times New Roman" w:hAnsi="Times New Roman" w:cs="Times New Roman"/>
          <w:sz w:val="24"/>
          <w:szCs w:val="24"/>
          <w:lang w:eastAsia="en-GB"/>
        </w:rPr>
        <w:t>, 21(3), pp. 180–186.</w:t>
      </w:r>
    </w:p>
    <w:p w:rsidR="00735676" w:rsidRPr="00735676" w:rsidRDefault="00735676" w:rsidP="00735676">
      <w:pPr>
        <w:spacing w:before="100" w:beforeAutospacing="1" w:after="100" w:afterAutospacing="1" w:line="360" w:lineRule="auto"/>
        <w:rPr>
          <w:rFonts w:ascii="Times New Roman" w:eastAsia="Times New Roman" w:hAnsi="Times New Roman" w:cs="Times New Roman"/>
          <w:sz w:val="24"/>
          <w:szCs w:val="24"/>
          <w:lang w:eastAsia="en-GB"/>
        </w:rPr>
      </w:pPr>
      <w:proofErr w:type="gramStart"/>
      <w:r w:rsidRPr="00735676">
        <w:rPr>
          <w:rFonts w:ascii="Times New Roman" w:eastAsia="Times New Roman" w:hAnsi="Symbol" w:cs="Times New Roman"/>
          <w:sz w:val="24"/>
          <w:szCs w:val="24"/>
          <w:lang w:eastAsia="en-GB"/>
        </w:rPr>
        <w:t></w:t>
      </w:r>
      <w:r w:rsidRPr="00735676">
        <w:rPr>
          <w:rFonts w:ascii="Times New Roman" w:eastAsia="Times New Roman" w:hAnsi="Times New Roman" w:cs="Times New Roman"/>
          <w:sz w:val="24"/>
          <w:szCs w:val="24"/>
          <w:lang w:eastAsia="en-GB"/>
        </w:rPr>
        <w:t xml:space="preserve">  General</w:t>
      </w:r>
      <w:proofErr w:type="gramEnd"/>
      <w:r w:rsidRPr="00735676">
        <w:rPr>
          <w:rFonts w:ascii="Times New Roman" w:eastAsia="Times New Roman" w:hAnsi="Times New Roman" w:cs="Times New Roman"/>
          <w:sz w:val="24"/>
          <w:szCs w:val="24"/>
          <w:lang w:eastAsia="en-GB"/>
        </w:rPr>
        <w:t xml:space="preserve"> Medical Council (GMC) (2020) </w:t>
      </w:r>
      <w:r w:rsidRPr="00735676">
        <w:rPr>
          <w:rFonts w:ascii="Times New Roman" w:eastAsia="Times New Roman" w:hAnsi="Times New Roman" w:cs="Times New Roman"/>
          <w:i/>
          <w:iCs/>
          <w:sz w:val="24"/>
          <w:szCs w:val="24"/>
          <w:lang w:eastAsia="en-GB"/>
        </w:rPr>
        <w:t>Confidentiality: Good Practice in Handling Patient Information</w:t>
      </w:r>
      <w:r w:rsidRPr="00735676">
        <w:rPr>
          <w:rFonts w:ascii="Times New Roman" w:eastAsia="Times New Roman" w:hAnsi="Times New Roman" w:cs="Times New Roman"/>
          <w:sz w:val="24"/>
          <w:szCs w:val="24"/>
          <w:lang w:eastAsia="en-GB"/>
        </w:rPr>
        <w:t>. London: GMC.</w:t>
      </w:r>
    </w:p>
    <w:p w:rsidR="00735676" w:rsidRPr="00735676" w:rsidRDefault="00735676" w:rsidP="00735676">
      <w:pPr>
        <w:spacing w:before="100" w:beforeAutospacing="1" w:after="100" w:afterAutospacing="1" w:line="360" w:lineRule="auto"/>
        <w:rPr>
          <w:rFonts w:ascii="Times New Roman" w:eastAsia="Times New Roman" w:hAnsi="Times New Roman" w:cs="Times New Roman"/>
          <w:sz w:val="24"/>
          <w:szCs w:val="24"/>
          <w:lang w:eastAsia="en-GB"/>
        </w:rPr>
      </w:pPr>
      <w:proofErr w:type="gramStart"/>
      <w:r w:rsidRPr="00735676">
        <w:rPr>
          <w:rFonts w:ascii="Times New Roman" w:eastAsia="Times New Roman" w:hAnsi="Symbol" w:cs="Times New Roman"/>
          <w:sz w:val="24"/>
          <w:szCs w:val="24"/>
          <w:lang w:eastAsia="en-GB"/>
        </w:rPr>
        <w:t></w:t>
      </w:r>
      <w:r w:rsidRPr="00735676">
        <w:rPr>
          <w:rFonts w:ascii="Times New Roman" w:eastAsia="Times New Roman" w:hAnsi="Times New Roman" w:cs="Times New Roman"/>
          <w:sz w:val="24"/>
          <w:szCs w:val="24"/>
          <w:lang w:eastAsia="en-GB"/>
        </w:rPr>
        <w:t xml:space="preserve">  </w:t>
      </w:r>
      <w:proofErr w:type="spellStart"/>
      <w:r w:rsidRPr="00735676">
        <w:rPr>
          <w:rFonts w:ascii="Times New Roman" w:eastAsia="Times New Roman" w:hAnsi="Times New Roman" w:cs="Times New Roman"/>
          <w:sz w:val="24"/>
          <w:szCs w:val="24"/>
          <w:lang w:eastAsia="en-GB"/>
        </w:rPr>
        <w:t>Ghaye</w:t>
      </w:r>
      <w:proofErr w:type="spellEnd"/>
      <w:proofErr w:type="gramEnd"/>
      <w:r w:rsidRPr="00735676">
        <w:rPr>
          <w:rFonts w:ascii="Times New Roman" w:eastAsia="Times New Roman" w:hAnsi="Times New Roman" w:cs="Times New Roman"/>
          <w:sz w:val="24"/>
          <w:szCs w:val="24"/>
          <w:lang w:eastAsia="en-GB"/>
        </w:rPr>
        <w:t xml:space="preserve">, T. (2015) </w:t>
      </w:r>
      <w:r w:rsidRPr="00735676">
        <w:rPr>
          <w:rFonts w:ascii="Times New Roman" w:eastAsia="Times New Roman" w:hAnsi="Times New Roman" w:cs="Times New Roman"/>
          <w:i/>
          <w:iCs/>
          <w:sz w:val="24"/>
          <w:szCs w:val="24"/>
          <w:lang w:eastAsia="en-GB"/>
        </w:rPr>
        <w:t>Teaching and Learning through Reflective Practice: A Practical Guide for Positive Action</w:t>
      </w:r>
      <w:r w:rsidRPr="00735676">
        <w:rPr>
          <w:rFonts w:ascii="Times New Roman" w:eastAsia="Times New Roman" w:hAnsi="Times New Roman" w:cs="Times New Roman"/>
          <w:sz w:val="24"/>
          <w:szCs w:val="24"/>
          <w:lang w:eastAsia="en-GB"/>
        </w:rPr>
        <w:t>. London: Routledge.</w:t>
      </w:r>
    </w:p>
    <w:p w:rsidR="00735676" w:rsidRPr="00735676" w:rsidRDefault="00735676" w:rsidP="00735676">
      <w:pPr>
        <w:spacing w:before="100" w:beforeAutospacing="1" w:after="100" w:afterAutospacing="1" w:line="360" w:lineRule="auto"/>
        <w:rPr>
          <w:rFonts w:ascii="Times New Roman" w:eastAsia="Times New Roman" w:hAnsi="Times New Roman" w:cs="Times New Roman"/>
          <w:sz w:val="24"/>
          <w:szCs w:val="24"/>
          <w:lang w:eastAsia="en-GB"/>
        </w:rPr>
      </w:pPr>
      <w:proofErr w:type="gramStart"/>
      <w:r w:rsidRPr="00735676">
        <w:rPr>
          <w:rFonts w:ascii="Times New Roman" w:eastAsia="Times New Roman" w:hAnsi="Symbol" w:cs="Times New Roman"/>
          <w:sz w:val="24"/>
          <w:szCs w:val="24"/>
          <w:lang w:eastAsia="en-GB"/>
        </w:rPr>
        <w:t></w:t>
      </w:r>
      <w:r w:rsidRPr="00735676">
        <w:rPr>
          <w:rFonts w:ascii="Times New Roman" w:eastAsia="Times New Roman" w:hAnsi="Times New Roman" w:cs="Times New Roman"/>
          <w:sz w:val="24"/>
          <w:szCs w:val="24"/>
          <w:lang w:eastAsia="en-GB"/>
        </w:rPr>
        <w:t xml:space="preserve">  Hughes</w:t>
      </w:r>
      <w:proofErr w:type="gramEnd"/>
      <w:r w:rsidRPr="00735676">
        <w:rPr>
          <w:rFonts w:ascii="Times New Roman" w:eastAsia="Times New Roman" w:hAnsi="Times New Roman" w:cs="Times New Roman"/>
          <w:sz w:val="24"/>
          <w:szCs w:val="24"/>
          <w:lang w:eastAsia="en-GB"/>
        </w:rPr>
        <w:t xml:space="preserve">, R., Bamford, C., May, C. and Young, J. (2021) ‘Barriers to person-centred care in older adult services’, </w:t>
      </w:r>
      <w:r w:rsidRPr="00735676">
        <w:rPr>
          <w:rFonts w:ascii="Times New Roman" w:eastAsia="Times New Roman" w:hAnsi="Times New Roman" w:cs="Times New Roman"/>
          <w:i/>
          <w:iCs/>
          <w:sz w:val="24"/>
          <w:szCs w:val="24"/>
          <w:lang w:eastAsia="en-GB"/>
        </w:rPr>
        <w:t>Journal of Advanced Nursing</w:t>
      </w:r>
      <w:r w:rsidRPr="00735676">
        <w:rPr>
          <w:rFonts w:ascii="Times New Roman" w:eastAsia="Times New Roman" w:hAnsi="Times New Roman" w:cs="Times New Roman"/>
          <w:sz w:val="24"/>
          <w:szCs w:val="24"/>
          <w:lang w:eastAsia="en-GB"/>
        </w:rPr>
        <w:t>, 77(3), pp. 1445–1456.</w:t>
      </w:r>
    </w:p>
    <w:p w:rsidR="00735676" w:rsidRPr="00735676" w:rsidRDefault="00735676" w:rsidP="00735676">
      <w:pPr>
        <w:spacing w:before="100" w:beforeAutospacing="1" w:after="100" w:afterAutospacing="1" w:line="360" w:lineRule="auto"/>
        <w:rPr>
          <w:rFonts w:ascii="Times New Roman" w:eastAsia="Times New Roman" w:hAnsi="Times New Roman" w:cs="Times New Roman"/>
          <w:sz w:val="24"/>
          <w:szCs w:val="24"/>
          <w:lang w:eastAsia="en-GB"/>
        </w:rPr>
      </w:pPr>
      <w:proofErr w:type="gramStart"/>
      <w:r w:rsidRPr="00735676">
        <w:rPr>
          <w:rFonts w:ascii="Times New Roman" w:eastAsia="Times New Roman" w:hAnsi="Symbol" w:cs="Times New Roman"/>
          <w:sz w:val="24"/>
          <w:szCs w:val="24"/>
          <w:lang w:eastAsia="en-GB"/>
        </w:rPr>
        <w:t></w:t>
      </w:r>
      <w:r w:rsidRPr="00735676">
        <w:rPr>
          <w:rFonts w:ascii="Times New Roman" w:eastAsia="Times New Roman" w:hAnsi="Times New Roman" w:cs="Times New Roman"/>
          <w:sz w:val="24"/>
          <w:szCs w:val="24"/>
          <w:lang w:eastAsia="en-GB"/>
        </w:rPr>
        <w:t xml:space="preserve">  Kane</w:t>
      </w:r>
      <w:proofErr w:type="gramEnd"/>
      <w:r w:rsidRPr="00735676">
        <w:rPr>
          <w:rFonts w:ascii="Times New Roman" w:eastAsia="Times New Roman" w:hAnsi="Times New Roman" w:cs="Times New Roman"/>
          <w:sz w:val="24"/>
          <w:szCs w:val="24"/>
          <w:lang w:eastAsia="en-GB"/>
        </w:rPr>
        <w:t xml:space="preserve">, R.L. and </w:t>
      </w:r>
      <w:proofErr w:type="spellStart"/>
      <w:r w:rsidRPr="00735676">
        <w:rPr>
          <w:rFonts w:ascii="Times New Roman" w:eastAsia="Times New Roman" w:hAnsi="Times New Roman" w:cs="Times New Roman"/>
          <w:sz w:val="24"/>
          <w:szCs w:val="24"/>
          <w:lang w:eastAsia="en-GB"/>
        </w:rPr>
        <w:t>Kayser</w:t>
      </w:r>
      <w:proofErr w:type="spellEnd"/>
      <w:r w:rsidRPr="00735676">
        <w:rPr>
          <w:rFonts w:ascii="Times New Roman" w:eastAsia="Times New Roman" w:hAnsi="Times New Roman" w:cs="Times New Roman"/>
          <w:sz w:val="24"/>
          <w:szCs w:val="24"/>
          <w:lang w:eastAsia="en-GB"/>
        </w:rPr>
        <w:t xml:space="preserve">-Jones, J. (2019) </w:t>
      </w:r>
      <w:r w:rsidRPr="00735676">
        <w:rPr>
          <w:rFonts w:ascii="Times New Roman" w:eastAsia="Times New Roman" w:hAnsi="Times New Roman" w:cs="Times New Roman"/>
          <w:i/>
          <w:iCs/>
          <w:sz w:val="24"/>
          <w:szCs w:val="24"/>
          <w:lang w:eastAsia="en-GB"/>
        </w:rPr>
        <w:t>Patient Autonomy and Decision Making in Health Care</w:t>
      </w:r>
      <w:r w:rsidRPr="00735676">
        <w:rPr>
          <w:rFonts w:ascii="Times New Roman" w:eastAsia="Times New Roman" w:hAnsi="Times New Roman" w:cs="Times New Roman"/>
          <w:sz w:val="24"/>
          <w:szCs w:val="24"/>
          <w:lang w:eastAsia="en-GB"/>
        </w:rPr>
        <w:t>. New York: Springer.</w:t>
      </w:r>
    </w:p>
    <w:p w:rsidR="00735676" w:rsidRPr="00735676" w:rsidRDefault="00735676" w:rsidP="00735676">
      <w:pPr>
        <w:spacing w:before="100" w:beforeAutospacing="1" w:after="100" w:afterAutospacing="1" w:line="360" w:lineRule="auto"/>
        <w:rPr>
          <w:rFonts w:ascii="Times New Roman" w:eastAsia="Times New Roman" w:hAnsi="Times New Roman" w:cs="Times New Roman"/>
          <w:sz w:val="24"/>
          <w:szCs w:val="24"/>
          <w:lang w:eastAsia="en-GB"/>
        </w:rPr>
      </w:pPr>
      <w:proofErr w:type="gramStart"/>
      <w:r w:rsidRPr="00735676">
        <w:rPr>
          <w:rFonts w:ascii="Times New Roman" w:eastAsia="Times New Roman" w:hAnsi="Symbol" w:cs="Times New Roman"/>
          <w:sz w:val="24"/>
          <w:szCs w:val="24"/>
          <w:lang w:eastAsia="en-GB"/>
        </w:rPr>
        <w:t></w:t>
      </w:r>
      <w:r w:rsidRPr="00735676">
        <w:rPr>
          <w:rFonts w:ascii="Times New Roman" w:eastAsia="Times New Roman" w:hAnsi="Times New Roman" w:cs="Times New Roman"/>
          <w:sz w:val="24"/>
          <w:szCs w:val="24"/>
          <w:lang w:eastAsia="en-GB"/>
        </w:rPr>
        <w:t xml:space="preserve">  Local</w:t>
      </w:r>
      <w:proofErr w:type="gramEnd"/>
      <w:r w:rsidRPr="00735676">
        <w:rPr>
          <w:rFonts w:ascii="Times New Roman" w:eastAsia="Times New Roman" w:hAnsi="Times New Roman" w:cs="Times New Roman"/>
          <w:sz w:val="24"/>
          <w:szCs w:val="24"/>
          <w:lang w:eastAsia="en-GB"/>
        </w:rPr>
        <w:t xml:space="preserve"> Government Association (LGA) (2019) </w:t>
      </w:r>
      <w:r w:rsidRPr="00735676">
        <w:rPr>
          <w:rFonts w:ascii="Times New Roman" w:eastAsia="Times New Roman" w:hAnsi="Times New Roman" w:cs="Times New Roman"/>
          <w:i/>
          <w:iCs/>
          <w:sz w:val="24"/>
          <w:szCs w:val="24"/>
          <w:lang w:eastAsia="en-GB"/>
        </w:rPr>
        <w:t>Adult Safeguarding: Multi-Agency Working Guidance</w:t>
      </w:r>
      <w:r w:rsidRPr="00735676">
        <w:rPr>
          <w:rFonts w:ascii="Times New Roman" w:eastAsia="Times New Roman" w:hAnsi="Times New Roman" w:cs="Times New Roman"/>
          <w:sz w:val="24"/>
          <w:szCs w:val="24"/>
          <w:lang w:eastAsia="en-GB"/>
        </w:rPr>
        <w:t>. London: LGA.</w:t>
      </w:r>
    </w:p>
    <w:p w:rsidR="00735676" w:rsidRPr="00735676" w:rsidRDefault="00735676" w:rsidP="00735676">
      <w:pPr>
        <w:spacing w:before="100" w:beforeAutospacing="1" w:after="100" w:afterAutospacing="1" w:line="360" w:lineRule="auto"/>
        <w:rPr>
          <w:rFonts w:ascii="Times New Roman" w:eastAsia="Times New Roman" w:hAnsi="Times New Roman" w:cs="Times New Roman"/>
          <w:sz w:val="24"/>
          <w:szCs w:val="24"/>
          <w:lang w:eastAsia="en-GB"/>
        </w:rPr>
      </w:pPr>
      <w:proofErr w:type="gramStart"/>
      <w:r w:rsidRPr="00735676">
        <w:rPr>
          <w:rFonts w:ascii="Times New Roman" w:eastAsia="Times New Roman" w:hAnsi="Symbol" w:cs="Times New Roman"/>
          <w:sz w:val="24"/>
          <w:szCs w:val="24"/>
          <w:lang w:eastAsia="en-GB"/>
        </w:rPr>
        <w:t></w:t>
      </w:r>
      <w:r w:rsidRPr="00735676">
        <w:rPr>
          <w:rFonts w:ascii="Times New Roman" w:eastAsia="Times New Roman" w:hAnsi="Times New Roman" w:cs="Times New Roman"/>
          <w:sz w:val="24"/>
          <w:szCs w:val="24"/>
          <w:lang w:eastAsia="en-GB"/>
        </w:rPr>
        <w:t xml:space="preserve">  McCormack</w:t>
      </w:r>
      <w:proofErr w:type="gramEnd"/>
      <w:r w:rsidRPr="00735676">
        <w:rPr>
          <w:rFonts w:ascii="Times New Roman" w:eastAsia="Times New Roman" w:hAnsi="Times New Roman" w:cs="Times New Roman"/>
          <w:sz w:val="24"/>
          <w:szCs w:val="24"/>
          <w:lang w:eastAsia="en-GB"/>
        </w:rPr>
        <w:t xml:space="preserve">, B. and </w:t>
      </w:r>
      <w:proofErr w:type="spellStart"/>
      <w:r w:rsidRPr="00735676">
        <w:rPr>
          <w:rFonts w:ascii="Times New Roman" w:eastAsia="Times New Roman" w:hAnsi="Times New Roman" w:cs="Times New Roman"/>
          <w:sz w:val="24"/>
          <w:szCs w:val="24"/>
          <w:lang w:eastAsia="en-GB"/>
        </w:rPr>
        <w:t>McCance</w:t>
      </w:r>
      <w:proofErr w:type="spellEnd"/>
      <w:r w:rsidRPr="00735676">
        <w:rPr>
          <w:rFonts w:ascii="Times New Roman" w:eastAsia="Times New Roman" w:hAnsi="Times New Roman" w:cs="Times New Roman"/>
          <w:sz w:val="24"/>
          <w:szCs w:val="24"/>
          <w:lang w:eastAsia="en-GB"/>
        </w:rPr>
        <w:t xml:space="preserve">, T. (2017) </w:t>
      </w:r>
      <w:r w:rsidRPr="00735676">
        <w:rPr>
          <w:rFonts w:ascii="Times New Roman" w:eastAsia="Times New Roman" w:hAnsi="Times New Roman" w:cs="Times New Roman"/>
          <w:i/>
          <w:iCs/>
          <w:sz w:val="24"/>
          <w:szCs w:val="24"/>
          <w:lang w:eastAsia="en-GB"/>
        </w:rPr>
        <w:t>Person-Centred Nursing Practice: Theory and Practice</w:t>
      </w:r>
      <w:r w:rsidRPr="00735676">
        <w:rPr>
          <w:rFonts w:ascii="Times New Roman" w:eastAsia="Times New Roman" w:hAnsi="Times New Roman" w:cs="Times New Roman"/>
          <w:sz w:val="24"/>
          <w:szCs w:val="24"/>
          <w:lang w:eastAsia="en-GB"/>
        </w:rPr>
        <w:t xml:space="preserve">. 2nd </w:t>
      </w:r>
      <w:proofErr w:type="spellStart"/>
      <w:r w:rsidRPr="00735676">
        <w:rPr>
          <w:rFonts w:ascii="Times New Roman" w:eastAsia="Times New Roman" w:hAnsi="Times New Roman" w:cs="Times New Roman"/>
          <w:sz w:val="24"/>
          <w:szCs w:val="24"/>
          <w:lang w:eastAsia="en-GB"/>
        </w:rPr>
        <w:t>edn</w:t>
      </w:r>
      <w:proofErr w:type="spellEnd"/>
      <w:r w:rsidRPr="00735676">
        <w:rPr>
          <w:rFonts w:ascii="Times New Roman" w:eastAsia="Times New Roman" w:hAnsi="Times New Roman" w:cs="Times New Roman"/>
          <w:sz w:val="24"/>
          <w:szCs w:val="24"/>
          <w:lang w:eastAsia="en-GB"/>
        </w:rPr>
        <w:t>. Oxford: Wiley Blackwell.</w:t>
      </w:r>
    </w:p>
    <w:p w:rsidR="00735676" w:rsidRPr="00735676" w:rsidRDefault="00735676" w:rsidP="00735676">
      <w:pPr>
        <w:spacing w:before="100" w:beforeAutospacing="1" w:after="100" w:afterAutospacing="1" w:line="360" w:lineRule="auto"/>
        <w:rPr>
          <w:rFonts w:ascii="Times New Roman" w:eastAsia="Times New Roman" w:hAnsi="Times New Roman" w:cs="Times New Roman"/>
          <w:sz w:val="24"/>
          <w:szCs w:val="24"/>
          <w:lang w:eastAsia="en-GB"/>
        </w:rPr>
      </w:pPr>
      <w:proofErr w:type="gramStart"/>
      <w:r w:rsidRPr="00735676">
        <w:rPr>
          <w:rFonts w:ascii="Times New Roman" w:eastAsia="Times New Roman" w:hAnsi="Symbol" w:cs="Times New Roman"/>
          <w:sz w:val="24"/>
          <w:szCs w:val="24"/>
          <w:lang w:eastAsia="en-GB"/>
        </w:rPr>
        <w:lastRenderedPageBreak/>
        <w:t></w:t>
      </w:r>
      <w:r w:rsidRPr="00735676">
        <w:rPr>
          <w:rFonts w:ascii="Times New Roman" w:eastAsia="Times New Roman" w:hAnsi="Times New Roman" w:cs="Times New Roman"/>
          <w:sz w:val="24"/>
          <w:szCs w:val="24"/>
          <w:lang w:eastAsia="en-GB"/>
        </w:rPr>
        <w:t xml:space="preserve">  McLeod</w:t>
      </w:r>
      <w:proofErr w:type="gramEnd"/>
      <w:r w:rsidRPr="00735676">
        <w:rPr>
          <w:rFonts w:ascii="Times New Roman" w:eastAsia="Times New Roman" w:hAnsi="Times New Roman" w:cs="Times New Roman"/>
          <w:sz w:val="24"/>
          <w:szCs w:val="24"/>
          <w:lang w:eastAsia="en-GB"/>
        </w:rPr>
        <w:t xml:space="preserve">, S. and Jones, A. (2018) </w:t>
      </w:r>
      <w:r w:rsidRPr="00735676">
        <w:rPr>
          <w:rFonts w:ascii="Times New Roman" w:eastAsia="Times New Roman" w:hAnsi="Times New Roman" w:cs="Times New Roman"/>
          <w:i/>
          <w:iCs/>
          <w:sz w:val="24"/>
          <w:szCs w:val="24"/>
          <w:lang w:eastAsia="en-GB"/>
        </w:rPr>
        <w:t>Confidentiality and Ethics in Health and Social Care</w:t>
      </w:r>
      <w:r w:rsidRPr="00735676">
        <w:rPr>
          <w:rFonts w:ascii="Times New Roman" w:eastAsia="Times New Roman" w:hAnsi="Times New Roman" w:cs="Times New Roman"/>
          <w:sz w:val="24"/>
          <w:szCs w:val="24"/>
          <w:lang w:eastAsia="en-GB"/>
        </w:rPr>
        <w:t>. London: Sage.</w:t>
      </w:r>
    </w:p>
    <w:p w:rsidR="00735676" w:rsidRPr="00735676" w:rsidRDefault="00735676" w:rsidP="00735676">
      <w:pPr>
        <w:spacing w:before="100" w:beforeAutospacing="1" w:after="100" w:afterAutospacing="1" w:line="360" w:lineRule="auto"/>
        <w:rPr>
          <w:rFonts w:ascii="Times New Roman" w:eastAsia="Times New Roman" w:hAnsi="Times New Roman" w:cs="Times New Roman"/>
          <w:sz w:val="24"/>
          <w:szCs w:val="24"/>
          <w:lang w:eastAsia="en-GB"/>
        </w:rPr>
      </w:pPr>
      <w:proofErr w:type="gramStart"/>
      <w:r w:rsidRPr="00735676">
        <w:rPr>
          <w:rFonts w:ascii="Times New Roman" w:eastAsia="Times New Roman" w:hAnsi="Symbol" w:cs="Times New Roman"/>
          <w:sz w:val="24"/>
          <w:szCs w:val="24"/>
          <w:lang w:eastAsia="en-GB"/>
        </w:rPr>
        <w:t></w:t>
      </w:r>
      <w:r w:rsidRPr="00735676">
        <w:rPr>
          <w:rFonts w:ascii="Times New Roman" w:eastAsia="Times New Roman" w:hAnsi="Times New Roman" w:cs="Times New Roman"/>
          <w:sz w:val="24"/>
          <w:szCs w:val="24"/>
          <w:lang w:eastAsia="en-GB"/>
        </w:rPr>
        <w:t xml:space="preserve">  Munro</w:t>
      </w:r>
      <w:proofErr w:type="gramEnd"/>
      <w:r w:rsidRPr="00735676">
        <w:rPr>
          <w:rFonts w:ascii="Times New Roman" w:eastAsia="Times New Roman" w:hAnsi="Times New Roman" w:cs="Times New Roman"/>
          <w:sz w:val="24"/>
          <w:szCs w:val="24"/>
          <w:lang w:eastAsia="en-GB"/>
        </w:rPr>
        <w:t xml:space="preserve">, E. (2011) </w:t>
      </w:r>
      <w:r w:rsidRPr="00735676">
        <w:rPr>
          <w:rFonts w:ascii="Times New Roman" w:eastAsia="Times New Roman" w:hAnsi="Times New Roman" w:cs="Times New Roman"/>
          <w:i/>
          <w:iCs/>
          <w:sz w:val="24"/>
          <w:szCs w:val="24"/>
          <w:lang w:eastAsia="en-GB"/>
        </w:rPr>
        <w:t>The Munro Review of Child Protection: Final Report</w:t>
      </w:r>
      <w:r w:rsidRPr="00735676">
        <w:rPr>
          <w:rFonts w:ascii="Times New Roman" w:eastAsia="Times New Roman" w:hAnsi="Times New Roman" w:cs="Times New Roman"/>
          <w:sz w:val="24"/>
          <w:szCs w:val="24"/>
          <w:lang w:eastAsia="en-GB"/>
        </w:rPr>
        <w:t>. London: Department for Education.</w:t>
      </w:r>
    </w:p>
    <w:p w:rsidR="00735676" w:rsidRPr="00735676" w:rsidRDefault="00735676" w:rsidP="00735676">
      <w:pPr>
        <w:spacing w:before="100" w:beforeAutospacing="1" w:after="100" w:afterAutospacing="1" w:line="360" w:lineRule="auto"/>
        <w:rPr>
          <w:rFonts w:ascii="Times New Roman" w:eastAsia="Times New Roman" w:hAnsi="Times New Roman" w:cs="Times New Roman"/>
          <w:sz w:val="24"/>
          <w:szCs w:val="24"/>
          <w:lang w:eastAsia="en-GB"/>
        </w:rPr>
      </w:pPr>
      <w:proofErr w:type="gramStart"/>
      <w:r w:rsidRPr="00735676">
        <w:rPr>
          <w:rFonts w:ascii="Times New Roman" w:eastAsia="Times New Roman" w:hAnsi="Symbol" w:cs="Times New Roman"/>
          <w:sz w:val="24"/>
          <w:szCs w:val="24"/>
          <w:lang w:eastAsia="en-GB"/>
        </w:rPr>
        <w:t></w:t>
      </w:r>
      <w:r w:rsidRPr="00735676">
        <w:rPr>
          <w:rFonts w:ascii="Times New Roman" w:eastAsia="Times New Roman" w:hAnsi="Times New Roman" w:cs="Times New Roman"/>
          <w:sz w:val="24"/>
          <w:szCs w:val="24"/>
          <w:lang w:eastAsia="en-GB"/>
        </w:rPr>
        <w:t xml:space="preserve">  Nolan</w:t>
      </w:r>
      <w:proofErr w:type="gramEnd"/>
      <w:r w:rsidRPr="00735676">
        <w:rPr>
          <w:rFonts w:ascii="Times New Roman" w:eastAsia="Times New Roman" w:hAnsi="Times New Roman" w:cs="Times New Roman"/>
          <w:sz w:val="24"/>
          <w:szCs w:val="24"/>
          <w:lang w:eastAsia="en-GB"/>
        </w:rPr>
        <w:t xml:space="preserve">, M., Davies, S., Brown, J. and Keady, J. (2006) </w:t>
      </w:r>
      <w:r w:rsidRPr="00735676">
        <w:rPr>
          <w:rFonts w:ascii="Times New Roman" w:eastAsia="Times New Roman" w:hAnsi="Times New Roman" w:cs="Times New Roman"/>
          <w:i/>
          <w:iCs/>
          <w:sz w:val="24"/>
          <w:szCs w:val="24"/>
          <w:lang w:eastAsia="en-GB"/>
        </w:rPr>
        <w:t>The Senses Framework: Improving Care for Older People through a Relationship-Centred Approach</w:t>
      </w:r>
      <w:r w:rsidRPr="00735676">
        <w:rPr>
          <w:rFonts w:ascii="Times New Roman" w:eastAsia="Times New Roman" w:hAnsi="Times New Roman" w:cs="Times New Roman"/>
          <w:sz w:val="24"/>
          <w:szCs w:val="24"/>
          <w:lang w:eastAsia="en-GB"/>
        </w:rPr>
        <w:t>. London: University of Surrey.</w:t>
      </w:r>
    </w:p>
    <w:p w:rsidR="00735676" w:rsidRPr="00735676" w:rsidRDefault="00735676" w:rsidP="00735676">
      <w:pPr>
        <w:spacing w:before="100" w:beforeAutospacing="1" w:after="100" w:afterAutospacing="1" w:line="360" w:lineRule="auto"/>
        <w:rPr>
          <w:rFonts w:ascii="Times New Roman" w:eastAsia="Times New Roman" w:hAnsi="Times New Roman" w:cs="Times New Roman"/>
          <w:sz w:val="24"/>
          <w:szCs w:val="24"/>
          <w:lang w:eastAsia="en-GB"/>
        </w:rPr>
      </w:pPr>
      <w:proofErr w:type="gramStart"/>
      <w:r w:rsidRPr="00735676">
        <w:rPr>
          <w:rFonts w:ascii="Times New Roman" w:eastAsia="Times New Roman" w:hAnsi="Symbol" w:cs="Times New Roman"/>
          <w:sz w:val="24"/>
          <w:szCs w:val="24"/>
          <w:lang w:eastAsia="en-GB"/>
        </w:rPr>
        <w:t></w:t>
      </w:r>
      <w:r w:rsidRPr="00735676">
        <w:rPr>
          <w:rFonts w:ascii="Times New Roman" w:eastAsia="Times New Roman" w:hAnsi="Times New Roman" w:cs="Times New Roman"/>
          <w:sz w:val="24"/>
          <w:szCs w:val="24"/>
          <w:lang w:eastAsia="en-GB"/>
        </w:rPr>
        <w:t xml:space="preserve">  NHS</w:t>
      </w:r>
      <w:proofErr w:type="gramEnd"/>
      <w:r w:rsidRPr="00735676">
        <w:rPr>
          <w:rFonts w:ascii="Times New Roman" w:eastAsia="Times New Roman" w:hAnsi="Times New Roman" w:cs="Times New Roman"/>
          <w:sz w:val="24"/>
          <w:szCs w:val="24"/>
          <w:lang w:eastAsia="en-GB"/>
        </w:rPr>
        <w:t xml:space="preserve"> England (2020) </w:t>
      </w:r>
      <w:r w:rsidRPr="00735676">
        <w:rPr>
          <w:rFonts w:ascii="Times New Roman" w:eastAsia="Times New Roman" w:hAnsi="Times New Roman" w:cs="Times New Roman"/>
          <w:i/>
          <w:iCs/>
          <w:sz w:val="24"/>
          <w:szCs w:val="24"/>
          <w:lang w:eastAsia="en-GB"/>
        </w:rPr>
        <w:t>The NHS Long Term Plan</w:t>
      </w:r>
      <w:r w:rsidRPr="00735676">
        <w:rPr>
          <w:rFonts w:ascii="Times New Roman" w:eastAsia="Times New Roman" w:hAnsi="Times New Roman" w:cs="Times New Roman"/>
          <w:sz w:val="24"/>
          <w:szCs w:val="24"/>
          <w:lang w:eastAsia="en-GB"/>
        </w:rPr>
        <w:t>. London: NHS England.</w:t>
      </w:r>
    </w:p>
    <w:p w:rsidR="00735676" w:rsidRPr="00735676" w:rsidRDefault="00735676" w:rsidP="00735676">
      <w:pPr>
        <w:spacing w:before="100" w:beforeAutospacing="1" w:after="100" w:afterAutospacing="1" w:line="360" w:lineRule="auto"/>
        <w:rPr>
          <w:rFonts w:ascii="Times New Roman" w:eastAsia="Times New Roman" w:hAnsi="Times New Roman" w:cs="Times New Roman"/>
          <w:sz w:val="24"/>
          <w:szCs w:val="24"/>
          <w:lang w:eastAsia="en-GB"/>
        </w:rPr>
      </w:pPr>
      <w:proofErr w:type="gramStart"/>
      <w:r w:rsidRPr="00735676">
        <w:rPr>
          <w:rFonts w:ascii="Times New Roman" w:eastAsia="Times New Roman" w:hAnsi="Symbol" w:cs="Times New Roman"/>
          <w:sz w:val="24"/>
          <w:szCs w:val="24"/>
          <w:lang w:eastAsia="en-GB"/>
        </w:rPr>
        <w:t></w:t>
      </w:r>
      <w:r w:rsidRPr="00735676">
        <w:rPr>
          <w:rFonts w:ascii="Times New Roman" w:eastAsia="Times New Roman" w:hAnsi="Times New Roman" w:cs="Times New Roman"/>
          <w:sz w:val="24"/>
          <w:szCs w:val="24"/>
          <w:lang w:eastAsia="en-GB"/>
        </w:rPr>
        <w:t xml:space="preserve">  Papadopoulos</w:t>
      </w:r>
      <w:proofErr w:type="gramEnd"/>
      <w:r w:rsidRPr="00735676">
        <w:rPr>
          <w:rFonts w:ascii="Times New Roman" w:eastAsia="Times New Roman" w:hAnsi="Times New Roman" w:cs="Times New Roman"/>
          <w:sz w:val="24"/>
          <w:szCs w:val="24"/>
          <w:lang w:eastAsia="en-GB"/>
        </w:rPr>
        <w:t xml:space="preserve">, I. (2018) </w:t>
      </w:r>
      <w:r w:rsidRPr="00735676">
        <w:rPr>
          <w:rFonts w:ascii="Times New Roman" w:eastAsia="Times New Roman" w:hAnsi="Times New Roman" w:cs="Times New Roman"/>
          <w:i/>
          <w:iCs/>
          <w:sz w:val="24"/>
          <w:szCs w:val="24"/>
          <w:lang w:eastAsia="en-GB"/>
        </w:rPr>
        <w:t>Cultural Competence in Health and Social Care</w:t>
      </w:r>
      <w:r w:rsidRPr="00735676">
        <w:rPr>
          <w:rFonts w:ascii="Times New Roman" w:eastAsia="Times New Roman" w:hAnsi="Times New Roman" w:cs="Times New Roman"/>
          <w:sz w:val="24"/>
          <w:szCs w:val="24"/>
          <w:lang w:eastAsia="en-GB"/>
        </w:rPr>
        <w:t>. London: Routledge.</w:t>
      </w:r>
    </w:p>
    <w:p w:rsidR="00735676" w:rsidRPr="00735676" w:rsidRDefault="00735676" w:rsidP="00735676">
      <w:pPr>
        <w:spacing w:before="100" w:beforeAutospacing="1" w:after="100" w:afterAutospacing="1" w:line="360" w:lineRule="auto"/>
        <w:rPr>
          <w:rFonts w:ascii="Times New Roman" w:eastAsia="Times New Roman" w:hAnsi="Times New Roman" w:cs="Times New Roman"/>
          <w:sz w:val="24"/>
          <w:szCs w:val="24"/>
          <w:lang w:eastAsia="en-GB"/>
        </w:rPr>
      </w:pPr>
      <w:proofErr w:type="gramStart"/>
      <w:r w:rsidRPr="00735676">
        <w:rPr>
          <w:rFonts w:ascii="Times New Roman" w:eastAsia="Times New Roman" w:hAnsi="Symbol" w:cs="Times New Roman"/>
          <w:sz w:val="24"/>
          <w:szCs w:val="24"/>
          <w:lang w:eastAsia="en-GB"/>
        </w:rPr>
        <w:t></w:t>
      </w:r>
      <w:r w:rsidRPr="00735676">
        <w:rPr>
          <w:rFonts w:ascii="Times New Roman" w:eastAsia="Times New Roman" w:hAnsi="Times New Roman" w:cs="Times New Roman"/>
          <w:sz w:val="24"/>
          <w:szCs w:val="24"/>
          <w:lang w:eastAsia="en-GB"/>
        </w:rPr>
        <w:t xml:space="preserve">  Parton</w:t>
      </w:r>
      <w:proofErr w:type="gramEnd"/>
      <w:r w:rsidRPr="00735676">
        <w:rPr>
          <w:rFonts w:ascii="Times New Roman" w:eastAsia="Times New Roman" w:hAnsi="Times New Roman" w:cs="Times New Roman"/>
          <w:sz w:val="24"/>
          <w:szCs w:val="24"/>
          <w:lang w:eastAsia="en-GB"/>
        </w:rPr>
        <w:t xml:space="preserve">, N. (2014) </w:t>
      </w:r>
      <w:r w:rsidRPr="00735676">
        <w:rPr>
          <w:rFonts w:ascii="Times New Roman" w:eastAsia="Times New Roman" w:hAnsi="Times New Roman" w:cs="Times New Roman"/>
          <w:i/>
          <w:iCs/>
          <w:sz w:val="24"/>
          <w:szCs w:val="24"/>
          <w:lang w:eastAsia="en-GB"/>
        </w:rPr>
        <w:t>The Politics of Child Protection: Contemporary Developments and Future Directions</w:t>
      </w:r>
      <w:r w:rsidRPr="00735676">
        <w:rPr>
          <w:rFonts w:ascii="Times New Roman" w:eastAsia="Times New Roman" w:hAnsi="Times New Roman" w:cs="Times New Roman"/>
          <w:sz w:val="24"/>
          <w:szCs w:val="24"/>
          <w:lang w:eastAsia="en-GB"/>
        </w:rPr>
        <w:t>. London: Palgrave.</w:t>
      </w:r>
    </w:p>
    <w:p w:rsidR="00735676" w:rsidRPr="00735676" w:rsidRDefault="00735676" w:rsidP="00735676">
      <w:pPr>
        <w:spacing w:before="100" w:beforeAutospacing="1" w:after="100" w:afterAutospacing="1" w:line="360" w:lineRule="auto"/>
        <w:rPr>
          <w:rFonts w:ascii="Times New Roman" w:eastAsia="Times New Roman" w:hAnsi="Times New Roman" w:cs="Times New Roman"/>
          <w:sz w:val="24"/>
          <w:szCs w:val="24"/>
          <w:lang w:eastAsia="en-GB"/>
        </w:rPr>
      </w:pPr>
      <w:proofErr w:type="gramStart"/>
      <w:r w:rsidRPr="00735676">
        <w:rPr>
          <w:rFonts w:ascii="Times New Roman" w:eastAsia="Times New Roman" w:hAnsi="Symbol" w:cs="Times New Roman"/>
          <w:sz w:val="24"/>
          <w:szCs w:val="24"/>
          <w:lang w:eastAsia="en-GB"/>
        </w:rPr>
        <w:t></w:t>
      </w:r>
      <w:r w:rsidRPr="00735676">
        <w:rPr>
          <w:rFonts w:ascii="Times New Roman" w:eastAsia="Times New Roman" w:hAnsi="Times New Roman" w:cs="Times New Roman"/>
          <w:sz w:val="24"/>
          <w:szCs w:val="24"/>
          <w:lang w:eastAsia="en-GB"/>
        </w:rPr>
        <w:t xml:space="preserve">  Royal</w:t>
      </w:r>
      <w:proofErr w:type="gramEnd"/>
      <w:r w:rsidRPr="00735676">
        <w:rPr>
          <w:rFonts w:ascii="Times New Roman" w:eastAsia="Times New Roman" w:hAnsi="Times New Roman" w:cs="Times New Roman"/>
          <w:sz w:val="24"/>
          <w:szCs w:val="24"/>
          <w:lang w:eastAsia="en-GB"/>
        </w:rPr>
        <w:t xml:space="preserve"> College of Nursing (RCN) (2021) </w:t>
      </w:r>
      <w:r w:rsidRPr="00735676">
        <w:rPr>
          <w:rFonts w:ascii="Times New Roman" w:eastAsia="Times New Roman" w:hAnsi="Times New Roman" w:cs="Times New Roman"/>
          <w:i/>
          <w:iCs/>
          <w:sz w:val="24"/>
          <w:szCs w:val="24"/>
          <w:lang w:eastAsia="en-GB"/>
        </w:rPr>
        <w:t>Equality and Diversity in Nursing Practice</w:t>
      </w:r>
      <w:r w:rsidRPr="00735676">
        <w:rPr>
          <w:rFonts w:ascii="Times New Roman" w:eastAsia="Times New Roman" w:hAnsi="Times New Roman" w:cs="Times New Roman"/>
          <w:sz w:val="24"/>
          <w:szCs w:val="24"/>
          <w:lang w:eastAsia="en-GB"/>
        </w:rPr>
        <w:t>. London: RCN.</w:t>
      </w:r>
    </w:p>
    <w:p w:rsidR="00735676" w:rsidRPr="00735676" w:rsidRDefault="00735676" w:rsidP="00735676">
      <w:pPr>
        <w:spacing w:before="100" w:beforeAutospacing="1" w:after="100" w:afterAutospacing="1" w:line="360" w:lineRule="auto"/>
        <w:rPr>
          <w:rFonts w:ascii="Times New Roman" w:eastAsia="Times New Roman" w:hAnsi="Times New Roman" w:cs="Times New Roman"/>
          <w:sz w:val="24"/>
          <w:szCs w:val="24"/>
          <w:lang w:eastAsia="en-GB"/>
        </w:rPr>
      </w:pPr>
      <w:proofErr w:type="gramStart"/>
      <w:r w:rsidRPr="00735676">
        <w:rPr>
          <w:rFonts w:ascii="Times New Roman" w:eastAsia="Times New Roman" w:hAnsi="Symbol" w:cs="Times New Roman"/>
          <w:sz w:val="24"/>
          <w:szCs w:val="24"/>
          <w:lang w:eastAsia="en-GB"/>
        </w:rPr>
        <w:t></w:t>
      </w:r>
      <w:r w:rsidRPr="00735676">
        <w:rPr>
          <w:rFonts w:ascii="Times New Roman" w:eastAsia="Times New Roman" w:hAnsi="Times New Roman" w:cs="Times New Roman"/>
          <w:sz w:val="24"/>
          <w:szCs w:val="24"/>
          <w:lang w:eastAsia="en-GB"/>
        </w:rPr>
        <w:t xml:space="preserve">  Brooker</w:t>
      </w:r>
      <w:proofErr w:type="gramEnd"/>
      <w:r w:rsidRPr="00735676">
        <w:rPr>
          <w:rFonts w:ascii="Times New Roman" w:eastAsia="Times New Roman" w:hAnsi="Times New Roman" w:cs="Times New Roman"/>
          <w:sz w:val="24"/>
          <w:szCs w:val="24"/>
          <w:lang w:eastAsia="en-GB"/>
        </w:rPr>
        <w:t xml:space="preserve">, D. (2015) </w:t>
      </w:r>
      <w:r w:rsidRPr="00735676">
        <w:rPr>
          <w:rFonts w:ascii="Times New Roman" w:eastAsia="Times New Roman" w:hAnsi="Times New Roman" w:cs="Times New Roman"/>
          <w:i/>
          <w:iCs/>
          <w:sz w:val="24"/>
          <w:szCs w:val="24"/>
          <w:lang w:eastAsia="en-GB"/>
        </w:rPr>
        <w:t>Person-Centred Dementia Care: Making Services Better</w:t>
      </w:r>
      <w:r w:rsidRPr="00735676">
        <w:rPr>
          <w:rFonts w:ascii="Times New Roman" w:eastAsia="Times New Roman" w:hAnsi="Times New Roman" w:cs="Times New Roman"/>
          <w:sz w:val="24"/>
          <w:szCs w:val="24"/>
          <w:lang w:eastAsia="en-GB"/>
        </w:rPr>
        <w:t xml:space="preserve">. 2nd </w:t>
      </w:r>
      <w:proofErr w:type="spellStart"/>
      <w:r w:rsidRPr="00735676">
        <w:rPr>
          <w:rFonts w:ascii="Times New Roman" w:eastAsia="Times New Roman" w:hAnsi="Times New Roman" w:cs="Times New Roman"/>
          <w:sz w:val="24"/>
          <w:szCs w:val="24"/>
          <w:lang w:eastAsia="en-GB"/>
        </w:rPr>
        <w:t>edn</w:t>
      </w:r>
      <w:proofErr w:type="spellEnd"/>
      <w:r w:rsidRPr="00735676">
        <w:rPr>
          <w:rFonts w:ascii="Times New Roman" w:eastAsia="Times New Roman" w:hAnsi="Times New Roman" w:cs="Times New Roman"/>
          <w:sz w:val="24"/>
          <w:szCs w:val="24"/>
          <w:lang w:eastAsia="en-GB"/>
        </w:rPr>
        <w:t>. London: Jessica Kingsley Publishers.</w:t>
      </w:r>
    </w:p>
    <w:p w:rsidR="00E05517" w:rsidRPr="00735676" w:rsidRDefault="00E05517" w:rsidP="00735676">
      <w:pPr>
        <w:spacing w:line="360" w:lineRule="auto"/>
        <w:jc w:val="both"/>
        <w:rPr>
          <w:rFonts w:ascii="Arial" w:hAnsi="Arial" w:cs="Arial"/>
          <w:b/>
        </w:rPr>
      </w:pPr>
    </w:p>
    <w:sectPr w:rsidR="00E05517" w:rsidRPr="00735676" w:rsidSect="00C6329B">
      <w:pgSz w:w="11906" w:h="16838"/>
      <w:pgMar w:top="1440" w:right="1440" w:bottom="1440" w:left="1440" w:header="708" w:footer="708" w:gutter="0"/>
      <w:pgBorders w:offsetFrom="page">
        <w:top w:val="thickThinMediumGap" w:sz="24" w:space="24" w:color="auto"/>
        <w:left w:val="thickThinMediumGap" w:sz="24" w:space="24" w:color="auto"/>
        <w:bottom w:val="thinThickMediumGap" w:sz="24" w:space="24" w:color="auto"/>
        <w:right w:val="thinThickMediumGap"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77487D"/>
    <w:multiLevelType w:val="multilevel"/>
    <w:tmpl w:val="319467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AC730F"/>
    <w:multiLevelType w:val="multilevel"/>
    <w:tmpl w:val="A2868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48481B"/>
    <w:multiLevelType w:val="multilevel"/>
    <w:tmpl w:val="1576A7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B592204"/>
    <w:multiLevelType w:val="multilevel"/>
    <w:tmpl w:val="7826B3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23F0A06"/>
    <w:multiLevelType w:val="multilevel"/>
    <w:tmpl w:val="79A647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3061AD1"/>
    <w:multiLevelType w:val="multilevel"/>
    <w:tmpl w:val="DEFCE5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0"/>
  </w:num>
  <w:num w:numId="3">
    <w:abstractNumId w:val="1"/>
  </w:num>
  <w:num w:numId="4">
    <w:abstractNumId w:val="4"/>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proofState w:spelling="clean" w:grammar="clean"/>
  <w:defaultTabStop w:val="720"/>
  <w:characterSpacingControl w:val="doNotCompress"/>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7936"/>
    <w:rsid w:val="006F4432"/>
    <w:rsid w:val="00735676"/>
    <w:rsid w:val="00BA7936"/>
    <w:rsid w:val="00C6329B"/>
    <w:rsid w:val="00DF7A4C"/>
    <w:rsid w:val="00E055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146128"/>
  <w15:chartTrackingRefBased/>
  <w15:docId w15:val="{23E2955A-E91C-48FA-8EB0-692824A1FC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A793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BA793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BA793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A7936"/>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BA7936"/>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BA793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A7936"/>
    <w:rPr>
      <w:b/>
      <w:bCs/>
    </w:rPr>
  </w:style>
  <w:style w:type="character" w:styleId="Emphasis">
    <w:name w:val="Emphasis"/>
    <w:basedOn w:val="DefaultParagraphFont"/>
    <w:uiPriority w:val="20"/>
    <w:qFormat/>
    <w:rsid w:val="00BA7936"/>
    <w:rPr>
      <w:i/>
      <w:iCs/>
    </w:rPr>
  </w:style>
  <w:style w:type="character" w:customStyle="1" w:styleId="Heading1Char">
    <w:name w:val="Heading 1 Char"/>
    <w:basedOn w:val="DefaultParagraphFont"/>
    <w:link w:val="Heading1"/>
    <w:uiPriority w:val="9"/>
    <w:rsid w:val="00BA793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6329B"/>
    <w:pPr>
      <w:outlineLvl w:val="9"/>
    </w:pPr>
    <w:rPr>
      <w:lang w:val="en-US"/>
    </w:rPr>
  </w:style>
  <w:style w:type="paragraph" w:styleId="TOC1">
    <w:name w:val="toc 1"/>
    <w:basedOn w:val="Normal"/>
    <w:next w:val="Normal"/>
    <w:autoRedefine/>
    <w:uiPriority w:val="39"/>
    <w:unhideWhenUsed/>
    <w:rsid w:val="00C6329B"/>
    <w:pPr>
      <w:spacing w:after="100"/>
    </w:pPr>
  </w:style>
  <w:style w:type="paragraph" w:styleId="TOC2">
    <w:name w:val="toc 2"/>
    <w:basedOn w:val="Normal"/>
    <w:next w:val="Normal"/>
    <w:autoRedefine/>
    <w:uiPriority w:val="39"/>
    <w:unhideWhenUsed/>
    <w:rsid w:val="00C6329B"/>
    <w:pPr>
      <w:spacing w:after="100"/>
      <w:ind w:left="220"/>
    </w:pPr>
  </w:style>
  <w:style w:type="paragraph" w:styleId="TOC3">
    <w:name w:val="toc 3"/>
    <w:basedOn w:val="Normal"/>
    <w:next w:val="Normal"/>
    <w:autoRedefine/>
    <w:uiPriority w:val="39"/>
    <w:unhideWhenUsed/>
    <w:rsid w:val="00C6329B"/>
    <w:pPr>
      <w:spacing w:after="100"/>
      <w:ind w:left="440"/>
    </w:pPr>
  </w:style>
  <w:style w:type="character" w:styleId="Hyperlink">
    <w:name w:val="Hyperlink"/>
    <w:basedOn w:val="DefaultParagraphFont"/>
    <w:uiPriority w:val="99"/>
    <w:unhideWhenUsed/>
    <w:rsid w:val="00C6329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9438072">
      <w:bodyDiv w:val="1"/>
      <w:marLeft w:val="0"/>
      <w:marRight w:val="0"/>
      <w:marTop w:val="0"/>
      <w:marBottom w:val="0"/>
      <w:divBdr>
        <w:top w:val="none" w:sz="0" w:space="0" w:color="auto"/>
        <w:left w:val="none" w:sz="0" w:space="0" w:color="auto"/>
        <w:bottom w:val="none" w:sz="0" w:space="0" w:color="auto"/>
        <w:right w:val="none" w:sz="0" w:space="0" w:color="auto"/>
      </w:divBdr>
    </w:div>
    <w:div w:id="621231516">
      <w:bodyDiv w:val="1"/>
      <w:marLeft w:val="0"/>
      <w:marRight w:val="0"/>
      <w:marTop w:val="0"/>
      <w:marBottom w:val="0"/>
      <w:divBdr>
        <w:top w:val="none" w:sz="0" w:space="0" w:color="auto"/>
        <w:left w:val="none" w:sz="0" w:space="0" w:color="auto"/>
        <w:bottom w:val="none" w:sz="0" w:space="0" w:color="auto"/>
        <w:right w:val="none" w:sz="0" w:space="0" w:color="auto"/>
      </w:divBdr>
    </w:div>
    <w:div w:id="690646832">
      <w:bodyDiv w:val="1"/>
      <w:marLeft w:val="0"/>
      <w:marRight w:val="0"/>
      <w:marTop w:val="0"/>
      <w:marBottom w:val="0"/>
      <w:divBdr>
        <w:top w:val="none" w:sz="0" w:space="0" w:color="auto"/>
        <w:left w:val="none" w:sz="0" w:space="0" w:color="auto"/>
        <w:bottom w:val="none" w:sz="0" w:space="0" w:color="auto"/>
        <w:right w:val="none" w:sz="0" w:space="0" w:color="auto"/>
      </w:divBdr>
    </w:div>
    <w:div w:id="817847214">
      <w:bodyDiv w:val="1"/>
      <w:marLeft w:val="0"/>
      <w:marRight w:val="0"/>
      <w:marTop w:val="0"/>
      <w:marBottom w:val="0"/>
      <w:divBdr>
        <w:top w:val="none" w:sz="0" w:space="0" w:color="auto"/>
        <w:left w:val="none" w:sz="0" w:space="0" w:color="auto"/>
        <w:bottom w:val="none" w:sz="0" w:space="0" w:color="auto"/>
        <w:right w:val="none" w:sz="0" w:space="0" w:color="auto"/>
      </w:divBdr>
    </w:div>
    <w:div w:id="1413434525">
      <w:bodyDiv w:val="1"/>
      <w:marLeft w:val="0"/>
      <w:marRight w:val="0"/>
      <w:marTop w:val="0"/>
      <w:marBottom w:val="0"/>
      <w:divBdr>
        <w:top w:val="none" w:sz="0" w:space="0" w:color="auto"/>
        <w:left w:val="none" w:sz="0" w:space="0" w:color="auto"/>
        <w:bottom w:val="none" w:sz="0" w:space="0" w:color="auto"/>
        <w:right w:val="none" w:sz="0" w:space="0" w:color="auto"/>
      </w:divBdr>
    </w:div>
    <w:div w:id="1708480611">
      <w:bodyDiv w:val="1"/>
      <w:marLeft w:val="0"/>
      <w:marRight w:val="0"/>
      <w:marTop w:val="0"/>
      <w:marBottom w:val="0"/>
      <w:divBdr>
        <w:top w:val="none" w:sz="0" w:space="0" w:color="auto"/>
        <w:left w:val="none" w:sz="0" w:space="0" w:color="auto"/>
        <w:bottom w:val="none" w:sz="0" w:space="0" w:color="auto"/>
        <w:right w:val="none" w:sz="0" w:space="0" w:color="auto"/>
      </w:divBdr>
    </w:div>
    <w:div w:id="1944267075">
      <w:bodyDiv w:val="1"/>
      <w:marLeft w:val="0"/>
      <w:marRight w:val="0"/>
      <w:marTop w:val="0"/>
      <w:marBottom w:val="0"/>
      <w:divBdr>
        <w:top w:val="none" w:sz="0" w:space="0" w:color="auto"/>
        <w:left w:val="none" w:sz="0" w:space="0" w:color="auto"/>
        <w:bottom w:val="none" w:sz="0" w:space="0" w:color="auto"/>
        <w:right w:val="none" w:sz="0" w:space="0" w:color="auto"/>
      </w:divBdr>
    </w:div>
    <w:div w:id="2130859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567526-D502-426B-B48C-19C9F64C34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11</Pages>
  <Words>3258</Words>
  <Characters>18573</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obaid ullah</dc:creator>
  <cp:keywords/>
  <dc:description/>
  <cp:lastModifiedBy>obaid ullah</cp:lastModifiedBy>
  <cp:revision>3</cp:revision>
  <dcterms:created xsi:type="dcterms:W3CDTF">2025-11-09T13:54:00Z</dcterms:created>
  <dcterms:modified xsi:type="dcterms:W3CDTF">2025-11-09T14:14:00Z</dcterms:modified>
</cp:coreProperties>
</file>