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E63B03" w:rsidRDefault="00E63B03">
      <w:pPr>
        <w:rPr>
          <w:sz w:val="52"/>
          <w:szCs w:val="52"/>
        </w:rPr>
      </w:pPr>
      <w:r>
        <w:rPr>
          <w:sz w:val="52"/>
          <w:szCs w:val="52"/>
        </w:rPr>
        <w:t xml:space="preserve">   </w:t>
      </w:r>
    </w:p>
    <w:p w:rsidR="00E63B03" w:rsidRDefault="00E63B03">
      <w:pPr>
        <w:rPr>
          <w:sz w:val="52"/>
          <w:szCs w:val="52"/>
        </w:rPr>
      </w:pPr>
    </w:p>
    <w:p w:rsidR="00A14462" w:rsidRDefault="00E63B03">
      <w:pPr>
        <w:rPr>
          <w:b/>
          <w:bCs/>
          <w:sz w:val="52"/>
          <w:szCs w:val="52"/>
        </w:rPr>
      </w:pPr>
      <w:r w:rsidRPr="00313620">
        <w:rPr>
          <w:b/>
          <w:bCs/>
          <w:sz w:val="52"/>
          <w:szCs w:val="52"/>
        </w:rPr>
        <w:t xml:space="preserve">  </w:t>
      </w:r>
    </w:p>
    <w:p w:rsidR="00A14462" w:rsidRDefault="00A14462">
      <w:pPr>
        <w:rPr>
          <w:b/>
          <w:bCs/>
          <w:sz w:val="52"/>
          <w:szCs w:val="52"/>
        </w:rPr>
      </w:pPr>
    </w:p>
    <w:p w:rsidR="00000000" w:rsidRPr="00313620" w:rsidRDefault="00E63B03">
      <w:pPr>
        <w:rPr>
          <w:b/>
          <w:bCs/>
          <w:sz w:val="52"/>
          <w:szCs w:val="52"/>
        </w:rPr>
      </w:pPr>
      <w:r w:rsidRPr="00313620">
        <w:rPr>
          <w:b/>
          <w:bCs/>
          <w:sz w:val="52"/>
          <w:szCs w:val="52"/>
        </w:rPr>
        <w:t xml:space="preserve"> </w:t>
      </w:r>
      <w:r w:rsidR="00316BE8" w:rsidRPr="00313620">
        <w:rPr>
          <w:b/>
          <w:bCs/>
          <w:sz w:val="52"/>
          <w:szCs w:val="52"/>
        </w:rPr>
        <w:t xml:space="preserve">Accounting Fundamentals </w:t>
      </w:r>
      <w:r w:rsidR="00C60FBB" w:rsidRPr="00313620">
        <w:rPr>
          <w:b/>
          <w:bCs/>
          <w:sz w:val="52"/>
          <w:szCs w:val="52"/>
        </w:rPr>
        <w:t>Assessment 1</w:t>
      </w:r>
    </w:p>
    <w:p w:rsidR="00000000" w:rsidRDefault="002C02B0">
      <w:pPr>
        <w:pStyle w:val="a0"/>
        <w:jc w:val="center"/>
      </w:pPr>
    </w:p>
    <w:p w:rsidR="00000000" w:rsidRPr="00A14462" w:rsidRDefault="002C02B0">
      <w:pPr>
        <w:pStyle w:val="a0"/>
        <w:jc w:val="center"/>
        <w:rPr>
          <w:b/>
          <w:bCs/>
          <w:sz w:val="36"/>
          <w:szCs w:val="36"/>
        </w:rPr>
      </w:pPr>
    </w:p>
    <w:p w:rsidR="00A14462" w:rsidRDefault="00A14462">
      <w:pPr>
        <w:pStyle w:val="a0"/>
        <w:jc w:val="center"/>
        <w:rPr>
          <w:sz w:val="40"/>
          <w:szCs w:val="40"/>
        </w:rPr>
      </w:pPr>
    </w:p>
    <w:p w:rsidR="00A14462" w:rsidRDefault="00A14462">
      <w:pPr>
        <w:pStyle w:val="a0"/>
        <w:jc w:val="center"/>
        <w:rPr>
          <w:sz w:val="40"/>
          <w:szCs w:val="40"/>
        </w:rPr>
      </w:pPr>
    </w:p>
    <w:p w:rsidR="00A14462" w:rsidRDefault="00A14462">
      <w:pPr>
        <w:pStyle w:val="a0"/>
        <w:jc w:val="center"/>
        <w:rPr>
          <w:sz w:val="40"/>
          <w:szCs w:val="40"/>
        </w:rPr>
      </w:pPr>
    </w:p>
    <w:p w:rsidR="00A14462" w:rsidRDefault="00A14462">
      <w:pPr>
        <w:pStyle w:val="a0"/>
        <w:jc w:val="center"/>
        <w:rPr>
          <w:sz w:val="40"/>
          <w:szCs w:val="40"/>
        </w:rPr>
      </w:pPr>
    </w:p>
    <w:p w:rsidR="00000000" w:rsidRPr="00A14462" w:rsidRDefault="00C362AE">
      <w:pPr>
        <w:pStyle w:val="a0"/>
        <w:jc w:val="center"/>
        <w:rPr>
          <w:sz w:val="40"/>
          <w:szCs w:val="40"/>
        </w:rPr>
      </w:pPr>
      <w:r w:rsidRPr="00A14462">
        <w:rPr>
          <w:sz w:val="40"/>
          <w:szCs w:val="40"/>
        </w:rPr>
        <w:t xml:space="preserve">Alberto Veselinov Trisindzhirski </w:t>
      </w:r>
    </w:p>
    <w:p w:rsidR="00C362AE" w:rsidRPr="00A14462" w:rsidRDefault="00BA6019">
      <w:pPr>
        <w:pStyle w:val="a0"/>
        <w:jc w:val="center"/>
        <w:rPr>
          <w:sz w:val="40"/>
          <w:szCs w:val="40"/>
        </w:rPr>
      </w:pPr>
      <w:r w:rsidRPr="00A14462">
        <w:rPr>
          <w:sz w:val="40"/>
          <w:szCs w:val="40"/>
        </w:rPr>
        <w:t xml:space="preserve">BA Business Management </w:t>
      </w:r>
    </w:p>
    <w:p w:rsidR="00000000" w:rsidRPr="00C4264A" w:rsidRDefault="002E2872">
      <w:pPr>
        <w:pStyle w:val="a0"/>
        <w:jc w:val="center"/>
        <w:rPr>
          <w:color w:val="333333"/>
          <w:sz w:val="48"/>
          <w:szCs w:val="48"/>
        </w:rPr>
      </w:pPr>
      <w:r w:rsidRPr="00C4264A">
        <w:rPr>
          <w:color w:val="333333"/>
          <w:sz w:val="48"/>
          <w:szCs w:val="48"/>
        </w:rPr>
        <w:t>2009803</w:t>
      </w:r>
    </w:p>
    <w:p w:rsidR="001E180F" w:rsidRDefault="001E180F">
      <w:pPr>
        <w:pStyle w:val="a0"/>
        <w:jc w:val="center"/>
        <w:rPr>
          <w:color w:val="333333"/>
          <w:sz w:val="56"/>
          <w:szCs w:val="56"/>
        </w:rPr>
      </w:pPr>
      <w:r>
        <w:rPr>
          <w:color w:val="333333"/>
          <w:sz w:val="56"/>
          <w:szCs w:val="56"/>
        </w:rPr>
        <w:t>Lecture</w:t>
      </w:r>
      <w:r w:rsidR="0064603C">
        <w:rPr>
          <w:color w:val="333333"/>
          <w:sz w:val="56"/>
          <w:szCs w:val="56"/>
        </w:rPr>
        <w:t>:</w:t>
      </w:r>
    </w:p>
    <w:p w:rsidR="0064603C" w:rsidRPr="002D352A" w:rsidRDefault="009F702A">
      <w:pPr>
        <w:pStyle w:val="a0"/>
        <w:jc w:val="center"/>
        <w:rPr>
          <w:color w:val="333333"/>
          <w:sz w:val="48"/>
          <w:szCs w:val="48"/>
        </w:rPr>
      </w:pPr>
      <w:r>
        <w:rPr>
          <w:color w:val="333333"/>
          <w:sz w:val="48"/>
          <w:szCs w:val="48"/>
        </w:rPr>
        <w:t>Widim</w:t>
      </w:r>
      <w:r w:rsidR="0075612A" w:rsidRPr="002D352A">
        <w:rPr>
          <w:color w:val="333333"/>
          <w:sz w:val="48"/>
          <w:szCs w:val="48"/>
        </w:rPr>
        <w:t xml:space="preserve"> </w:t>
      </w:r>
      <w:r w:rsidR="002D352A">
        <w:rPr>
          <w:color w:val="333333"/>
          <w:sz w:val="48"/>
          <w:szCs w:val="48"/>
        </w:rPr>
        <w:t>Bongasu</w:t>
      </w:r>
      <w:r>
        <w:rPr>
          <w:color w:val="333333"/>
          <w:sz w:val="48"/>
          <w:szCs w:val="48"/>
        </w:rPr>
        <w:t xml:space="preserve"> Sha'ven</w:t>
      </w:r>
    </w:p>
    <w:p w:rsidR="002E2872" w:rsidRPr="00E44B1E" w:rsidRDefault="00E44B1E">
      <w:pPr>
        <w:pStyle w:val="a0"/>
        <w:jc w:val="center"/>
        <w:rPr>
          <w:color w:val="333333"/>
          <w:sz w:val="48"/>
          <w:szCs w:val="48"/>
        </w:rPr>
      </w:pPr>
      <w:r>
        <w:rPr>
          <w:color w:val="333333"/>
          <w:sz w:val="48"/>
          <w:szCs w:val="48"/>
        </w:rPr>
        <w:t>Winfred Soribe</w:t>
      </w:r>
    </w:p>
    <w:p w:rsidR="00000000" w:rsidRDefault="002C02B0">
      <w:pPr>
        <w:pStyle w:val="a0"/>
        <w:jc w:val="center"/>
        <w:rPr>
          <w:b/>
          <w:bCs/>
          <w:color w:val="333333"/>
          <w:sz w:val="72"/>
          <w:szCs w:val="72"/>
          <w:u w:val="single"/>
        </w:rPr>
      </w:pPr>
    </w:p>
    <w:p w:rsidR="00000000" w:rsidRDefault="002C02B0">
      <w:pPr>
        <w:pStyle w:val="a0"/>
        <w:jc w:val="cente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p>
    <w:p w:rsidR="00000000" w:rsidRDefault="002C02B0">
      <w:pPr>
        <w:pStyle w:val="ContentsHeading"/>
      </w:pPr>
      <w:r>
        <w:rPr>
          <w:rFonts w:ascii="Times New Roman" w:hAnsi="Times New Roman" w:cs="Times New Roman"/>
        </w:rPr>
        <w:lastRenderedPageBreak/>
        <w:t>Table of Contents</w:t>
      </w:r>
    </w:p>
    <w:p w:rsidR="00000000" w:rsidRDefault="002C02B0">
      <w:pPr>
        <w:pStyle w:val="10"/>
        <w:tabs>
          <w:tab w:val="right" w:leader="dot" w:pos="9360"/>
        </w:tabs>
      </w:pPr>
      <w:r>
        <w:fldChar w:fldCharType="begin"/>
      </w:r>
      <w:r>
        <w:instrText xml:space="preserve"> TOC \f \o "1-9" \o "1-9" </w:instrText>
      </w:r>
      <w:r>
        <w:fldChar w:fldCharType="separate"/>
      </w:r>
      <w:r>
        <w:t>INTRODUCTION</w:t>
      </w:r>
      <w:r>
        <w:tab/>
      </w:r>
      <w:hyperlink w:anchor="__RefHeading__16844_74978481" w:history="1">
        <w:r>
          <w:rPr>
            <w:rStyle w:val="IndexLink"/>
          </w:rPr>
          <w:t>3</w:t>
        </w:r>
      </w:hyperlink>
    </w:p>
    <w:p w:rsidR="00000000" w:rsidRDefault="002C02B0">
      <w:pPr>
        <w:pStyle w:val="10"/>
        <w:tabs>
          <w:tab w:val="right" w:leader="dot" w:pos="9360"/>
        </w:tabs>
      </w:pPr>
      <w:r>
        <w:t>QUESTION 1</w:t>
      </w:r>
      <w:r>
        <w:tab/>
      </w:r>
      <w:hyperlink w:anchor="__RefHeading__16846_74978481" w:history="1">
        <w:r>
          <w:rPr>
            <w:rStyle w:val="IndexLink"/>
          </w:rPr>
          <w:t>3</w:t>
        </w:r>
      </w:hyperlink>
    </w:p>
    <w:p w:rsidR="00000000" w:rsidRDefault="002C02B0">
      <w:pPr>
        <w:pStyle w:val="20"/>
        <w:tabs>
          <w:tab w:val="right" w:leader="dot" w:pos="9360"/>
        </w:tabs>
      </w:pPr>
      <w:r>
        <w:t>a) Preparation of Income statement and statement of financial</w:t>
      </w:r>
      <w:r>
        <w:t xml:space="preserve"> position of Eccles Plc.</w:t>
      </w:r>
      <w:r>
        <w:tab/>
      </w:r>
      <w:hyperlink w:anchor="__RefHeading__16848_74978481" w:history="1">
        <w:r>
          <w:rPr>
            <w:rStyle w:val="IndexLink"/>
          </w:rPr>
          <w:t>3</w:t>
        </w:r>
      </w:hyperlink>
    </w:p>
    <w:p w:rsidR="00000000" w:rsidRDefault="002C02B0">
      <w:pPr>
        <w:pStyle w:val="20"/>
        <w:tabs>
          <w:tab w:val="right" w:leader="dot" w:pos="9360"/>
        </w:tabs>
      </w:pPr>
      <w:r>
        <w:t>b) Explantation of why the statement of financial position balances</w:t>
      </w:r>
      <w:r>
        <w:tab/>
      </w:r>
      <w:hyperlink w:anchor="__RefHeading__16850_74978481" w:history="1">
        <w:r>
          <w:rPr>
            <w:rStyle w:val="IndexLink"/>
          </w:rPr>
          <w:t>4</w:t>
        </w:r>
      </w:hyperlink>
    </w:p>
    <w:p w:rsidR="00000000" w:rsidRDefault="002C02B0">
      <w:pPr>
        <w:pStyle w:val="10"/>
        <w:tabs>
          <w:tab w:val="right" w:leader="dot" w:pos="9360"/>
        </w:tabs>
      </w:pPr>
      <w:r>
        <w:t>QUESTION 2</w:t>
      </w:r>
      <w:r>
        <w:tab/>
      </w:r>
      <w:hyperlink w:anchor="__RefHeading__16852_74978481" w:history="1">
        <w:r>
          <w:rPr>
            <w:rStyle w:val="IndexLink"/>
          </w:rPr>
          <w:t>5</w:t>
        </w:r>
      </w:hyperlink>
    </w:p>
    <w:p w:rsidR="00000000" w:rsidRDefault="002C02B0">
      <w:pPr>
        <w:pStyle w:val="20"/>
        <w:tabs>
          <w:tab w:val="right" w:leader="dot" w:pos="9360"/>
        </w:tabs>
      </w:pPr>
      <w:r>
        <w:t>a) Preparation of schedule of ratios for Chocco Plc. for 2019 and 2018</w:t>
      </w:r>
      <w:r>
        <w:tab/>
      </w:r>
      <w:hyperlink w:anchor="__RefHeading__16854_74978481" w:history="1">
        <w:r>
          <w:rPr>
            <w:rStyle w:val="IndexLink"/>
          </w:rPr>
          <w:t>5</w:t>
        </w:r>
      </w:hyperlink>
    </w:p>
    <w:p w:rsidR="00000000" w:rsidRDefault="002C02B0">
      <w:pPr>
        <w:pStyle w:val="20"/>
        <w:tabs>
          <w:tab w:val="right" w:leader="dot" w:pos="9360"/>
        </w:tabs>
      </w:pPr>
      <w:r>
        <w:t>b) Comment on the financial performance and position of Chocco Plc.</w:t>
      </w:r>
      <w:r>
        <w:tab/>
      </w:r>
      <w:hyperlink w:anchor="__RefHeading__16856_74978481" w:history="1">
        <w:r>
          <w:rPr>
            <w:rStyle w:val="IndexLink"/>
          </w:rPr>
          <w:t>6</w:t>
        </w:r>
      </w:hyperlink>
    </w:p>
    <w:p w:rsidR="00000000" w:rsidRDefault="002C02B0">
      <w:pPr>
        <w:pStyle w:val="10"/>
        <w:tabs>
          <w:tab w:val="right" w:leader="dot" w:pos="9360"/>
        </w:tabs>
      </w:pPr>
      <w:r>
        <w:t>CONCLUSION</w:t>
      </w:r>
      <w:r>
        <w:tab/>
      </w:r>
      <w:hyperlink w:anchor="__RefHeading__16858_74978481" w:history="1">
        <w:r>
          <w:rPr>
            <w:rStyle w:val="IndexLink"/>
          </w:rPr>
          <w:t>6</w:t>
        </w:r>
      </w:hyperlink>
    </w:p>
    <w:p w:rsidR="00000000" w:rsidRDefault="002C02B0">
      <w:pPr>
        <w:pStyle w:val="10"/>
        <w:tabs>
          <w:tab w:val="right" w:leader="dot" w:pos="9360"/>
        </w:tabs>
      </w:pPr>
      <w:r>
        <w:t>REFERENCES</w:t>
      </w:r>
      <w:r>
        <w:tab/>
      </w:r>
      <w:hyperlink w:anchor="__RefHeading__16860_74978481" w:history="1">
        <w:r>
          <w:rPr>
            <w:rStyle w:val="IndexLink"/>
          </w:rPr>
          <w:t>1</w:t>
        </w:r>
      </w:hyperlink>
    </w:p>
    <w:p w:rsidR="00000000" w:rsidRDefault="002C02B0">
      <w:pPr>
        <w:pStyle w:val="10"/>
        <w:tabs>
          <w:tab w:val="right" w:leader="dot" w:pos="9360"/>
        </w:tabs>
      </w:pPr>
      <w:r>
        <w:fldChar w:fldCharType="end"/>
      </w:r>
    </w:p>
    <w:p w:rsidR="00000000" w:rsidRDefault="002C02B0">
      <w:pPr>
        <w:pStyle w:val="ContentsHeading"/>
        <w:tabs>
          <w:tab w:val="right" w:leader="dot" w:pos="9360"/>
        </w:tabs>
        <w:rPr>
          <w:rFonts w:ascii="Times New Roman" w:hAnsi="Times New Roman" w:cs="Times New Roman"/>
        </w:rPr>
      </w:pPr>
    </w:p>
    <w:p w:rsidR="00000000" w:rsidRDefault="002C02B0">
      <w:pPr>
        <w:pStyle w:val="1"/>
        <w:pageBreakBefore/>
      </w:pPr>
      <w:bookmarkStart w:id="0" w:name="__RefHeading__16844_74978481"/>
      <w:bookmarkStart w:id="1" w:name="__RefHeading___Toc58675404"/>
      <w:bookmarkEnd w:id="0"/>
      <w:bookmarkEnd w:id="1"/>
      <w:r>
        <w:lastRenderedPageBreak/>
        <w:t>INTRODUCTION</w:t>
      </w:r>
    </w:p>
    <w:p w:rsidR="00000000" w:rsidRDefault="002C02B0">
      <w:r>
        <w:tab/>
        <w:t>Accounting is the most important for preparing the financial statement of the company as it reflects the true picture of the busi</w:t>
      </w:r>
      <w:r>
        <w:t>ness operations. The report will prepare the income statement &amp; balance sheet and also calculate the ratio of the Eccles plc. and Chocco plc. respectively. The report will further explain why the statement of financial position balances. At last, the repor</w:t>
      </w:r>
      <w:r>
        <w:t>t will explain comment on the financial performance of the Chocco company.</w:t>
      </w:r>
    </w:p>
    <w:p w:rsidR="00000000" w:rsidRDefault="002C02B0"/>
    <w:p w:rsidR="00000000" w:rsidRDefault="002C02B0">
      <w:pPr>
        <w:pStyle w:val="1"/>
      </w:pPr>
      <w:bookmarkStart w:id="2" w:name="__RefHeading__16846_74978481"/>
      <w:bookmarkStart w:id="3" w:name="__RefHeading___Toc58675405"/>
      <w:bookmarkEnd w:id="2"/>
      <w:r>
        <w:t>Q</w:t>
      </w:r>
      <w:bookmarkEnd w:id="3"/>
      <w:r>
        <w:t>UESTION 1</w:t>
      </w:r>
    </w:p>
    <w:p w:rsidR="00000000" w:rsidRDefault="002C02B0">
      <w:pPr>
        <w:pStyle w:val="2"/>
        <w:rPr>
          <w:b/>
        </w:rPr>
      </w:pPr>
      <w:bookmarkStart w:id="4" w:name="__RefHeading__16848_74978481"/>
      <w:bookmarkEnd w:id="4"/>
      <w:r>
        <w:t>a) Preparation of Income statement and statement of financial position of Eccles Plc.</w:t>
      </w:r>
    </w:p>
    <w:p w:rsidR="00000000" w:rsidRDefault="002C02B0">
      <w:pPr>
        <w:jc w:val="center"/>
        <w:rPr>
          <w:b/>
          <w:bCs/>
        </w:rPr>
      </w:pPr>
      <w:r>
        <w:rPr>
          <w:b/>
          <w:bCs/>
        </w:rPr>
        <w:t xml:space="preserve">Income Statement </w:t>
      </w:r>
    </w:p>
    <w:p w:rsidR="00000000" w:rsidRDefault="002C02B0">
      <w:pPr>
        <w:jc w:val="center"/>
        <w:rPr>
          <w:b/>
          <w:bCs/>
          <w:color w:val="000000"/>
        </w:rPr>
      </w:pPr>
      <w:r>
        <w:rPr>
          <w:b/>
          <w:bCs/>
        </w:rPr>
        <w:t>for the year ended 31</w:t>
      </w:r>
      <w:r>
        <w:rPr>
          <w:b/>
          <w:bCs/>
          <w:vertAlign w:val="superscript"/>
        </w:rPr>
        <w:t>st</w:t>
      </w:r>
      <w:r>
        <w:rPr>
          <w:b/>
          <w:bCs/>
        </w:rPr>
        <w:t xml:space="preserve"> December 2019</w:t>
      </w:r>
    </w:p>
    <w:tbl>
      <w:tblPr>
        <w:tblW w:w="0" w:type="auto"/>
        <w:tblInd w:w="188" w:type="dxa"/>
        <w:tblLayout w:type="fixed"/>
        <w:tblCellMar>
          <w:top w:w="55" w:type="dxa"/>
          <w:left w:w="55" w:type="dxa"/>
          <w:bottom w:w="55" w:type="dxa"/>
          <w:right w:w="55" w:type="dxa"/>
        </w:tblCellMar>
        <w:tblLook w:val="0000" w:firstRow="0" w:lastRow="0" w:firstColumn="0" w:lastColumn="0" w:noHBand="0" w:noVBand="0"/>
      </w:tblPr>
      <w:tblGrid>
        <w:gridCol w:w="6735"/>
        <w:gridCol w:w="2374"/>
      </w:tblGrid>
      <w:tr w:rsidR="00000000">
        <w:tc>
          <w:tcPr>
            <w:tcW w:w="6735" w:type="dxa"/>
            <w:tcBorders>
              <w:top w:val="single" w:sz="1" w:space="0" w:color="000000"/>
              <w:left w:val="single" w:sz="1" w:space="0" w:color="000000"/>
              <w:bottom w:val="single" w:sz="1" w:space="0" w:color="000000"/>
            </w:tcBorders>
            <w:shd w:val="clear" w:color="auto" w:fill="auto"/>
          </w:tcPr>
          <w:p w:rsidR="00000000" w:rsidRDefault="002C02B0">
            <w:pPr>
              <w:pStyle w:val="TableContents"/>
              <w:rPr>
                <w:b/>
                <w:bCs/>
                <w:color w:val="000000"/>
              </w:rPr>
            </w:pPr>
            <w:r>
              <w:rPr>
                <w:b/>
                <w:bCs/>
                <w:color w:val="000000"/>
              </w:rPr>
              <w:t xml:space="preserve">Particular </w:t>
            </w:r>
          </w:p>
        </w:tc>
        <w:tc>
          <w:tcPr>
            <w:tcW w:w="2374"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2C02B0">
            <w:pPr>
              <w:pStyle w:val="TableContents"/>
            </w:pPr>
            <w:r>
              <w:rPr>
                <w:b/>
                <w:bCs/>
                <w:color w:val="000000"/>
              </w:rPr>
              <w:t>Amount</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rPr>
                <w:color w:val="000000"/>
              </w:rPr>
            </w:pPr>
            <w:r>
              <w:rPr>
                <w:color w:val="000000"/>
              </w:rPr>
              <w:t>Sales R</w:t>
            </w:r>
            <w:r>
              <w:rPr>
                <w:color w:val="000000"/>
              </w:rPr>
              <w:t>evenue (826650 + 980)</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rPr>
                <w:color w:val="000000"/>
              </w:rPr>
              <w:t>827630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rPr>
                <w:color w:val="000000"/>
              </w:rPr>
            </w:pPr>
            <w:r>
              <w:rPr>
                <w:color w:val="000000"/>
              </w:rPr>
              <w:t>Less Cost of Sale (578650 – 980 from closing stock)</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rPr>
                <w:color w:val="000000"/>
              </w:rPr>
              <w:t>-577670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rPr>
                <w:b/>
                <w:bCs/>
                <w:color w:val="000000"/>
              </w:rPr>
            </w:pPr>
            <w:r>
              <w:rPr>
                <w:b/>
                <w:bCs/>
                <w:color w:val="000000"/>
              </w:rPr>
              <w:t>Gross Profit</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rPr>
                <w:b/>
                <w:bCs/>
                <w:color w:val="000000"/>
              </w:rPr>
              <w:t>249960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rPr>
                <w:color w:val="000000"/>
              </w:rPr>
            </w:pPr>
            <w:r>
              <w:rPr>
                <w:color w:val="000000"/>
              </w:rPr>
              <w:t>Less Expenses:</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rPr>
                <w:color w:val="000000"/>
              </w:rPr>
            </w:pP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rPr>
                <w:color w:val="000000"/>
              </w:rPr>
            </w:pPr>
            <w:r>
              <w:rPr>
                <w:color w:val="000000"/>
              </w:rPr>
              <w:t>Administration expenses (30000)</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rPr>
                <w:color w:val="000000"/>
              </w:rPr>
            </w:pP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t>Interest Paid (2000)</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rPr>
                <w:color w:val="000000"/>
              </w:rPr>
            </w:pP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t>Directors Remuneration (5000)</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rPr>
                <w:color w:val="000000"/>
              </w:rPr>
            </w:pP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t>Distribution costs (28000)</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rPr>
                <w:color w:val="000000"/>
              </w:rPr>
            </w:pP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t>Sales com</w:t>
            </w:r>
            <w:r>
              <w:rPr>
                <w:color w:val="000000"/>
              </w:rPr>
              <w:t>mission (3000)</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rPr>
                <w:color w:val="000000"/>
              </w:rPr>
            </w:pP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t xml:space="preserve">Total Expenses </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color w:val="000000"/>
              </w:rPr>
              <w:t>-68000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b/>
                <w:bCs/>
                <w:color w:val="000000"/>
              </w:rPr>
            </w:pPr>
            <w:r>
              <w:rPr>
                <w:b/>
                <w:bCs/>
                <w:color w:val="000000"/>
              </w:rPr>
              <w:t xml:space="preserve">Net profit before tax </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b/>
                <w:bCs/>
                <w:color w:val="000000"/>
              </w:rPr>
              <w:t>181960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t xml:space="preserve">Less Corporation tax </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color w:val="000000"/>
              </w:rPr>
              <w:t>-68000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b/>
                <w:bCs/>
                <w:color w:val="000000"/>
              </w:rPr>
            </w:pPr>
            <w:r>
              <w:rPr>
                <w:b/>
                <w:bCs/>
                <w:color w:val="000000"/>
              </w:rPr>
              <w:t xml:space="preserve">Net Profit after tax </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b/>
                <w:bCs/>
                <w:color w:val="000000"/>
              </w:rPr>
              <w:t>113960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t>Less Preferences dividend paid</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color w:val="000000"/>
              </w:rPr>
              <w:t>-30000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b/>
                <w:bCs/>
                <w:color w:val="000000"/>
              </w:rPr>
            </w:pPr>
            <w:r>
              <w:rPr>
                <w:b/>
                <w:bCs/>
                <w:color w:val="000000"/>
              </w:rPr>
              <w:t>Earnings available for equity shareholders</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b/>
                <w:bCs/>
                <w:color w:val="000000"/>
              </w:rPr>
              <w:t>83960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color w:val="000000"/>
              </w:rPr>
            </w:pPr>
            <w:r>
              <w:rPr>
                <w:color w:val="000000"/>
              </w:rPr>
              <w:lastRenderedPageBreak/>
              <w:t xml:space="preserve">Less Ordinary dividend paid </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color w:val="000000"/>
              </w:rPr>
              <w:t>-20000</w:t>
            </w:r>
          </w:p>
        </w:tc>
      </w:tr>
      <w:tr w:rsidR="00000000">
        <w:tc>
          <w:tcPr>
            <w:tcW w:w="6735" w:type="dxa"/>
            <w:tcBorders>
              <w:left w:val="single" w:sz="1" w:space="0" w:color="000000"/>
              <w:bottom w:val="single" w:sz="1" w:space="0" w:color="000000"/>
            </w:tcBorders>
            <w:shd w:val="clear" w:color="auto" w:fill="auto"/>
          </w:tcPr>
          <w:p w:rsidR="00000000" w:rsidRDefault="002C02B0">
            <w:pPr>
              <w:pStyle w:val="TableContents"/>
              <w:snapToGrid w:val="0"/>
              <w:rPr>
                <w:b/>
                <w:bCs/>
                <w:color w:val="000000"/>
              </w:rPr>
            </w:pPr>
            <w:r>
              <w:rPr>
                <w:b/>
                <w:bCs/>
                <w:color w:val="000000"/>
              </w:rPr>
              <w:t>Net Profit Transfer to Retained earnings</w:t>
            </w:r>
          </w:p>
        </w:tc>
        <w:tc>
          <w:tcPr>
            <w:tcW w:w="2374"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rPr>
                <w:b/>
                <w:bCs/>
                <w:color w:val="000000"/>
              </w:rPr>
              <w:t>63960</w:t>
            </w:r>
          </w:p>
        </w:tc>
      </w:tr>
    </w:tbl>
    <w:p w:rsidR="00000000" w:rsidRDefault="002C02B0">
      <w:pPr>
        <w:rPr>
          <w:b/>
          <w:bCs/>
        </w:rPr>
      </w:pPr>
    </w:p>
    <w:p w:rsidR="00000000" w:rsidRDefault="002C02B0">
      <w:pPr>
        <w:jc w:val="center"/>
        <w:rPr>
          <w:b/>
          <w:bCs/>
        </w:rPr>
      </w:pPr>
      <w:r>
        <w:rPr>
          <w:b/>
          <w:bCs/>
        </w:rPr>
        <w:t xml:space="preserve">Statement of Financial position </w:t>
      </w:r>
    </w:p>
    <w:p w:rsidR="00000000" w:rsidRDefault="002C02B0">
      <w:pPr>
        <w:jc w:val="center"/>
        <w:rPr>
          <w:b/>
          <w:bCs/>
        </w:rPr>
      </w:pPr>
      <w:r>
        <w:rPr>
          <w:b/>
          <w:bCs/>
        </w:rPr>
        <w:t>as at 31</w:t>
      </w:r>
      <w:r>
        <w:rPr>
          <w:b/>
          <w:bCs/>
          <w:vertAlign w:val="superscript"/>
        </w:rPr>
        <w:t>st</w:t>
      </w:r>
      <w:r>
        <w:rPr>
          <w:b/>
          <w:bCs/>
        </w:rPr>
        <w:t xml:space="preserve"> December 2019</w:t>
      </w:r>
    </w:p>
    <w:tbl>
      <w:tblPr>
        <w:tblW w:w="0" w:type="auto"/>
        <w:tblInd w:w="174" w:type="dxa"/>
        <w:tblLayout w:type="fixed"/>
        <w:tblCellMar>
          <w:top w:w="55" w:type="dxa"/>
          <w:left w:w="55" w:type="dxa"/>
          <w:bottom w:w="55" w:type="dxa"/>
          <w:right w:w="55" w:type="dxa"/>
        </w:tblCellMar>
        <w:tblLook w:val="0000" w:firstRow="0" w:lastRow="0" w:firstColumn="0" w:lastColumn="0" w:noHBand="0" w:noVBand="0"/>
      </w:tblPr>
      <w:tblGrid>
        <w:gridCol w:w="6750"/>
        <w:gridCol w:w="2387"/>
      </w:tblGrid>
      <w:tr w:rsidR="00000000">
        <w:tc>
          <w:tcPr>
            <w:tcW w:w="6750" w:type="dxa"/>
            <w:tcBorders>
              <w:top w:val="single" w:sz="1" w:space="0" w:color="000000"/>
              <w:left w:val="single" w:sz="1" w:space="0" w:color="000000"/>
              <w:bottom w:val="single" w:sz="1" w:space="0" w:color="000000"/>
            </w:tcBorders>
            <w:shd w:val="clear" w:color="auto" w:fill="auto"/>
          </w:tcPr>
          <w:p w:rsidR="00000000" w:rsidRDefault="002C02B0">
            <w:pPr>
              <w:pStyle w:val="TableContents"/>
              <w:rPr>
                <w:b/>
                <w:bCs/>
              </w:rPr>
            </w:pPr>
            <w:r>
              <w:rPr>
                <w:b/>
                <w:bCs/>
              </w:rPr>
              <w:t xml:space="preserve">Particular </w:t>
            </w:r>
          </w:p>
        </w:tc>
        <w:tc>
          <w:tcPr>
            <w:tcW w:w="2387"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2C02B0">
            <w:pPr>
              <w:pStyle w:val="TableContents"/>
            </w:pPr>
            <w:r>
              <w:rPr>
                <w:b/>
                <w:bCs/>
              </w:rPr>
              <w:t xml:space="preserve">Amount </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ASSETS</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Fixed Assets:</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 xml:space="preserve">Plant and Equipment </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632730</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Current Assets</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rPr>
                <w:b/>
                <w:bCs/>
              </w:rPr>
            </w:pPr>
            <w:r>
              <w:rPr>
                <w:b/>
                <w:bCs/>
              </w:rPr>
              <w:t>Closing Stock (balancing figure)</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rPr>
                <w:b/>
                <w:bCs/>
              </w:rPr>
              <w:t>264560</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 xml:space="preserve">Debtors </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17012</w:t>
            </w:r>
            <w:r>
              <w:t>5</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Cash at Bank (12900 - 3000)</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9900</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rPr>
                <w:b/>
                <w:bCs/>
              </w:rPr>
            </w:pPr>
            <w:r>
              <w:rPr>
                <w:b/>
                <w:bCs/>
              </w:rPr>
              <w:t>Total Balance</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rPr>
                <w:b/>
                <w:bCs/>
              </w:rPr>
              <w:t>1077315</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snapToGrid w:val="0"/>
            </w:pP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EQUITY AND LIABILITIES</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Equities</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 xml:space="preserve">£1 Ordinary Shares </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310000</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 xml:space="preserve">10% £1 preference shares </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300000</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Retained Earnings (132000 + 63960)</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195960</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 xml:space="preserve">Liabilities: </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4% Debenture</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100000</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pPr>
            <w:r>
              <w:t>Trade Creditors</w:t>
            </w:r>
            <w:r>
              <w:t xml:space="preserve"> </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t>171355</w:t>
            </w:r>
          </w:p>
        </w:tc>
      </w:tr>
      <w:tr w:rsidR="00000000">
        <w:tc>
          <w:tcPr>
            <w:tcW w:w="6750" w:type="dxa"/>
            <w:tcBorders>
              <w:left w:val="single" w:sz="1" w:space="0" w:color="000000"/>
              <w:bottom w:val="single" w:sz="1" w:space="0" w:color="000000"/>
            </w:tcBorders>
            <w:shd w:val="clear" w:color="auto" w:fill="auto"/>
          </w:tcPr>
          <w:p w:rsidR="00000000" w:rsidRDefault="002C02B0">
            <w:pPr>
              <w:pStyle w:val="TableContents"/>
              <w:rPr>
                <w:b/>
                <w:bCs/>
              </w:rPr>
            </w:pPr>
            <w:r>
              <w:rPr>
                <w:b/>
                <w:bCs/>
              </w:rPr>
              <w:t xml:space="preserve">Total Balance </w:t>
            </w:r>
          </w:p>
        </w:tc>
        <w:tc>
          <w:tcPr>
            <w:tcW w:w="2387" w:type="dxa"/>
            <w:tcBorders>
              <w:left w:val="single" w:sz="1" w:space="0" w:color="000000"/>
              <w:bottom w:val="single" w:sz="1" w:space="0" w:color="000000"/>
              <w:right w:val="single" w:sz="1" w:space="0" w:color="000000"/>
            </w:tcBorders>
            <w:shd w:val="clear" w:color="auto" w:fill="auto"/>
          </w:tcPr>
          <w:p w:rsidR="00000000" w:rsidRDefault="002C02B0">
            <w:pPr>
              <w:pStyle w:val="TableContents"/>
            </w:pPr>
            <w:r>
              <w:rPr>
                <w:b/>
                <w:bCs/>
              </w:rPr>
              <w:t>1077315</w:t>
            </w:r>
          </w:p>
        </w:tc>
      </w:tr>
    </w:tbl>
    <w:p w:rsidR="00000000" w:rsidRDefault="002C02B0">
      <w:pPr>
        <w:rPr>
          <w:b/>
          <w:bCs/>
        </w:rPr>
      </w:pPr>
    </w:p>
    <w:p w:rsidR="00000000" w:rsidRDefault="002C02B0">
      <w:pPr>
        <w:pStyle w:val="2"/>
      </w:pPr>
      <w:bookmarkStart w:id="5" w:name="__RefHeading__16850_74978481"/>
      <w:bookmarkEnd w:id="5"/>
      <w:r>
        <w:lastRenderedPageBreak/>
        <w:t>b) Explantation of why the statement of financial position balances</w:t>
      </w:r>
    </w:p>
    <w:p w:rsidR="00000000" w:rsidRDefault="002C02B0">
      <w:pPr>
        <w:rPr>
          <w:color w:val="000000"/>
        </w:rPr>
      </w:pPr>
      <w:r>
        <w:rPr>
          <w:color w:val="000000"/>
        </w:rPr>
        <w:tab/>
        <w:t xml:space="preserve">The financial position of the company always balance with equal amount </w:t>
      </w:r>
      <w:r>
        <w:rPr>
          <w:b/>
          <w:bCs/>
          <w:color w:val="000000"/>
        </w:rPr>
        <w:t>because of the accounting principle of double entry</w:t>
      </w:r>
      <w:r>
        <w:rPr>
          <w:color w:val="000000"/>
        </w:rPr>
        <w:t>. This principle indicate that</w:t>
      </w:r>
      <w:r>
        <w:rPr>
          <w:color w:val="000000"/>
        </w:rPr>
        <w:t xml:space="preserve"> all the transaction of the business must be recorded in at least two different accounts. It is necessary to maintain the consistency of the transaction and is also an important for accounting. That's why the total assets of the company always balance with</w:t>
      </w:r>
      <w:r>
        <w:rPr>
          <w:color w:val="000000"/>
        </w:rPr>
        <w:t xml:space="preserve"> the total liabilities (</w:t>
      </w:r>
      <w:r>
        <w:rPr>
          <w:color w:val="222222"/>
          <w:szCs w:val="24"/>
        </w:rPr>
        <w:t>Franklin, Graybeal and Cooper, 2018</w:t>
      </w:r>
      <w:r>
        <w:rPr>
          <w:color w:val="000000"/>
        </w:rPr>
        <w:t>). The double-entry principle state that for every debit there is a corresponding credit for an equal amount of money. This principle along with the principle of accrual is a reason of balancing be</w:t>
      </w:r>
      <w:r>
        <w:rPr>
          <w:color w:val="000000"/>
        </w:rPr>
        <w:t xml:space="preserve">tween the assets and liabilities. The accrual principle state that the expenses and income is recorded in the period in which it is actual incurred rather than it is received or not. </w:t>
      </w:r>
    </w:p>
    <w:p w:rsidR="00000000" w:rsidRDefault="002C02B0">
      <w:pPr>
        <w:rPr>
          <w:color w:val="000000"/>
        </w:rPr>
      </w:pPr>
    </w:p>
    <w:p w:rsidR="00000000" w:rsidRDefault="002C02B0">
      <w:pPr>
        <w:pStyle w:val="1"/>
      </w:pPr>
      <w:bookmarkStart w:id="6" w:name="__RefHeading__16852_74978481"/>
      <w:bookmarkEnd w:id="6"/>
      <w:r>
        <w:t>QUESTION 2</w:t>
      </w:r>
    </w:p>
    <w:p w:rsidR="00000000" w:rsidRDefault="002C02B0">
      <w:pPr>
        <w:pStyle w:val="2"/>
      </w:pPr>
      <w:bookmarkStart w:id="7" w:name="__RefHeading__16854_74978481"/>
      <w:bookmarkEnd w:id="7"/>
      <w:r>
        <w:t>a) Preparation of schedule of ratios for Chocco Plc. for 201</w:t>
      </w:r>
      <w:r>
        <w:t>9 and 2018</w:t>
      </w:r>
    </w:p>
    <w:tbl>
      <w:tblPr>
        <w:tblW w:w="0" w:type="auto"/>
        <w:tblInd w:w="145" w:type="dxa"/>
        <w:tblLayout w:type="fixed"/>
        <w:tblCellMar>
          <w:top w:w="55" w:type="dxa"/>
          <w:left w:w="55" w:type="dxa"/>
          <w:bottom w:w="55" w:type="dxa"/>
          <w:right w:w="55" w:type="dxa"/>
        </w:tblCellMar>
        <w:tblLook w:val="0000" w:firstRow="0" w:lastRow="0" w:firstColumn="0" w:lastColumn="0" w:noHBand="0" w:noVBand="0"/>
      </w:tblPr>
      <w:tblGrid>
        <w:gridCol w:w="1950"/>
        <w:gridCol w:w="3750"/>
        <w:gridCol w:w="1635"/>
        <w:gridCol w:w="1785"/>
      </w:tblGrid>
      <w:tr w:rsidR="00000000">
        <w:tc>
          <w:tcPr>
            <w:tcW w:w="1950" w:type="dxa"/>
            <w:tcBorders>
              <w:top w:val="single" w:sz="1" w:space="0" w:color="000000"/>
              <w:left w:val="single" w:sz="1" w:space="0" w:color="000000"/>
              <w:bottom w:val="single" w:sz="1" w:space="0" w:color="000000"/>
            </w:tcBorders>
            <w:shd w:val="clear" w:color="auto" w:fill="auto"/>
          </w:tcPr>
          <w:p w:rsidR="00000000" w:rsidRDefault="002C02B0">
            <w:pPr>
              <w:pStyle w:val="TableContents"/>
            </w:pPr>
            <w:r>
              <w:t xml:space="preserve">Ratios </w:t>
            </w:r>
          </w:p>
        </w:tc>
        <w:tc>
          <w:tcPr>
            <w:tcW w:w="3750" w:type="dxa"/>
            <w:tcBorders>
              <w:top w:val="single" w:sz="1" w:space="0" w:color="000000"/>
              <w:left w:val="single" w:sz="1" w:space="0" w:color="000000"/>
              <w:bottom w:val="single" w:sz="1" w:space="0" w:color="000000"/>
            </w:tcBorders>
            <w:shd w:val="clear" w:color="auto" w:fill="auto"/>
          </w:tcPr>
          <w:p w:rsidR="00000000" w:rsidRDefault="002C02B0">
            <w:pPr>
              <w:pStyle w:val="TableContents"/>
            </w:pPr>
            <w:r>
              <w:t>Formula</w:t>
            </w:r>
          </w:p>
        </w:tc>
        <w:tc>
          <w:tcPr>
            <w:tcW w:w="1635" w:type="dxa"/>
            <w:tcBorders>
              <w:top w:val="single" w:sz="1" w:space="0" w:color="000000"/>
              <w:left w:val="single" w:sz="1" w:space="0" w:color="000000"/>
              <w:bottom w:val="single" w:sz="1" w:space="0" w:color="000000"/>
            </w:tcBorders>
            <w:shd w:val="clear" w:color="auto" w:fill="auto"/>
          </w:tcPr>
          <w:p w:rsidR="00000000" w:rsidRDefault="002C02B0">
            <w:pPr>
              <w:pStyle w:val="TableContents"/>
            </w:pPr>
            <w:r>
              <w:t>2019</w:t>
            </w:r>
          </w:p>
        </w:tc>
        <w:tc>
          <w:tcPr>
            <w:tcW w:w="1785"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2C02B0">
            <w:pPr>
              <w:pStyle w:val="TableContents"/>
            </w:pPr>
            <w:r>
              <w:t>2018</w:t>
            </w:r>
          </w:p>
        </w:tc>
      </w:tr>
      <w:tr w:rsidR="00000000">
        <w:tc>
          <w:tcPr>
            <w:tcW w:w="9120" w:type="dxa"/>
            <w:gridSpan w:val="4"/>
            <w:tcBorders>
              <w:left w:val="single" w:sz="1" w:space="0" w:color="000000"/>
              <w:bottom w:val="single" w:sz="1" w:space="0" w:color="000000"/>
              <w:right w:val="single" w:sz="1" w:space="0" w:color="000000"/>
            </w:tcBorders>
            <w:shd w:val="clear" w:color="auto" w:fill="auto"/>
          </w:tcPr>
          <w:p w:rsidR="00000000" w:rsidRDefault="002C02B0">
            <w:pPr>
              <w:pStyle w:val="TableContents"/>
              <w:jc w:val="center"/>
            </w:pPr>
            <w:r>
              <w:rPr>
                <w:b/>
                <w:bCs/>
              </w:rPr>
              <w:t>Liquidity Ratio</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pPr>
            <w:r>
              <w:t xml:space="preserve">Current Ratio </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Current Assets/ Current Liabilities</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0.9</w:t>
            </w:r>
          </w:p>
          <w:p w:rsidR="00000000" w:rsidRDefault="002C02B0">
            <w:pPr>
              <w:pStyle w:val="TableContents"/>
              <w:snapToGrid w:val="0"/>
            </w:pPr>
            <w:r>
              <w:t>(2303/ 2511)</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0.8</w:t>
            </w:r>
          </w:p>
          <w:p w:rsidR="00000000" w:rsidRDefault="002C02B0">
            <w:pPr>
              <w:pStyle w:val="TableContents"/>
              <w:snapToGrid w:val="0"/>
            </w:pPr>
            <w:r>
              <w:t>(2355/ 3046)</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pPr>
            <w:r>
              <w:t>Quick Ratio</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Current assets – Inventory/ Current liabilities</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0.6</w:t>
            </w:r>
          </w:p>
          <w:p w:rsidR="00000000" w:rsidRDefault="002C02B0">
            <w:pPr>
              <w:pStyle w:val="TableContents"/>
              <w:snapToGrid w:val="0"/>
            </w:pPr>
            <w:r>
              <w:t>(2303 – 708/ 2511)</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0.6</w:t>
            </w:r>
          </w:p>
          <w:p w:rsidR="00000000" w:rsidRDefault="002C02B0">
            <w:pPr>
              <w:pStyle w:val="TableContents"/>
              <w:snapToGrid w:val="0"/>
            </w:pPr>
            <w:r>
              <w:t>(2355 – 659/ 3046)</w:t>
            </w:r>
          </w:p>
        </w:tc>
      </w:tr>
      <w:tr w:rsidR="00000000">
        <w:tc>
          <w:tcPr>
            <w:tcW w:w="9120" w:type="dxa"/>
            <w:gridSpan w:val="4"/>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jc w:val="center"/>
            </w:pPr>
            <w:r>
              <w:rPr>
                <w:b/>
                <w:bCs/>
              </w:rPr>
              <w:t>Leverage</w:t>
            </w:r>
            <w:r>
              <w:rPr>
                <w:b/>
                <w:bCs/>
              </w:rPr>
              <w:t xml:space="preserve"> Ratio</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t>Debt-Equity Ratio</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Total Debt/ Total Equity</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2.2</w:t>
            </w:r>
          </w:p>
          <w:p w:rsidR="00000000" w:rsidRDefault="002C02B0">
            <w:pPr>
              <w:pStyle w:val="TableContents"/>
              <w:snapToGrid w:val="0"/>
            </w:pPr>
            <w:r>
              <w:t>(6648/ 3088)</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2.5</w:t>
            </w:r>
          </w:p>
          <w:p w:rsidR="00000000" w:rsidRDefault="002C02B0">
            <w:pPr>
              <w:pStyle w:val="TableContents"/>
              <w:snapToGrid w:val="0"/>
            </w:pPr>
            <w:r>
              <w:t>(7175/ 2912)</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t>Interest-Coverage Ratio</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EBIT/ Interest Expense</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3.7</w:t>
            </w:r>
          </w:p>
          <w:p w:rsidR="00000000" w:rsidRDefault="002C02B0">
            <w:pPr>
              <w:pStyle w:val="TableContents"/>
              <w:snapToGrid w:val="0"/>
            </w:pPr>
            <w:r>
              <w:t>(846/ 226)</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3.9</w:t>
            </w:r>
          </w:p>
          <w:p w:rsidR="00000000" w:rsidRDefault="002C02B0">
            <w:pPr>
              <w:pStyle w:val="TableContents"/>
              <w:snapToGrid w:val="0"/>
            </w:pPr>
            <w:r>
              <w:t>(720/ 181)</w:t>
            </w:r>
          </w:p>
        </w:tc>
      </w:tr>
      <w:tr w:rsidR="00000000">
        <w:tc>
          <w:tcPr>
            <w:tcW w:w="9120" w:type="dxa"/>
            <w:gridSpan w:val="4"/>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jc w:val="center"/>
            </w:pPr>
            <w:r>
              <w:rPr>
                <w:b/>
                <w:bCs/>
              </w:rPr>
              <w:t>Profitability Ratio</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t>Net Profit margin</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Net Profit/ Net Sales* 100</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6.4%</w:t>
            </w:r>
          </w:p>
          <w:p w:rsidR="00000000" w:rsidRDefault="002C02B0">
            <w:pPr>
              <w:pStyle w:val="TableContents"/>
              <w:snapToGrid w:val="0"/>
            </w:pPr>
            <w:r>
              <w:t>(431/ 6738* 100)</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5.7%</w:t>
            </w:r>
          </w:p>
          <w:p w:rsidR="00000000" w:rsidRDefault="002C02B0">
            <w:pPr>
              <w:pStyle w:val="TableContents"/>
              <w:snapToGrid w:val="0"/>
            </w:pPr>
            <w:r>
              <w:t>(366/ 6441* 100)</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lastRenderedPageBreak/>
              <w:t>Return on Capital Employed</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EBIT/ Net assets or Capital employed* 100</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27.4%</w:t>
            </w:r>
          </w:p>
          <w:p w:rsidR="00000000" w:rsidRDefault="002C02B0">
            <w:pPr>
              <w:pStyle w:val="TableContents"/>
              <w:snapToGrid w:val="0"/>
            </w:pPr>
            <w:r>
              <w:t>(846/ 3088* 100)</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24.7%</w:t>
            </w:r>
          </w:p>
          <w:p w:rsidR="00000000" w:rsidRDefault="002C02B0">
            <w:pPr>
              <w:pStyle w:val="TableContents"/>
              <w:snapToGrid w:val="0"/>
            </w:pPr>
            <w:r>
              <w:t>(720/ 2912* 100)</w:t>
            </w:r>
          </w:p>
        </w:tc>
      </w:tr>
      <w:tr w:rsidR="00000000">
        <w:tc>
          <w:tcPr>
            <w:tcW w:w="9120" w:type="dxa"/>
            <w:gridSpan w:val="4"/>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jc w:val="center"/>
            </w:pPr>
            <w:r>
              <w:rPr>
                <w:b/>
                <w:bCs/>
              </w:rPr>
              <w:t>Efficiency ratio</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t>Receivable collection days</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Receivables/ Sales* 365 days</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68 days</w:t>
            </w:r>
          </w:p>
          <w:p w:rsidR="00000000" w:rsidRDefault="002C02B0">
            <w:pPr>
              <w:pStyle w:val="TableContents"/>
              <w:snapToGrid w:val="0"/>
            </w:pPr>
            <w:r>
              <w:t>(1249/ 6738* 365)</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73 days</w:t>
            </w:r>
          </w:p>
          <w:p w:rsidR="00000000" w:rsidRDefault="002C02B0">
            <w:pPr>
              <w:pStyle w:val="TableContents"/>
              <w:snapToGrid w:val="0"/>
            </w:pPr>
            <w:r>
              <w:t xml:space="preserve">(1287/ 6441* </w:t>
            </w:r>
            <w:r>
              <w:t>365)</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t xml:space="preserve">Creditors payment days </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Payables/ cost of sales* 365 days</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66 days</w:t>
            </w:r>
          </w:p>
          <w:p w:rsidR="00000000" w:rsidRDefault="002C02B0">
            <w:pPr>
              <w:pStyle w:val="TableContents"/>
              <w:snapToGrid w:val="0"/>
            </w:pPr>
            <w:r>
              <w:t>(583/ 3235* 365)</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77 days</w:t>
            </w:r>
          </w:p>
          <w:p w:rsidR="00000000" w:rsidRDefault="002C02B0">
            <w:pPr>
              <w:pStyle w:val="TableContents"/>
              <w:snapToGrid w:val="0"/>
            </w:pPr>
            <w:r>
              <w:t>(655/ 3096* 365)</w:t>
            </w:r>
          </w:p>
        </w:tc>
      </w:tr>
      <w:tr w:rsidR="00000000">
        <w:tc>
          <w:tcPr>
            <w:tcW w:w="9120" w:type="dxa"/>
            <w:gridSpan w:val="4"/>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jc w:val="center"/>
            </w:pPr>
            <w:r>
              <w:rPr>
                <w:b/>
                <w:bCs/>
              </w:rPr>
              <w:t>Market Ratio</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t>Dividend Pay-out   Ratio</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r>
              <w:t>Dividend / Net income</w:t>
            </w: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0.59</w:t>
            </w:r>
          </w:p>
          <w:p w:rsidR="00000000" w:rsidRDefault="002C02B0">
            <w:pPr>
              <w:pStyle w:val="TableContents"/>
              <w:snapToGrid w:val="0"/>
            </w:pPr>
            <w:r>
              <w:t>(255/ 431)</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0.66</w:t>
            </w:r>
          </w:p>
          <w:p w:rsidR="00000000" w:rsidRDefault="002C02B0">
            <w:pPr>
              <w:pStyle w:val="TableContents"/>
              <w:snapToGrid w:val="0"/>
            </w:pPr>
            <w:r>
              <w:t>(242/ 366)</w:t>
            </w:r>
          </w:p>
        </w:tc>
      </w:tr>
      <w:tr w:rsidR="00000000">
        <w:tc>
          <w:tcPr>
            <w:tcW w:w="1950" w:type="dxa"/>
            <w:tcBorders>
              <w:left w:val="single" w:sz="1" w:space="0" w:color="000000"/>
              <w:bottom w:val="single" w:sz="1" w:space="0" w:color="000000"/>
            </w:tcBorders>
            <w:shd w:val="clear" w:color="auto" w:fill="auto"/>
          </w:tcPr>
          <w:p w:rsidR="00000000" w:rsidRDefault="002C02B0">
            <w:pPr>
              <w:pStyle w:val="TableContents"/>
              <w:snapToGrid w:val="0"/>
            </w:pPr>
            <w:r>
              <w:t>Earning per share</w:t>
            </w:r>
          </w:p>
        </w:tc>
        <w:tc>
          <w:tcPr>
            <w:tcW w:w="3750" w:type="dxa"/>
            <w:tcBorders>
              <w:left w:val="single" w:sz="1" w:space="0" w:color="000000"/>
              <w:bottom w:val="single" w:sz="1" w:space="0" w:color="000000"/>
            </w:tcBorders>
            <w:shd w:val="clear" w:color="auto" w:fill="auto"/>
          </w:tcPr>
          <w:p w:rsidR="00000000" w:rsidRDefault="002C02B0">
            <w:pPr>
              <w:pStyle w:val="TableContents"/>
              <w:snapToGrid w:val="0"/>
            </w:pPr>
          </w:p>
        </w:tc>
        <w:tc>
          <w:tcPr>
            <w:tcW w:w="1635" w:type="dxa"/>
            <w:tcBorders>
              <w:left w:val="single" w:sz="1" w:space="0" w:color="000000"/>
              <w:bottom w:val="single" w:sz="1" w:space="0" w:color="000000"/>
            </w:tcBorders>
            <w:shd w:val="clear" w:color="auto" w:fill="auto"/>
          </w:tcPr>
          <w:p w:rsidR="00000000" w:rsidRDefault="002C02B0">
            <w:pPr>
              <w:pStyle w:val="TableContents"/>
              <w:snapToGrid w:val="0"/>
            </w:pPr>
            <w:r>
              <w:t>5.12</w:t>
            </w:r>
          </w:p>
        </w:tc>
        <w:tc>
          <w:tcPr>
            <w:tcW w:w="1785" w:type="dxa"/>
            <w:tcBorders>
              <w:left w:val="single" w:sz="1" w:space="0" w:color="000000"/>
              <w:bottom w:val="single" w:sz="1" w:space="0" w:color="000000"/>
              <w:right w:val="single" w:sz="1" w:space="0" w:color="000000"/>
            </w:tcBorders>
            <w:shd w:val="clear" w:color="auto" w:fill="auto"/>
          </w:tcPr>
          <w:p w:rsidR="00000000" w:rsidRDefault="002C02B0">
            <w:pPr>
              <w:pStyle w:val="TableContents"/>
              <w:snapToGrid w:val="0"/>
            </w:pPr>
            <w:r>
              <w:t>4</w:t>
            </w:r>
          </w:p>
        </w:tc>
      </w:tr>
    </w:tbl>
    <w:p w:rsidR="00000000" w:rsidRDefault="002C02B0"/>
    <w:p w:rsidR="00000000" w:rsidRDefault="002C02B0">
      <w:pPr>
        <w:pStyle w:val="2"/>
        <w:rPr>
          <w:b/>
          <w:i/>
          <w:iCs/>
        </w:rPr>
      </w:pPr>
      <w:bookmarkStart w:id="8" w:name="__RefHeading__16856_74978481"/>
      <w:bookmarkEnd w:id="8"/>
      <w:r>
        <w:t>b) Comment on the f</w:t>
      </w:r>
      <w:r>
        <w:t>inancial performance and position of Chocco Plc.</w:t>
      </w:r>
    </w:p>
    <w:p w:rsidR="00000000" w:rsidRDefault="002C02B0">
      <w:pPr>
        <w:numPr>
          <w:ilvl w:val="0"/>
          <w:numId w:val="2"/>
        </w:numPr>
        <w:rPr>
          <w:b/>
          <w:bCs/>
          <w:i/>
          <w:iCs/>
        </w:rPr>
      </w:pPr>
      <w:r>
        <w:rPr>
          <w:b/>
          <w:bCs/>
          <w:i/>
          <w:iCs/>
        </w:rPr>
        <w:t>Liquidity Ratio</w:t>
      </w:r>
      <w:r>
        <w:t>: The current ratio of the Chocco Plc. In the year 2019 is 0.9 which is higher than the previous year of 0.8. While on the other hand, the quick ratio of the company in the current year is equ</w:t>
      </w:r>
      <w:r>
        <w:t>al to the previous year i.e., 0.6. This means that the liquidity position of the company is better and the company have an ability to pay off its current obligation with the use of only current assets (</w:t>
      </w:r>
      <w:r>
        <w:rPr>
          <w:color w:val="222222"/>
          <w:szCs w:val="24"/>
        </w:rPr>
        <w:t>Zavadskas and et.al., 2018</w:t>
      </w:r>
      <w:r>
        <w:t xml:space="preserve">). </w:t>
      </w:r>
    </w:p>
    <w:p w:rsidR="00000000" w:rsidRDefault="002C02B0">
      <w:pPr>
        <w:numPr>
          <w:ilvl w:val="0"/>
          <w:numId w:val="2"/>
        </w:numPr>
        <w:rPr>
          <w:b/>
          <w:bCs/>
          <w:i/>
          <w:iCs/>
        </w:rPr>
      </w:pPr>
      <w:r>
        <w:rPr>
          <w:b/>
          <w:bCs/>
          <w:i/>
          <w:iCs/>
        </w:rPr>
        <w:t>Leverage Ratio</w:t>
      </w:r>
      <w:r>
        <w:t>: The debt</w:t>
      </w:r>
      <w:r>
        <w:t xml:space="preserve">-equity ratio of the Chocco company in the current year is less than the previous year which indicate the poor performance of the company. But on the other hand, interest coverage ratio is also less than the previous year which indicate better performance </w:t>
      </w:r>
      <w:r>
        <w:t xml:space="preserve">of the company. In order to solve this problem, the company need to adopt more debt financing rather than the equity financing. </w:t>
      </w:r>
    </w:p>
    <w:p w:rsidR="00000000" w:rsidRDefault="002C02B0">
      <w:pPr>
        <w:numPr>
          <w:ilvl w:val="0"/>
          <w:numId w:val="2"/>
        </w:numPr>
        <w:rPr>
          <w:b/>
          <w:bCs/>
          <w:i/>
          <w:iCs/>
        </w:rPr>
      </w:pPr>
      <w:r>
        <w:rPr>
          <w:b/>
          <w:bCs/>
          <w:i/>
          <w:iCs/>
        </w:rPr>
        <w:t>Profitability Ratio</w:t>
      </w:r>
      <w:r>
        <w:t xml:space="preserve">: The net profit of the Chocco company in the year 2019 is 6.4% and return on capital employed for the same </w:t>
      </w:r>
      <w:r>
        <w:t xml:space="preserve">year was 27.4%. This is higher than the previous year which means that Chocco company's is able to earn profit and has better profitability </w:t>
      </w:r>
      <w:r>
        <w:lastRenderedPageBreak/>
        <w:t xml:space="preserve">position than earlier. In order to further improve this company need to reduce their cost of production and improve </w:t>
      </w:r>
      <w:r>
        <w:t>its sales (</w:t>
      </w:r>
      <w:r>
        <w:rPr>
          <w:color w:val="222222"/>
          <w:szCs w:val="24"/>
        </w:rPr>
        <w:t>Choi and et.al., 2018</w:t>
      </w:r>
      <w:r>
        <w:t xml:space="preserve">). </w:t>
      </w:r>
    </w:p>
    <w:p w:rsidR="00000000" w:rsidRDefault="002C02B0">
      <w:pPr>
        <w:numPr>
          <w:ilvl w:val="0"/>
          <w:numId w:val="2"/>
        </w:numPr>
        <w:rPr>
          <w:b/>
          <w:bCs/>
          <w:i/>
          <w:iCs/>
        </w:rPr>
      </w:pPr>
      <w:r>
        <w:rPr>
          <w:b/>
          <w:bCs/>
          <w:i/>
          <w:iCs/>
        </w:rPr>
        <w:t>Efficiency Ratio</w:t>
      </w:r>
      <w:r>
        <w:t>: The receivable collection days in the current year was less than the previous year which means best performance of company. But the creditors payment days is higher than previous year which means poor e</w:t>
      </w:r>
      <w:r>
        <w:t>fficiency performance of the company. It is because it affects the credit worthiness of the Chocco company which need to be improve. In order to improve this the company need to manage its cash balance and pay its creditors on time (</w:t>
      </w:r>
      <w:r>
        <w:rPr>
          <w:color w:val="222222"/>
          <w:szCs w:val="24"/>
        </w:rPr>
        <w:t>Pepple and Ejiogu, 2021</w:t>
      </w:r>
      <w:r>
        <w:t xml:space="preserve">). </w:t>
      </w:r>
    </w:p>
    <w:p w:rsidR="00000000" w:rsidRDefault="002C02B0">
      <w:pPr>
        <w:numPr>
          <w:ilvl w:val="0"/>
          <w:numId w:val="2"/>
        </w:numPr>
      </w:pPr>
      <w:r>
        <w:rPr>
          <w:b/>
          <w:bCs/>
          <w:i/>
          <w:iCs/>
        </w:rPr>
        <w:t>Market Ratio</w:t>
      </w:r>
      <w:r>
        <w:t>: The earning per share of the Chocco company was good as compared to the previous year but the dividend-payout ratio of the company is poor. This means that the company pay less dividend in current year as compared to the previous year whi</w:t>
      </w:r>
      <w:r>
        <w:t>ch need to be improve to satisfy their shareholders (</w:t>
      </w:r>
      <w:r>
        <w:rPr>
          <w:color w:val="222222"/>
          <w:szCs w:val="24"/>
        </w:rPr>
        <w:t>Limbong and et.al., 2018</w:t>
      </w:r>
      <w:r>
        <w:t xml:space="preserve">). </w:t>
      </w:r>
    </w:p>
    <w:p w:rsidR="00000000" w:rsidRDefault="002C02B0">
      <w:pPr>
        <w:pStyle w:val="1"/>
      </w:pPr>
    </w:p>
    <w:p w:rsidR="00000000" w:rsidRDefault="002C02B0">
      <w:pPr>
        <w:pStyle w:val="1"/>
      </w:pPr>
      <w:bookmarkStart w:id="9" w:name="__RefHeading__16858_74978481"/>
      <w:bookmarkStart w:id="10" w:name="__RefHeading___Toc58675406"/>
      <w:bookmarkEnd w:id="9"/>
      <w:bookmarkEnd w:id="10"/>
      <w:r>
        <w:t>CONCLUSION</w:t>
      </w:r>
    </w:p>
    <w:p w:rsidR="00000000" w:rsidRDefault="002C02B0">
      <w:r>
        <w:tab/>
        <w:t>The report concludes the income statement and balance sheet preparation along with the ratio calculation and analysis. The report has concluded the reason why the</w:t>
      </w:r>
      <w:r>
        <w:t xml:space="preserve"> balance of the financial position get matched. The report has concluded the performance of the Cochoa company on the basis of their ratio calculation and result. The report will further concludes the principle of double entry and accrual which help in mat</w:t>
      </w:r>
      <w:r>
        <w:t xml:space="preserve">ching the balance of assets and liabilities. </w:t>
      </w:r>
    </w:p>
    <w:p w:rsidR="00000000" w:rsidRDefault="002C02B0"/>
    <w:p w:rsidR="00000000" w:rsidRDefault="002C02B0"/>
    <w:p w:rsidR="00000000" w:rsidRDefault="002C02B0"/>
    <w:p w:rsidR="00000000" w:rsidRDefault="002C02B0">
      <w:pPr>
        <w:sectPr w:rsidR="00000000">
          <w:pgSz w:w="12240" w:h="15840"/>
          <w:pgMar w:top="1440" w:right="1440" w:bottom="1440" w:left="1440" w:header="708" w:footer="708" w:gutter="0"/>
          <w:cols w:space="708"/>
          <w:docGrid w:linePitch="600" w:charSpace="32768"/>
        </w:sectPr>
      </w:pPr>
    </w:p>
    <w:p w:rsidR="00000000" w:rsidRDefault="002C02B0">
      <w:pPr>
        <w:pStyle w:val="1"/>
        <w:rPr>
          <w:u w:val="single"/>
        </w:rPr>
      </w:pPr>
      <w:bookmarkStart w:id="11" w:name="__RefHeading__16860_74978481"/>
      <w:bookmarkStart w:id="12" w:name="__RefHeading___Toc58675407"/>
      <w:bookmarkEnd w:id="11"/>
      <w:bookmarkEnd w:id="12"/>
      <w:r>
        <w:lastRenderedPageBreak/>
        <w:t>REFERENCES</w:t>
      </w:r>
    </w:p>
    <w:p w:rsidR="00000000" w:rsidRDefault="002C02B0">
      <w:pPr>
        <w:pStyle w:val="a0"/>
        <w:rPr>
          <w:color w:val="222222"/>
          <w:szCs w:val="24"/>
        </w:rPr>
      </w:pPr>
      <w:r>
        <w:rPr>
          <w:u w:val="single"/>
        </w:rPr>
        <w:t>Books and journals</w:t>
      </w:r>
    </w:p>
    <w:p w:rsidR="00000000" w:rsidRDefault="002C02B0">
      <w:pPr>
        <w:ind w:left="855" w:hanging="765"/>
        <w:rPr>
          <w:color w:val="222222"/>
          <w:szCs w:val="24"/>
        </w:rPr>
      </w:pPr>
      <w:r>
        <w:rPr>
          <w:color w:val="222222"/>
          <w:szCs w:val="24"/>
        </w:rPr>
        <w:t>Zavadskas, E. K. and et.al., 2018. A novel multicriteria approach–rough step-wise weight assessment ratio analysis method (R-SWARA) and its application in logistics. </w:t>
      </w:r>
      <w:r>
        <w:rPr>
          <w:i/>
          <w:color w:val="222222"/>
          <w:szCs w:val="24"/>
        </w:rPr>
        <w:t>Studies in</w:t>
      </w:r>
      <w:r>
        <w:rPr>
          <w:i/>
          <w:color w:val="222222"/>
          <w:szCs w:val="24"/>
        </w:rPr>
        <w:t xml:space="preserve"> Informatics and Control.</w:t>
      </w:r>
      <w:r>
        <w:rPr>
          <w:color w:val="222222"/>
          <w:szCs w:val="24"/>
        </w:rPr>
        <w:t> </w:t>
      </w:r>
      <w:r>
        <w:rPr>
          <w:color w:val="222222"/>
          <w:szCs w:val="24"/>
        </w:rPr>
        <w:t>27</w:t>
      </w:r>
      <w:r>
        <w:rPr>
          <w:color w:val="222222"/>
          <w:szCs w:val="24"/>
        </w:rPr>
        <w:t>(1). pp.97-106.</w:t>
      </w:r>
    </w:p>
    <w:p w:rsidR="00000000" w:rsidRDefault="002C02B0">
      <w:pPr>
        <w:ind w:left="855" w:hanging="765"/>
        <w:rPr>
          <w:color w:val="222222"/>
          <w:szCs w:val="24"/>
        </w:rPr>
      </w:pPr>
      <w:r>
        <w:rPr>
          <w:color w:val="222222"/>
          <w:szCs w:val="24"/>
        </w:rPr>
        <w:t>Choi, K. B. and et.al., 2018. Amplification ratio analysis of a bridge-type mechanical amplification mechanism based on a fully compliant model. </w:t>
      </w:r>
      <w:r>
        <w:rPr>
          <w:i/>
          <w:color w:val="222222"/>
          <w:szCs w:val="24"/>
        </w:rPr>
        <w:t>Mechanism and Machine Theory.</w:t>
      </w:r>
      <w:r>
        <w:rPr>
          <w:color w:val="222222"/>
          <w:szCs w:val="24"/>
        </w:rPr>
        <w:t> </w:t>
      </w:r>
      <w:r>
        <w:rPr>
          <w:color w:val="222222"/>
          <w:szCs w:val="24"/>
        </w:rPr>
        <w:t>121</w:t>
      </w:r>
      <w:r>
        <w:rPr>
          <w:i/>
          <w:color w:val="222222"/>
          <w:szCs w:val="24"/>
        </w:rPr>
        <w:t>.</w:t>
      </w:r>
      <w:r>
        <w:rPr>
          <w:color w:val="222222"/>
          <w:szCs w:val="24"/>
        </w:rPr>
        <w:t xml:space="preserve"> pp.355-372.</w:t>
      </w:r>
    </w:p>
    <w:p w:rsidR="00000000" w:rsidRDefault="002C02B0">
      <w:pPr>
        <w:ind w:left="855" w:hanging="765"/>
        <w:rPr>
          <w:color w:val="222222"/>
          <w:szCs w:val="24"/>
        </w:rPr>
      </w:pPr>
      <w:r>
        <w:rPr>
          <w:color w:val="222222"/>
          <w:szCs w:val="24"/>
        </w:rPr>
        <w:t>Limbong, T. and et.a</w:t>
      </w:r>
      <w:r>
        <w:rPr>
          <w:color w:val="222222"/>
          <w:szCs w:val="24"/>
        </w:rPr>
        <w:t>l., 2018. The Implementation of Multi-Objective Optimization on the Basis of Ratio Analysis Method to Select the Lecturer Assistant Working at Computer Laboratorium. </w:t>
      </w:r>
      <w:r>
        <w:rPr>
          <w:i/>
          <w:color w:val="222222"/>
          <w:szCs w:val="24"/>
        </w:rPr>
        <w:t>Int. J. Eng. Technol.</w:t>
      </w:r>
      <w:r>
        <w:rPr>
          <w:color w:val="222222"/>
          <w:szCs w:val="24"/>
        </w:rPr>
        <w:t> </w:t>
      </w:r>
      <w:r>
        <w:rPr>
          <w:color w:val="222222"/>
          <w:szCs w:val="24"/>
        </w:rPr>
        <w:t>7</w:t>
      </w:r>
      <w:r>
        <w:rPr>
          <w:color w:val="222222"/>
          <w:szCs w:val="24"/>
        </w:rPr>
        <w:t>(2.13). p.352.</w:t>
      </w:r>
    </w:p>
    <w:p w:rsidR="00000000" w:rsidRDefault="002C02B0">
      <w:pPr>
        <w:ind w:left="855" w:hanging="765"/>
        <w:rPr>
          <w:color w:val="222222"/>
          <w:szCs w:val="24"/>
        </w:rPr>
      </w:pPr>
      <w:r>
        <w:rPr>
          <w:color w:val="222222"/>
          <w:szCs w:val="24"/>
        </w:rPr>
        <w:t>Pepple, D. and Ejiogu, C., 2021. Income Statement an</w:t>
      </w:r>
      <w:r>
        <w:rPr>
          <w:color w:val="222222"/>
          <w:szCs w:val="24"/>
        </w:rPr>
        <w:t>d Balance Sheet. In </w:t>
      </w:r>
      <w:r>
        <w:rPr>
          <w:i/>
          <w:color w:val="222222"/>
          <w:szCs w:val="24"/>
        </w:rPr>
        <w:t>Financial and Managerial Aspects in Human Resource Management: A Practical Guide</w:t>
      </w:r>
      <w:r>
        <w:rPr>
          <w:color w:val="222222"/>
          <w:szCs w:val="24"/>
        </w:rPr>
        <w:t>. Emerald Publishing Limited.</w:t>
      </w:r>
    </w:p>
    <w:p w:rsidR="00000000" w:rsidRDefault="002C02B0">
      <w:pPr>
        <w:ind w:left="855" w:hanging="765"/>
        <w:rPr>
          <w:szCs w:val="24"/>
        </w:rPr>
      </w:pPr>
      <w:r>
        <w:rPr>
          <w:color w:val="222222"/>
          <w:szCs w:val="24"/>
        </w:rPr>
        <w:t>Franklin, M., Graybeal, P. and Cooper, D., 2018</w:t>
      </w:r>
      <w:r>
        <w:rPr>
          <w:color w:val="222222"/>
          <w:szCs w:val="24"/>
        </w:rPr>
        <w:t>. Describe the Income Statement, Statement of Owner’s Equity, Balance Sheet, an</w:t>
      </w:r>
      <w:r>
        <w:rPr>
          <w:color w:val="222222"/>
          <w:szCs w:val="24"/>
        </w:rPr>
        <w:t>d Statement of Cash Flows, and How They Interrelate. </w:t>
      </w:r>
      <w:r>
        <w:rPr>
          <w:i/>
          <w:color w:val="222222"/>
          <w:szCs w:val="24"/>
        </w:rPr>
        <w:t>Principles of Accounting, Volume 1: Financial Accounting</w:t>
      </w:r>
      <w:r>
        <w:rPr>
          <w:color w:val="222222"/>
          <w:szCs w:val="24"/>
        </w:rPr>
        <w:t>.</w:t>
      </w:r>
    </w:p>
    <w:p w:rsidR="00000000" w:rsidRDefault="002C02B0">
      <w:pPr>
        <w:ind w:left="855" w:hanging="765"/>
        <w:rPr>
          <w:szCs w:val="24"/>
        </w:rPr>
      </w:pPr>
    </w:p>
    <w:p w:rsidR="00000000" w:rsidRDefault="002C02B0">
      <w:pPr>
        <w:rPr>
          <w:sz w:val="48"/>
          <w:szCs w:val="24"/>
        </w:rPr>
      </w:pPr>
    </w:p>
    <w:p w:rsidR="00000000" w:rsidRDefault="002C02B0">
      <w:pPr>
        <w:rPr>
          <w:sz w:val="48"/>
          <w:szCs w:val="24"/>
        </w:rPr>
      </w:pPr>
    </w:p>
    <w:p w:rsidR="00000000" w:rsidRDefault="002C02B0">
      <w:pPr>
        <w:rPr>
          <w:sz w:val="48"/>
          <w:szCs w:val="24"/>
        </w:rPr>
      </w:pPr>
    </w:p>
    <w:p w:rsidR="00000000" w:rsidRDefault="002C02B0">
      <w:pPr>
        <w:rPr>
          <w:sz w:val="48"/>
          <w:szCs w:val="24"/>
        </w:rPr>
      </w:pPr>
    </w:p>
    <w:p w:rsidR="00000000" w:rsidRDefault="002C02B0">
      <w:pPr>
        <w:rPr>
          <w:sz w:val="48"/>
          <w:szCs w:val="24"/>
        </w:rPr>
      </w:pPr>
    </w:p>
    <w:p w:rsidR="00000000" w:rsidRDefault="002C02B0"/>
    <w:sectPr w:rsidR="00000000">
      <w:footerReference w:type="default" r:id="rId13"/>
      <w:pgSz w:w="12240" w:h="15840"/>
      <w:pgMar w:top="1440" w:right="1440" w:bottom="1440" w:left="1440" w:header="708"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2C02B0">
      <w:pPr>
        <w:spacing w:line="240" w:lineRule="auto"/>
      </w:pPr>
      <w:r>
        <w:separator/>
      </w:r>
    </w:p>
  </w:endnote>
  <w:endnote w:type="continuationSeparator" w:id="0">
    <w:p w:rsidR="00000000" w:rsidRDefault="002C02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FE7" w:rsidRDefault="00B71FE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FE7" w:rsidRDefault="00B71FE7">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FE7" w:rsidRDefault="00B71FE7">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2C02B0">
    <w:pPr>
      <w:pStyle w:val="a8"/>
      <w:jc w:val="center"/>
    </w:pPr>
    <w:r>
      <w:fldChar w:fldCharType="begin"/>
    </w:r>
    <w:r>
      <w:instrText xml:space="preserve"> PAGE </w:instrText>
    </w:r>
    <w:r>
      <w:fldChar w:fldCharType="separate"/>
    </w:r>
    <w:r>
      <w:t>1</w:t>
    </w:r>
    <w:r>
      <w:fldChar w:fldCharType="end"/>
    </w:r>
  </w:p>
  <w:p w:rsidR="00000000" w:rsidRDefault="002C02B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2C02B0">
      <w:pPr>
        <w:spacing w:line="240" w:lineRule="auto"/>
      </w:pPr>
      <w:r>
        <w:separator/>
      </w:r>
    </w:p>
  </w:footnote>
  <w:footnote w:type="continuationSeparator" w:id="0">
    <w:p w:rsidR="00000000" w:rsidRDefault="002C02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FE7" w:rsidRDefault="00B71FE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FE7" w:rsidRDefault="00B71FE7">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FE7" w:rsidRDefault="00B71FE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FE7"/>
    <w:rsid w:val="001E180F"/>
    <w:rsid w:val="002C02B0"/>
    <w:rsid w:val="002D352A"/>
    <w:rsid w:val="002E2872"/>
    <w:rsid w:val="00313620"/>
    <w:rsid w:val="00316BE8"/>
    <w:rsid w:val="003E06E7"/>
    <w:rsid w:val="0064603C"/>
    <w:rsid w:val="0075612A"/>
    <w:rsid w:val="009F702A"/>
    <w:rsid w:val="00A14462"/>
    <w:rsid w:val="00B71FE7"/>
    <w:rsid w:val="00BA6019"/>
    <w:rsid w:val="00C362AE"/>
    <w:rsid w:val="00C4264A"/>
    <w:rsid w:val="00C60FBB"/>
    <w:rsid w:val="00E44B1E"/>
    <w:rsid w:val="00E63B0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6DFFF69B"/>
  <w15:chartTrackingRefBased/>
  <w15:docId w15:val="{76B3A11E-A26C-B74B-B648-5234811B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360" w:lineRule="auto"/>
      <w:jc w:val="both"/>
    </w:pPr>
    <w:rPr>
      <w:rFonts w:eastAsia="Calibri"/>
      <w:sz w:val="24"/>
      <w:szCs w:val="22"/>
      <w:lang w:val="en-GB" w:eastAsia="ar-SA"/>
    </w:rPr>
  </w:style>
  <w:style w:type="paragraph" w:styleId="1">
    <w:name w:val="heading 1"/>
    <w:basedOn w:val="a"/>
    <w:next w:val="a"/>
    <w:qFormat/>
    <w:pPr>
      <w:keepNext/>
      <w:keepLines/>
      <w:numPr>
        <w:numId w:val="1"/>
      </w:numPr>
      <w:outlineLvl w:val="0"/>
    </w:pPr>
    <w:rPr>
      <w:rFonts w:eastAsia="Times New Roman"/>
      <w:b/>
      <w:bCs/>
      <w:color w:val="000000"/>
      <w:sz w:val="28"/>
      <w:szCs w:val="28"/>
    </w:rPr>
  </w:style>
  <w:style w:type="paragraph" w:styleId="2">
    <w:name w:val="heading 2"/>
    <w:basedOn w:val="a"/>
    <w:next w:val="a"/>
    <w:qFormat/>
    <w:pPr>
      <w:keepNext/>
      <w:keepLines/>
      <w:numPr>
        <w:ilvl w:val="1"/>
        <w:numId w:val="1"/>
      </w:numPr>
      <w:outlineLvl w:val="1"/>
    </w:pPr>
    <w:rPr>
      <w:rFonts w:eastAsia="Times New Roman"/>
      <w:bCs/>
      <w:color w:val="000000"/>
      <w:szCs w:val="26"/>
      <w:u w:val="single"/>
    </w:rPr>
  </w:style>
  <w:style w:type="paragraph" w:styleId="3">
    <w:name w:val="heading 3"/>
    <w:basedOn w:val="Heading"/>
    <w:next w:val="a0"/>
    <w:qFormat/>
    <w:pPr>
      <w:numPr>
        <w:ilvl w:val="2"/>
        <w:numId w:val="1"/>
      </w:numPr>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
    <w:name w:val="Default Paragraph Font"/>
  </w:style>
  <w:style w:type="character" w:customStyle="1" w:styleId="WW-DefaultParagraphFont">
    <w:name w:val="WW-Default Paragraph Font"/>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a4">
    <w:name w:val="Hyperlink"/>
    <w:rPr>
      <w:color w:val="000080"/>
      <w:u w:val="single"/>
      <w:lang/>
    </w:rPr>
  </w:style>
  <w:style w:type="character" w:styleId="a5">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0">
    <w:name w:val="Body Text"/>
    <w:basedOn w:val="a"/>
    <w:rPr>
      <w:color w:val="000000"/>
    </w:rPr>
  </w:style>
  <w:style w:type="paragraph" w:styleId="a6">
    <w:name w:val="List"/>
    <w:basedOn w:val="a0"/>
    <w:rPr>
      <w:rFonts w:cs="DejaVu Sans"/>
    </w:rPr>
  </w:style>
  <w:style w:type="paragraph" w:customStyle="1" w:styleId="Caption">
    <w:name w:val="Caption"/>
    <w:basedOn w:val="a"/>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7">
    <w:name w:val="header"/>
    <w:basedOn w:val="a"/>
    <w:pPr>
      <w:tabs>
        <w:tab w:val="center" w:pos="4680"/>
        <w:tab w:val="right" w:pos="9360"/>
      </w:tabs>
      <w:spacing w:line="240" w:lineRule="auto"/>
    </w:pPr>
  </w:style>
  <w:style w:type="paragraph" w:styleId="a8">
    <w:name w:val="footer"/>
    <w:basedOn w:val="a"/>
    <w:pPr>
      <w:tabs>
        <w:tab w:val="center" w:pos="4680"/>
        <w:tab w:val="right" w:pos="9360"/>
      </w:tabs>
      <w:spacing w:line="240" w:lineRule="auto"/>
    </w:pPr>
  </w:style>
  <w:style w:type="paragraph" w:customStyle="1" w:styleId="TOCHeading">
    <w:name w:val="TOC Heading"/>
    <w:basedOn w:val="1"/>
    <w:next w:val="a"/>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10">
    <w:name w:val="toc 1"/>
    <w:basedOn w:val="a"/>
    <w:next w:val="a"/>
  </w:style>
  <w:style w:type="paragraph" w:customStyle="1" w:styleId="TableContents">
    <w:name w:val="Table Contents"/>
    <w:basedOn w:val="a"/>
    <w:pPr>
      <w:suppressLineNumbers/>
    </w:pPr>
    <w:rPr>
      <w:rFonts w:eastAsia="Times New Roman"/>
    </w:rPr>
  </w:style>
  <w:style w:type="paragraph" w:styleId="20">
    <w:name w:val="toc 2"/>
    <w:basedOn w:val="a"/>
    <w:next w:val="a"/>
    <w:pPr>
      <w:ind w:left="240"/>
    </w:pPr>
  </w:style>
  <w:style w:type="paragraph" w:customStyle="1" w:styleId="NormalWeb">
    <w:name w:val="Normal (Web)"/>
    <w:basedOn w:val="a"/>
    <w:pPr>
      <w:suppressAutoHyphens w:val="0"/>
      <w:spacing w:before="280" w:after="280" w:line="240" w:lineRule="auto"/>
      <w:jc w:val="left"/>
    </w:pPr>
    <w:rPr>
      <w:rFonts w:eastAsia="Times New Roman"/>
      <w:szCs w:val="24"/>
      <w:lang w:val="en-US"/>
    </w:rPr>
  </w:style>
  <w:style w:type="paragraph" w:styleId="30">
    <w:name w:val="toc 3"/>
    <w:basedOn w:val="Index"/>
    <w:pPr>
      <w:tabs>
        <w:tab w:val="right" w:leader="dot" w:pos="9072"/>
      </w:tabs>
      <w:ind w:left="566"/>
    </w:pPr>
  </w:style>
  <w:style w:type="paragraph" w:styleId="4">
    <w:name w:val="toc 4"/>
    <w:basedOn w:val="Index"/>
    <w:pPr>
      <w:tabs>
        <w:tab w:val="right" w:leader="dot" w:pos="8789"/>
      </w:tabs>
      <w:ind w:left="849"/>
    </w:pPr>
  </w:style>
  <w:style w:type="paragraph" w:styleId="5">
    <w:name w:val="toc 5"/>
    <w:basedOn w:val="Index"/>
    <w:pPr>
      <w:tabs>
        <w:tab w:val="right" w:leader="dot" w:pos="8506"/>
      </w:tabs>
      <w:ind w:left="1132"/>
    </w:pPr>
  </w:style>
  <w:style w:type="paragraph" w:styleId="6">
    <w:name w:val="toc 6"/>
    <w:basedOn w:val="Index"/>
    <w:pPr>
      <w:tabs>
        <w:tab w:val="right" w:leader="dot" w:pos="8223"/>
      </w:tabs>
      <w:ind w:left="1415"/>
    </w:pPr>
  </w:style>
  <w:style w:type="paragraph" w:styleId="7">
    <w:name w:val="toc 7"/>
    <w:basedOn w:val="Index"/>
    <w:pPr>
      <w:tabs>
        <w:tab w:val="right" w:leader="dot" w:pos="7940"/>
      </w:tabs>
      <w:ind w:left="1698"/>
    </w:pPr>
  </w:style>
  <w:style w:type="paragraph" w:styleId="8">
    <w:name w:val="toc 8"/>
    <w:basedOn w:val="Index"/>
    <w:pPr>
      <w:tabs>
        <w:tab w:val="right" w:leader="dot" w:pos="7657"/>
      </w:tabs>
      <w:ind w:left="1981"/>
    </w:pPr>
  </w:style>
  <w:style w:type="paragraph" w:styleId="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45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1261</Words>
  <Characters>7193</Characters>
  <Application>Microsoft Office Word</Application>
  <DocSecurity>0</DocSecurity>
  <Lines>59</Lines>
  <Paragraphs>16</Paragraphs>
  <ScaleCrop>false</ScaleCrop>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Alberto Trisindzhirski</cp:lastModifiedBy>
  <cp:revision>2</cp:revision>
  <cp:lastPrinted>1601-01-01T00:00:00Z</cp:lastPrinted>
  <dcterms:created xsi:type="dcterms:W3CDTF">2021-08-14T05:39:00Z</dcterms:created>
  <dcterms:modified xsi:type="dcterms:W3CDTF">2021-08-14T05:39:00Z</dcterms:modified>
</cp:coreProperties>
</file>