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172A8" w14:textId="17487E03" w:rsidR="00033ACC" w:rsidRDefault="00033ACC">
      <w:pPr>
        <w:rPr>
          <w:rFonts w:ascii="Arial" w:hAnsi="Arial" w:cs="Arial"/>
          <w:sz w:val="28"/>
          <w:szCs w:val="28"/>
        </w:rPr>
      </w:pPr>
      <w:r>
        <w:rPr>
          <w:sz w:val="24"/>
          <w:szCs w:val="24"/>
        </w:rPr>
        <w:t xml:space="preserve">                                                   </w:t>
      </w:r>
      <w:r>
        <w:rPr>
          <w:rFonts w:ascii="Arial" w:hAnsi="Arial" w:cs="Arial"/>
          <w:sz w:val="28"/>
          <w:szCs w:val="28"/>
        </w:rPr>
        <w:t>Chapter two</w:t>
      </w:r>
    </w:p>
    <w:p w14:paraId="2BE2F7E4" w14:textId="480FB81A" w:rsidR="00033ACC" w:rsidRPr="00033ACC" w:rsidRDefault="00033ACC">
      <w:pPr>
        <w:rPr>
          <w:rFonts w:ascii="Arial" w:hAnsi="Arial" w:cs="Arial"/>
          <w:sz w:val="28"/>
          <w:szCs w:val="28"/>
        </w:rPr>
      </w:pPr>
      <w:r>
        <w:rPr>
          <w:rFonts w:ascii="Arial" w:hAnsi="Arial" w:cs="Arial"/>
          <w:sz w:val="28"/>
          <w:szCs w:val="28"/>
        </w:rPr>
        <w:t xml:space="preserve">                                  Literature review</w:t>
      </w:r>
    </w:p>
    <w:p w14:paraId="4A5FA682" w14:textId="461F341F" w:rsidR="009944C0" w:rsidRPr="004925BB" w:rsidRDefault="005D6482" w:rsidP="000D2AED">
      <w:pPr>
        <w:rPr>
          <w:rFonts w:cstheme="minorHAnsi"/>
        </w:rPr>
      </w:pPr>
      <w:r w:rsidRPr="004925BB">
        <w:rPr>
          <w:rFonts w:cstheme="minorHAnsi"/>
        </w:rPr>
        <w:t>To understand the relationship between ACEs and criminal behaviour in adolescents and young adults, this chapter will include the current understanding of ACEs, an overview of all current literature on ACEs stating whether negative events in childhood lead to negative behaviour in later life, and finally the effectiveness of preventions.</w:t>
      </w:r>
    </w:p>
    <w:p w14:paraId="09AE739D" w14:textId="7057D9CC" w:rsidR="00323582" w:rsidRPr="00B5073C" w:rsidRDefault="00ED4657" w:rsidP="000D2AED">
      <w:pPr>
        <w:rPr>
          <w:rFonts w:cstheme="minorHAnsi"/>
          <w:b/>
          <w:bCs/>
          <w:sz w:val="24"/>
          <w:szCs w:val="24"/>
        </w:rPr>
      </w:pPr>
      <w:r w:rsidRPr="00B5073C">
        <w:rPr>
          <w:rFonts w:cstheme="minorHAnsi"/>
          <w:b/>
          <w:bCs/>
          <w:sz w:val="28"/>
          <w:szCs w:val="28"/>
        </w:rPr>
        <w:t>2</w:t>
      </w:r>
      <w:r w:rsidRPr="00B5073C">
        <w:rPr>
          <w:rFonts w:cstheme="minorHAnsi"/>
          <w:b/>
          <w:bCs/>
          <w:sz w:val="24"/>
          <w:szCs w:val="24"/>
        </w:rPr>
        <w:t>.</w:t>
      </w:r>
      <w:r w:rsidR="00870606" w:rsidRPr="00B5073C">
        <w:rPr>
          <w:rFonts w:cstheme="minorHAnsi"/>
          <w:b/>
          <w:bCs/>
          <w:sz w:val="24"/>
          <w:szCs w:val="24"/>
        </w:rPr>
        <w:t>1</w:t>
      </w:r>
      <w:r w:rsidRPr="00B5073C">
        <w:rPr>
          <w:rFonts w:cstheme="minorHAnsi"/>
          <w:b/>
          <w:bCs/>
          <w:sz w:val="24"/>
          <w:szCs w:val="24"/>
        </w:rPr>
        <w:t xml:space="preserve">  Current understanding of ACEs</w:t>
      </w:r>
      <w:r w:rsidR="0010142F" w:rsidRPr="00B5073C">
        <w:rPr>
          <w:rFonts w:cstheme="minorHAnsi"/>
          <w:b/>
          <w:bCs/>
          <w:sz w:val="24"/>
          <w:szCs w:val="24"/>
        </w:rPr>
        <w:t xml:space="preserve"> </w:t>
      </w:r>
    </w:p>
    <w:p w14:paraId="413F9EAF" w14:textId="5A4F2274" w:rsidR="005D047D" w:rsidRPr="004925BB" w:rsidRDefault="00ED4657" w:rsidP="005D047D">
      <w:pPr>
        <w:rPr>
          <w:rFonts w:cstheme="minorHAnsi"/>
        </w:rPr>
      </w:pPr>
      <w:bookmarkStart w:id="0" w:name="_Hlk152280512"/>
      <w:r w:rsidRPr="004925BB">
        <w:rPr>
          <w:rFonts w:cstheme="minorHAnsi"/>
        </w:rPr>
        <w:t xml:space="preserve">It is important to understand </w:t>
      </w:r>
      <w:r w:rsidR="00972D43" w:rsidRPr="004925BB">
        <w:rPr>
          <w:rFonts w:cstheme="minorHAnsi"/>
        </w:rPr>
        <w:t>how ACEs are defined</w:t>
      </w:r>
      <w:r w:rsidR="00AF1B3B" w:rsidRPr="004925BB">
        <w:rPr>
          <w:rFonts w:cstheme="minorHAnsi"/>
        </w:rPr>
        <w:t xml:space="preserve"> although there is</w:t>
      </w:r>
      <w:r w:rsidR="004B1216" w:rsidRPr="004925BB">
        <w:rPr>
          <w:rFonts w:cstheme="minorHAnsi"/>
        </w:rPr>
        <w:t xml:space="preserve"> not</w:t>
      </w:r>
      <w:r w:rsidR="00AF1B3B" w:rsidRPr="004925BB">
        <w:rPr>
          <w:rFonts w:cstheme="minorHAnsi"/>
        </w:rPr>
        <w:t xml:space="preserve"> an official definition of </w:t>
      </w:r>
      <w:r w:rsidR="00242F2D" w:rsidRPr="004925BB">
        <w:rPr>
          <w:rFonts w:cstheme="minorHAnsi"/>
        </w:rPr>
        <w:t>ACEs (Parliament, 2018). Adversity is a term used to define the difficult circumstances and events that an individual has gone through. Some would define ACEs as extremely stressful and even traumatic incidents or circumstances that happen in childhood or adolescence</w:t>
      </w:r>
      <w:r w:rsidR="00437E9F" w:rsidRPr="004925BB">
        <w:rPr>
          <w:rFonts w:cstheme="minorHAnsi"/>
        </w:rPr>
        <w:t xml:space="preserve"> (Young Minds, 2023).</w:t>
      </w:r>
      <w:r w:rsidR="00EB42E9" w:rsidRPr="004925BB">
        <w:rPr>
          <w:rFonts w:cstheme="minorHAnsi"/>
        </w:rPr>
        <w:t xml:space="preserve"> This includes any children between the age of 0-17 years old that experiences any negative event in their life (Gilgoff et al, 2020).</w:t>
      </w:r>
      <w:r w:rsidR="003F103F" w:rsidRPr="004925BB">
        <w:rPr>
          <w:rFonts w:cstheme="minorHAnsi"/>
        </w:rPr>
        <w:t xml:space="preserve"> Dr. Vincent Felitti and Dr. Robert Anda developed the term "ACEs" (Felitti, 2019). In 1995, the first ACE research was done in collaboration with the CDC and Kaiser Permanente. The ACEs were classified into three types: abuse, neglect, and household dysfunction, it included ten adversities. </w:t>
      </w:r>
      <w:r w:rsidR="00DC4F7E" w:rsidRPr="004925BB">
        <w:rPr>
          <w:rFonts w:cstheme="minorHAnsi"/>
        </w:rPr>
        <w:t xml:space="preserve"> </w:t>
      </w:r>
      <w:r w:rsidR="00836E96" w:rsidRPr="004925BB">
        <w:rPr>
          <w:rFonts w:cstheme="minorHAnsi"/>
        </w:rPr>
        <w:t>The most</w:t>
      </w:r>
      <w:r w:rsidR="00DC4F7E" w:rsidRPr="004925BB">
        <w:rPr>
          <w:rFonts w:cstheme="minorHAnsi"/>
        </w:rPr>
        <w:t xml:space="preserve"> common example</w:t>
      </w:r>
      <w:r w:rsidR="00836E96" w:rsidRPr="004925BB">
        <w:rPr>
          <w:rFonts w:cstheme="minorHAnsi"/>
        </w:rPr>
        <w:t xml:space="preserve"> </w:t>
      </w:r>
      <w:r w:rsidR="00DC4F7E" w:rsidRPr="004925BB">
        <w:rPr>
          <w:rFonts w:cstheme="minorHAnsi"/>
        </w:rPr>
        <w:t xml:space="preserve">of </w:t>
      </w:r>
      <w:r w:rsidR="00836E96" w:rsidRPr="004925BB">
        <w:rPr>
          <w:rFonts w:cstheme="minorHAnsi"/>
        </w:rPr>
        <w:t>ACEs is</w:t>
      </w:r>
      <w:r w:rsidR="00DC4F7E" w:rsidRPr="004925BB">
        <w:rPr>
          <w:rFonts w:cstheme="minorHAnsi"/>
        </w:rPr>
        <w:t xml:space="preserve"> physical, sexual</w:t>
      </w:r>
      <w:r w:rsidR="00836E96" w:rsidRPr="004925BB">
        <w:rPr>
          <w:rFonts w:cstheme="minorHAnsi"/>
        </w:rPr>
        <w:t>,</w:t>
      </w:r>
      <w:r w:rsidR="00DC4F7E" w:rsidRPr="004925BB">
        <w:rPr>
          <w:rFonts w:cstheme="minorHAnsi"/>
        </w:rPr>
        <w:t xml:space="preserve"> and emotional abuse, living with someone who has an alcoholic, witnessing domestic abuse, living with someone who has been imprisoned, living with someone suffering from a severe mental illness</w:t>
      </w:r>
      <w:r w:rsidR="00836E96" w:rsidRPr="004925BB">
        <w:rPr>
          <w:rFonts w:cstheme="minorHAnsi"/>
        </w:rPr>
        <w:t>,</w:t>
      </w:r>
      <w:r w:rsidR="00DC4F7E" w:rsidRPr="004925BB">
        <w:rPr>
          <w:rFonts w:cstheme="minorHAnsi"/>
        </w:rPr>
        <w:t xml:space="preserve"> and lastly, Loss of a parent due to divorce, death, or abandonment </w:t>
      </w:r>
      <w:r w:rsidR="00F86E38" w:rsidRPr="004925BB">
        <w:rPr>
          <w:rFonts w:cstheme="minorHAnsi"/>
        </w:rPr>
        <w:t>(Manchester University, 2023).</w:t>
      </w:r>
      <w:r w:rsidR="004E482A" w:rsidRPr="004925BB">
        <w:rPr>
          <w:rFonts w:cstheme="minorHAnsi"/>
        </w:rPr>
        <w:t xml:space="preserve"> Individuals who have </w:t>
      </w:r>
      <w:r w:rsidR="00553E14" w:rsidRPr="004925BB">
        <w:rPr>
          <w:rFonts w:cstheme="minorHAnsi"/>
        </w:rPr>
        <w:t>experienced</w:t>
      </w:r>
      <w:r w:rsidR="004E482A" w:rsidRPr="004925BB">
        <w:rPr>
          <w:rFonts w:cstheme="minorHAnsi"/>
        </w:rPr>
        <w:t xml:space="preserve"> ACE</w:t>
      </w:r>
      <w:r w:rsidR="00553E14" w:rsidRPr="004925BB">
        <w:rPr>
          <w:rFonts w:cstheme="minorHAnsi"/>
        </w:rPr>
        <w:t>s</w:t>
      </w:r>
      <w:r w:rsidR="004E482A" w:rsidRPr="004925BB">
        <w:rPr>
          <w:rFonts w:cstheme="minorHAnsi"/>
        </w:rPr>
        <w:t xml:space="preserve"> are more vulnerable to suffer from chronic diseases, </w:t>
      </w:r>
      <w:r w:rsidR="00553E14" w:rsidRPr="004925BB">
        <w:rPr>
          <w:rFonts w:cstheme="minorHAnsi"/>
        </w:rPr>
        <w:t>engaging</w:t>
      </w:r>
      <w:r w:rsidR="004E482A" w:rsidRPr="004925BB">
        <w:rPr>
          <w:rFonts w:cstheme="minorHAnsi"/>
        </w:rPr>
        <w:t xml:space="preserve"> in dangerous behaviours, and </w:t>
      </w:r>
      <w:r w:rsidR="00553E14" w:rsidRPr="004925BB">
        <w:rPr>
          <w:rFonts w:cstheme="minorHAnsi"/>
        </w:rPr>
        <w:t>having</w:t>
      </w:r>
      <w:r w:rsidR="004E482A" w:rsidRPr="004925BB">
        <w:rPr>
          <w:rFonts w:cstheme="minorHAnsi"/>
        </w:rPr>
        <w:t xml:space="preserve"> mental health problems. Depression, anxiety, substance misuse, and difficulties creating healthy relationships</w:t>
      </w:r>
      <w:r w:rsidR="00EC4EB4" w:rsidRPr="004925BB">
        <w:rPr>
          <w:rFonts w:cstheme="minorHAnsi"/>
        </w:rPr>
        <w:t xml:space="preserve"> (Sanderson et al, 2021).</w:t>
      </w:r>
    </w:p>
    <w:p w14:paraId="28187175" w14:textId="3B3B554D" w:rsidR="004A6905" w:rsidRPr="004925BB" w:rsidRDefault="005D047D" w:rsidP="000D2AED">
      <w:pPr>
        <w:rPr>
          <w:rFonts w:cstheme="minorHAnsi"/>
        </w:rPr>
      </w:pPr>
      <w:r w:rsidRPr="004925BB">
        <w:rPr>
          <w:rFonts w:cstheme="minorHAnsi"/>
        </w:rPr>
        <w:t>Dr. Nadine Burke-Harris is well-known for her research on ACEs.</w:t>
      </w:r>
      <w:r w:rsidR="00AA578D" w:rsidRPr="004925BB">
        <w:rPr>
          <w:rFonts w:cstheme="minorHAnsi"/>
        </w:rPr>
        <w:t xml:space="preserve"> She defined</w:t>
      </w:r>
      <w:r w:rsidRPr="004925BB">
        <w:rPr>
          <w:rFonts w:cstheme="minorHAnsi"/>
        </w:rPr>
        <w:t xml:space="preserve"> ACEs </w:t>
      </w:r>
      <w:r w:rsidR="00AA578D" w:rsidRPr="004925BB">
        <w:rPr>
          <w:rFonts w:cstheme="minorHAnsi"/>
        </w:rPr>
        <w:t xml:space="preserve">as </w:t>
      </w:r>
      <w:r w:rsidRPr="004925BB">
        <w:rPr>
          <w:rFonts w:cstheme="minorHAnsi"/>
        </w:rPr>
        <w:t>stressful childhood experiences that can have a significant impact on health and well-being later in life. The notion of ACEs was first created in the 1990s by researchers Vincent Felitti and Robert Anda as part of the ACE Study.</w:t>
      </w:r>
      <w:r w:rsidR="004A6905" w:rsidRPr="004925BB">
        <w:rPr>
          <w:rFonts w:cstheme="minorHAnsi"/>
        </w:rPr>
        <w:t xml:space="preserve"> </w:t>
      </w:r>
      <w:r w:rsidR="00AA578D" w:rsidRPr="004925BB">
        <w:rPr>
          <w:rFonts w:cstheme="minorHAnsi"/>
        </w:rPr>
        <w:t xml:space="preserve"> This is another piece of evidence which demonstrates the a</w:t>
      </w:r>
      <w:r w:rsidR="004A6905" w:rsidRPr="004925BB">
        <w:rPr>
          <w:rFonts w:cstheme="minorHAnsi"/>
        </w:rPr>
        <w:t>greed</w:t>
      </w:r>
      <w:r w:rsidR="002934AB" w:rsidRPr="004925BB">
        <w:rPr>
          <w:rFonts w:cstheme="minorHAnsi"/>
        </w:rPr>
        <w:t xml:space="preserve"> </w:t>
      </w:r>
      <w:r w:rsidR="00AA578D" w:rsidRPr="004925BB">
        <w:rPr>
          <w:rFonts w:cstheme="minorHAnsi"/>
        </w:rPr>
        <w:t>definition of ACEs (ACEs aware, 2022).</w:t>
      </w:r>
      <w:r w:rsidR="00F21392" w:rsidRPr="004925BB">
        <w:rPr>
          <w:rFonts w:cstheme="minorHAnsi"/>
        </w:rPr>
        <w:t xml:space="preserve"> </w:t>
      </w:r>
      <w:r w:rsidR="004A6905" w:rsidRPr="004925BB">
        <w:rPr>
          <w:rFonts w:cstheme="minorHAnsi"/>
        </w:rPr>
        <w:t>Dr. Nadine Burke-Harris has been a vocal advocate for understanding and addressing the health effects of ACEs. She emphasises the link between childhood trauma and a variety of physical and mental health problems such as heart disease, diabetes, depression, and drug use. Dr. Burke-Harris is well-known for her efforts to enhance ACE awareness and promote trauma-informed care in medical and community settings. Her study has contributed to a better understanding of the long-term impacts of childhood adversity, as well as the relevance of prevention measures and assistance for individuals who experienced trauma</w:t>
      </w:r>
      <w:r w:rsidR="00F21392" w:rsidRPr="004925BB">
        <w:rPr>
          <w:rFonts w:cstheme="minorHAnsi"/>
        </w:rPr>
        <w:t>. She highlights the importance of having a good caregiver, which means that children will be raised in a stable environment</w:t>
      </w:r>
      <w:r w:rsidR="00DC7C41" w:rsidRPr="004925BB">
        <w:rPr>
          <w:rFonts w:cstheme="minorHAnsi"/>
        </w:rPr>
        <w:t xml:space="preserve"> (The Burke Foundation 2019).</w:t>
      </w:r>
    </w:p>
    <w:p w14:paraId="3F101585" w14:textId="28E9A56B" w:rsidR="00614996" w:rsidRPr="004925BB" w:rsidRDefault="000F6D34" w:rsidP="000D2AED">
      <w:pPr>
        <w:rPr>
          <w:rFonts w:cstheme="minorHAnsi"/>
        </w:rPr>
      </w:pPr>
      <w:r w:rsidRPr="004925BB">
        <w:rPr>
          <w:rFonts w:cstheme="minorHAnsi"/>
        </w:rPr>
        <w:t>Individuals' well-being can be impacted by the negative consequences of people with ACEs. Adults with ACEs may engage in high-risk behaviours such as substance misuse and addiction, or acquire toxic stress, both of which can negatively impact adult well-being (CDC, 2020). Individuals may also struggle with depression, and these difficulties may be passed down to their children as they are exposed to the secondary effects of their parents' traumas (CDC, 2020). This means that ACEs do not have to be primary impacts because they can be learned by observing parents' behaviour.</w:t>
      </w:r>
      <w:r w:rsidR="00FF55E6" w:rsidRPr="004925BB">
        <w:rPr>
          <w:rFonts w:cstheme="minorHAnsi"/>
        </w:rPr>
        <w:t xml:space="preserve"> to have a healthy life style it has been </w:t>
      </w:r>
      <w:r w:rsidR="004C2488" w:rsidRPr="004925BB">
        <w:rPr>
          <w:rFonts w:cstheme="minorHAnsi"/>
        </w:rPr>
        <w:t xml:space="preserve">well-established that early life experiences set foundations for health and development and have a significant impact on life course outcomes. </w:t>
      </w:r>
      <w:r w:rsidR="00FF55E6" w:rsidRPr="004925BB">
        <w:rPr>
          <w:rFonts w:cstheme="minorHAnsi"/>
        </w:rPr>
        <w:t xml:space="preserve">Positive childhood </w:t>
      </w:r>
      <w:r w:rsidR="00FF55E6" w:rsidRPr="004925BB">
        <w:rPr>
          <w:rFonts w:cstheme="minorHAnsi"/>
        </w:rPr>
        <w:lastRenderedPageBreak/>
        <w:t>experiences</w:t>
      </w:r>
      <w:r w:rsidR="004C2488" w:rsidRPr="004925BB">
        <w:rPr>
          <w:rFonts w:cstheme="minorHAnsi"/>
        </w:rPr>
        <w:t>, such as responsive and caring carers and environments that are safe and equitable, are linked to happy, productive, and healthy adult lives</w:t>
      </w:r>
      <w:r w:rsidR="000D2AED" w:rsidRPr="004925BB">
        <w:rPr>
          <w:rFonts w:cstheme="minorHAnsi"/>
        </w:rPr>
        <w:t xml:space="preserve"> (Struck et al, 2021).</w:t>
      </w:r>
    </w:p>
    <w:p w14:paraId="513A445A" w14:textId="3D815138" w:rsidR="00A97B0E" w:rsidRPr="004925BB" w:rsidRDefault="002D351C" w:rsidP="000D2AED">
      <w:pPr>
        <w:rPr>
          <w:rFonts w:cstheme="minorHAnsi"/>
          <w:color w:val="000000" w:themeColor="text1"/>
        </w:rPr>
      </w:pPr>
      <w:r w:rsidRPr="004925BB">
        <w:rPr>
          <w:rFonts w:cstheme="minorHAnsi"/>
          <w:color w:val="000000" w:themeColor="text1"/>
        </w:rPr>
        <w:t xml:space="preserve">Felitti et al (1998), conducted a questionnaire survey on 13,494 adults </w:t>
      </w:r>
      <w:r w:rsidR="006E4C6B" w:rsidRPr="004925BB">
        <w:rPr>
          <w:rFonts w:cstheme="minorHAnsi"/>
          <w:color w:val="000000" w:themeColor="text1"/>
        </w:rPr>
        <w:t xml:space="preserve">who had </w:t>
      </w:r>
      <w:r w:rsidRPr="004925BB">
        <w:rPr>
          <w:rFonts w:cstheme="minorHAnsi"/>
          <w:color w:val="000000" w:themeColor="text1"/>
        </w:rPr>
        <w:t xml:space="preserve">completed </w:t>
      </w:r>
      <w:r w:rsidR="006E4C6B" w:rsidRPr="004925BB">
        <w:rPr>
          <w:rFonts w:cstheme="minorHAnsi"/>
          <w:color w:val="000000" w:themeColor="text1"/>
        </w:rPr>
        <w:t xml:space="preserve">a standardised medical evaluation. </w:t>
      </w:r>
      <w:r w:rsidR="00A623AD" w:rsidRPr="004925BB">
        <w:rPr>
          <w:rFonts w:cstheme="minorHAnsi"/>
          <w:color w:val="000000" w:themeColor="text1"/>
        </w:rPr>
        <w:t>The research focused on seven types of adverse childhood experiences:</w:t>
      </w:r>
      <w:r w:rsidR="00A623AD" w:rsidRPr="004925BB">
        <w:rPr>
          <w:rFonts w:cstheme="minorHAnsi"/>
        </w:rPr>
        <w:t xml:space="preserve"> </w:t>
      </w:r>
      <w:r w:rsidR="00A623AD" w:rsidRPr="004925BB">
        <w:rPr>
          <w:rFonts w:cstheme="minorHAnsi"/>
          <w:color w:val="000000" w:themeColor="text1"/>
        </w:rPr>
        <w:t>psychological, physical, or sexual abuse; violence against mother; or living with household members who were substance abusers, mentally ill or suicidal, or imprisoned.</w:t>
      </w:r>
      <w:r w:rsidR="00153DEA" w:rsidRPr="004925BB">
        <w:rPr>
          <w:rFonts w:cstheme="minorHAnsi"/>
          <w:color w:val="000000" w:themeColor="text1"/>
        </w:rPr>
        <w:t xml:space="preserve"> Each category</w:t>
      </w:r>
      <w:r w:rsidR="00061A6C" w:rsidRPr="004925BB">
        <w:rPr>
          <w:rFonts w:cstheme="minorHAnsi"/>
          <w:color w:val="000000" w:themeColor="text1"/>
        </w:rPr>
        <w:t xml:space="preserve"> of ACEs was then compared to</w:t>
      </w:r>
      <w:r w:rsidR="00153DEA" w:rsidRPr="004925BB">
        <w:rPr>
          <w:rFonts w:cstheme="minorHAnsi"/>
          <w:color w:val="000000" w:themeColor="text1"/>
        </w:rPr>
        <w:t xml:space="preserve"> measures of adult risk behaviour, health conditions and disease</w:t>
      </w:r>
      <w:r w:rsidR="00B70E3F" w:rsidRPr="004925BB">
        <w:rPr>
          <w:rFonts w:cstheme="minorHAnsi"/>
          <w:color w:val="000000" w:themeColor="text1"/>
        </w:rPr>
        <w:t xml:space="preserve"> from the range of 0-7 categories. </w:t>
      </w:r>
      <w:r w:rsidR="00162E02" w:rsidRPr="004925BB">
        <w:rPr>
          <w:rFonts w:cstheme="minorHAnsi"/>
          <w:color w:val="000000" w:themeColor="text1"/>
        </w:rPr>
        <w:t xml:space="preserve">The results showed </w:t>
      </w:r>
      <w:r w:rsidR="00B70E3F" w:rsidRPr="004925BB">
        <w:rPr>
          <w:rFonts w:cstheme="minorHAnsi"/>
          <w:color w:val="000000" w:themeColor="text1"/>
        </w:rPr>
        <w:t>more than half of respondents reported at least one category of childhood exposure, and one-fourth reported two categories.</w:t>
      </w:r>
      <w:r w:rsidR="00B70E3F" w:rsidRPr="004925BB">
        <w:rPr>
          <w:rFonts w:cstheme="minorHAnsi"/>
        </w:rPr>
        <w:t xml:space="preserve"> </w:t>
      </w:r>
      <w:r w:rsidR="00B70E3F" w:rsidRPr="004925BB">
        <w:rPr>
          <w:rFonts w:cstheme="minorHAnsi"/>
          <w:color w:val="000000" w:themeColor="text1"/>
        </w:rPr>
        <w:t>They discovered a graded association between the number of childhood exposure categories and each of the adult health risk behaviours and diseases studied. ndividuals who had four or more categories of childhood exposure had 4- to 12-fold increased health risks for alcoholism, drug abuse, depression, and suicide attempt; a 2- to 4-fold increase in smoking, poor self-rated health, 50 sexual intercourse partners, and sexually transmitted disease; and a 1.4- to 1.6-</w:t>
      </w:r>
      <w:r w:rsidR="00866349" w:rsidRPr="004925BB">
        <w:rPr>
          <w:rFonts w:cstheme="minorHAnsi"/>
          <w:color w:val="000000" w:themeColor="text1"/>
        </w:rPr>
        <w:t xml:space="preserve"> </w:t>
      </w:r>
      <w:r w:rsidR="00B70E3F" w:rsidRPr="004925BB">
        <w:rPr>
          <w:rFonts w:cstheme="minorHAnsi"/>
          <w:color w:val="000000" w:themeColor="text1"/>
        </w:rPr>
        <w:t>fold increase in physical inactivity and severe obesity compared to those who had none</w:t>
      </w:r>
      <w:r w:rsidR="00866349" w:rsidRPr="004925BB">
        <w:rPr>
          <w:rFonts w:cstheme="minorHAnsi"/>
          <w:color w:val="000000" w:themeColor="text1"/>
        </w:rPr>
        <w:t xml:space="preserve"> (Felittie et al, 1998).</w:t>
      </w:r>
    </w:p>
    <w:p w14:paraId="668F9D60" w14:textId="6ACF5F66" w:rsidR="00870606" w:rsidRPr="004925BB" w:rsidRDefault="00B70E3F" w:rsidP="000D2AED">
      <w:pPr>
        <w:rPr>
          <w:rFonts w:cstheme="minorHAnsi"/>
          <w:color w:val="000000" w:themeColor="text1"/>
        </w:rPr>
      </w:pPr>
      <w:r w:rsidRPr="004925BB">
        <w:rPr>
          <w:rFonts w:cstheme="minorHAnsi"/>
          <w:color w:val="000000" w:themeColor="text1"/>
        </w:rPr>
        <w:t xml:space="preserve">The presence of adult diseases such as ischemic heart disease, cancer, chronic lung disease, skeletal fractures, and liver disease was found to have a graded association with the number of categories of harmful childhood exposures. The seven categories associated with poor childhood experiences were highly interconnected, and people who were exposed to many categories of adverse childhood experiences were more likely to have numerous health risk factors later in life </w:t>
      </w:r>
      <w:bookmarkStart w:id="1" w:name="_Hlk152883979"/>
      <w:r w:rsidRPr="004925BB">
        <w:rPr>
          <w:rFonts w:cstheme="minorHAnsi"/>
          <w:color w:val="000000" w:themeColor="text1"/>
        </w:rPr>
        <w:t xml:space="preserve">(Felittie et al, 1998). </w:t>
      </w:r>
      <w:bookmarkEnd w:id="1"/>
      <w:r w:rsidR="005C42CC" w:rsidRPr="004925BB">
        <w:rPr>
          <w:rFonts w:cstheme="minorHAnsi"/>
          <w:color w:val="000000" w:themeColor="text1"/>
        </w:rPr>
        <w:t>This demonstrates that the researchers discovered a strong graded link between the breadth of childhood exposure to abuse or household dysfunction and various risk factors for several of the most common causes of death in adults and factors that could lead to anti-social behaviour</w:t>
      </w:r>
      <w:r w:rsidR="00870606" w:rsidRPr="004925BB">
        <w:rPr>
          <w:rFonts w:cstheme="minorHAnsi"/>
          <w:color w:val="000000" w:themeColor="text1"/>
        </w:rPr>
        <w:t>.</w:t>
      </w:r>
    </w:p>
    <w:p w14:paraId="0A348A5C" w14:textId="4867F9C0" w:rsidR="00AF1B3B" w:rsidRPr="004925BB" w:rsidRDefault="00323582" w:rsidP="000D2AED">
      <w:pPr>
        <w:rPr>
          <w:rFonts w:cstheme="minorHAnsi"/>
        </w:rPr>
      </w:pPr>
      <w:r w:rsidRPr="004925BB">
        <w:rPr>
          <w:rFonts w:cstheme="minorHAnsi"/>
        </w:rPr>
        <w:t xml:space="preserve">The current literature review states that there is a clear association between ACEs and poor adult outcomes in both mental and physical health. There are still gaps in the evidence base and research priorities. These include learning how to detect and assess risk in children who have had ACEs, as well as developing and, most importantly, evaluating interventions. There are still questions about whether there are sensitive periods in childhood, the involvement of resilience or protective factors, connections between causes and biological mechanisms, and the relative risk of ACEs for specific poor </w:t>
      </w:r>
      <w:r w:rsidR="005374E5" w:rsidRPr="004925BB">
        <w:rPr>
          <w:rFonts w:cstheme="minorHAnsi"/>
        </w:rPr>
        <w:t>consequences</w:t>
      </w:r>
      <w:r w:rsidRPr="004925BB">
        <w:rPr>
          <w:rFonts w:cstheme="minorHAnsi"/>
        </w:rPr>
        <w:t xml:space="preserve"> (Steptoe et al, 2019).</w:t>
      </w:r>
    </w:p>
    <w:bookmarkEnd w:id="0"/>
    <w:p w14:paraId="47832D9A" w14:textId="6A858D3E" w:rsidR="00147EB1" w:rsidRPr="004925BB" w:rsidRDefault="00147EB1" w:rsidP="000D2AED">
      <w:pPr>
        <w:rPr>
          <w:rFonts w:cstheme="minorHAnsi"/>
        </w:rPr>
      </w:pPr>
      <w:r w:rsidRPr="004925BB">
        <w:rPr>
          <w:rFonts w:cstheme="minorHAnsi"/>
        </w:rPr>
        <w:t>ACEs can affect people from every aspect of life, regardless of socioeconomic class or origin. Anyone who was exposed to one or more of these traumatic situations during their early years may be affected. Research suggests that ACEs are prevalent across different cultures and societies, with a higher prevalence observed in disadvantaged populations. Poverty, social isolation, and inadequate access to resources can increase the likelihood of children experiencing ACEs, though it is important to note that ACEs can occur in any setting</w:t>
      </w:r>
      <w:r w:rsidR="00B0354C" w:rsidRPr="004925BB">
        <w:rPr>
          <w:rFonts w:cstheme="minorHAnsi"/>
        </w:rPr>
        <w:t xml:space="preserve"> (Centers for Disease Control and Prevention 2023).</w:t>
      </w:r>
    </w:p>
    <w:p w14:paraId="41A82659" w14:textId="38F0CC68" w:rsidR="00A66D66" w:rsidRPr="004925BB" w:rsidRDefault="00147EB1" w:rsidP="000D2AED">
      <w:pPr>
        <w:rPr>
          <w:rFonts w:cstheme="minorHAnsi"/>
          <w:color w:val="FF0000"/>
        </w:rPr>
      </w:pPr>
      <w:r w:rsidRPr="004925BB">
        <w:rPr>
          <w:rFonts w:cstheme="minorHAnsi"/>
        </w:rPr>
        <w:t xml:space="preserve">It is critical to recognise that anyone in a child's environment might be a source of harm when it comes to potential ACE perpetrators. </w:t>
      </w:r>
      <w:r w:rsidR="00A66D66" w:rsidRPr="004925BB">
        <w:rPr>
          <w:rFonts w:cstheme="minorHAnsi"/>
        </w:rPr>
        <w:t>Perpetrators may include parents or other family members, caregivers, teachers, or even peers. The perpetrators might unintentionally cause harm due to their own traumatic experiences and unresolved issues, or they may intentionally inflict harm on the child. It is important to note that not all individuals who have experienced ACEs become perpetrators themselves; rather, a cycle of trauma can perpetuate within families or communities.</w:t>
      </w:r>
      <w:r w:rsidR="00C47056" w:rsidRPr="004925BB">
        <w:rPr>
          <w:rFonts w:cstheme="minorHAnsi"/>
        </w:rPr>
        <w:t xml:space="preserve"> </w:t>
      </w:r>
      <w:r w:rsidR="00C47056" w:rsidRPr="004925BB">
        <w:rPr>
          <w:rFonts w:cstheme="minorHAnsi"/>
          <w:color w:val="FF0000"/>
        </w:rPr>
        <w:t>Add reference</w:t>
      </w:r>
    </w:p>
    <w:p w14:paraId="5A5D59C0" w14:textId="263FED28" w:rsidR="00207028" w:rsidRPr="004925BB" w:rsidRDefault="00087EB0" w:rsidP="000D2AED">
      <w:pPr>
        <w:rPr>
          <w:rFonts w:cstheme="minorHAnsi"/>
        </w:rPr>
      </w:pPr>
      <w:r w:rsidRPr="004925BB">
        <w:rPr>
          <w:rFonts w:cstheme="minorHAnsi"/>
        </w:rPr>
        <w:t xml:space="preserve">This basis of knowledge </w:t>
      </w:r>
      <w:r w:rsidR="005374E5" w:rsidRPr="004925BB">
        <w:rPr>
          <w:rFonts w:cstheme="minorHAnsi"/>
        </w:rPr>
        <w:t>leads</w:t>
      </w:r>
      <w:r w:rsidRPr="004925BB">
        <w:rPr>
          <w:rFonts w:cstheme="minorHAnsi"/>
        </w:rPr>
        <w:t xml:space="preserve"> us to think </w:t>
      </w:r>
      <w:r w:rsidR="00545A8F" w:rsidRPr="004925BB">
        <w:rPr>
          <w:rFonts w:cstheme="minorHAnsi"/>
        </w:rPr>
        <w:t xml:space="preserve">if </w:t>
      </w:r>
      <w:r w:rsidR="005374E5" w:rsidRPr="004925BB">
        <w:rPr>
          <w:rFonts w:cstheme="minorHAnsi"/>
        </w:rPr>
        <w:t xml:space="preserve">the </w:t>
      </w:r>
      <w:r w:rsidR="00545A8F" w:rsidRPr="004925BB">
        <w:rPr>
          <w:rFonts w:cstheme="minorHAnsi"/>
        </w:rPr>
        <w:t xml:space="preserve">understanding of aces can </w:t>
      </w:r>
      <w:r w:rsidR="0014724E" w:rsidRPr="004925BB">
        <w:rPr>
          <w:rFonts w:cstheme="minorHAnsi"/>
        </w:rPr>
        <w:t>correlate with anti-social behaviour.</w:t>
      </w:r>
    </w:p>
    <w:p w14:paraId="50EECE4A" w14:textId="77777777" w:rsidR="00800BA4" w:rsidRPr="004925BB" w:rsidRDefault="00800BA4" w:rsidP="000D2AED">
      <w:pPr>
        <w:rPr>
          <w:rFonts w:cstheme="minorHAnsi"/>
          <w:color w:val="FF0000"/>
        </w:rPr>
      </w:pPr>
    </w:p>
    <w:p w14:paraId="615B11B7" w14:textId="77777777" w:rsidR="00C47056" w:rsidRPr="00B5073C" w:rsidRDefault="00C47056" w:rsidP="000D2AED">
      <w:pPr>
        <w:rPr>
          <w:rFonts w:cstheme="minorHAnsi"/>
          <w:b/>
          <w:bCs/>
          <w:color w:val="4472C4" w:themeColor="accent1"/>
          <w:sz w:val="24"/>
          <w:szCs w:val="24"/>
        </w:rPr>
      </w:pPr>
    </w:p>
    <w:p w14:paraId="56B78E02" w14:textId="14E683AC" w:rsidR="00242F2D" w:rsidRPr="00B5073C" w:rsidRDefault="00C47056" w:rsidP="000D2AED">
      <w:pPr>
        <w:rPr>
          <w:rFonts w:cstheme="minorHAnsi"/>
          <w:b/>
          <w:bCs/>
          <w:sz w:val="24"/>
          <w:szCs w:val="24"/>
        </w:rPr>
      </w:pPr>
      <w:r w:rsidRPr="00B5073C">
        <w:rPr>
          <w:rFonts w:cstheme="minorHAnsi"/>
          <w:b/>
          <w:bCs/>
          <w:sz w:val="24"/>
          <w:szCs w:val="24"/>
        </w:rPr>
        <w:t xml:space="preserve">2.3  </w:t>
      </w:r>
      <w:r w:rsidR="00784FCD" w:rsidRPr="00B5073C">
        <w:rPr>
          <w:rFonts w:cstheme="minorHAnsi"/>
          <w:b/>
          <w:bCs/>
          <w:sz w:val="24"/>
          <w:szCs w:val="24"/>
        </w:rPr>
        <w:t>T</w:t>
      </w:r>
      <w:r w:rsidR="00ED7C5F" w:rsidRPr="00B5073C">
        <w:rPr>
          <w:rFonts w:cstheme="minorHAnsi"/>
          <w:b/>
          <w:bCs/>
          <w:sz w:val="24"/>
          <w:szCs w:val="24"/>
        </w:rPr>
        <w:t xml:space="preserve">o explore whether ACEs are likely to lead to a higher likelihood of anti-social and criminal </w:t>
      </w:r>
      <w:r w:rsidR="00784FCD" w:rsidRPr="00B5073C">
        <w:rPr>
          <w:rFonts w:cstheme="minorHAnsi"/>
          <w:b/>
          <w:bCs/>
          <w:sz w:val="24"/>
          <w:szCs w:val="24"/>
        </w:rPr>
        <w:t>behaviour.</w:t>
      </w:r>
    </w:p>
    <w:p w14:paraId="7DDD1515" w14:textId="1D58528D" w:rsidR="00784FCD" w:rsidRPr="00E0186A" w:rsidRDefault="00784FCD" w:rsidP="000D2AED">
      <w:r w:rsidRPr="00E0186A">
        <w:t>Numerous symptoms may arise as a result of ACEs, manifesting both physically and psychologically. Physically, individuals might experience increased vulnerability to diseases such as cardiovascular problems, obesity, or even cancer. Psychologically, ACEs can lead to mental health disorders like anxiety, depression, and post-traumatic stress disorder (PTSD). Furthermore, ACEs have shown a correlation with impaired cognitive development, learning difficulties, and behavioural problems. Children who have experienced ACEs may struggle with emotional regulation, attachment issues, and difficulties in forming healthy relationships (Manchester University, 2023). One of the main causes of that is alcohol and drug use during pregnancy.  One of the primary concerns is the physical health of the child. Prenatal alcohol exposure (PAE), for instance, can lead to a range of disorders collectively known as Fetal Alcohol Spectrum Disorders (FASD). It may have both immediate and long-term harmful and teratogenic effects on a person's development and health. Alcohol</w:t>
      </w:r>
      <w:r w:rsidR="00B42E66">
        <w:t xml:space="preserve"> known for </w:t>
      </w:r>
      <w:r w:rsidRPr="00E0186A">
        <w:t>being a toxic substance, can cause a variety of physiological and neurological defects in the foetus, leading to behavioural and other problems that may last a lifetime. Recent research has focused on discovering mechanisms that mediate alcohol's rapid teratogenic effects on foetal development, as well as systems that promote alcohol's long-term harmful effects on health and disease propensity (Chung, 2021). Although PAE is a serious issue for a child there is not enough evidence to show the link between PAE and ACEs.</w:t>
      </w:r>
    </w:p>
    <w:p w14:paraId="4E1B7EDC" w14:textId="5B0DE1DD" w:rsidR="00696203" w:rsidRDefault="00656160" w:rsidP="000D2AED">
      <w:r w:rsidRPr="00656160">
        <w:t xml:space="preserve">Over the last decade, research on the impact of ACEs on later-life health and human development has increased at a rapid rate. This expanding body of studies may be traced back to </w:t>
      </w:r>
      <w:r>
        <w:t xml:space="preserve">the </w:t>
      </w:r>
      <w:r w:rsidRPr="00656160">
        <w:t>landmark Centres for Disease Control-Kaiser ACE project</w:t>
      </w:r>
      <w:r>
        <w:t xml:space="preserve"> by Kelitti et al (1998)  which </w:t>
      </w:r>
      <w:r w:rsidRPr="00656160">
        <w:t>investigated the effect of ACEs on adult health outcomes</w:t>
      </w:r>
      <w:r>
        <w:t xml:space="preserve">. </w:t>
      </w:r>
      <w:r w:rsidRPr="00656160">
        <w:t>Few criminological problems have received as much research evidence, theoretical interest, and debate as the study of child maltreatment and antisocial behaviour. According to some of the most important criminological theories, early-life exposure to abusive and inconsistent parenting can lead to inappropriate behaviour in children, which raises the chance of antisocial behaviour.</w:t>
      </w:r>
      <w:r>
        <w:t xml:space="preserve"> (</w:t>
      </w:r>
      <w:r w:rsidRPr="00656160">
        <w:t>Connolly,</w:t>
      </w:r>
      <w:r>
        <w:t xml:space="preserve"> </w:t>
      </w:r>
      <w:r w:rsidRPr="00656160">
        <w:t>2020</w:t>
      </w:r>
      <w:r>
        <w:t>).</w:t>
      </w:r>
      <w:r w:rsidR="00B42E66">
        <w:t xml:space="preserve"> </w:t>
      </w:r>
      <w:r w:rsidR="00B42E66" w:rsidRPr="00B42E66">
        <w:t>This study demonstrates that there is clear evidence of a link between ACEs and anti-social behaviour. Based on the general strain theory, long-term exposure to stressful stimuli (e.g., emotional, physical, verbal, or sexual abuse) increases a child's likelihood of engaging in inappropriate behaviour to cope with this stress, especially if the young person has difficulty controlling their emotions, such as rage</w:t>
      </w:r>
      <w:r w:rsidR="00696203">
        <w:t xml:space="preserve"> (</w:t>
      </w:r>
      <w:r w:rsidR="00696203" w:rsidRPr="00696203">
        <w:t>Agnew</w:t>
      </w:r>
      <w:r w:rsidR="00696203">
        <w:t xml:space="preserve">, </w:t>
      </w:r>
      <w:r w:rsidR="00696203" w:rsidRPr="00696203">
        <w:t>1992).</w:t>
      </w:r>
      <w:r w:rsidR="007B0008">
        <w:t xml:space="preserve"> </w:t>
      </w:r>
      <w:r w:rsidR="00696203" w:rsidRPr="006F3DE1">
        <w:t>According to Gottfredson and Hirschi's General Theory of Crime (1990), children who receive insufficient parenting, especially before the age of eight, which is meant to teach them efficient emotional impulse control, may have lower levels of self-control</w:t>
      </w:r>
      <w:r w:rsidR="006F3DE1" w:rsidRPr="006F3DE1">
        <w:t xml:space="preserve"> and behaviour that is dictated more by emotional impulse than rational calculation, thus increasing the likelihood of criminal and/or delinquent offending</w:t>
      </w:r>
      <w:r w:rsidR="006F3DE1">
        <w:t xml:space="preserve">. </w:t>
      </w:r>
    </w:p>
    <w:p w14:paraId="6CF49D08" w14:textId="1898BA27" w:rsidR="00696203" w:rsidRPr="00EB2434" w:rsidRDefault="00EB2434" w:rsidP="000D2AED">
      <w:r w:rsidRPr="00EB2434">
        <w:t>A detailed analysis reveals that genetic factors may play a role in shaping anti-social behaviour</w:t>
      </w:r>
      <w:r w:rsidR="00BB2A3C">
        <w:t>, for instance, Adrian Raine revealed the importance of understanding how genes can affect anti-social behaviour as well as how environmental facts can also contribute. He also highlights</w:t>
      </w:r>
      <w:r w:rsidR="00BB2A3C" w:rsidRPr="00BB2A3C">
        <w:t xml:space="preserve"> key brain regions linked in antisocial behaviour, with a focus on the prefrontal cortex, as well as how these areas express factors that are risky for antisocial behaviour. Environmental factors may affect gene expression, triggering a chain reaction of events that translates genes into antisocial </w:t>
      </w:r>
      <w:r w:rsidR="0051315B" w:rsidRPr="00BB2A3C">
        <w:t>behaviour</w:t>
      </w:r>
      <w:r w:rsidR="0051315B">
        <w:t xml:space="preserve"> (</w:t>
      </w:r>
      <w:r w:rsidR="0051315B" w:rsidRPr="0051315B">
        <w:t>Raine,</w:t>
      </w:r>
      <w:r w:rsidR="0051315B">
        <w:t xml:space="preserve"> </w:t>
      </w:r>
      <w:r w:rsidR="0051315B" w:rsidRPr="0051315B">
        <w:t>2008)</w:t>
      </w:r>
      <w:r w:rsidR="0051315B">
        <w:t>.</w:t>
      </w:r>
      <w:r w:rsidR="002E094B">
        <w:t xml:space="preserve"> To support this statement a  longitudinal study was conducted on twins.</w:t>
      </w:r>
    </w:p>
    <w:p w14:paraId="2E1B7019" w14:textId="72850CC0" w:rsidR="00B42E66" w:rsidRPr="00FB43BB" w:rsidRDefault="00571451" w:rsidP="006E4C6B">
      <w:r w:rsidRPr="00FB43BB">
        <w:lastRenderedPageBreak/>
        <w:t>Longitudinal twin research on antisocial personality and conduct problems found that stability over time was primarily related to genetic factors</w:t>
      </w:r>
      <w:r w:rsidR="00724630">
        <w:t>. The study was conducted over 27 years on twins</w:t>
      </w:r>
      <w:r w:rsidRPr="00FB43BB">
        <w:t>.</w:t>
      </w:r>
      <w:r w:rsidR="00FB43BB" w:rsidRPr="00FB43BB">
        <w:t xml:space="preserve"> </w:t>
      </w:r>
      <w:r w:rsidR="00FB43BB" w:rsidRPr="00FB43BB">
        <w:t>Three studies also found a small influence of the shared environment on age-related stability. However, research on antisocial personality disorders in later adulthood, that is, after the age of 24, is underrepresented</w:t>
      </w:r>
      <w:r w:rsidR="00BF25AD">
        <w:t xml:space="preserve"> </w:t>
      </w:r>
      <w:bookmarkStart w:id="2" w:name="_Hlk152957155"/>
      <w:r w:rsidR="00BF25AD">
        <w:t>(</w:t>
      </w:r>
      <w:r w:rsidR="00BF25AD" w:rsidRPr="00BF25AD">
        <w:t>Wesseldijk</w:t>
      </w:r>
      <w:r w:rsidR="00BF25AD">
        <w:t xml:space="preserve">, 2018). </w:t>
      </w:r>
      <w:bookmarkEnd w:id="2"/>
      <w:r w:rsidR="00FB43BB" w:rsidRPr="00FB43BB">
        <w:t>Furthermore, the sex differences in the prevalence of conduct and antisocial personality problems raise the question of whether the influence of genetic and environmental influences differs between males and females (i.e., quantitative sex differences) and whether the same or different genes are involved (i.e., qualitative sex differences). Some twin studies have found qualitative sex differences in behaviour and antisocial behaviour</w:t>
      </w:r>
      <w:r w:rsidR="00BF25AD">
        <w:t xml:space="preserve"> </w:t>
      </w:r>
      <w:r w:rsidR="00BF25AD" w:rsidRPr="00BF25AD">
        <w:t xml:space="preserve">(Wesseldijk, 2018). </w:t>
      </w:r>
      <w:r w:rsidR="00BF25AD">
        <w:t xml:space="preserve"> </w:t>
      </w:r>
      <w:r w:rsidR="00FB43BB" w:rsidRPr="00FB43BB">
        <w:t>.</w:t>
      </w:r>
      <w:r w:rsidR="002E094B">
        <w:t xml:space="preserve"> </w:t>
      </w:r>
      <w:r w:rsidR="002E094B" w:rsidRPr="002E094B">
        <w:t>Twin studies allow for the evaluation of the influences of genetic, shared, and unique environmental factors on individual differences in behaviour and stability throughout time. The majority of twin research conducted cross-sectional analyses on conduct and antisocial personality issues. Meta-analyses of these research have estimated that the proportion of variation explained by genetic factors ranges between 32 and 60% for children, 45 and 50% for adolescents, and 49% for adults, according to one meta-analysis. The contribution of the shared environment, also known as the 'common' familial environment, has been estimated to be between 10 and 20% in childhood, between 10 and 17% in adolescence, and 14% in maturity.</w:t>
      </w:r>
      <w:r w:rsidR="002E094B">
        <w:t xml:space="preserve"> </w:t>
      </w:r>
      <w:r w:rsidR="002E094B" w:rsidRPr="002E094B">
        <w:t>In twin research, the remaining variance that is not due to genetics or the common environment is assigned to unique environmental factors</w:t>
      </w:r>
      <w:r w:rsidR="00BF25AD">
        <w:t xml:space="preserve"> </w:t>
      </w:r>
      <w:r w:rsidR="00BF25AD" w:rsidRPr="00BF25AD">
        <w:t>(Wesseldijk, 2018).</w:t>
      </w:r>
    </w:p>
    <w:p w14:paraId="1FA4E849" w14:textId="2AA73020" w:rsidR="00571451" w:rsidRPr="00DD5A79" w:rsidRDefault="00DD5A79" w:rsidP="00DD5A79">
      <w:pPr>
        <w:pStyle w:val="ListParagraph"/>
        <w:numPr>
          <w:ilvl w:val="0"/>
          <w:numId w:val="1"/>
        </w:numPr>
        <w:rPr>
          <w:color w:val="FF0000"/>
          <w:sz w:val="24"/>
          <w:szCs w:val="24"/>
        </w:rPr>
      </w:pPr>
      <w:r w:rsidRPr="00DD5A79">
        <w:rPr>
          <w:color w:val="FF0000"/>
          <w:sz w:val="24"/>
          <w:szCs w:val="24"/>
        </w:rPr>
        <w:t xml:space="preserve">Nature V Nurture </w:t>
      </w:r>
    </w:p>
    <w:p w14:paraId="510DE8C5" w14:textId="28660A1F" w:rsidR="00ED7C5F" w:rsidRPr="00DD5A79" w:rsidRDefault="00ED7C5F" w:rsidP="00DD5A79">
      <w:pPr>
        <w:pStyle w:val="ListParagraph"/>
        <w:numPr>
          <w:ilvl w:val="0"/>
          <w:numId w:val="1"/>
        </w:numPr>
        <w:rPr>
          <w:color w:val="FF0000"/>
          <w:sz w:val="24"/>
          <w:szCs w:val="24"/>
        </w:rPr>
      </w:pPr>
      <w:r w:rsidRPr="00DD5A79">
        <w:rPr>
          <w:color w:val="FF0000"/>
          <w:sz w:val="24"/>
          <w:szCs w:val="24"/>
        </w:rPr>
        <w:t>Social Albert Bandura – bobo doll</w:t>
      </w:r>
    </w:p>
    <w:p w14:paraId="119EED70" w14:textId="77777777" w:rsidR="00A66D66" w:rsidRDefault="00A66D66" w:rsidP="000D2AED">
      <w:pPr>
        <w:rPr>
          <w:sz w:val="24"/>
          <w:szCs w:val="24"/>
        </w:rPr>
      </w:pPr>
    </w:p>
    <w:p w14:paraId="522BE6DA" w14:textId="240B6C50" w:rsidR="00A66D66" w:rsidRDefault="00A66D66" w:rsidP="000D2AED">
      <w:pPr>
        <w:rPr>
          <w:sz w:val="24"/>
          <w:szCs w:val="24"/>
        </w:rPr>
      </w:pPr>
    </w:p>
    <w:p w14:paraId="23EABC37" w14:textId="754B5267" w:rsidR="00A66D66" w:rsidRPr="00F67593" w:rsidRDefault="00932A21" w:rsidP="000D2AED">
      <w:pPr>
        <w:rPr>
          <w:sz w:val="24"/>
          <w:szCs w:val="24"/>
        </w:rPr>
      </w:pPr>
      <w:r w:rsidRPr="00F67593">
        <w:rPr>
          <w:sz w:val="24"/>
          <w:szCs w:val="24"/>
        </w:rPr>
        <w:t>2.4 Identify if the current intervention and prevention help reduce ACEs</w:t>
      </w:r>
    </w:p>
    <w:p w14:paraId="55AFD41A" w14:textId="4EC5983F" w:rsidR="00A66D66" w:rsidRPr="00F67593" w:rsidRDefault="006E4C6B" w:rsidP="00F67593">
      <w:pPr>
        <w:pStyle w:val="ListParagraph"/>
        <w:numPr>
          <w:ilvl w:val="0"/>
          <w:numId w:val="4"/>
        </w:numPr>
        <w:rPr>
          <w:sz w:val="24"/>
          <w:szCs w:val="24"/>
        </w:rPr>
      </w:pPr>
      <w:r w:rsidRPr="00F67593">
        <w:rPr>
          <w:color w:val="FF0000"/>
          <w:sz w:val="24"/>
          <w:szCs w:val="24"/>
        </w:rPr>
        <w:t>Look at the current prevention, examine if it helped reduced aces</w:t>
      </w:r>
    </w:p>
    <w:p w14:paraId="245E78EE" w14:textId="77777777" w:rsidR="00F67593" w:rsidRPr="00F67593" w:rsidRDefault="00F67593" w:rsidP="000D2AED">
      <w:pPr>
        <w:rPr>
          <w:sz w:val="24"/>
          <w:szCs w:val="24"/>
        </w:rPr>
      </w:pPr>
    </w:p>
    <w:p w14:paraId="024388AD" w14:textId="77777777" w:rsidR="00A66D66" w:rsidRDefault="00A66D66" w:rsidP="000D2AED">
      <w:pPr>
        <w:rPr>
          <w:sz w:val="24"/>
          <w:szCs w:val="24"/>
        </w:rPr>
      </w:pPr>
    </w:p>
    <w:p w14:paraId="4D01B8D4" w14:textId="316281B2" w:rsidR="00A66D66" w:rsidRDefault="00F67593" w:rsidP="000D2AED">
      <w:pPr>
        <w:rPr>
          <w:sz w:val="24"/>
          <w:szCs w:val="24"/>
        </w:rPr>
      </w:pPr>
      <w:r w:rsidRPr="00F67593">
        <w:rPr>
          <w:sz w:val="24"/>
          <w:szCs w:val="24"/>
          <w:highlight w:val="yellow"/>
        </w:rPr>
        <w:t>Hi Mike, just wanted to let you know I haven’t completely finished this chapter just submitted what I did so far. I think I over wrote for 2 of the objectives if you could let me know which part isn’t relevant I will take it off and could you let me know what else I can do or what areas I should look to get better mark</w:t>
      </w:r>
      <w:r>
        <w:rPr>
          <w:sz w:val="24"/>
          <w:szCs w:val="24"/>
        </w:rPr>
        <w:t>.</w:t>
      </w:r>
    </w:p>
    <w:p w14:paraId="1D533DDF" w14:textId="77777777" w:rsidR="00A66D66" w:rsidRDefault="00A66D66" w:rsidP="000D2AED">
      <w:pPr>
        <w:rPr>
          <w:sz w:val="24"/>
          <w:szCs w:val="24"/>
        </w:rPr>
      </w:pPr>
    </w:p>
    <w:p w14:paraId="51D7CB26" w14:textId="77777777" w:rsidR="00A66D66" w:rsidRDefault="00A66D66" w:rsidP="000D2AED">
      <w:pPr>
        <w:rPr>
          <w:sz w:val="24"/>
          <w:szCs w:val="24"/>
        </w:rPr>
      </w:pPr>
    </w:p>
    <w:p w14:paraId="3B3B9D52" w14:textId="77777777" w:rsidR="00A66D66" w:rsidRDefault="00A66D66" w:rsidP="000D2AED">
      <w:pPr>
        <w:rPr>
          <w:sz w:val="24"/>
          <w:szCs w:val="24"/>
        </w:rPr>
      </w:pPr>
    </w:p>
    <w:p w14:paraId="14B52F66" w14:textId="77777777" w:rsidR="00B5073C" w:rsidRDefault="00B5073C" w:rsidP="000D2AED">
      <w:pPr>
        <w:rPr>
          <w:sz w:val="24"/>
          <w:szCs w:val="24"/>
        </w:rPr>
      </w:pPr>
    </w:p>
    <w:p w14:paraId="31BA10D0" w14:textId="77777777" w:rsidR="00B5073C" w:rsidRDefault="00B5073C" w:rsidP="000D2AED">
      <w:pPr>
        <w:rPr>
          <w:sz w:val="24"/>
          <w:szCs w:val="24"/>
        </w:rPr>
      </w:pPr>
    </w:p>
    <w:p w14:paraId="5B31C86D" w14:textId="77777777" w:rsidR="00B5073C" w:rsidRDefault="00B5073C" w:rsidP="000D2AED">
      <w:pPr>
        <w:rPr>
          <w:sz w:val="24"/>
          <w:szCs w:val="24"/>
        </w:rPr>
      </w:pPr>
    </w:p>
    <w:p w14:paraId="530B125F" w14:textId="77777777" w:rsidR="00A66D66" w:rsidRDefault="00A66D66" w:rsidP="000D2AED">
      <w:pPr>
        <w:rPr>
          <w:sz w:val="24"/>
          <w:szCs w:val="24"/>
        </w:rPr>
      </w:pPr>
    </w:p>
    <w:p w14:paraId="35AFB644" w14:textId="77777777" w:rsidR="000723E6" w:rsidRDefault="000723E6" w:rsidP="000D2AED">
      <w:pPr>
        <w:rPr>
          <w:sz w:val="24"/>
          <w:szCs w:val="24"/>
        </w:rPr>
      </w:pPr>
    </w:p>
    <w:p w14:paraId="4AF7218A" w14:textId="6C91EFF7" w:rsidR="00242F2D" w:rsidRDefault="00242F2D" w:rsidP="000D2AED">
      <w:pPr>
        <w:rPr>
          <w:sz w:val="24"/>
          <w:szCs w:val="24"/>
        </w:rPr>
      </w:pPr>
      <w:r>
        <w:rPr>
          <w:sz w:val="24"/>
          <w:szCs w:val="24"/>
        </w:rPr>
        <w:t>Reference List</w:t>
      </w:r>
    </w:p>
    <w:p w14:paraId="60D57ED9" w14:textId="77777777" w:rsidR="00242F2D" w:rsidRPr="00242F2D" w:rsidRDefault="00242F2D" w:rsidP="000D2AED"/>
    <w:p w14:paraId="3859C514" w14:textId="77777777" w:rsidR="00B5073C" w:rsidRDefault="00B5073C" w:rsidP="00AA578D">
      <w:bookmarkStart w:id="3" w:name="_Hlk152882357"/>
      <w:r>
        <w:t>ACEs aware (2022)</w:t>
      </w:r>
      <w:bookmarkEnd w:id="3"/>
      <w:r>
        <w:t xml:space="preserve">. </w:t>
      </w:r>
      <w:r w:rsidRPr="00AA578D">
        <w:rPr>
          <w:i/>
          <w:iCs/>
        </w:rPr>
        <w:t>Healing from Toxic Stress with Dr. Nadine Burke Harris</w:t>
      </w:r>
      <w:r>
        <w:t>. Available at:  https://www.acesaware.org/blog/healing-from-toxic-stress-with-dr-nadine-burke-harris/(Accessed: 7 November 2023).</w:t>
      </w:r>
    </w:p>
    <w:p w14:paraId="66EA629C" w14:textId="77777777" w:rsidR="00B5073C" w:rsidRDefault="00B5073C" w:rsidP="00F21392">
      <w:bookmarkStart w:id="4" w:name="_Hlk152894135"/>
      <w:r w:rsidRPr="00696203">
        <w:t xml:space="preserve">Agnew R. (1992). </w:t>
      </w:r>
      <w:bookmarkEnd w:id="4"/>
      <w:r w:rsidRPr="00696203">
        <w:t xml:space="preserve">Foundation for a general strain theory of crime and delinquency. </w:t>
      </w:r>
      <w:r w:rsidRPr="00696203">
        <w:rPr>
          <w:i/>
          <w:iCs/>
        </w:rPr>
        <w:t>Criminology</w:t>
      </w:r>
      <w:r w:rsidRPr="00696203">
        <w:t xml:space="preserve">, 30, </w:t>
      </w:r>
      <w:r>
        <w:t>pp.</w:t>
      </w:r>
      <w:r w:rsidRPr="00696203">
        <w:t>47–88</w:t>
      </w:r>
      <w:r>
        <w:t xml:space="preserve">. Available at: </w:t>
      </w:r>
      <w:r w:rsidRPr="00696203">
        <w:t>https://doi.org/10.1111/j.1745-9125.1992.tb01093.x</w:t>
      </w:r>
    </w:p>
    <w:p w14:paraId="48D5EC6A" w14:textId="77777777" w:rsidR="00B5073C" w:rsidRDefault="00B5073C" w:rsidP="000D2AED">
      <w:r>
        <w:t>Centers for Disease Control and Prevention- CDC (2020). Adverse childhood experiences (ACEs). https://www.cdc.gov/violenceprevention/childabuseandneglect/acestudy/index.html</w:t>
      </w:r>
    </w:p>
    <w:p w14:paraId="51DB6E02" w14:textId="77777777" w:rsidR="00B5073C" w:rsidRDefault="00B5073C" w:rsidP="00F21392">
      <w:r w:rsidRPr="004E2A3B">
        <w:t xml:space="preserve">Chung, DD., Pinson, MR., Bhenderu, LS., Lai, MS., Patel, RA. and Miranda, RC.  (2021) ' Toxic and Teratogenic Effects of Prenatal Alcohol Exposure on Fetal Development, Adolescence, and Adulthood', </w:t>
      </w:r>
      <w:r w:rsidRPr="004E2A3B">
        <w:rPr>
          <w:i/>
          <w:iCs/>
        </w:rPr>
        <w:t>International Journal of Molecular Science</w:t>
      </w:r>
      <w:r w:rsidRPr="004E2A3B">
        <w:t>, 22(16):8785 . Available at:  10.3390/ijms22168785</w:t>
      </w:r>
    </w:p>
    <w:p w14:paraId="6A1811D9" w14:textId="77777777" w:rsidR="00B5073C" w:rsidRDefault="00B5073C" w:rsidP="00F21392">
      <w:bookmarkStart w:id="5" w:name="_Hlk152893307"/>
      <w:r w:rsidRPr="00656160">
        <w:t>Connolly, E. J. (2020</w:t>
      </w:r>
      <w:bookmarkEnd w:id="5"/>
      <w:r w:rsidRPr="00656160">
        <w:t xml:space="preserve">). Further Evaluating the Relationship Between Adverse Childhood Experiences, Antisocial Behavior, and Violent Victimization: A Sibling-Comparison Analysis. </w:t>
      </w:r>
      <w:r w:rsidRPr="00656160">
        <w:rPr>
          <w:i/>
          <w:iCs/>
        </w:rPr>
        <w:t>Youth Violence and Juvenile Justice</w:t>
      </w:r>
      <w:r w:rsidRPr="00656160">
        <w:t xml:space="preserve">, 18(1), </w:t>
      </w:r>
      <w:r>
        <w:t>pp.</w:t>
      </w:r>
      <w:r w:rsidRPr="00656160">
        <w:t>3-23.</w:t>
      </w:r>
      <w:r>
        <w:t xml:space="preserve"> Available at: </w:t>
      </w:r>
      <w:r w:rsidRPr="00656160">
        <w:t>https://doi.org/10.1177/1541204019833145</w:t>
      </w:r>
    </w:p>
    <w:p w14:paraId="3871AAD8" w14:textId="77777777" w:rsidR="00B5073C" w:rsidRDefault="00B5073C" w:rsidP="000D2AED">
      <w:r>
        <w:t xml:space="preserve">Felitti, V. (2019). Origins of the ACE study. </w:t>
      </w:r>
      <w:r w:rsidRPr="00614996">
        <w:rPr>
          <w:i/>
          <w:iCs/>
        </w:rPr>
        <w:t>American Journal of Preventive Medicine</w:t>
      </w:r>
      <w:r>
        <w:t>, 56(6), 787-789</w:t>
      </w:r>
    </w:p>
    <w:p w14:paraId="7BB3E15A" w14:textId="77777777" w:rsidR="00B5073C" w:rsidRDefault="00B5073C" w:rsidP="000D2AED">
      <w:bookmarkStart w:id="6" w:name="_Hlk152865357"/>
      <w:r>
        <w:t>Felitti</w:t>
      </w:r>
      <w:bookmarkEnd w:id="6"/>
      <w:r>
        <w:t xml:space="preserve">, V., Anda., R., Nordenberg, D., Williamson, D., Spitz, A., Edwards, V.,  Koss, M., &amp; Marks, J. (1998). Relationship of childhood abuse and household dysfunction to many of the leading causes of death in adults:  </w:t>
      </w:r>
      <w:r w:rsidRPr="000D2AED">
        <w:rPr>
          <w:i/>
          <w:iCs/>
        </w:rPr>
        <w:t>The adverse childhood experiences study. American Journal of Preventive Medicine</w:t>
      </w:r>
      <w:r>
        <w:t>, 14(4), 245-258. https://doi.org/10.1016/s0749-3797(98)00017-8</w:t>
      </w:r>
    </w:p>
    <w:p w14:paraId="3ED94570" w14:textId="77777777" w:rsidR="00B5073C" w:rsidRDefault="00B5073C" w:rsidP="000D2AED">
      <w:bookmarkStart w:id="7" w:name="_Hlk152278791"/>
      <w:r w:rsidRPr="00EB42E9">
        <w:t>Gilgoff</w:t>
      </w:r>
      <w:bookmarkEnd w:id="7"/>
      <w:r w:rsidRPr="00EB42E9">
        <w:t>, R., Singh, L., Koita, K., Gentile, B, and  Marques, SS. (2020)</w:t>
      </w:r>
      <w:r>
        <w:t>.</w:t>
      </w:r>
      <w:r w:rsidRPr="00EB42E9">
        <w:t xml:space="preserve"> Adverse Childhood Experiences, Outcomes, and Interventions. </w:t>
      </w:r>
      <w:r w:rsidRPr="00EB42E9">
        <w:rPr>
          <w:i/>
          <w:iCs/>
        </w:rPr>
        <w:t>'Pediatr Clin North Am</w:t>
      </w:r>
      <w:r w:rsidRPr="00EB42E9">
        <w:t>',67(2), pp259-273 . Available at:  10.1016/j.pcl.2019.12.001</w:t>
      </w:r>
    </w:p>
    <w:p w14:paraId="3049AA63" w14:textId="77777777" w:rsidR="00B5073C" w:rsidRDefault="00B5073C" w:rsidP="00F21392">
      <w:r w:rsidRPr="006F3DE1">
        <w:t>Gottfredson M. R., Hirschi T. (1990). A general theory of crime. Palo Alto, CA: Stanford University Press</w:t>
      </w:r>
      <w:r>
        <w:t xml:space="preserve">. Available at: </w:t>
      </w:r>
      <w:r w:rsidRPr="006F3DE1">
        <w:t>https://doi.org/10.1515/9781503621794</w:t>
      </w:r>
    </w:p>
    <w:p w14:paraId="151A637F" w14:textId="77777777" w:rsidR="00B5073C" w:rsidRDefault="00B5073C" w:rsidP="000D2AED">
      <w:bookmarkStart w:id="8" w:name="_Hlk152703585"/>
      <w:r w:rsidRPr="00F86E38">
        <w:t>Manchester University (2023</w:t>
      </w:r>
      <w:bookmarkEnd w:id="8"/>
      <w:r w:rsidRPr="00F86E38">
        <w:t xml:space="preserve">) </w:t>
      </w:r>
      <w:r w:rsidRPr="00323582">
        <w:rPr>
          <w:i/>
          <w:iCs/>
        </w:rPr>
        <w:t>Adverse Childhood Experiences (ACEs) and Attachment</w:t>
      </w:r>
      <w:r w:rsidRPr="00F86E38">
        <w:t>. Available at: https://mft.nhs.uk/rmch/services/camhs/young-people/adverse-childhood-experiences-aces-and-attachment/ (Accessed: 30 November).</w:t>
      </w:r>
    </w:p>
    <w:p w14:paraId="3067B636" w14:textId="77777777" w:rsidR="00B5073C" w:rsidRPr="00242F2D" w:rsidRDefault="00B5073C" w:rsidP="000D2AED">
      <w:r w:rsidRPr="00242F2D">
        <w:t>Parliament (2018)</w:t>
      </w:r>
      <w:r>
        <w:t>.</w:t>
      </w:r>
      <w:r w:rsidRPr="00242F2D">
        <w:t xml:space="preserve"> </w:t>
      </w:r>
      <w:r w:rsidRPr="00437E9F">
        <w:rPr>
          <w:i/>
          <w:iCs/>
        </w:rPr>
        <w:t>Evidence-based early years intervention</w:t>
      </w:r>
      <w:r w:rsidRPr="00242F2D">
        <w:t>. Available at: https://publications.parliament.uk/pa/cm201719/cmselect/cmsctech/506/50605.htm (Accessed: 30 November 2023).</w:t>
      </w:r>
    </w:p>
    <w:p w14:paraId="15C5FC81" w14:textId="77777777" w:rsidR="00B5073C" w:rsidRDefault="00B5073C" w:rsidP="000723E6">
      <w:bookmarkStart w:id="9" w:name="_Hlk152953971"/>
      <w:r>
        <w:t xml:space="preserve">Raine, A. (2008) </w:t>
      </w:r>
      <w:bookmarkEnd w:id="9"/>
      <w:r>
        <w:t>'From Genes to Brain to Antisocial Behavior',</w:t>
      </w:r>
      <w:r>
        <w:t xml:space="preserve"> </w:t>
      </w:r>
      <w:r w:rsidRPr="000723E6">
        <w:rPr>
          <w:i/>
          <w:iCs/>
        </w:rPr>
        <w:t>Current Directions in Psychological Science</w:t>
      </w:r>
      <w:r>
        <w:t>, 17(5). Available at: https://doi.org/10.1111/j.1467-8721.2008.00599.x</w:t>
      </w:r>
    </w:p>
    <w:p w14:paraId="67748DE5" w14:textId="77777777" w:rsidR="00B5073C" w:rsidRDefault="00B5073C" w:rsidP="000D2AED">
      <w:bookmarkStart w:id="10" w:name="_Hlk152692428"/>
      <w:r w:rsidRPr="00EC4EB4">
        <w:t>Sanderson</w:t>
      </w:r>
      <w:bookmarkEnd w:id="10"/>
      <w:r w:rsidRPr="00EC4EB4">
        <w:t xml:space="preserve">, M., Mouton, CP., Cook, M., Liu, J., Blot, WJ. and Hargreaves, MK.(2021) 'Adverse Childhood Experiences and Chronic Disease Risk in the Southern Community Cohort Study', </w:t>
      </w:r>
      <w:r w:rsidRPr="00EC4EB4">
        <w:rPr>
          <w:i/>
          <w:iCs/>
        </w:rPr>
        <w:t>J Health Care Poor Underserved,</w:t>
      </w:r>
      <w:r w:rsidRPr="00EC4EB4">
        <w:t xml:space="preserve"> 32(3) pp.1384-1402  Available at: 10.1353/hpu.2021.0139</w:t>
      </w:r>
    </w:p>
    <w:p w14:paraId="7D746A65" w14:textId="77777777" w:rsidR="00B5073C" w:rsidRDefault="00B5073C" w:rsidP="000D2AED">
      <w:bookmarkStart w:id="11" w:name="_Hlk152282952"/>
      <w:r w:rsidRPr="00323582">
        <w:lastRenderedPageBreak/>
        <w:t>Steptoe</w:t>
      </w:r>
      <w:bookmarkEnd w:id="11"/>
      <w:r w:rsidRPr="00323582">
        <w:t>, A., Marteau, T., Fonagy, P. and  Abel, K.(2019)</w:t>
      </w:r>
      <w:r>
        <w:t>.</w:t>
      </w:r>
      <w:r w:rsidRPr="00323582">
        <w:t xml:space="preserve"> 'ACEs: Evidence, Gaps, </w:t>
      </w:r>
      <w:r>
        <w:t>Evaluation</w:t>
      </w:r>
      <w:r w:rsidRPr="00323582">
        <w:t>, and Future Priorities'</w:t>
      </w:r>
      <w:r w:rsidRPr="00323582">
        <w:rPr>
          <w:i/>
          <w:iCs/>
        </w:rPr>
        <w:t>, Social Policy and Society</w:t>
      </w:r>
      <w:r w:rsidRPr="00323582">
        <w:t>,18(3), pp415-424 Available at: https://doi.org/10.1017/S1474746419000149</w:t>
      </w:r>
    </w:p>
    <w:p w14:paraId="7622AD95" w14:textId="77777777" w:rsidR="00B5073C" w:rsidRDefault="00B5073C" w:rsidP="000D2AED">
      <w:bookmarkStart w:id="12" w:name="_Hlk152864102"/>
      <w:r w:rsidRPr="000D2AED">
        <w:t>Struck, S</w:t>
      </w:r>
      <w:bookmarkEnd w:id="12"/>
      <w:r w:rsidRPr="000D2AED">
        <w:t>., ATufescu, AS.,  Asmundson, A., Asmundson, G. and Afifi, T. (2021) 'Adverse childhood experiences (ACEs) research: A bibliometric analysis of publication trends over the first 20 years'</w:t>
      </w:r>
      <w:r>
        <w:t xml:space="preserve">, </w:t>
      </w:r>
      <w:r w:rsidRPr="000D2AED">
        <w:rPr>
          <w:i/>
          <w:iCs/>
        </w:rPr>
        <w:t>Child Abuse &amp; Neglect</w:t>
      </w:r>
      <w:r w:rsidRPr="000D2AED">
        <w:t>, , 112,  Available at: https://www.sciencedirect.com/science/article/pii/S0145213420305500(Accessed: 7 December 2023).</w:t>
      </w:r>
    </w:p>
    <w:p w14:paraId="2B6A27F0" w14:textId="77777777" w:rsidR="00B5073C" w:rsidRDefault="00B5073C" w:rsidP="00F21392">
      <w:bookmarkStart w:id="13" w:name="_Hlk152882895"/>
      <w:r>
        <w:t xml:space="preserve">The Burke Foundation (2019). </w:t>
      </w:r>
      <w:bookmarkEnd w:id="13"/>
      <w:r w:rsidRPr="00F21392">
        <w:rPr>
          <w:i/>
          <w:iCs/>
        </w:rPr>
        <w:t>Adverse Childhood Experiences (ACEs)</w:t>
      </w:r>
      <w:r>
        <w:t>. Available at: https://burkefoundation.org/what-drives-us/adverse-childhood-experiences-aces/ (Accessed: 7 November 2023).</w:t>
      </w:r>
    </w:p>
    <w:p w14:paraId="228AF0F0" w14:textId="77777777" w:rsidR="00B5073C" w:rsidRPr="00437E9F" w:rsidRDefault="00B5073C" w:rsidP="000723E6">
      <w:bookmarkStart w:id="14" w:name="_Hlk152957052"/>
      <w:r w:rsidRPr="00BF25AD">
        <w:t>Wesseldijk</w:t>
      </w:r>
      <w:bookmarkEnd w:id="14"/>
      <w:r w:rsidRPr="00BF25AD">
        <w:t>, LW., Bartels, M., Vink, JM,. Beijsterveldt, CEM., Ligthart, L., Boomsma. DI. and Middeldorp. (2018) 'Genetic and environmental influences on conduct and antisocial personality problems in childhood, adolescence, and adulthood', European Child &amp; Adolescent Psychiatry, 27, pp. 1123-1232. Available at:  https://doi.org/10.1007/s00787-017-1014-y</w:t>
      </w:r>
    </w:p>
    <w:p w14:paraId="4749FD5B" w14:textId="77777777" w:rsidR="00B5073C" w:rsidRDefault="00B5073C" w:rsidP="000D2AED">
      <w:r w:rsidRPr="00437E9F">
        <w:t xml:space="preserve">Young Minds (2023) </w:t>
      </w:r>
      <w:r w:rsidRPr="00437E9F">
        <w:rPr>
          <w:i/>
          <w:iCs/>
        </w:rPr>
        <w:t>Understanding trauma and adversity</w:t>
      </w:r>
      <w:r w:rsidRPr="00437E9F">
        <w:t>. Available at:https://www.youngminds.org.uk/professional/resources/understanding-trauma-and-adversity/  (Accessed: 30 November 2023).</w:t>
      </w:r>
    </w:p>
    <w:sectPr w:rsidR="00B507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B5826"/>
    <w:multiLevelType w:val="hybridMultilevel"/>
    <w:tmpl w:val="D82EF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36188C"/>
    <w:multiLevelType w:val="hybridMultilevel"/>
    <w:tmpl w:val="C2AE2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91139"/>
    <w:multiLevelType w:val="hybridMultilevel"/>
    <w:tmpl w:val="CEBEF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1BC7CFA"/>
    <w:multiLevelType w:val="hybridMultilevel"/>
    <w:tmpl w:val="B0624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738678">
    <w:abstractNumId w:val="1"/>
  </w:num>
  <w:num w:numId="2" w16cid:durableId="1543860444">
    <w:abstractNumId w:val="3"/>
  </w:num>
  <w:num w:numId="3" w16cid:durableId="1730231395">
    <w:abstractNumId w:val="2"/>
  </w:num>
  <w:num w:numId="4" w16cid:durableId="918245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57"/>
    <w:rsid w:val="00033ACC"/>
    <w:rsid w:val="00061A6C"/>
    <w:rsid w:val="000723E6"/>
    <w:rsid w:val="00087EB0"/>
    <w:rsid w:val="000B7EBB"/>
    <w:rsid w:val="000B7F88"/>
    <w:rsid w:val="000C4C50"/>
    <w:rsid w:val="000D2AED"/>
    <w:rsid w:val="000F6D34"/>
    <w:rsid w:val="0010142F"/>
    <w:rsid w:val="00107BCF"/>
    <w:rsid w:val="0014724E"/>
    <w:rsid w:val="00147EB1"/>
    <w:rsid w:val="00153DEA"/>
    <w:rsid w:val="00162E02"/>
    <w:rsid w:val="001A07C4"/>
    <w:rsid w:val="00207028"/>
    <w:rsid w:val="00242F2D"/>
    <w:rsid w:val="00254250"/>
    <w:rsid w:val="002934AB"/>
    <w:rsid w:val="002A6B1F"/>
    <w:rsid w:val="002A7245"/>
    <w:rsid w:val="002D351C"/>
    <w:rsid w:val="002E094B"/>
    <w:rsid w:val="002F5E13"/>
    <w:rsid w:val="00312D1E"/>
    <w:rsid w:val="00323582"/>
    <w:rsid w:val="00363ACC"/>
    <w:rsid w:val="003734C4"/>
    <w:rsid w:val="003A6014"/>
    <w:rsid w:val="003D30D9"/>
    <w:rsid w:val="003F103F"/>
    <w:rsid w:val="00437E9F"/>
    <w:rsid w:val="00460E2F"/>
    <w:rsid w:val="004661FF"/>
    <w:rsid w:val="00466215"/>
    <w:rsid w:val="004925BB"/>
    <w:rsid w:val="004A6905"/>
    <w:rsid w:val="004B1216"/>
    <w:rsid w:val="004B68B0"/>
    <w:rsid w:val="004C2488"/>
    <w:rsid w:val="004C37E5"/>
    <w:rsid w:val="004E2A3B"/>
    <w:rsid w:val="004E482A"/>
    <w:rsid w:val="004F3604"/>
    <w:rsid w:val="0051315B"/>
    <w:rsid w:val="005374E5"/>
    <w:rsid w:val="00545A8F"/>
    <w:rsid w:val="00553E14"/>
    <w:rsid w:val="00571451"/>
    <w:rsid w:val="005C42CC"/>
    <w:rsid w:val="005D047D"/>
    <w:rsid w:val="005D6482"/>
    <w:rsid w:val="00614996"/>
    <w:rsid w:val="00656160"/>
    <w:rsid w:val="006806E8"/>
    <w:rsid w:val="00696203"/>
    <w:rsid w:val="006E4C6B"/>
    <w:rsid w:val="006F3DE1"/>
    <w:rsid w:val="00710809"/>
    <w:rsid w:val="00710CF1"/>
    <w:rsid w:val="00724630"/>
    <w:rsid w:val="00784FCD"/>
    <w:rsid w:val="007A5CE4"/>
    <w:rsid w:val="007B0008"/>
    <w:rsid w:val="00800BA4"/>
    <w:rsid w:val="00836E96"/>
    <w:rsid w:val="00866349"/>
    <w:rsid w:val="00870606"/>
    <w:rsid w:val="00882EFC"/>
    <w:rsid w:val="009061D3"/>
    <w:rsid w:val="00932A21"/>
    <w:rsid w:val="00950394"/>
    <w:rsid w:val="00972D43"/>
    <w:rsid w:val="009944C0"/>
    <w:rsid w:val="00A15341"/>
    <w:rsid w:val="00A25EB8"/>
    <w:rsid w:val="00A27DDA"/>
    <w:rsid w:val="00A623AD"/>
    <w:rsid w:val="00A66D66"/>
    <w:rsid w:val="00A97B0E"/>
    <w:rsid w:val="00AA578D"/>
    <w:rsid w:val="00AD65D6"/>
    <w:rsid w:val="00AE03D8"/>
    <w:rsid w:val="00AF1B3B"/>
    <w:rsid w:val="00B0354C"/>
    <w:rsid w:val="00B42E66"/>
    <w:rsid w:val="00B5073C"/>
    <w:rsid w:val="00B70E3F"/>
    <w:rsid w:val="00B840B9"/>
    <w:rsid w:val="00BB2A3C"/>
    <w:rsid w:val="00BF25AD"/>
    <w:rsid w:val="00C47056"/>
    <w:rsid w:val="00C9197A"/>
    <w:rsid w:val="00CA0BDD"/>
    <w:rsid w:val="00D81C4F"/>
    <w:rsid w:val="00DA41D8"/>
    <w:rsid w:val="00DC4F7E"/>
    <w:rsid w:val="00DC7C41"/>
    <w:rsid w:val="00DD5A79"/>
    <w:rsid w:val="00E0186A"/>
    <w:rsid w:val="00EB2434"/>
    <w:rsid w:val="00EB42E9"/>
    <w:rsid w:val="00EB7DA5"/>
    <w:rsid w:val="00EC4EB4"/>
    <w:rsid w:val="00ED4657"/>
    <w:rsid w:val="00ED5743"/>
    <w:rsid w:val="00ED7C5F"/>
    <w:rsid w:val="00F21392"/>
    <w:rsid w:val="00F67593"/>
    <w:rsid w:val="00F86E38"/>
    <w:rsid w:val="00FB43BB"/>
    <w:rsid w:val="00FC0383"/>
    <w:rsid w:val="00FD4062"/>
    <w:rsid w:val="00FF0D66"/>
    <w:rsid w:val="00FF5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8FEB35"/>
  <w15:chartTrackingRefBased/>
  <w15:docId w15:val="{131DE7C7-721F-425D-B995-A6F6AE80C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EB4"/>
    <w:rPr>
      <w:color w:val="0563C1" w:themeColor="hyperlink"/>
      <w:u w:val="single"/>
    </w:rPr>
  </w:style>
  <w:style w:type="character" w:styleId="UnresolvedMention">
    <w:name w:val="Unresolved Mention"/>
    <w:basedOn w:val="DefaultParagraphFont"/>
    <w:uiPriority w:val="99"/>
    <w:semiHidden/>
    <w:unhideWhenUsed/>
    <w:rsid w:val="00EC4EB4"/>
    <w:rPr>
      <w:color w:val="605E5C"/>
      <w:shd w:val="clear" w:color="auto" w:fill="E1DFDD"/>
    </w:rPr>
  </w:style>
  <w:style w:type="paragraph" w:styleId="ListParagraph">
    <w:name w:val="List Paragraph"/>
    <w:basedOn w:val="Normal"/>
    <w:uiPriority w:val="34"/>
    <w:qFormat/>
    <w:rsid w:val="00DD5A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3284</TotalTime>
  <Pages>6</Pages>
  <Words>2588</Words>
  <Characters>15697</Characters>
  <Application>Microsoft Office Word</Application>
  <DocSecurity>0</DocSecurity>
  <Lines>226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dc:creator>
  <cp:keywords/>
  <dc:description/>
  <cp:lastModifiedBy>nilufa begum</cp:lastModifiedBy>
  <cp:revision>56</cp:revision>
  <dcterms:created xsi:type="dcterms:W3CDTF">2023-11-29T14:40:00Z</dcterms:created>
  <dcterms:modified xsi:type="dcterms:W3CDTF">2023-12-08T19:55:00Z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4c15cc98-a4a9-42f3-9360-80540ca69d71</vt:lpwstr>
  </property>
</Properties>
</file>