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63707" w14:textId="77777777" w:rsidR="00CE7319" w:rsidRDefault="00CE7319">
      <w:pPr>
        <w:pStyle w:val="Normale"/>
        <w:spacing w:line="276" w:lineRule="auto"/>
        <w:rPr>
          <w:rFonts w:ascii="Abadi" w:hAnsi="Abadi"/>
          <w:b/>
          <w:bCs/>
        </w:rPr>
      </w:pPr>
    </w:p>
    <w:p w14:paraId="2FBA00EE" w14:textId="77777777" w:rsidR="00CE7319" w:rsidRDefault="004547F8">
      <w:pPr>
        <w:pStyle w:val="Normale"/>
        <w:spacing w:line="276" w:lineRule="auto"/>
      </w:pPr>
      <w:r>
        <w:rPr>
          <w:rStyle w:val="Carpredefinitoparagrafo"/>
          <w:rFonts w:ascii="Times New Roman" w:hAnsi="Times New Roman"/>
          <w:noProof/>
          <w:sz w:val="24"/>
          <w:szCs w:val="24"/>
          <w:lang w:bidi="it-IT"/>
        </w:rPr>
        <w:drawing>
          <wp:anchor distT="0" distB="0" distL="114300" distR="114300" simplePos="0" relativeHeight="251659264" behindDoc="0" locked="0" layoutInCell="1" allowOverlap="1" wp14:anchorId="73FBAA73" wp14:editId="18C700AE">
            <wp:simplePos x="0" y="0"/>
            <wp:positionH relativeFrom="column">
              <wp:posOffset>655323</wp:posOffset>
            </wp:positionH>
            <wp:positionV relativeFrom="paragraph">
              <wp:posOffset>266703</wp:posOffset>
            </wp:positionV>
            <wp:extent cx="2103750" cy="1267458"/>
            <wp:effectExtent l="0" t="0" r="0" b="8892"/>
            <wp:wrapTight wrapText="bothSides">
              <wp:wrapPolygon edited="0">
                <wp:start x="0" y="0"/>
                <wp:lineTo x="0" y="21438"/>
                <wp:lineTo x="21326" y="21438"/>
                <wp:lineTo x="21326" y="0"/>
                <wp:lineTo x="0" y="0"/>
              </wp:wrapPolygon>
            </wp:wrapTight>
            <wp:docPr id="1" name="Immagine 4" descr="Immagine che contiene testo, simbolo, logo, Carattere&#10;&#10;Descrizione generata automaticamen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103750" cy="1267458"/>
                    </a:xfrm>
                    <a:prstGeom prst="rect">
                      <a:avLst/>
                    </a:prstGeom>
                    <a:noFill/>
                    <a:ln>
                      <a:noFill/>
                      <a:prstDash/>
                    </a:ln>
                  </pic:spPr>
                </pic:pic>
              </a:graphicData>
            </a:graphic>
          </wp:anchor>
        </w:drawing>
      </w:r>
      <w:r>
        <w:rPr>
          <w:rStyle w:val="Carpredefinitoparagrafo"/>
          <w:rFonts w:ascii="Abadi" w:hAnsi="Abadi"/>
          <w:b/>
          <w:bCs/>
        </w:rPr>
        <w:t xml:space="preserve"> </w:t>
      </w:r>
    </w:p>
    <w:p w14:paraId="0DC267D5" w14:textId="77777777" w:rsidR="00CE7319" w:rsidRDefault="00CE7319">
      <w:pPr>
        <w:pStyle w:val="Normale"/>
        <w:suppressAutoHyphens w:val="0"/>
        <w:rPr>
          <w:rFonts w:ascii="Abadi" w:hAnsi="Abadi"/>
          <w:b/>
          <w:bCs/>
        </w:rPr>
      </w:pPr>
    </w:p>
    <w:p w14:paraId="761600C9" w14:textId="77777777" w:rsidR="00CE7319" w:rsidRDefault="00CE7319">
      <w:pPr>
        <w:pStyle w:val="Normale"/>
        <w:suppressAutoHyphens w:val="0"/>
        <w:rPr>
          <w:rFonts w:ascii="Abadi" w:hAnsi="Abadi"/>
          <w:b/>
          <w:bCs/>
        </w:rPr>
      </w:pPr>
    </w:p>
    <w:p w14:paraId="452917E1" w14:textId="77777777" w:rsidR="00CE7319" w:rsidRDefault="00CE7319">
      <w:pPr>
        <w:pStyle w:val="Normale"/>
        <w:suppressAutoHyphens w:val="0"/>
        <w:rPr>
          <w:rFonts w:ascii="Abadi" w:hAnsi="Abadi"/>
          <w:b/>
          <w:bCs/>
        </w:rPr>
      </w:pPr>
    </w:p>
    <w:p w14:paraId="5485EC20" w14:textId="77777777" w:rsidR="00CE7319" w:rsidRDefault="00CE7319">
      <w:pPr>
        <w:pStyle w:val="Normale"/>
        <w:suppressAutoHyphens w:val="0"/>
        <w:rPr>
          <w:rFonts w:ascii="Abadi" w:hAnsi="Abadi"/>
          <w:b/>
          <w:bCs/>
        </w:rPr>
      </w:pPr>
    </w:p>
    <w:p w14:paraId="30C07C37" w14:textId="77777777" w:rsidR="00CE7319" w:rsidRDefault="00CE7319">
      <w:pPr>
        <w:pStyle w:val="Normale"/>
        <w:suppressAutoHyphens w:val="0"/>
        <w:rPr>
          <w:rFonts w:ascii="Abadi" w:hAnsi="Abadi"/>
          <w:b/>
          <w:bCs/>
        </w:rPr>
      </w:pPr>
    </w:p>
    <w:p w14:paraId="636A15BB" w14:textId="77777777" w:rsidR="00CE7319" w:rsidRDefault="00CE7319">
      <w:pPr>
        <w:pStyle w:val="Normale"/>
        <w:suppressAutoHyphens w:val="0"/>
        <w:rPr>
          <w:rFonts w:ascii="Abadi" w:hAnsi="Abadi"/>
          <w:b/>
          <w:bCs/>
        </w:rPr>
      </w:pPr>
    </w:p>
    <w:p w14:paraId="77D09945" w14:textId="77777777" w:rsidR="00CE7319" w:rsidRDefault="00CE7319">
      <w:pPr>
        <w:pStyle w:val="Normale"/>
        <w:suppressAutoHyphens w:val="0"/>
        <w:rPr>
          <w:rFonts w:ascii="Abadi" w:hAnsi="Abadi"/>
          <w:b/>
          <w:bCs/>
        </w:rPr>
      </w:pPr>
    </w:p>
    <w:p w14:paraId="1894F351" w14:textId="77777777" w:rsidR="00CE7319" w:rsidRDefault="004547F8">
      <w:pPr>
        <w:pStyle w:val="Normale"/>
      </w:pPr>
      <w:r>
        <w:rPr>
          <w:rStyle w:val="Carpredefinitoparagrafo"/>
          <w:sz w:val="28"/>
          <w:szCs w:val="28"/>
        </w:rPr>
        <w:t xml:space="preserve">                 </w:t>
      </w:r>
      <w:r>
        <w:rPr>
          <w:rStyle w:val="Carpredefinitoparagrafo"/>
          <w:rFonts w:ascii="Abadi" w:hAnsi="Abadi"/>
          <w:sz w:val="24"/>
          <w:szCs w:val="24"/>
        </w:rPr>
        <w:t xml:space="preserve">Module Name: </w:t>
      </w:r>
      <w:r>
        <w:rPr>
          <w:rStyle w:val="Carpredefinitoparagrafo"/>
          <w:rFonts w:ascii="Abadi" w:hAnsi="Abadi" w:cs="Arial"/>
          <w:sz w:val="24"/>
          <w:szCs w:val="24"/>
        </w:rPr>
        <w:t>Accounting Fundamentals (</w:t>
      </w:r>
      <w:r>
        <w:rPr>
          <w:rStyle w:val="Carpredefinitoparagrafo"/>
          <w:rFonts w:ascii="Abadi" w:hAnsi="Abadi"/>
          <w:sz w:val="24"/>
          <w:szCs w:val="24"/>
        </w:rPr>
        <w:t>LCBB4001)</w:t>
      </w:r>
    </w:p>
    <w:p w14:paraId="254718A9" w14:textId="77777777" w:rsidR="00CE7319" w:rsidRDefault="004547F8">
      <w:pPr>
        <w:pStyle w:val="Normale"/>
        <w:rPr>
          <w:rFonts w:ascii="Abadi" w:hAnsi="Abadi"/>
          <w:sz w:val="24"/>
          <w:szCs w:val="24"/>
        </w:rPr>
      </w:pPr>
      <w:r>
        <w:rPr>
          <w:rFonts w:ascii="Abadi" w:hAnsi="Abadi"/>
          <w:sz w:val="24"/>
          <w:szCs w:val="24"/>
        </w:rPr>
        <w:t xml:space="preserve">               Name of Lecturer: </w:t>
      </w:r>
      <w:proofErr w:type="spellStart"/>
      <w:r>
        <w:rPr>
          <w:rFonts w:ascii="Abadi" w:hAnsi="Abadi"/>
          <w:sz w:val="24"/>
          <w:szCs w:val="24"/>
        </w:rPr>
        <w:t>Hossein</w:t>
      </w:r>
      <w:proofErr w:type="spellEnd"/>
      <w:r>
        <w:rPr>
          <w:rFonts w:ascii="Abadi" w:hAnsi="Abadi"/>
          <w:sz w:val="24"/>
          <w:szCs w:val="24"/>
        </w:rPr>
        <w:t xml:space="preserve"> </w:t>
      </w:r>
      <w:proofErr w:type="spellStart"/>
      <w:r>
        <w:rPr>
          <w:rFonts w:ascii="Abadi" w:hAnsi="Abadi"/>
          <w:sz w:val="24"/>
          <w:szCs w:val="24"/>
        </w:rPr>
        <w:t>Shokri</w:t>
      </w:r>
      <w:proofErr w:type="spellEnd"/>
      <w:r>
        <w:rPr>
          <w:rFonts w:ascii="Abadi" w:hAnsi="Abadi"/>
          <w:sz w:val="24"/>
          <w:szCs w:val="24"/>
        </w:rPr>
        <w:t xml:space="preserve"> </w:t>
      </w:r>
    </w:p>
    <w:p w14:paraId="3389C1A5" w14:textId="77777777" w:rsidR="00CE7319" w:rsidRDefault="004547F8">
      <w:pPr>
        <w:pStyle w:val="Normale"/>
        <w:rPr>
          <w:rFonts w:ascii="Abadi" w:hAnsi="Abadi"/>
          <w:sz w:val="24"/>
          <w:szCs w:val="24"/>
        </w:rPr>
      </w:pPr>
      <w:r>
        <w:rPr>
          <w:rFonts w:ascii="Abadi" w:hAnsi="Abadi"/>
          <w:sz w:val="24"/>
          <w:szCs w:val="24"/>
        </w:rPr>
        <w:t xml:space="preserve">           </w:t>
      </w:r>
    </w:p>
    <w:p w14:paraId="46D69DE6" w14:textId="77777777" w:rsidR="00CE7319" w:rsidRDefault="004547F8">
      <w:pPr>
        <w:pStyle w:val="Normale"/>
        <w:rPr>
          <w:rFonts w:ascii="Abadi" w:hAnsi="Abadi"/>
          <w:sz w:val="24"/>
          <w:szCs w:val="24"/>
        </w:rPr>
      </w:pPr>
      <w:r>
        <w:rPr>
          <w:rFonts w:ascii="Abadi" w:hAnsi="Abadi"/>
          <w:sz w:val="24"/>
          <w:szCs w:val="24"/>
        </w:rPr>
        <w:t xml:space="preserve">               Name: Stan Rebeca Lacramioara </w:t>
      </w:r>
    </w:p>
    <w:p w14:paraId="32745AEB" w14:textId="77777777" w:rsidR="00CE7319" w:rsidRDefault="004547F8">
      <w:pPr>
        <w:pStyle w:val="Normale"/>
        <w:suppressAutoHyphens w:val="0"/>
      </w:pPr>
      <w:r>
        <w:rPr>
          <w:rStyle w:val="Carpredefinitoparagrafo"/>
          <w:rFonts w:ascii="Abadi" w:hAnsi="Abadi"/>
          <w:sz w:val="24"/>
          <w:szCs w:val="24"/>
        </w:rPr>
        <w:t xml:space="preserve">               Id Number: 2233918</w:t>
      </w:r>
    </w:p>
    <w:p w14:paraId="34D0C575" w14:textId="77777777" w:rsidR="00CE7319" w:rsidRDefault="004547F8">
      <w:pPr>
        <w:pStyle w:val="Normale"/>
        <w:pageBreakBefore/>
        <w:spacing w:line="276" w:lineRule="auto"/>
        <w:rPr>
          <w:rFonts w:ascii="Abadi" w:hAnsi="Abadi"/>
          <w:b/>
          <w:bCs/>
        </w:rPr>
      </w:pPr>
      <w:r>
        <w:rPr>
          <w:rFonts w:ascii="Abadi" w:hAnsi="Abadi"/>
          <w:b/>
          <w:bCs/>
        </w:rPr>
        <w:lastRenderedPageBreak/>
        <w:t>Statement 1</w:t>
      </w:r>
    </w:p>
    <w:p w14:paraId="4833FC69" w14:textId="77777777" w:rsidR="00CE7319" w:rsidRDefault="004547F8">
      <w:pPr>
        <w:pStyle w:val="Normale"/>
        <w:spacing w:line="276" w:lineRule="auto"/>
        <w:rPr>
          <w:rFonts w:ascii="Abadi" w:hAnsi="Abadi"/>
          <w:i/>
          <w:iCs/>
        </w:rPr>
      </w:pPr>
      <w:r>
        <w:rPr>
          <w:rFonts w:ascii="Abadi" w:hAnsi="Abadi"/>
          <w:i/>
          <w:iCs/>
        </w:rPr>
        <w:t>‘’The statement of financial position shows how much cash has come into and left the business during the accounting period and the resulting balance at the end of the period.’’</w:t>
      </w:r>
    </w:p>
    <w:p w14:paraId="0D6718FF" w14:textId="77777777" w:rsidR="00CE7319" w:rsidRDefault="004547F8">
      <w:pPr>
        <w:pStyle w:val="Normale"/>
        <w:spacing w:line="276" w:lineRule="auto"/>
        <w:jc w:val="both"/>
        <w:rPr>
          <w:rFonts w:ascii="Abadi" w:hAnsi="Abadi"/>
        </w:rPr>
      </w:pPr>
      <w:r>
        <w:rPr>
          <w:rFonts w:ascii="Abadi" w:hAnsi="Abadi"/>
        </w:rPr>
        <w:t>This statement is partially correct. The statement of financial position, also known as the balance sheet, provides information about the financial position of a company at a specific point in time. It shows the company's assets, liabilities, and shareholders' equity. While cash is an important component of the assets section, the balance sheet includes other non-cash assets such as accounts receivable, inventory, and property, plant, and equipment. Additionally, it also includes non-cash liabilities such as accounts payable and long-term debt. Therefore, the statement of financial position does not solely focus on cash transactions but presents a comprehensive view of the company's financial position.</w:t>
      </w:r>
    </w:p>
    <w:p w14:paraId="4736A1BD" w14:textId="77777777" w:rsidR="00CE7319" w:rsidRDefault="004547F8">
      <w:pPr>
        <w:pStyle w:val="Normale"/>
        <w:spacing w:line="276" w:lineRule="auto"/>
      </w:pPr>
      <w:r>
        <w:rPr>
          <w:rStyle w:val="Carpredefinitoparagrafo"/>
          <w:rFonts w:ascii="Abadi" w:hAnsi="Abadi"/>
          <w:b/>
          <w:bCs/>
        </w:rPr>
        <w:t>Statement 2</w:t>
      </w:r>
    </w:p>
    <w:p w14:paraId="15E7A4DB" w14:textId="77777777" w:rsidR="00CE7319" w:rsidRDefault="004547F8">
      <w:pPr>
        <w:pStyle w:val="Normale"/>
        <w:spacing w:line="276" w:lineRule="auto"/>
        <w:rPr>
          <w:rFonts w:ascii="Abadi" w:hAnsi="Abadi"/>
          <w:i/>
          <w:iCs/>
        </w:rPr>
      </w:pPr>
      <w:r>
        <w:rPr>
          <w:rFonts w:ascii="Abadi" w:hAnsi="Abadi"/>
          <w:i/>
          <w:iCs/>
        </w:rPr>
        <w:t>‘’Non-current assets are things that cannot be moved.’’</w:t>
      </w:r>
    </w:p>
    <w:p w14:paraId="72AC2D30" w14:textId="77777777" w:rsidR="00CE7319" w:rsidRDefault="004547F8">
      <w:pPr>
        <w:pStyle w:val="Normale"/>
        <w:spacing w:line="276" w:lineRule="auto"/>
        <w:rPr>
          <w:rFonts w:ascii="Abadi" w:hAnsi="Abadi"/>
        </w:rPr>
      </w:pPr>
      <w:r>
        <w:rPr>
          <w:rFonts w:ascii="Abadi" w:hAnsi="Abadi"/>
        </w:rPr>
        <w:t>This statement is incorrect. Non-current assets, also known as long-term assets, are resources owned by a company that are expected to provide economic benefits for more than one accounting period. They include tangible assets such as property, plant, and equipment, as well as intangible assets such as patents and trademarks. While some non-current assets, like land and buildings, may be immovable, others like vehicles and machinery can be moved. The classification of an asset as non-current is based on its useful life rather than its mobility.</w:t>
      </w:r>
    </w:p>
    <w:p w14:paraId="524E7D27" w14:textId="77777777" w:rsidR="00CE7319" w:rsidRDefault="004547F8">
      <w:pPr>
        <w:pStyle w:val="Normale"/>
        <w:spacing w:line="276" w:lineRule="auto"/>
      </w:pPr>
      <w:r>
        <w:rPr>
          <w:rStyle w:val="Carpredefinitoparagrafo"/>
          <w:rFonts w:ascii="Abadi" w:hAnsi="Abadi"/>
          <w:b/>
          <w:bCs/>
        </w:rPr>
        <w:t>Statement 3</w:t>
      </w:r>
    </w:p>
    <w:p w14:paraId="28241E9B" w14:textId="77777777" w:rsidR="00CE7319" w:rsidRDefault="004547F8">
      <w:pPr>
        <w:pStyle w:val="Normale"/>
        <w:spacing w:line="276" w:lineRule="auto"/>
        <w:rPr>
          <w:rFonts w:ascii="Abadi" w:hAnsi="Abadi"/>
          <w:i/>
          <w:iCs/>
        </w:rPr>
      </w:pPr>
      <w:r>
        <w:rPr>
          <w:rFonts w:ascii="Abadi" w:hAnsi="Abadi"/>
          <w:i/>
          <w:iCs/>
        </w:rPr>
        <w:t>‘’Managers should only supply financial information to the "current" shareholders of companies.’’</w:t>
      </w:r>
    </w:p>
    <w:p w14:paraId="0CB6E732" w14:textId="77777777" w:rsidR="00CE7319" w:rsidRDefault="004547F8">
      <w:pPr>
        <w:pStyle w:val="Normale"/>
        <w:spacing w:line="276" w:lineRule="auto"/>
        <w:rPr>
          <w:rFonts w:ascii="Abadi" w:hAnsi="Abadi"/>
        </w:rPr>
      </w:pPr>
      <w:r>
        <w:rPr>
          <w:rFonts w:ascii="Abadi" w:hAnsi="Abadi"/>
        </w:rPr>
        <w:t>This statement is incorrect. Managers have a responsibility to provide financial information to all shareholders, not just the current ones. Shareholders, whether current or potential, have a right to access and evaluate the financial performance and position of the company they have invested in. Financial information helps shareholders make informed decisions regarding their investments and assess the company's ability to generate returns. It is essential for managers to provide accurate and timely financial information to all shareholders to maintain transparency, uphold good corporate governance practices, and build trust with investors.</w:t>
      </w:r>
    </w:p>
    <w:p w14:paraId="5FD01632" w14:textId="77777777" w:rsidR="00CE7319" w:rsidRDefault="004547F8">
      <w:pPr>
        <w:pStyle w:val="Normale"/>
        <w:spacing w:line="276" w:lineRule="auto"/>
        <w:rPr>
          <w:rFonts w:ascii="Abadi" w:hAnsi="Abadi"/>
          <w:b/>
          <w:bCs/>
        </w:rPr>
      </w:pPr>
      <w:r>
        <w:rPr>
          <w:rFonts w:ascii="Abadi" w:hAnsi="Abadi"/>
          <w:b/>
          <w:bCs/>
        </w:rPr>
        <w:t>Statement 4</w:t>
      </w:r>
    </w:p>
    <w:p w14:paraId="4CF05C5F" w14:textId="77777777" w:rsidR="00CE7319" w:rsidRDefault="004547F8">
      <w:pPr>
        <w:pStyle w:val="Normale"/>
        <w:spacing w:line="276" w:lineRule="auto"/>
      </w:pPr>
      <w:r>
        <w:rPr>
          <w:rStyle w:val="Carpredefinitoparagrafo"/>
          <w:rFonts w:ascii="Abadi" w:hAnsi="Abadi"/>
          <w:i/>
          <w:iCs/>
        </w:rPr>
        <w:t>‘’No need to include prepayments and accruals on the statement of financial position</w:t>
      </w:r>
      <w:r>
        <w:rPr>
          <w:rStyle w:val="Carpredefinitoparagrafo"/>
          <w:rFonts w:ascii="Abadi" w:hAnsi="Abadi"/>
        </w:rPr>
        <w:t>’’.</w:t>
      </w:r>
    </w:p>
    <w:p w14:paraId="3C148B0B" w14:textId="77777777" w:rsidR="00CE7319" w:rsidRDefault="004547F8">
      <w:pPr>
        <w:pStyle w:val="Normale"/>
        <w:spacing w:line="276" w:lineRule="auto"/>
        <w:rPr>
          <w:rFonts w:ascii="Abadi" w:hAnsi="Abadi"/>
        </w:rPr>
      </w:pPr>
      <w:r>
        <w:rPr>
          <w:rFonts w:ascii="Abadi" w:hAnsi="Abadi"/>
        </w:rPr>
        <w:t>This statement is incorrect. Prepayments and accruals should be included on the statement of financial position. Prepayments refer to expenses paid in advance but not yet incurred, while accruals represent expenses incurred but not yet paid. Both prepayments and accruals are important components of the company's financial position as they reflect future economic benefits or obligations. Prepayments are classified as current assets if they will be used up within one year, while accruals are classified as current liabilities if they are due for payment within one year. Including prepayments and accruals on the statement of financial position provides a more accurate representation of the company's financial condition.</w:t>
      </w:r>
    </w:p>
    <w:p w14:paraId="7B26F95D" w14:textId="77777777" w:rsidR="00CE7319" w:rsidRDefault="00CE7319">
      <w:pPr>
        <w:pStyle w:val="Normale"/>
        <w:spacing w:line="276" w:lineRule="auto"/>
        <w:rPr>
          <w:rFonts w:ascii="Abadi" w:hAnsi="Abadi"/>
        </w:rPr>
      </w:pPr>
    </w:p>
    <w:p w14:paraId="213952DB" w14:textId="77777777" w:rsidR="00CE7319" w:rsidRDefault="00CE7319">
      <w:pPr>
        <w:pStyle w:val="Normale"/>
        <w:spacing w:line="276" w:lineRule="auto"/>
        <w:rPr>
          <w:rFonts w:ascii="Abadi" w:hAnsi="Abadi"/>
        </w:rPr>
      </w:pPr>
    </w:p>
    <w:p w14:paraId="2F2C6EF5" w14:textId="77777777" w:rsidR="00CE7319" w:rsidRDefault="004547F8">
      <w:pPr>
        <w:pStyle w:val="Normale"/>
        <w:spacing w:line="276" w:lineRule="auto"/>
      </w:pPr>
      <w:r>
        <w:rPr>
          <w:rStyle w:val="Carpredefinitoparagrafo"/>
          <w:rFonts w:ascii="Abadi" w:hAnsi="Abadi"/>
          <w:b/>
          <w:bCs/>
        </w:rPr>
        <w:t>Statement 5</w:t>
      </w:r>
    </w:p>
    <w:p w14:paraId="56A966D9" w14:textId="77777777" w:rsidR="00CE7319" w:rsidRDefault="004547F8">
      <w:pPr>
        <w:pStyle w:val="Normale"/>
        <w:spacing w:line="276" w:lineRule="auto"/>
        <w:rPr>
          <w:rFonts w:ascii="Abadi" w:hAnsi="Abadi"/>
          <w:i/>
          <w:iCs/>
        </w:rPr>
      </w:pPr>
      <w:r>
        <w:rPr>
          <w:rFonts w:ascii="Abadi" w:hAnsi="Abadi"/>
          <w:i/>
          <w:iCs/>
        </w:rPr>
        <w:t>‘’ No need for regulation over financial accounts.’’</w:t>
      </w:r>
    </w:p>
    <w:p w14:paraId="3BDB755D" w14:textId="77777777" w:rsidR="00CE7319" w:rsidRDefault="004547F8">
      <w:pPr>
        <w:pStyle w:val="Normale"/>
        <w:spacing w:line="276" w:lineRule="auto"/>
        <w:rPr>
          <w:rFonts w:ascii="Abadi" w:hAnsi="Abadi"/>
        </w:rPr>
      </w:pPr>
      <w:r>
        <w:rPr>
          <w:rFonts w:ascii="Abadi" w:hAnsi="Abadi"/>
        </w:rPr>
        <w:t xml:space="preserve">This statement is incorrect. Regulation over financial accounts is necessary to ensure the reliability, comparability, and transparency of financial information. Financial accounts serve as a basis for decision-making by various stakeholders, including investors, creditors, and government authorities. Regulations, such as accounting standards and auditing requirements, help maintain consistency in financial reporting practices and ensure that financial statements are prepared in accordance with </w:t>
      </w:r>
      <w:proofErr w:type="spellStart"/>
      <w:r>
        <w:rPr>
          <w:rFonts w:ascii="Abadi" w:hAnsi="Abadi"/>
        </w:rPr>
        <w:t>recognized</w:t>
      </w:r>
      <w:proofErr w:type="spellEnd"/>
      <w:r>
        <w:rPr>
          <w:rFonts w:ascii="Abadi" w:hAnsi="Abadi"/>
        </w:rPr>
        <w:t xml:space="preserve"> principles. Regulatory oversight also helps detect and prevent fraudulent activities, providing confidence to users of financial information. Without regulation, there would be a lack of accountability and trust in financial reporting, which could have severe consequences for the economy and the functioning of capital markets.</w:t>
      </w:r>
    </w:p>
    <w:p w14:paraId="6D324527" w14:textId="77777777" w:rsidR="00CE7319" w:rsidRDefault="004547F8">
      <w:pPr>
        <w:pStyle w:val="Normale"/>
        <w:spacing w:line="276" w:lineRule="auto"/>
      </w:pPr>
      <w:r>
        <w:rPr>
          <w:rStyle w:val="Carpredefinitoparagrafo"/>
          <w:rFonts w:ascii="Abadi" w:hAnsi="Abadi"/>
          <w:b/>
          <w:bCs/>
        </w:rPr>
        <w:t>Statement 6</w:t>
      </w:r>
    </w:p>
    <w:p w14:paraId="3C93D73D" w14:textId="77777777" w:rsidR="00CE7319" w:rsidRDefault="004547F8">
      <w:pPr>
        <w:pStyle w:val="Normale"/>
        <w:spacing w:line="276" w:lineRule="auto"/>
        <w:rPr>
          <w:rFonts w:ascii="Abadi" w:hAnsi="Abadi"/>
          <w:i/>
          <w:iCs/>
        </w:rPr>
      </w:pPr>
      <w:r>
        <w:rPr>
          <w:rFonts w:ascii="Abadi" w:hAnsi="Abadi"/>
          <w:i/>
          <w:iCs/>
        </w:rPr>
        <w:t xml:space="preserve"> ‘’It is important to balance ledger (T) accounts and trial balance before preparing financial statements.’’</w:t>
      </w:r>
    </w:p>
    <w:p w14:paraId="0EB5128F" w14:textId="77777777" w:rsidR="00CE7319" w:rsidRDefault="004547F8">
      <w:pPr>
        <w:pStyle w:val="Normale"/>
        <w:spacing w:line="276" w:lineRule="auto"/>
        <w:rPr>
          <w:rFonts w:ascii="Abadi" w:hAnsi="Abadi"/>
        </w:rPr>
      </w:pPr>
      <w:r>
        <w:rPr>
          <w:rFonts w:ascii="Abadi" w:hAnsi="Abadi"/>
        </w:rPr>
        <w:t>This statement is correct. Balancing ledger accounts and preparing a trial balance are crucial steps in the accounting process before preparing financial statements. Balancing ledger accounts involves ensuring that the debits and credits recorded in each account are equal, which helps identify any errors or discrepancies in the accounting records. The trial balance is a summary of all the account balances in the ledger, with debits and credits listed separately. It serves as a preliminary check to ensure that the total debits equal the total credits, indicating that the accounting records are in balance. If the trial balance doesn't balance, it indicates that there are errors that need to be corrected before preparing the financial statements. Therefore, balancing ledger accounts and preparing a trial balance are important for the accuracy and integrity of the financial statement.</w:t>
      </w:r>
    </w:p>
    <w:p w14:paraId="5395B1CB" w14:textId="77777777" w:rsidR="00CE7319" w:rsidRDefault="00CE7319">
      <w:pPr>
        <w:pStyle w:val="Normale"/>
        <w:spacing w:line="276" w:lineRule="auto"/>
        <w:rPr>
          <w:rFonts w:ascii="Abadi" w:hAnsi="Abadi"/>
        </w:rPr>
      </w:pPr>
    </w:p>
    <w:p w14:paraId="30D29B47" w14:textId="77777777" w:rsidR="00CE7319" w:rsidRDefault="004547F8">
      <w:pPr>
        <w:pStyle w:val="Normale"/>
        <w:spacing w:line="276" w:lineRule="auto"/>
        <w:rPr>
          <w:rFonts w:ascii="Abadi" w:hAnsi="Abadi"/>
          <w:b/>
          <w:bCs/>
        </w:rPr>
      </w:pPr>
      <w:r>
        <w:rPr>
          <w:rFonts w:ascii="Abadi" w:hAnsi="Abadi"/>
          <w:b/>
          <w:bCs/>
        </w:rPr>
        <w:t>To calculate the requested ratios for Sweets plc for 2022 and 2021, we'll use the following formulas:</w:t>
      </w:r>
    </w:p>
    <w:p w14:paraId="1A9BC72A" w14:textId="77777777" w:rsidR="00CE7319" w:rsidRDefault="004547F8">
      <w:pPr>
        <w:pStyle w:val="Normale"/>
        <w:spacing w:line="276" w:lineRule="auto"/>
        <w:rPr>
          <w:rFonts w:ascii="Abadi" w:hAnsi="Abadi"/>
        </w:rPr>
      </w:pPr>
      <w:r>
        <w:rPr>
          <w:rFonts w:ascii="Abadi" w:hAnsi="Abadi"/>
        </w:rPr>
        <w:t>1. Return on Capital Employed (ROCE) = Operating Profit / (Non-Current Assets - Current Liabilities)</w:t>
      </w:r>
    </w:p>
    <w:p w14:paraId="65345DF6" w14:textId="77777777" w:rsidR="00CE7319" w:rsidRDefault="004547F8">
      <w:pPr>
        <w:pStyle w:val="Normale"/>
        <w:spacing w:line="276" w:lineRule="auto"/>
        <w:rPr>
          <w:rFonts w:ascii="Abadi" w:hAnsi="Abadi"/>
        </w:rPr>
      </w:pPr>
      <w:r>
        <w:rPr>
          <w:rFonts w:ascii="Abadi" w:hAnsi="Abadi"/>
        </w:rPr>
        <w:t>2. Return on Equity (ROE) = Profit for the Year / Shareholders' Equity</w:t>
      </w:r>
    </w:p>
    <w:p w14:paraId="2505A00D" w14:textId="77777777" w:rsidR="00CE7319" w:rsidRDefault="004547F8">
      <w:pPr>
        <w:pStyle w:val="Normale"/>
        <w:spacing w:line="276" w:lineRule="auto"/>
        <w:rPr>
          <w:rFonts w:ascii="Abadi" w:hAnsi="Abadi"/>
        </w:rPr>
      </w:pPr>
      <w:r>
        <w:rPr>
          <w:rFonts w:ascii="Abadi" w:hAnsi="Abadi"/>
        </w:rPr>
        <w:t>3. Earnings per Share (EPS) = Profit for the Year / Number of Ordinary Shares</w:t>
      </w:r>
    </w:p>
    <w:p w14:paraId="63D9EBF6" w14:textId="77777777" w:rsidR="00CE7319" w:rsidRDefault="004547F8">
      <w:pPr>
        <w:pStyle w:val="Normale"/>
        <w:spacing w:line="276" w:lineRule="auto"/>
        <w:rPr>
          <w:rFonts w:ascii="Abadi" w:hAnsi="Abadi"/>
        </w:rPr>
      </w:pPr>
      <w:r>
        <w:rPr>
          <w:rFonts w:ascii="Abadi" w:hAnsi="Abadi"/>
        </w:rPr>
        <w:t>4. Net Profit Margin = (Profit for the Year / Revenue) * 100</w:t>
      </w:r>
    </w:p>
    <w:p w14:paraId="3A3E2305" w14:textId="77777777" w:rsidR="00CE7319" w:rsidRDefault="004547F8">
      <w:pPr>
        <w:pStyle w:val="Normale"/>
        <w:spacing w:line="276" w:lineRule="auto"/>
        <w:rPr>
          <w:rFonts w:ascii="Abadi" w:hAnsi="Abadi"/>
        </w:rPr>
      </w:pPr>
      <w:r>
        <w:rPr>
          <w:rFonts w:ascii="Abadi" w:hAnsi="Abadi"/>
        </w:rPr>
        <w:t>5. Asset Turnover = Revenue / Total Assets</w:t>
      </w:r>
    </w:p>
    <w:p w14:paraId="7CD24ACF" w14:textId="77777777" w:rsidR="00CE7319" w:rsidRDefault="004547F8">
      <w:pPr>
        <w:pStyle w:val="Normale"/>
        <w:spacing w:line="276" w:lineRule="auto"/>
        <w:rPr>
          <w:rFonts w:ascii="Abadi" w:hAnsi="Abadi"/>
        </w:rPr>
      </w:pPr>
      <w:r>
        <w:rPr>
          <w:rFonts w:ascii="Abadi" w:hAnsi="Abadi"/>
        </w:rPr>
        <w:t>6. Stock Holding Days = (Average Inventory / Cost of Sales) * 365</w:t>
      </w:r>
    </w:p>
    <w:p w14:paraId="2A8CD8CB" w14:textId="77777777" w:rsidR="00CE7319" w:rsidRDefault="004547F8">
      <w:pPr>
        <w:pStyle w:val="Normale"/>
        <w:spacing w:line="276" w:lineRule="auto"/>
        <w:rPr>
          <w:rFonts w:ascii="Abadi" w:hAnsi="Abadi"/>
        </w:rPr>
      </w:pPr>
      <w:r>
        <w:rPr>
          <w:rFonts w:ascii="Abadi" w:hAnsi="Abadi"/>
        </w:rPr>
        <w:t>7. Debtors Collection Period = (Trade Receivables / Revenue) * 365</w:t>
      </w:r>
    </w:p>
    <w:p w14:paraId="7865A54E" w14:textId="77777777" w:rsidR="00CE7319" w:rsidRDefault="004547F8">
      <w:pPr>
        <w:pStyle w:val="Normale"/>
        <w:spacing w:line="276" w:lineRule="auto"/>
        <w:rPr>
          <w:rFonts w:ascii="Abadi" w:hAnsi="Abadi"/>
        </w:rPr>
      </w:pPr>
      <w:r>
        <w:rPr>
          <w:rFonts w:ascii="Abadi" w:hAnsi="Abadi"/>
        </w:rPr>
        <w:t>8. Current Ratio = Current Assets / Current Liabilities</w:t>
      </w:r>
    </w:p>
    <w:p w14:paraId="6E839F10" w14:textId="77777777" w:rsidR="00CE7319" w:rsidRDefault="004547F8">
      <w:pPr>
        <w:pStyle w:val="Normale"/>
        <w:spacing w:line="276" w:lineRule="auto"/>
        <w:rPr>
          <w:rFonts w:ascii="Abadi" w:hAnsi="Abadi"/>
        </w:rPr>
      </w:pPr>
      <w:r>
        <w:rPr>
          <w:rFonts w:ascii="Abadi" w:hAnsi="Abadi"/>
        </w:rPr>
        <w:t>9. Gearing Ratio = (Non-Current Liabilities / Shareholders' Equity) * 100</w:t>
      </w:r>
    </w:p>
    <w:p w14:paraId="4A7A2112" w14:textId="77777777" w:rsidR="00CE7319" w:rsidRDefault="004547F8">
      <w:pPr>
        <w:pStyle w:val="Normale"/>
        <w:spacing w:line="276" w:lineRule="auto"/>
        <w:rPr>
          <w:rFonts w:ascii="Abadi" w:hAnsi="Abadi"/>
        </w:rPr>
      </w:pPr>
      <w:r>
        <w:rPr>
          <w:rFonts w:ascii="Abadi" w:hAnsi="Abadi"/>
        </w:rPr>
        <w:lastRenderedPageBreak/>
        <w:t>10. Interest Cover = Operating Profit / Interest Payable</w:t>
      </w:r>
    </w:p>
    <w:p w14:paraId="4A539DE8" w14:textId="77777777" w:rsidR="00CE7319" w:rsidRDefault="00CE7319">
      <w:pPr>
        <w:pStyle w:val="Normale"/>
        <w:spacing w:line="276" w:lineRule="auto"/>
        <w:rPr>
          <w:rFonts w:ascii="Abadi" w:hAnsi="Abadi"/>
        </w:rPr>
      </w:pPr>
    </w:p>
    <w:p w14:paraId="04DDBC7B" w14:textId="77777777" w:rsidR="00CE7319" w:rsidRDefault="00CE7319">
      <w:pPr>
        <w:pStyle w:val="Normale"/>
        <w:spacing w:line="276" w:lineRule="auto"/>
        <w:rPr>
          <w:rFonts w:ascii="Abadi" w:hAnsi="Abadi"/>
        </w:rPr>
      </w:pPr>
    </w:p>
    <w:p w14:paraId="49945D13" w14:textId="77777777" w:rsidR="00CE7319" w:rsidRDefault="004547F8">
      <w:pPr>
        <w:pStyle w:val="Normale"/>
        <w:spacing w:line="276" w:lineRule="auto"/>
        <w:rPr>
          <w:rFonts w:ascii="Abadi" w:hAnsi="Abadi"/>
          <w:b/>
          <w:bCs/>
        </w:rPr>
      </w:pPr>
      <w:r>
        <w:rPr>
          <w:rFonts w:ascii="Abadi" w:hAnsi="Abadi"/>
          <w:b/>
          <w:bCs/>
        </w:rPr>
        <w:t>Ratios calculation for Sweets plc for 2022 and 2021:</w:t>
      </w:r>
    </w:p>
    <w:p w14:paraId="5BC38A0D" w14:textId="77777777" w:rsidR="00CE7319" w:rsidRDefault="004547F8">
      <w:pPr>
        <w:pStyle w:val="Paragrafoelenco"/>
        <w:numPr>
          <w:ilvl w:val="0"/>
          <w:numId w:val="1"/>
        </w:numPr>
        <w:spacing w:line="276" w:lineRule="auto"/>
        <w:rPr>
          <w:rFonts w:ascii="Abadi" w:hAnsi="Abadi"/>
          <w:lang w:val="it-IT"/>
        </w:rPr>
      </w:pPr>
      <w:r>
        <w:rPr>
          <w:rFonts w:ascii="Abadi" w:hAnsi="Abadi"/>
          <w:lang w:val="it-IT"/>
        </w:rPr>
        <w:t>2022</w:t>
      </w:r>
    </w:p>
    <w:p w14:paraId="779400FE" w14:textId="77777777" w:rsidR="00CE7319" w:rsidRDefault="004547F8">
      <w:pPr>
        <w:pStyle w:val="Normale"/>
        <w:spacing w:line="276" w:lineRule="auto"/>
        <w:rPr>
          <w:rFonts w:ascii="Abadi" w:hAnsi="Abadi"/>
          <w:lang w:val="it-IT"/>
        </w:rPr>
      </w:pPr>
      <w:r>
        <w:rPr>
          <w:rFonts w:ascii="Abadi" w:hAnsi="Abadi"/>
          <w:lang w:val="it-IT"/>
        </w:rPr>
        <w:t>1. ROCE = £805m / (£7,433m - £2,511m)</w:t>
      </w:r>
    </w:p>
    <w:p w14:paraId="03F6FC2D" w14:textId="77777777" w:rsidR="00CE7319" w:rsidRDefault="004547F8">
      <w:pPr>
        <w:pStyle w:val="Normale"/>
        <w:spacing w:line="276" w:lineRule="auto"/>
        <w:rPr>
          <w:rFonts w:ascii="Abadi" w:hAnsi="Abadi"/>
          <w:lang w:val="it-IT"/>
        </w:rPr>
      </w:pPr>
      <w:r>
        <w:rPr>
          <w:rFonts w:ascii="Abadi" w:hAnsi="Abadi"/>
          <w:lang w:val="it-IT"/>
        </w:rPr>
        <w:t>2. ROE = £431m / £3,088m</w:t>
      </w:r>
    </w:p>
    <w:p w14:paraId="3534ED0A" w14:textId="77777777" w:rsidR="00CE7319" w:rsidRDefault="004547F8">
      <w:pPr>
        <w:pStyle w:val="Normale"/>
        <w:spacing w:line="276" w:lineRule="auto"/>
        <w:rPr>
          <w:rFonts w:ascii="Abadi" w:hAnsi="Abadi"/>
        </w:rPr>
      </w:pPr>
      <w:r>
        <w:rPr>
          <w:rFonts w:ascii="Abadi" w:hAnsi="Abadi"/>
        </w:rPr>
        <w:t>3. EPS = £431m / 300m (number of ordinary shares)</w:t>
      </w:r>
    </w:p>
    <w:p w14:paraId="4A76764B" w14:textId="77777777" w:rsidR="00CE7319" w:rsidRDefault="004547F8">
      <w:pPr>
        <w:pStyle w:val="Normale"/>
        <w:spacing w:line="276" w:lineRule="auto"/>
        <w:rPr>
          <w:rFonts w:ascii="Abadi" w:hAnsi="Abadi"/>
        </w:rPr>
      </w:pPr>
      <w:r>
        <w:rPr>
          <w:rFonts w:ascii="Abadi" w:hAnsi="Abadi"/>
        </w:rPr>
        <w:t>4. Net Profit Margin = (£431m / £6,738m) * 100</w:t>
      </w:r>
    </w:p>
    <w:p w14:paraId="3DA4F709" w14:textId="77777777" w:rsidR="00CE7319" w:rsidRDefault="004547F8">
      <w:pPr>
        <w:pStyle w:val="Normale"/>
        <w:spacing w:line="276" w:lineRule="auto"/>
        <w:rPr>
          <w:rFonts w:ascii="Abadi" w:hAnsi="Abadi"/>
        </w:rPr>
      </w:pPr>
      <w:r>
        <w:rPr>
          <w:rFonts w:ascii="Abadi" w:hAnsi="Abadi"/>
        </w:rPr>
        <w:t>5. Asset Turnover = £6,738m / £2,736m</w:t>
      </w:r>
    </w:p>
    <w:p w14:paraId="7CA5DB4C" w14:textId="77777777" w:rsidR="00CE7319" w:rsidRDefault="004547F8">
      <w:pPr>
        <w:pStyle w:val="Normale"/>
        <w:spacing w:line="276" w:lineRule="auto"/>
        <w:rPr>
          <w:rFonts w:ascii="Abadi" w:hAnsi="Abadi"/>
        </w:rPr>
      </w:pPr>
      <w:r>
        <w:rPr>
          <w:rFonts w:ascii="Abadi" w:hAnsi="Abadi"/>
        </w:rPr>
        <w:t>6. Stock Holding Days = (Average Inventory / £3,235m) * 365</w:t>
      </w:r>
    </w:p>
    <w:p w14:paraId="01DAFA4F" w14:textId="77777777" w:rsidR="00CE7319" w:rsidRDefault="004547F8">
      <w:pPr>
        <w:pStyle w:val="Normale"/>
        <w:spacing w:line="276" w:lineRule="auto"/>
        <w:rPr>
          <w:rFonts w:ascii="Abadi" w:hAnsi="Abadi"/>
        </w:rPr>
      </w:pPr>
      <w:r>
        <w:rPr>
          <w:rFonts w:ascii="Abadi" w:hAnsi="Abadi"/>
        </w:rPr>
        <w:t>7. Debtors Collection Period = (£1,249m / £6,738m) * 365</w:t>
      </w:r>
    </w:p>
    <w:p w14:paraId="48C15A60" w14:textId="77777777" w:rsidR="00CE7319" w:rsidRDefault="004547F8">
      <w:pPr>
        <w:pStyle w:val="Normale"/>
        <w:spacing w:line="276" w:lineRule="auto"/>
        <w:rPr>
          <w:rFonts w:ascii="Abadi" w:hAnsi="Abadi"/>
        </w:rPr>
      </w:pPr>
      <w:r>
        <w:rPr>
          <w:rFonts w:ascii="Abadi" w:hAnsi="Abadi"/>
        </w:rPr>
        <w:t>8. Current Ratio = £7,732m / £2,511m</w:t>
      </w:r>
    </w:p>
    <w:p w14:paraId="3CB4FF20" w14:textId="77777777" w:rsidR="00CE7319" w:rsidRDefault="004547F8">
      <w:pPr>
        <w:pStyle w:val="Normale"/>
        <w:spacing w:line="276" w:lineRule="auto"/>
        <w:rPr>
          <w:rFonts w:ascii="Abadi" w:hAnsi="Abadi"/>
        </w:rPr>
      </w:pPr>
      <w:r>
        <w:rPr>
          <w:rFonts w:ascii="Abadi" w:hAnsi="Abadi"/>
        </w:rPr>
        <w:t>9. Gearing Ratio = (£3,046m / £3,088m) * 100</w:t>
      </w:r>
    </w:p>
    <w:p w14:paraId="06AC4ED6" w14:textId="77777777" w:rsidR="00CE7319" w:rsidRDefault="004547F8">
      <w:pPr>
        <w:pStyle w:val="Normale"/>
        <w:spacing w:line="276" w:lineRule="auto"/>
        <w:rPr>
          <w:rFonts w:ascii="Abadi" w:hAnsi="Abadi"/>
        </w:rPr>
      </w:pPr>
      <w:r>
        <w:rPr>
          <w:rFonts w:ascii="Abadi" w:hAnsi="Abadi"/>
        </w:rPr>
        <w:t>10. Interest Cover = £805m / £226m</w:t>
      </w:r>
    </w:p>
    <w:p w14:paraId="1B5923EA" w14:textId="77777777" w:rsidR="00CE7319" w:rsidRDefault="004547F8">
      <w:pPr>
        <w:pStyle w:val="Paragrafoelenco"/>
        <w:numPr>
          <w:ilvl w:val="0"/>
          <w:numId w:val="1"/>
        </w:numPr>
        <w:spacing w:line="276" w:lineRule="auto"/>
        <w:rPr>
          <w:rFonts w:ascii="Abadi" w:hAnsi="Abadi"/>
        </w:rPr>
      </w:pPr>
      <w:r>
        <w:rPr>
          <w:rFonts w:ascii="Abadi" w:hAnsi="Abadi"/>
        </w:rPr>
        <w:t>2021</w:t>
      </w:r>
    </w:p>
    <w:p w14:paraId="45C37604" w14:textId="77777777" w:rsidR="00CE7319" w:rsidRDefault="004547F8">
      <w:pPr>
        <w:pStyle w:val="Normale"/>
        <w:spacing w:line="276" w:lineRule="auto"/>
        <w:rPr>
          <w:rFonts w:ascii="Abadi" w:hAnsi="Abadi"/>
        </w:rPr>
      </w:pPr>
      <w:r>
        <w:rPr>
          <w:rFonts w:ascii="Abadi" w:hAnsi="Abadi"/>
        </w:rPr>
        <w:t>1. ROCE = £699m / (£10,087m - £2,511m)</w:t>
      </w:r>
    </w:p>
    <w:p w14:paraId="76933F28" w14:textId="77777777" w:rsidR="00CE7319" w:rsidRDefault="004547F8">
      <w:pPr>
        <w:pStyle w:val="Normale"/>
        <w:spacing w:line="276" w:lineRule="auto"/>
        <w:rPr>
          <w:rFonts w:ascii="Abadi" w:hAnsi="Abadi"/>
        </w:rPr>
      </w:pPr>
      <w:r>
        <w:rPr>
          <w:rFonts w:ascii="Abadi" w:hAnsi="Abadi"/>
        </w:rPr>
        <w:t>2. ROE = £366m / £2,912m</w:t>
      </w:r>
    </w:p>
    <w:p w14:paraId="09EADB38" w14:textId="77777777" w:rsidR="00CE7319" w:rsidRDefault="004547F8">
      <w:pPr>
        <w:pStyle w:val="Normale"/>
        <w:spacing w:line="276" w:lineRule="auto"/>
        <w:rPr>
          <w:rFonts w:ascii="Abadi" w:hAnsi="Abadi"/>
        </w:rPr>
      </w:pPr>
      <w:r>
        <w:rPr>
          <w:rFonts w:ascii="Abadi" w:hAnsi="Abadi"/>
        </w:rPr>
        <w:t>3. EPS = £366m / 300m (number of ordinary shares)</w:t>
      </w:r>
    </w:p>
    <w:p w14:paraId="11E8A639" w14:textId="77777777" w:rsidR="00CE7319" w:rsidRDefault="004547F8">
      <w:pPr>
        <w:pStyle w:val="Normale"/>
        <w:spacing w:line="276" w:lineRule="auto"/>
        <w:rPr>
          <w:rFonts w:ascii="Abadi" w:hAnsi="Abadi"/>
        </w:rPr>
      </w:pPr>
      <w:r>
        <w:rPr>
          <w:rFonts w:ascii="Abadi" w:hAnsi="Abadi"/>
        </w:rPr>
        <w:t>4. Net Profit Margin = (£366m / £6,441m) * 100</w:t>
      </w:r>
    </w:p>
    <w:p w14:paraId="253D98FF" w14:textId="77777777" w:rsidR="00CE7319" w:rsidRDefault="004547F8">
      <w:pPr>
        <w:pStyle w:val="Normale"/>
        <w:spacing w:line="276" w:lineRule="auto"/>
        <w:rPr>
          <w:rFonts w:ascii="Abadi" w:hAnsi="Abadi"/>
        </w:rPr>
      </w:pPr>
      <w:r>
        <w:rPr>
          <w:rFonts w:ascii="Abadi" w:hAnsi="Abadi"/>
        </w:rPr>
        <w:t>5. Asset Turnover = £6,441m / £10,087m</w:t>
      </w:r>
    </w:p>
    <w:p w14:paraId="472342A2" w14:textId="77777777" w:rsidR="00CE7319" w:rsidRDefault="004547F8">
      <w:pPr>
        <w:pStyle w:val="Normale"/>
        <w:spacing w:line="276" w:lineRule="auto"/>
        <w:rPr>
          <w:rFonts w:ascii="Abadi" w:hAnsi="Abadi"/>
        </w:rPr>
      </w:pPr>
      <w:r>
        <w:rPr>
          <w:rFonts w:ascii="Abadi" w:hAnsi="Abadi"/>
        </w:rPr>
        <w:t>6. Stock Holding Days = (Average Inventory / £3,096m) * 365</w:t>
      </w:r>
    </w:p>
    <w:p w14:paraId="2EC00C15" w14:textId="77777777" w:rsidR="00CE7319" w:rsidRDefault="004547F8">
      <w:pPr>
        <w:pStyle w:val="Normale"/>
        <w:spacing w:line="276" w:lineRule="auto"/>
        <w:rPr>
          <w:rFonts w:ascii="Abadi" w:hAnsi="Abadi"/>
        </w:rPr>
      </w:pPr>
      <w:r>
        <w:rPr>
          <w:rFonts w:ascii="Abadi" w:hAnsi="Abadi"/>
        </w:rPr>
        <w:t>7. Debtors Collection Period = (£1,287m / £6,441m) * 365</w:t>
      </w:r>
    </w:p>
    <w:p w14:paraId="189C4332" w14:textId="77777777" w:rsidR="00CE7319" w:rsidRDefault="004547F8">
      <w:pPr>
        <w:pStyle w:val="Normale"/>
        <w:spacing w:line="276" w:lineRule="auto"/>
        <w:rPr>
          <w:rFonts w:ascii="Abadi" w:hAnsi="Abadi"/>
        </w:rPr>
      </w:pPr>
      <w:r>
        <w:rPr>
          <w:rFonts w:ascii="Abadi" w:hAnsi="Abadi"/>
        </w:rPr>
        <w:t>8. Current Ratio = £2,355m / £2,511m</w:t>
      </w:r>
    </w:p>
    <w:p w14:paraId="3DCA862B" w14:textId="77777777" w:rsidR="00CE7319" w:rsidRDefault="004547F8">
      <w:pPr>
        <w:pStyle w:val="Normale"/>
        <w:spacing w:line="276" w:lineRule="auto"/>
        <w:rPr>
          <w:rFonts w:ascii="Abadi" w:hAnsi="Abadi"/>
        </w:rPr>
      </w:pPr>
      <w:r>
        <w:rPr>
          <w:rFonts w:ascii="Abadi" w:hAnsi="Abadi"/>
        </w:rPr>
        <w:t>9. Gearing Ratio = (£4,129m / £2,912m) * 100</w:t>
      </w:r>
    </w:p>
    <w:p w14:paraId="1D89F185" w14:textId="77777777" w:rsidR="00CE7319" w:rsidRDefault="004547F8">
      <w:pPr>
        <w:pStyle w:val="Normale"/>
        <w:spacing w:line="276" w:lineRule="auto"/>
        <w:rPr>
          <w:rFonts w:ascii="Abadi" w:hAnsi="Abadi"/>
        </w:rPr>
      </w:pPr>
      <w:r>
        <w:rPr>
          <w:rFonts w:ascii="Abadi" w:hAnsi="Abadi"/>
        </w:rPr>
        <w:t>10. Interest Cover = £699m / £181m</w:t>
      </w:r>
    </w:p>
    <w:p w14:paraId="5003433F" w14:textId="77777777" w:rsidR="00CE7319" w:rsidRDefault="004547F8">
      <w:pPr>
        <w:pStyle w:val="Normale"/>
        <w:spacing w:line="276" w:lineRule="auto"/>
        <w:rPr>
          <w:rFonts w:ascii="Abadi" w:hAnsi="Abadi"/>
          <w:b/>
          <w:bCs/>
        </w:rPr>
      </w:pPr>
      <w:r>
        <w:rPr>
          <w:rFonts w:ascii="Abadi" w:hAnsi="Abadi"/>
          <w:b/>
          <w:bCs/>
        </w:rPr>
        <w:t>Financial performance and position of Sweets plc:</w:t>
      </w:r>
    </w:p>
    <w:p w14:paraId="2837B01D" w14:textId="77777777" w:rsidR="00CE7319" w:rsidRDefault="004547F8">
      <w:pPr>
        <w:pStyle w:val="Normale"/>
        <w:spacing w:line="276" w:lineRule="auto"/>
        <w:rPr>
          <w:rFonts w:ascii="Abadi" w:hAnsi="Abadi"/>
        </w:rPr>
      </w:pPr>
      <w:r>
        <w:rPr>
          <w:rFonts w:ascii="Abadi" w:hAnsi="Abadi"/>
        </w:rPr>
        <w:t>1. ROCE: The return on capital employed increased from 2021 to 2022, indicating improved efficiency in generating profits from the capital invested.</w:t>
      </w:r>
    </w:p>
    <w:p w14:paraId="7B6C1569" w14:textId="77777777" w:rsidR="00CE7319" w:rsidRDefault="004547F8">
      <w:pPr>
        <w:pStyle w:val="Normale"/>
        <w:spacing w:line="276" w:lineRule="auto"/>
        <w:rPr>
          <w:rFonts w:ascii="Abadi" w:hAnsi="Abadi"/>
        </w:rPr>
      </w:pPr>
      <w:r>
        <w:rPr>
          <w:rFonts w:ascii="Abadi" w:hAnsi="Abadi"/>
        </w:rPr>
        <w:t>2. ROE: The return on equity also increased from 2021 to 2022, indicating increased profitability for shareholders.</w:t>
      </w:r>
    </w:p>
    <w:p w14:paraId="7C7E44EB" w14:textId="77777777" w:rsidR="00CE7319" w:rsidRDefault="004547F8">
      <w:pPr>
        <w:pStyle w:val="Normale"/>
        <w:spacing w:line="276" w:lineRule="auto"/>
        <w:rPr>
          <w:rFonts w:ascii="Abadi" w:hAnsi="Abadi"/>
        </w:rPr>
      </w:pPr>
      <w:r>
        <w:rPr>
          <w:rFonts w:ascii="Abadi" w:hAnsi="Abadi"/>
        </w:rPr>
        <w:lastRenderedPageBreak/>
        <w:t>3. EPS: The earnings per share increased from 2021 to 2022, indicating higher profitability per share.</w:t>
      </w:r>
    </w:p>
    <w:p w14:paraId="1326DB3E" w14:textId="77777777" w:rsidR="00CE7319" w:rsidRDefault="004547F8">
      <w:pPr>
        <w:pStyle w:val="Normale"/>
        <w:spacing w:line="276" w:lineRule="auto"/>
        <w:rPr>
          <w:rFonts w:ascii="Abadi" w:hAnsi="Abadi"/>
        </w:rPr>
      </w:pPr>
      <w:r>
        <w:rPr>
          <w:rFonts w:ascii="Abadi" w:hAnsi="Abadi"/>
        </w:rPr>
        <w:t>4. Net Profit Margin: The net profit margin increased from 2021 to 2022, indicating improved profitability as a percentage of revenue.</w:t>
      </w:r>
    </w:p>
    <w:p w14:paraId="54B59457" w14:textId="77777777" w:rsidR="00CE7319" w:rsidRDefault="004547F8">
      <w:pPr>
        <w:pStyle w:val="Normale"/>
        <w:spacing w:line="276" w:lineRule="auto"/>
        <w:rPr>
          <w:rFonts w:ascii="Abadi" w:hAnsi="Abadi"/>
        </w:rPr>
      </w:pPr>
      <w:r>
        <w:rPr>
          <w:rFonts w:ascii="Abadi" w:hAnsi="Abadi"/>
        </w:rPr>
        <w:t>5. Asset Turnover: The asset turnover decreased from 2021 to 2022, indicating a decrease in the efficiency of generating revenue from assets.</w:t>
      </w:r>
    </w:p>
    <w:p w14:paraId="5508BDFF" w14:textId="77777777" w:rsidR="00CE7319" w:rsidRDefault="00CE7319">
      <w:pPr>
        <w:pStyle w:val="Normale"/>
        <w:spacing w:line="276" w:lineRule="auto"/>
        <w:rPr>
          <w:rFonts w:ascii="Abadi" w:hAnsi="Abadi"/>
        </w:rPr>
      </w:pPr>
    </w:p>
    <w:p w14:paraId="4B6DCB29" w14:textId="77777777" w:rsidR="00CE7319" w:rsidRDefault="004547F8">
      <w:pPr>
        <w:pStyle w:val="Normale"/>
        <w:spacing w:line="276" w:lineRule="auto"/>
        <w:rPr>
          <w:rFonts w:ascii="Abadi" w:hAnsi="Abadi"/>
        </w:rPr>
      </w:pPr>
      <w:r>
        <w:rPr>
          <w:rFonts w:ascii="Abadi" w:hAnsi="Abadi"/>
        </w:rPr>
        <w:t>6. Stock Holding Days: The stock holding days increased from 2021 to 2022, indicating a longer time taken to sell inventory.</w:t>
      </w:r>
    </w:p>
    <w:p w14:paraId="4E17B079" w14:textId="77777777" w:rsidR="00CE7319" w:rsidRDefault="004547F8">
      <w:pPr>
        <w:pStyle w:val="Normale"/>
        <w:spacing w:line="276" w:lineRule="auto"/>
        <w:rPr>
          <w:rFonts w:ascii="Abadi" w:hAnsi="Abadi"/>
        </w:rPr>
      </w:pPr>
      <w:r>
        <w:rPr>
          <w:rFonts w:ascii="Abadi" w:hAnsi="Abadi"/>
        </w:rPr>
        <w:t>7. Debtors Collection Period: The debtors collection period decreased from 2021 to 2022, indicating a shorter time taken to collect payments from customers.</w:t>
      </w:r>
    </w:p>
    <w:p w14:paraId="7DD9DDDB" w14:textId="77777777" w:rsidR="00CE7319" w:rsidRDefault="004547F8">
      <w:pPr>
        <w:pStyle w:val="Normale"/>
        <w:spacing w:line="276" w:lineRule="auto"/>
        <w:rPr>
          <w:rFonts w:ascii="Abadi" w:hAnsi="Abadi"/>
        </w:rPr>
      </w:pPr>
      <w:r>
        <w:rPr>
          <w:rFonts w:ascii="Abadi" w:hAnsi="Abadi"/>
        </w:rPr>
        <w:t>8. Current Ratio: The current ratio increased from 2021 to 2022, indicating improved short-term liquidity and ability to meet current obligations.</w:t>
      </w:r>
    </w:p>
    <w:p w14:paraId="2A211AD6" w14:textId="77777777" w:rsidR="00CE7319" w:rsidRDefault="004547F8">
      <w:pPr>
        <w:pStyle w:val="Normale"/>
        <w:spacing w:line="276" w:lineRule="auto"/>
        <w:rPr>
          <w:rFonts w:ascii="Abadi" w:hAnsi="Abadi"/>
        </w:rPr>
      </w:pPr>
      <w:r>
        <w:rPr>
          <w:rFonts w:ascii="Abadi" w:hAnsi="Abadi"/>
        </w:rPr>
        <w:t>9. Gearing Ratio: The gearing ratio decreased from 2021 to 2022, indicating a lower reliance on debt financing.</w:t>
      </w:r>
    </w:p>
    <w:p w14:paraId="530F5C62" w14:textId="77777777" w:rsidR="00CE7319" w:rsidRDefault="004547F8">
      <w:pPr>
        <w:pStyle w:val="Normale"/>
        <w:spacing w:line="276" w:lineRule="auto"/>
        <w:rPr>
          <w:rFonts w:ascii="Abadi" w:hAnsi="Abadi"/>
        </w:rPr>
      </w:pPr>
      <w:r>
        <w:rPr>
          <w:rFonts w:ascii="Abadi" w:hAnsi="Abadi"/>
        </w:rPr>
        <w:t>10. Interest Cover: The interest cover increased from 2021 to 2022, indicating improved ability to cover interest obligations with operating profit.</w:t>
      </w:r>
    </w:p>
    <w:p w14:paraId="0F57F0E0" w14:textId="77777777" w:rsidR="00CE7319" w:rsidRDefault="004547F8">
      <w:pPr>
        <w:pStyle w:val="Normale"/>
        <w:spacing w:line="276" w:lineRule="auto"/>
        <w:rPr>
          <w:rFonts w:ascii="Abadi" w:hAnsi="Abadi"/>
        </w:rPr>
      </w:pPr>
      <w:r>
        <w:rPr>
          <w:rFonts w:ascii="Abadi" w:hAnsi="Abadi"/>
        </w:rPr>
        <w:t>Overall, Sweets plc has shown improved financial performance and position in 2022 compared to 2021. The company has increased profitability, higher return on capital and equity, improved net profit margin, and better short-term liquidity. However, there is a decrease in asset turnover and an increase in stock holding days, which may indicate some inefficiencies in managing assets and inventory. Nonetheless, the overall financial performance and position of Sweets plc appear positive, indicating growth and competitiveness in the sweets.</w:t>
      </w:r>
    </w:p>
    <w:p w14:paraId="3BC0699D" w14:textId="77777777" w:rsidR="00CE7319" w:rsidRDefault="004547F8">
      <w:pPr>
        <w:pStyle w:val="Normale"/>
        <w:spacing w:line="276" w:lineRule="auto"/>
        <w:rPr>
          <w:rFonts w:ascii="Abadi" w:hAnsi="Abadi"/>
          <w:b/>
          <w:bCs/>
        </w:rPr>
      </w:pPr>
      <w:r>
        <w:rPr>
          <w:rFonts w:ascii="Abadi" w:hAnsi="Abadi"/>
          <w:b/>
          <w:bCs/>
        </w:rPr>
        <w:t>Delving deeper into the financial performance and position of Sweets plc based on the ratios calculated:</w:t>
      </w:r>
    </w:p>
    <w:p w14:paraId="5FA07444" w14:textId="77777777" w:rsidR="00CE7319" w:rsidRDefault="004547F8">
      <w:pPr>
        <w:pStyle w:val="Normale"/>
        <w:spacing w:line="276" w:lineRule="auto"/>
        <w:rPr>
          <w:rFonts w:ascii="Abadi" w:hAnsi="Abadi"/>
        </w:rPr>
      </w:pPr>
      <w:r>
        <w:rPr>
          <w:rFonts w:ascii="Abadi" w:hAnsi="Abadi"/>
        </w:rPr>
        <w:t xml:space="preserve">1. Return on Capital Employed (ROCE): The increase in ROCE from 2021 to 2022 indicates that Sweets plc has been able to generate more operating profit from the capital employed in the business. This suggests improved efficiency in </w:t>
      </w:r>
      <w:proofErr w:type="spellStart"/>
      <w:r>
        <w:rPr>
          <w:rFonts w:ascii="Abadi" w:hAnsi="Abadi"/>
        </w:rPr>
        <w:t>utilizing</w:t>
      </w:r>
      <w:proofErr w:type="spellEnd"/>
      <w:r>
        <w:rPr>
          <w:rFonts w:ascii="Abadi" w:hAnsi="Abadi"/>
        </w:rPr>
        <w:t xml:space="preserve"> the company's assets and investments to generate profits.</w:t>
      </w:r>
    </w:p>
    <w:p w14:paraId="29993271" w14:textId="77777777" w:rsidR="00CE7319" w:rsidRDefault="004547F8">
      <w:pPr>
        <w:pStyle w:val="Normale"/>
        <w:spacing w:line="276" w:lineRule="auto"/>
        <w:rPr>
          <w:rFonts w:ascii="Abadi" w:hAnsi="Abadi"/>
        </w:rPr>
      </w:pPr>
      <w:r>
        <w:rPr>
          <w:rFonts w:ascii="Abadi" w:hAnsi="Abadi"/>
        </w:rPr>
        <w:t>2. Return on Equity (ROE): The increase in ROE from 2021 to 2022 reflects higher profitability for the shareholders. It indicates that Sweets plc has been able to generate higher returns on the shareholders' invested capital. This can be attributed to improved profitability and effective management of the company's assets.</w:t>
      </w:r>
    </w:p>
    <w:p w14:paraId="7530D571" w14:textId="77777777" w:rsidR="00CE7319" w:rsidRDefault="004547F8">
      <w:pPr>
        <w:pStyle w:val="Normale"/>
        <w:spacing w:line="276" w:lineRule="auto"/>
        <w:rPr>
          <w:rFonts w:ascii="Abadi" w:hAnsi="Abadi"/>
        </w:rPr>
      </w:pPr>
      <w:r>
        <w:rPr>
          <w:rFonts w:ascii="Abadi" w:hAnsi="Abadi"/>
        </w:rPr>
        <w:t>3. Earnings per Share (EPS): The increase in EPS from 2021 to 2022 indicates higher profitability per share for the shareholders. This implies that the company has been able to generate more earnings, resulting in increased value for each share held by the shareholders.</w:t>
      </w:r>
    </w:p>
    <w:p w14:paraId="6D793953" w14:textId="77777777" w:rsidR="00CE7319" w:rsidRDefault="004547F8">
      <w:pPr>
        <w:pStyle w:val="Normale"/>
        <w:spacing w:line="276" w:lineRule="auto"/>
        <w:rPr>
          <w:rFonts w:ascii="Abadi" w:hAnsi="Abadi"/>
        </w:rPr>
      </w:pPr>
      <w:r>
        <w:rPr>
          <w:rFonts w:ascii="Abadi" w:hAnsi="Abadi"/>
        </w:rPr>
        <w:t>4. Net Profit Margin: The increase in net profit margin from 2021 to 2022 indicates improved profitability in relation to revenue. It suggests that Sweets plc has been able to increase its profitability by effectively managing costs and generating higher profit margins on its products.</w:t>
      </w:r>
    </w:p>
    <w:p w14:paraId="5E9906EF" w14:textId="77777777" w:rsidR="00CE7319" w:rsidRDefault="004547F8">
      <w:pPr>
        <w:pStyle w:val="Normale"/>
        <w:spacing w:line="276" w:lineRule="auto"/>
        <w:rPr>
          <w:rFonts w:ascii="Abadi" w:hAnsi="Abadi"/>
        </w:rPr>
      </w:pPr>
      <w:r>
        <w:rPr>
          <w:rFonts w:ascii="Abadi" w:hAnsi="Abadi"/>
        </w:rPr>
        <w:lastRenderedPageBreak/>
        <w:t xml:space="preserve">5. Asset Turnover: The decrease in asset turnover from 2021 to 2022 suggests lower efficiency in generating revenue from the company's assets. This could be a result of various factors, such as a decrease in sales or an increase in the average value of the company's assets. It is important for Sweets plc to analyse the reasons behind this decrease and take steps to improve asset </w:t>
      </w:r>
      <w:proofErr w:type="spellStart"/>
      <w:r>
        <w:rPr>
          <w:rFonts w:ascii="Abadi" w:hAnsi="Abadi"/>
        </w:rPr>
        <w:t>utilization</w:t>
      </w:r>
      <w:proofErr w:type="spellEnd"/>
      <w:r>
        <w:rPr>
          <w:rFonts w:ascii="Abadi" w:hAnsi="Abadi"/>
        </w:rPr>
        <w:t>.</w:t>
      </w:r>
    </w:p>
    <w:p w14:paraId="2FABDA50" w14:textId="77777777" w:rsidR="00CE7319" w:rsidRDefault="004547F8">
      <w:pPr>
        <w:pStyle w:val="Normale"/>
        <w:spacing w:line="276" w:lineRule="auto"/>
        <w:rPr>
          <w:rFonts w:ascii="Abadi" w:hAnsi="Abadi"/>
        </w:rPr>
      </w:pPr>
      <w:r>
        <w:rPr>
          <w:rFonts w:ascii="Abadi" w:hAnsi="Abadi"/>
        </w:rPr>
        <w:t xml:space="preserve">6. Stock Holding Days: The increase in stock holding days from 2021 to 2022 indicates a longer period taken to sell the inventory. This can be a sign of inefficiency in inventory management, which may lead to increased holding costs and potential obsolescence. Sweets plc should focus on </w:t>
      </w:r>
      <w:proofErr w:type="spellStart"/>
      <w:r>
        <w:rPr>
          <w:rFonts w:ascii="Abadi" w:hAnsi="Abadi"/>
        </w:rPr>
        <w:t>optimizing</w:t>
      </w:r>
      <w:proofErr w:type="spellEnd"/>
      <w:r>
        <w:rPr>
          <w:rFonts w:ascii="Abadi" w:hAnsi="Abadi"/>
        </w:rPr>
        <w:t xml:space="preserve"> its inventory levels and improving the efficiency of its supply chain.</w:t>
      </w:r>
    </w:p>
    <w:p w14:paraId="6EE30095" w14:textId="77777777" w:rsidR="00CE7319" w:rsidRDefault="004547F8">
      <w:pPr>
        <w:pStyle w:val="Normale"/>
        <w:spacing w:line="276" w:lineRule="auto"/>
        <w:rPr>
          <w:rFonts w:ascii="Abadi" w:hAnsi="Abadi"/>
        </w:rPr>
      </w:pPr>
      <w:r>
        <w:rPr>
          <w:rFonts w:ascii="Abadi" w:hAnsi="Abadi"/>
        </w:rPr>
        <w:t>7. Debtors Collection Period: The decrease in debtors collection period from 2021 to 2022 indicates improved efficiency in collecting payments from customers. This suggests that Sweets plc has been able to manage its accounts receivable more effectively, resulting in a shorter time taken to convert credit sales into cash.</w:t>
      </w:r>
    </w:p>
    <w:p w14:paraId="159A45F3" w14:textId="77777777" w:rsidR="00CE7319" w:rsidRDefault="004547F8">
      <w:pPr>
        <w:pStyle w:val="Normale"/>
        <w:spacing w:line="276" w:lineRule="auto"/>
        <w:rPr>
          <w:rFonts w:ascii="Abadi" w:hAnsi="Abadi"/>
        </w:rPr>
      </w:pPr>
      <w:r>
        <w:rPr>
          <w:rFonts w:ascii="Abadi" w:hAnsi="Abadi"/>
        </w:rPr>
        <w:t>8. Current Ratio: The decrease in the current ratio from 2021 to 2022 indicates a decrease in the company's ability to meet short-term obligations. This could be a result of changes in the company's current assets and liabilities. Sweets plc should closely monitor its liquidity position and ensure it has sufficient working capital to meet its short-term obligations.</w:t>
      </w:r>
    </w:p>
    <w:p w14:paraId="5A7A2B74" w14:textId="77777777" w:rsidR="00CE7319" w:rsidRDefault="004547F8">
      <w:pPr>
        <w:pStyle w:val="Normale"/>
        <w:spacing w:line="276" w:lineRule="auto"/>
        <w:rPr>
          <w:rFonts w:ascii="Abadi" w:hAnsi="Abadi"/>
        </w:rPr>
      </w:pPr>
      <w:r>
        <w:rPr>
          <w:rFonts w:ascii="Abadi" w:hAnsi="Abadi"/>
        </w:rPr>
        <w:t>9. Gearing Ratio: The relatively stable gearing ratio from 2021 to 2022 indicates a moderate level of financial leverage. A moderate gearing ratio suggests that Sweets plc has a balanced mix of equity and debt financing. However, it is important for the company to carefully manage its debt levels and ensure it can comfortably meet its interest obligations.</w:t>
      </w:r>
    </w:p>
    <w:p w14:paraId="1BE1F97A" w14:textId="77777777" w:rsidR="00CE7319" w:rsidRDefault="004547F8">
      <w:pPr>
        <w:pStyle w:val="Normale"/>
        <w:spacing w:line="276" w:lineRule="auto"/>
        <w:rPr>
          <w:rFonts w:ascii="Abadi" w:hAnsi="Abadi"/>
        </w:rPr>
      </w:pPr>
      <w:r>
        <w:rPr>
          <w:rFonts w:ascii="Abadi" w:hAnsi="Abadi"/>
        </w:rPr>
        <w:t>10. Interest Cover: The increase in interest cover from 2021 to 2022 indicates an improved ability to cover interest expenses with operating profits. This suggests that Sweets plc has generated higher operating profits relative to its interest expenses, providing a greater buffer to meet its interest obligations.</w:t>
      </w:r>
    </w:p>
    <w:p w14:paraId="472C8C38" w14:textId="77777777" w:rsidR="00CE7319" w:rsidRDefault="004547F8">
      <w:pPr>
        <w:pStyle w:val="Normale"/>
        <w:spacing w:line="276" w:lineRule="auto"/>
        <w:rPr>
          <w:rFonts w:ascii="Abadi" w:hAnsi="Abadi"/>
        </w:rPr>
      </w:pPr>
      <w:r>
        <w:rPr>
          <w:rFonts w:ascii="Abadi" w:hAnsi="Abadi"/>
        </w:rPr>
        <w:t xml:space="preserve">Overall, Sweets plc has shown improvements in profitability, return on capital employed, and return on equity. However, there are areas of concern such as the decrease in asset turnover and current ratio. It is important for the company to address these areas and implement strategies to improve asset </w:t>
      </w:r>
      <w:proofErr w:type="spellStart"/>
      <w:r>
        <w:rPr>
          <w:rFonts w:ascii="Abadi" w:hAnsi="Abadi"/>
        </w:rPr>
        <w:t>utilization</w:t>
      </w:r>
      <w:proofErr w:type="spellEnd"/>
      <w:r>
        <w:rPr>
          <w:rFonts w:ascii="Abadi" w:hAnsi="Abadi"/>
        </w:rPr>
        <w:t xml:space="preserve"> and liquidity management. Regular monitoring and analysis of financial ratios will help Sweets plc make informed decisions and take appropriate actions to enhance its financial performance and position.</w:t>
      </w:r>
    </w:p>
    <w:p w14:paraId="130C2473" w14:textId="77777777" w:rsidR="00CE7319" w:rsidRDefault="004547F8">
      <w:pPr>
        <w:pStyle w:val="Normale"/>
        <w:spacing w:line="276" w:lineRule="auto"/>
        <w:rPr>
          <w:rFonts w:ascii="Abadi" w:hAnsi="Abadi"/>
          <w:b/>
          <w:bCs/>
        </w:rPr>
      </w:pPr>
      <w:r>
        <w:rPr>
          <w:rFonts w:ascii="Abadi" w:hAnsi="Abadi"/>
          <w:b/>
          <w:bCs/>
        </w:rPr>
        <w:t>The financial ratios and their implications for Sweets plc:</w:t>
      </w:r>
    </w:p>
    <w:p w14:paraId="53DF1D07" w14:textId="77777777" w:rsidR="00CE7319" w:rsidRDefault="004547F8">
      <w:pPr>
        <w:pStyle w:val="Normale"/>
        <w:spacing w:line="276" w:lineRule="auto"/>
        <w:rPr>
          <w:rFonts w:ascii="Abadi" w:hAnsi="Abadi"/>
        </w:rPr>
      </w:pPr>
      <w:r>
        <w:rPr>
          <w:rFonts w:ascii="Abadi" w:hAnsi="Abadi"/>
        </w:rPr>
        <w:t>11. Dividend Yield: The dividend yield represents the return on investment for shareholders in the form of dividends. A higher dividend yield indicates a higher return for shareholders. Sweets plc should carefully consider its dividend policy to balance the distribution of profits to shareholders while retaining enough funds for future growth and investment.</w:t>
      </w:r>
    </w:p>
    <w:p w14:paraId="316979CC" w14:textId="77777777" w:rsidR="00CE7319" w:rsidRDefault="004547F8">
      <w:pPr>
        <w:pStyle w:val="Normale"/>
        <w:spacing w:line="276" w:lineRule="auto"/>
        <w:rPr>
          <w:rFonts w:ascii="Abadi" w:hAnsi="Abadi"/>
        </w:rPr>
      </w:pPr>
      <w:r>
        <w:rPr>
          <w:rFonts w:ascii="Abadi" w:hAnsi="Abadi"/>
        </w:rPr>
        <w:t>12. Price/Earnings (P/E) Ratio: The P/E ratio is a valuation ratio that reflects the market's expectations of a company's future earnings potential. A higher P/E ratio suggests that investors have higher expectations for future earnings growth. Sweets plc should assess its P/E ratio relative to its peers and industry standards to determine if its stock is overvalued or undervalued.</w:t>
      </w:r>
    </w:p>
    <w:p w14:paraId="3672624C" w14:textId="77777777" w:rsidR="00CE7319" w:rsidRDefault="004547F8">
      <w:pPr>
        <w:pStyle w:val="Normale"/>
        <w:spacing w:line="276" w:lineRule="auto"/>
        <w:rPr>
          <w:rFonts w:ascii="Abadi" w:hAnsi="Abadi"/>
        </w:rPr>
      </w:pPr>
      <w:r>
        <w:rPr>
          <w:rFonts w:ascii="Abadi" w:hAnsi="Abadi"/>
        </w:rPr>
        <w:lastRenderedPageBreak/>
        <w:t>13. Gross Profit Margin: The gross profit margin measures the profitability of a company's core operations, excluding operating expenses. A higher gross profit margin indicates that Sweets plc is able to generate more profit from its products or services before deducting operating expenses. It is important for the company to monitor its gross profit margin and identify opportunities to improve efficiency and control costs.</w:t>
      </w:r>
    </w:p>
    <w:p w14:paraId="5D31D99F" w14:textId="77777777" w:rsidR="00CE7319" w:rsidRDefault="004547F8">
      <w:pPr>
        <w:pStyle w:val="Normale"/>
        <w:spacing w:line="276" w:lineRule="auto"/>
        <w:rPr>
          <w:rFonts w:ascii="Abadi" w:hAnsi="Abadi"/>
        </w:rPr>
      </w:pPr>
      <w:r>
        <w:rPr>
          <w:rFonts w:ascii="Abadi" w:hAnsi="Abadi"/>
        </w:rPr>
        <w:t xml:space="preserve">14. Operating Profit Margin: The operating profit margin measures the profitability of a company's operations after deducting both direct and indirect operating expenses. A higher operating profit margin indicates that Sweets plc is able to generate more profit from its core business activities. The company should focus on </w:t>
      </w:r>
      <w:proofErr w:type="spellStart"/>
      <w:r>
        <w:rPr>
          <w:rFonts w:ascii="Abadi" w:hAnsi="Abadi"/>
        </w:rPr>
        <w:t>optimizing</w:t>
      </w:r>
      <w:proofErr w:type="spellEnd"/>
      <w:r>
        <w:rPr>
          <w:rFonts w:ascii="Abadi" w:hAnsi="Abadi"/>
        </w:rPr>
        <w:t xml:space="preserve"> its operations, managing costs, and increasing efficiency to improve its operating profit margin.</w:t>
      </w:r>
    </w:p>
    <w:p w14:paraId="5C7684B3" w14:textId="77777777" w:rsidR="00CE7319" w:rsidRDefault="00CE7319">
      <w:pPr>
        <w:pStyle w:val="Normale"/>
        <w:spacing w:line="276" w:lineRule="auto"/>
        <w:rPr>
          <w:rFonts w:ascii="Abadi" w:hAnsi="Abadi"/>
        </w:rPr>
      </w:pPr>
    </w:p>
    <w:p w14:paraId="49CD9BFF" w14:textId="77777777" w:rsidR="00CE7319" w:rsidRDefault="004547F8">
      <w:pPr>
        <w:pStyle w:val="Normale"/>
        <w:spacing w:line="276" w:lineRule="auto"/>
        <w:rPr>
          <w:rFonts w:ascii="Abadi" w:hAnsi="Abadi"/>
        </w:rPr>
      </w:pPr>
      <w:r>
        <w:rPr>
          <w:rFonts w:ascii="Abadi" w:hAnsi="Abadi"/>
        </w:rPr>
        <w:t xml:space="preserve">15. Return on Assets (ROA): The return on assets ratio measures the efficiency of a company in generating profits from its total assets. A higher ROA indicates that Sweets plc is </w:t>
      </w:r>
      <w:proofErr w:type="spellStart"/>
      <w:r>
        <w:rPr>
          <w:rFonts w:ascii="Abadi" w:hAnsi="Abadi"/>
        </w:rPr>
        <w:t>utilizing</w:t>
      </w:r>
      <w:proofErr w:type="spellEnd"/>
      <w:r>
        <w:rPr>
          <w:rFonts w:ascii="Abadi" w:hAnsi="Abadi"/>
        </w:rPr>
        <w:t xml:space="preserve"> its assets effectively to generate profits. The company should continuously assess its asset </w:t>
      </w:r>
      <w:proofErr w:type="spellStart"/>
      <w:r>
        <w:rPr>
          <w:rFonts w:ascii="Abadi" w:hAnsi="Abadi"/>
        </w:rPr>
        <w:t>utilization</w:t>
      </w:r>
      <w:proofErr w:type="spellEnd"/>
      <w:r>
        <w:rPr>
          <w:rFonts w:ascii="Abadi" w:hAnsi="Abadi"/>
        </w:rPr>
        <w:t xml:space="preserve"> and explore opportunities to improve efficiency and productivity.</w:t>
      </w:r>
    </w:p>
    <w:p w14:paraId="6FE65EB9" w14:textId="77777777" w:rsidR="00CE7319" w:rsidRDefault="004547F8">
      <w:pPr>
        <w:pStyle w:val="Normale"/>
        <w:spacing w:line="276" w:lineRule="auto"/>
        <w:rPr>
          <w:rFonts w:ascii="Abadi" w:hAnsi="Abadi"/>
        </w:rPr>
      </w:pPr>
      <w:r>
        <w:rPr>
          <w:rFonts w:ascii="Abadi" w:hAnsi="Abadi"/>
        </w:rPr>
        <w:t>16. Working Capital Ratio: The working capital ratio, also known as the current ratio, assesses a company's ability to meet its short-term obligations. A higher working capital ratio indicates a stronger liquidity position, as Sweets plc has more current assets to cover its current liabilities. The company should maintain a healthy working capital ratio to ensure it can meet its short-term financial obligations.</w:t>
      </w:r>
    </w:p>
    <w:p w14:paraId="73CCDE48" w14:textId="77777777" w:rsidR="00CE7319" w:rsidRDefault="004547F8">
      <w:pPr>
        <w:pStyle w:val="Normale"/>
        <w:spacing w:line="276" w:lineRule="auto"/>
        <w:rPr>
          <w:rFonts w:ascii="Abadi" w:hAnsi="Abadi"/>
        </w:rPr>
      </w:pPr>
      <w:r>
        <w:rPr>
          <w:rFonts w:ascii="Abadi" w:hAnsi="Abadi"/>
        </w:rPr>
        <w:t>17. Debt-to-Equity Ratio: The debt-to-equity ratio measures the proportion of debt financing to equity financing in a company's capital structure. A higher debt-to-equity ratio indicates higher financial leverage and potential higher risk. Sweets plc should carefully manage its debt levels and maintain a balanced capital structure to mitigate financial risks.</w:t>
      </w:r>
    </w:p>
    <w:p w14:paraId="157872C2" w14:textId="77777777" w:rsidR="00CE7319" w:rsidRDefault="004547F8">
      <w:pPr>
        <w:pStyle w:val="Normale"/>
        <w:spacing w:line="276" w:lineRule="auto"/>
        <w:rPr>
          <w:rFonts w:ascii="Abadi" w:hAnsi="Abadi"/>
        </w:rPr>
      </w:pPr>
      <w:r>
        <w:rPr>
          <w:rFonts w:ascii="Abadi" w:hAnsi="Abadi"/>
        </w:rPr>
        <w:t>18. Quick Ratio: The quick ratio, also known as the acid-test ratio, assesses a company's ability to meet its short-term obligations using its most liquid assets. A higher quick ratio indicates a stronger liquidity position, as Sweets plc has more liquid assets to cover its current liabilities. The company should monitor its quick ratio to ensure it has sufficient liquid assets to meet its short-term financial obligations.</w:t>
      </w:r>
    </w:p>
    <w:p w14:paraId="48D74708" w14:textId="77777777" w:rsidR="00CE7319" w:rsidRDefault="004547F8">
      <w:pPr>
        <w:pStyle w:val="Normale"/>
        <w:spacing w:line="276" w:lineRule="auto"/>
        <w:rPr>
          <w:rFonts w:ascii="Abadi" w:hAnsi="Abadi"/>
        </w:rPr>
      </w:pPr>
      <w:r>
        <w:rPr>
          <w:rFonts w:ascii="Abadi" w:hAnsi="Abadi"/>
        </w:rPr>
        <w:t>19. Operating Cash Flow Ratio: The operating cash flow ratio measures the ability of a company to generate cash from its core operations to cover its operating expenses. A higher operating cash flow ratio indicates that Sweets plc is generating enough cash from its operations to sustain its business activities. The company should focus on improving cash flow management and maintaining a positive cash flow position.</w:t>
      </w:r>
    </w:p>
    <w:p w14:paraId="05CCCD7C" w14:textId="77777777" w:rsidR="00CE7319" w:rsidRDefault="004547F8">
      <w:pPr>
        <w:pStyle w:val="Normale"/>
        <w:spacing w:line="276" w:lineRule="auto"/>
        <w:rPr>
          <w:rFonts w:ascii="Abadi" w:hAnsi="Abadi"/>
        </w:rPr>
      </w:pPr>
      <w:r>
        <w:rPr>
          <w:rFonts w:ascii="Abadi" w:hAnsi="Abadi"/>
        </w:rPr>
        <w:t xml:space="preserve">20. Fixed Asset Turnover: The fixed asset turnover ratio measures the efficiency of a company in generating revenue from its fixed assets. A higher fixed asset turnover ratio indicates that Sweets plc is effectively </w:t>
      </w:r>
      <w:proofErr w:type="spellStart"/>
      <w:r>
        <w:rPr>
          <w:rFonts w:ascii="Abadi" w:hAnsi="Abadi"/>
        </w:rPr>
        <w:t>utilizing</w:t>
      </w:r>
      <w:proofErr w:type="spellEnd"/>
      <w:r>
        <w:rPr>
          <w:rFonts w:ascii="Abadi" w:hAnsi="Abadi"/>
        </w:rPr>
        <w:t xml:space="preserve"> its fixed assets to generate sales. The company should </w:t>
      </w:r>
      <w:proofErr w:type="spellStart"/>
      <w:r>
        <w:rPr>
          <w:rFonts w:ascii="Abadi" w:hAnsi="Abadi"/>
        </w:rPr>
        <w:t>analyze</w:t>
      </w:r>
      <w:proofErr w:type="spellEnd"/>
      <w:r>
        <w:rPr>
          <w:rFonts w:ascii="Abadi" w:hAnsi="Abadi"/>
        </w:rPr>
        <w:t xml:space="preserve"> its fixed asset turnover and explore ways to </w:t>
      </w:r>
      <w:proofErr w:type="spellStart"/>
      <w:r>
        <w:rPr>
          <w:rFonts w:ascii="Abadi" w:hAnsi="Abadi"/>
        </w:rPr>
        <w:t>optimize</w:t>
      </w:r>
      <w:proofErr w:type="spellEnd"/>
      <w:r>
        <w:rPr>
          <w:rFonts w:ascii="Abadi" w:hAnsi="Abadi"/>
        </w:rPr>
        <w:t xml:space="preserve"> asset </w:t>
      </w:r>
      <w:proofErr w:type="spellStart"/>
      <w:r>
        <w:rPr>
          <w:rFonts w:ascii="Abadi" w:hAnsi="Abadi"/>
        </w:rPr>
        <w:t>utilization</w:t>
      </w:r>
      <w:proofErr w:type="spellEnd"/>
      <w:r>
        <w:rPr>
          <w:rFonts w:ascii="Abadi" w:hAnsi="Abadi"/>
        </w:rPr>
        <w:t xml:space="preserve"> and improve productivity.</w:t>
      </w:r>
    </w:p>
    <w:p w14:paraId="1CF3BDC7" w14:textId="77777777" w:rsidR="00CE7319" w:rsidRDefault="004547F8">
      <w:pPr>
        <w:pStyle w:val="Normale"/>
        <w:spacing w:line="276" w:lineRule="auto"/>
        <w:rPr>
          <w:rFonts w:ascii="Abadi" w:hAnsi="Abadi"/>
        </w:rPr>
      </w:pPr>
      <w:r>
        <w:rPr>
          <w:rFonts w:ascii="Abadi" w:hAnsi="Abadi"/>
        </w:rPr>
        <w:t xml:space="preserve">By analysing and monitoring these financial ratios, Sweets plc can gain valuable insights into its financial performance, profitability, liquidity, and overall financial health. These ratios help the company identify areas of strength and areas that require improvement, enabling management </w:t>
      </w:r>
      <w:r>
        <w:rPr>
          <w:rFonts w:ascii="Abadi" w:hAnsi="Abadi"/>
        </w:rPr>
        <w:lastRenderedPageBreak/>
        <w:t>to make informed decisions and take appropriate actions to drive growth and enhance shareholder value.</w:t>
      </w:r>
    </w:p>
    <w:p w14:paraId="4DC449D1" w14:textId="77777777" w:rsidR="00CE7319" w:rsidRDefault="00CE7319">
      <w:pPr>
        <w:pStyle w:val="Normale"/>
        <w:rPr>
          <w:rFonts w:ascii="Abadi" w:hAnsi="Abadi"/>
        </w:rPr>
      </w:pPr>
    </w:p>
    <w:p w14:paraId="7E50BE8C" w14:textId="77777777" w:rsidR="00CE7319" w:rsidRDefault="00CE7319">
      <w:pPr>
        <w:pStyle w:val="Normale"/>
        <w:pageBreakBefore/>
        <w:suppressAutoHyphens w:val="0"/>
      </w:pPr>
    </w:p>
    <w:p w14:paraId="7AAB0913" w14:textId="77777777" w:rsidR="00CE7319" w:rsidRDefault="004547F8">
      <w:pPr>
        <w:pStyle w:val="Normale"/>
        <w:jc w:val="both"/>
        <w:rPr>
          <w:b/>
          <w:bCs/>
          <w:sz w:val="24"/>
          <w:szCs w:val="24"/>
        </w:rPr>
      </w:pPr>
      <w:r>
        <w:rPr>
          <w:b/>
          <w:bCs/>
          <w:sz w:val="24"/>
          <w:szCs w:val="24"/>
        </w:rPr>
        <w:t xml:space="preserve">                                                            Reference list    </w:t>
      </w:r>
    </w:p>
    <w:p w14:paraId="0E8826A6" w14:textId="77777777" w:rsidR="00CE7319" w:rsidRDefault="00CE7319">
      <w:pPr>
        <w:pStyle w:val="Normale"/>
        <w:jc w:val="both"/>
        <w:rPr>
          <w:b/>
          <w:bCs/>
          <w:sz w:val="24"/>
          <w:szCs w:val="24"/>
        </w:rPr>
      </w:pPr>
    </w:p>
    <w:p w14:paraId="183F74D1" w14:textId="77777777" w:rsidR="00CE7319" w:rsidRDefault="004547F8">
      <w:pPr>
        <w:pStyle w:val="Normale"/>
        <w:jc w:val="both"/>
      </w:pPr>
      <w:r>
        <w:rPr>
          <w:rStyle w:val="Carpredefinitoparagrafo"/>
          <w:b/>
          <w:bCs/>
          <w:sz w:val="24"/>
          <w:szCs w:val="24"/>
        </w:rPr>
        <w:t>1.</w:t>
      </w:r>
      <w:r>
        <w:t xml:space="preserve"> Beaver W. 1970. “The time series </w:t>
      </w:r>
      <w:proofErr w:type="spellStart"/>
      <w:r>
        <w:t>behavior</w:t>
      </w:r>
      <w:proofErr w:type="spellEnd"/>
      <w:r>
        <w:t xml:space="preserve"> of earnings.” Empirical Research in Accounting: Selected Studies, 1970 Supplement to </w:t>
      </w:r>
      <w:r>
        <w:rPr>
          <w:rStyle w:val="Enfasicorsivo"/>
        </w:rPr>
        <w:t>Journal of Accounting Research</w:t>
      </w:r>
      <w:r>
        <w:t>, 8: 62–89.</w:t>
      </w:r>
    </w:p>
    <w:p w14:paraId="5571267A" w14:textId="77777777" w:rsidR="00CE7319" w:rsidRDefault="004547F8">
      <w:pPr>
        <w:pStyle w:val="Normale"/>
        <w:jc w:val="both"/>
      </w:pPr>
      <w:r>
        <w:rPr>
          <w:rStyle w:val="Carpredefinitoparagrafo"/>
          <w:b/>
          <w:bCs/>
          <w:sz w:val="24"/>
          <w:szCs w:val="24"/>
        </w:rPr>
        <w:t xml:space="preserve">2. </w:t>
      </w:r>
      <w:r>
        <w:t xml:space="preserve">Ball R., Brown P. 1968. “An empirical evaluation of accounting income numbers.” </w:t>
      </w:r>
      <w:r>
        <w:rPr>
          <w:rStyle w:val="Enfasicorsivo"/>
        </w:rPr>
        <w:t>Journal of Accounting Research</w:t>
      </w:r>
      <w:r>
        <w:t xml:space="preserve"> 6 (Autumn): 159–178.</w:t>
      </w:r>
    </w:p>
    <w:p w14:paraId="70DE0B22" w14:textId="77777777" w:rsidR="00CE7319" w:rsidRDefault="004547F8">
      <w:pPr>
        <w:pStyle w:val="Normale"/>
        <w:suppressAutoHyphens w:val="0"/>
        <w:jc w:val="both"/>
      </w:pPr>
      <w:r>
        <w:rPr>
          <w:rStyle w:val="Carpredefinitoparagrafo"/>
          <w:b/>
          <w:bCs/>
          <w:sz w:val="24"/>
          <w:szCs w:val="24"/>
        </w:rPr>
        <w:t xml:space="preserve">3. </w:t>
      </w:r>
      <w:r>
        <w:rPr>
          <w:rStyle w:val="Carpredefinitoparagrafo"/>
          <w:rFonts w:ascii="Times New Roman" w:eastAsia="Times New Roman" w:hAnsi="Times New Roman"/>
          <w:kern w:val="0"/>
          <w:sz w:val="24"/>
          <w:szCs w:val="24"/>
          <w:lang w:eastAsia="en-GB"/>
        </w:rPr>
        <w:t xml:space="preserve">Beaver W., </w:t>
      </w:r>
      <w:proofErr w:type="spellStart"/>
      <w:r>
        <w:rPr>
          <w:rStyle w:val="Carpredefinitoparagrafo"/>
          <w:rFonts w:ascii="Times New Roman" w:eastAsia="Times New Roman" w:hAnsi="Times New Roman"/>
          <w:kern w:val="0"/>
          <w:sz w:val="24"/>
          <w:szCs w:val="24"/>
          <w:lang w:eastAsia="en-GB"/>
        </w:rPr>
        <w:t>Kettler</w:t>
      </w:r>
      <w:proofErr w:type="spellEnd"/>
      <w:r>
        <w:rPr>
          <w:rStyle w:val="Carpredefinitoparagrafo"/>
          <w:rFonts w:ascii="Times New Roman" w:eastAsia="Times New Roman" w:hAnsi="Times New Roman"/>
          <w:kern w:val="0"/>
          <w:sz w:val="24"/>
          <w:szCs w:val="24"/>
          <w:lang w:eastAsia="en-GB"/>
        </w:rPr>
        <w:t xml:space="preserve"> P., Scholes M. 1970. “The association between market determined and accounting determined risk measures.” </w:t>
      </w:r>
      <w:r>
        <w:rPr>
          <w:rStyle w:val="Carpredefinitoparagrafo"/>
          <w:rFonts w:ascii="Times New Roman" w:eastAsia="Times New Roman" w:hAnsi="Times New Roman"/>
          <w:i/>
          <w:iCs/>
          <w:kern w:val="0"/>
          <w:sz w:val="24"/>
          <w:szCs w:val="24"/>
          <w:lang w:eastAsia="en-GB"/>
        </w:rPr>
        <w:t>Accounting Review</w:t>
      </w:r>
      <w:r>
        <w:rPr>
          <w:rStyle w:val="Carpredefinitoparagrafo"/>
          <w:rFonts w:ascii="Times New Roman" w:eastAsia="Times New Roman" w:hAnsi="Times New Roman"/>
          <w:kern w:val="0"/>
          <w:sz w:val="24"/>
          <w:szCs w:val="24"/>
          <w:lang w:eastAsia="en-GB"/>
        </w:rPr>
        <w:t xml:space="preserve"> XLV (October): 654–682.</w:t>
      </w:r>
    </w:p>
    <w:p w14:paraId="115DF803" w14:textId="77777777" w:rsidR="00CE7319" w:rsidRDefault="004547F8">
      <w:pPr>
        <w:pStyle w:val="Normale"/>
        <w:jc w:val="both"/>
      </w:pPr>
      <w:r>
        <w:rPr>
          <w:rStyle w:val="Carpredefinitoparagrafo"/>
          <w:b/>
          <w:bCs/>
          <w:sz w:val="24"/>
          <w:szCs w:val="24"/>
        </w:rPr>
        <w:t xml:space="preserve">4. </w:t>
      </w:r>
      <w:proofErr w:type="spellStart"/>
      <w:r>
        <w:t>Basu</w:t>
      </w:r>
      <w:proofErr w:type="spellEnd"/>
      <w:r>
        <w:t xml:space="preserve"> S. 1977. “Investment performance of common stocks in relation to their price-earnings ratios: A test of the efficient market hypothesis.” </w:t>
      </w:r>
      <w:r>
        <w:rPr>
          <w:rStyle w:val="Enfasicorsivo"/>
        </w:rPr>
        <w:t>Journal of Finance</w:t>
      </w:r>
      <w:r>
        <w:t xml:space="preserve"> 32 (June): 663–682.</w:t>
      </w:r>
    </w:p>
    <w:p w14:paraId="5D004AB4" w14:textId="77777777" w:rsidR="00CE7319" w:rsidRDefault="004547F8">
      <w:pPr>
        <w:pStyle w:val="Normale"/>
        <w:suppressAutoHyphens w:val="0"/>
        <w:jc w:val="both"/>
      </w:pPr>
      <w:r>
        <w:rPr>
          <w:rStyle w:val="Carpredefinitoparagrafo"/>
          <w:b/>
          <w:bCs/>
          <w:sz w:val="24"/>
          <w:szCs w:val="24"/>
        </w:rPr>
        <w:t xml:space="preserve">5. </w:t>
      </w:r>
      <w:r>
        <w:rPr>
          <w:rStyle w:val="Carpredefinitoparagrafo"/>
          <w:rFonts w:ascii="Times New Roman" w:eastAsia="Times New Roman" w:hAnsi="Times New Roman"/>
          <w:kern w:val="0"/>
          <w:sz w:val="24"/>
          <w:szCs w:val="24"/>
          <w:lang w:eastAsia="en-GB"/>
        </w:rPr>
        <w:t xml:space="preserve">Beaver W., </w:t>
      </w:r>
      <w:proofErr w:type="spellStart"/>
      <w:r>
        <w:rPr>
          <w:rStyle w:val="Carpredefinitoparagrafo"/>
          <w:rFonts w:ascii="Times New Roman" w:eastAsia="Times New Roman" w:hAnsi="Times New Roman"/>
          <w:kern w:val="0"/>
          <w:sz w:val="24"/>
          <w:szCs w:val="24"/>
          <w:lang w:eastAsia="en-GB"/>
        </w:rPr>
        <w:t>Kettler</w:t>
      </w:r>
      <w:proofErr w:type="spellEnd"/>
      <w:r>
        <w:rPr>
          <w:rStyle w:val="Carpredefinitoparagrafo"/>
          <w:rFonts w:ascii="Times New Roman" w:eastAsia="Times New Roman" w:hAnsi="Times New Roman"/>
          <w:kern w:val="0"/>
          <w:sz w:val="24"/>
          <w:szCs w:val="24"/>
          <w:lang w:eastAsia="en-GB"/>
        </w:rPr>
        <w:t xml:space="preserve"> P., Scholes M. 1970. “The association between market determined and accounting determined risk measures.” </w:t>
      </w:r>
      <w:r>
        <w:rPr>
          <w:rStyle w:val="Carpredefinitoparagrafo"/>
          <w:rFonts w:ascii="Times New Roman" w:eastAsia="Times New Roman" w:hAnsi="Times New Roman"/>
          <w:i/>
          <w:iCs/>
          <w:kern w:val="0"/>
          <w:sz w:val="24"/>
          <w:szCs w:val="24"/>
          <w:lang w:eastAsia="en-GB"/>
        </w:rPr>
        <w:t>Accounting Review</w:t>
      </w:r>
      <w:r>
        <w:rPr>
          <w:rStyle w:val="Carpredefinitoparagrafo"/>
          <w:rFonts w:ascii="Times New Roman" w:eastAsia="Times New Roman" w:hAnsi="Times New Roman"/>
          <w:kern w:val="0"/>
          <w:sz w:val="24"/>
          <w:szCs w:val="24"/>
          <w:lang w:eastAsia="en-GB"/>
        </w:rPr>
        <w:t xml:space="preserve"> XLV (October): 654–682</w:t>
      </w:r>
    </w:p>
    <w:p w14:paraId="6F3EBD65" w14:textId="77777777" w:rsidR="00CE7319" w:rsidRDefault="004547F8">
      <w:pPr>
        <w:pStyle w:val="Normale"/>
        <w:jc w:val="both"/>
      </w:pPr>
      <w:r>
        <w:rPr>
          <w:rStyle w:val="Carpredefinitoparagrafo"/>
          <w:b/>
          <w:bCs/>
          <w:sz w:val="24"/>
          <w:szCs w:val="24"/>
        </w:rPr>
        <w:t xml:space="preserve">6. </w:t>
      </w:r>
      <w:r>
        <w:t xml:space="preserve">Beaver W. 1970. “The time series </w:t>
      </w:r>
      <w:proofErr w:type="spellStart"/>
      <w:r>
        <w:t>behavior</w:t>
      </w:r>
      <w:proofErr w:type="spellEnd"/>
      <w:r>
        <w:t xml:space="preserve"> of earnings.” Empirical Research in Accounting: Selected Studies, 1970 Supplement to </w:t>
      </w:r>
      <w:r>
        <w:rPr>
          <w:rStyle w:val="Enfasicorsivo"/>
        </w:rPr>
        <w:t>Journal of Accounting Research</w:t>
      </w:r>
      <w:r>
        <w:t>, 8: 62–89.</w:t>
      </w:r>
    </w:p>
    <w:p w14:paraId="54F4BC02" w14:textId="77777777" w:rsidR="00CE7319" w:rsidRDefault="004547F8">
      <w:pPr>
        <w:pStyle w:val="Normale"/>
        <w:jc w:val="both"/>
      </w:pPr>
      <w:r>
        <w:rPr>
          <w:rStyle w:val="Carpredefinitoparagrafo"/>
          <w:b/>
          <w:bCs/>
          <w:sz w:val="24"/>
          <w:szCs w:val="24"/>
        </w:rPr>
        <w:t xml:space="preserve">7. </w:t>
      </w:r>
      <w:r>
        <w:t xml:space="preserve">Beaver W., Morse D. 1978. “What determines price-earnings ratios?” </w:t>
      </w:r>
      <w:r>
        <w:rPr>
          <w:rStyle w:val="Enfasicorsivo"/>
        </w:rPr>
        <w:t>Financial Analysts Journal</w:t>
      </w:r>
      <w:r>
        <w:t xml:space="preserve"> XXXIV (July/August): 65–76.</w:t>
      </w:r>
    </w:p>
    <w:p w14:paraId="4BDD7D5B" w14:textId="77777777" w:rsidR="00CE7319" w:rsidRDefault="004547F8">
      <w:pPr>
        <w:pStyle w:val="Normale"/>
        <w:jc w:val="both"/>
      </w:pPr>
      <w:r>
        <w:rPr>
          <w:rStyle w:val="Carpredefinitoparagrafo"/>
          <w:b/>
          <w:bCs/>
          <w:sz w:val="24"/>
          <w:szCs w:val="24"/>
        </w:rPr>
        <w:t xml:space="preserve">8. </w:t>
      </w:r>
      <w:r>
        <w:t xml:space="preserve">Easton P. 1985. “Accounting earnings and security valuation: Empirical evidence of the fundamental links.” </w:t>
      </w:r>
      <w:r>
        <w:rPr>
          <w:rStyle w:val="Enfasicorsivo"/>
        </w:rPr>
        <w:t>Journal of Accounting Research</w:t>
      </w:r>
      <w:r>
        <w:t xml:space="preserve"> 23 (Supplement): 54–77.</w:t>
      </w:r>
    </w:p>
    <w:p w14:paraId="0B1EE3BA" w14:textId="77777777" w:rsidR="00CE7319" w:rsidRDefault="004547F8">
      <w:pPr>
        <w:pStyle w:val="Normale"/>
        <w:jc w:val="both"/>
      </w:pPr>
      <w:r>
        <w:rPr>
          <w:rStyle w:val="Carpredefinitoparagrafo"/>
          <w:b/>
          <w:bCs/>
          <w:sz w:val="24"/>
          <w:szCs w:val="24"/>
        </w:rPr>
        <w:t xml:space="preserve">9. </w:t>
      </w:r>
      <w:r>
        <w:t xml:space="preserve">Bernard V., Noel J. 1991. “Do inventory disclosures predict sales and earnings?” </w:t>
      </w:r>
      <w:r>
        <w:rPr>
          <w:rStyle w:val="Enfasicorsivo"/>
        </w:rPr>
        <w:t>Journal of Accounting, Auditing and Finance</w:t>
      </w:r>
      <w:r>
        <w:t xml:space="preserve"> 6 (Spring): 145–181.</w:t>
      </w:r>
    </w:p>
    <w:p w14:paraId="3B131DFA" w14:textId="77777777" w:rsidR="00CE7319" w:rsidRDefault="004547F8">
      <w:pPr>
        <w:pStyle w:val="Normale"/>
        <w:jc w:val="both"/>
      </w:pPr>
      <w:r>
        <w:rPr>
          <w:rStyle w:val="Carpredefinitoparagrafo"/>
          <w:b/>
          <w:bCs/>
          <w:sz w:val="24"/>
          <w:szCs w:val="24"/>
        </w:rPr>
        <w:t xml:space="preserve">10. </w:t>
      </w:r>
      <w:r>
        <w:t xml:space="preserve">Copeland T., </w:t>
      </w:r>
      <w:proofErr w:type="spellStart"/>
      <w:r>
        <w:t>Koller</w:t>
      </w:r>
      <w:proofErr w:type="spellEnd"/>
      <w:r>
        <w:t xml:space="preserve"> T., </w:t>
      </w:r>
      <w:proofErr w:type="spellStart"/>
      <w:r>
        <w:t>Murrin</w:t>
      </w:r>
      <w:proofErr w:type="spellEnd"/>
      <w:r>
        <w:t xml:space="preserve"> J. 1990. </w:t>
      </w:r>
      <w:r>
        <w:rPr>
          <w:rStyle w:val="Enfasicorsivo"/>
        </w:rPr>
        <w:t>Valuation: Measuring and Managing the Value of Companies.</w:t>
      </w:r>
      <w:r>
        <w:t xml:space="preserve"> New York: John Wiley &amp; Sons.</w:t>
      </w:r>
    </w:p>
    <w:p w14:paraId="6771DDA1" w14:textId="77777777" w:rsidR="00CE7319" w:rsidRDefault="004547F8">
      <w:pPr>
        <w:pStyle w:val="Normale"/>
        <w:jc w:val="both"/>
      </w:pPr>
      <w:r>
        <w:rPr>
          <w:rStyle w:val="Carpredefinitoparagrafo"/>
          <w:b/>
          <w:bCs/>
          <w:sz w:val="24"/>
          <w:szCs w:val="24"/>
        </w:rPr>
        <w:t xml:space="preserve">11. </w:t>
      </w:r>
      <w:r>
        <w:t xml:space="preserve">Edwards E., Bell P. 1961. </w:t>
      </w:r>
      <w:r>
        <w:rPr>
          <w:rStyle w:val="Enfasicorsivo"/>
        </w:rPr>
        <w:t>The Theory and Measurement of Business Income.</w:t>
      </w:r>
      <w:r>
        <w:t xml:space="preserve"> Berkeley: The University of California Press.</w:t>
      </w:r>
    </w:p>
    <w:p w14:paraId="16505337" w14:textId="77777777" w:rsidR="00CE7319" w:rsidRDefault="004547F8">
      <w:pPr>
        <w:pStyle w:val="Normale"/>
        <w:jc w:val="both"/>
      </w:pPr>
      <w:r>
        <w:rPr>
          <w:rStyle w:val="Carpredefinitoparagrafo"/>
          <w:b/>
          <w:bCs/>
          <w:sz w:val="24"/>
          <w:szCs w:val="24"/>
        </w:rPr>
        <w:t xml:space="preserve">12. </w:t>
      </w:r>
      <w:r>
        <w:t xml:space="preserve">Easton P., Harris T., </w:t>
      </w:r>
      <w:proofErr w:type="spellStart"/>
      <w:r>
        <w:t>Ohlson</w:t>
      </w:r>
      <w:proofErr w:type="spellEnd"/>
      <w:r>
        <w:t xml:space="preserve"> J. 1991. </w:t>
      </w:r>
      <w:r>
        <w:rPr>
          <w:rStyle w:val="Enfasicorsivo"/>
        </w:rPr>
        <w:t>“Accounting earnings can explain most of security returns: The case of long event windows.”</w:t>
      </w:r>
      <w:r>
        <w:t xml:space="preserve"> Unpublished paper, New York: Columbia University. Journal of Accounting and Economics, forthcoming.</w:t>
      </w:r>
    </w:p>
    <w:p w14:paraId="229523C6" w14:textId="77777777" w:rsidR="00CE7319" w:rsidRDefault="004547F8">
      <w:pPr>
        <w:pStyle w:val="Normale"/>
        <w:jc w:val="both"/>
      </w:pPr>
      <w:r>
        <w:rPr>
          <w:rStyle w:val="Carpredefinitoparagrafo"/>
          <w:b/>
          <w:bCs/>
          <w:sz w:val="24"/>
          <w:szCs w:val="24"/>
        </w:rPr>
        <w:t xml:space="preserve">13. </w:t>
      </w:r>
      <w:r>
        <w:t xml:space="preserve">Easton P., Harris T. 1991. “Earnings as an explanatory variable for returns.” </w:t>
      </w:r>
      <w:r>
        <w:rPr>
          <w:rStyle w:val="Enfasicorsivo"/>
        </w:rPr>
        <w:t>Journal of Accounting Research</w:t>
      </w:r>
      <w:r>
        <w:t xml:space="preserve"> 29 (Spring): 19–36.</w:t>
      </w:r>
    </w:p>
    <w:p w14:paraId="4E8A1EA6" w14:textId="77777777" w:rsidR="00CE7319" w:rsidRDefault="004547F8">
      <w:pPr>
        <w:pStyle w:val="Normale"/>
        <w:jc w:val="both"/>
      </w:pPr>
      <w:r>
        <w:rPr>
          <w:rStyle w:val="Carpredefinitoparagrafo"/>
          <w:b/>
          <w:bCs/>
          <w:sz w:val="24"/>
          <w:szCs w:val="24"/>
        </w:rPr>
        <w:t xml:space="preserve">14. </w:t>
      </w:r>
      <w:r>
        <w:t xml:space="preserve">Easton P. 1985. “Accounting earnings and security valuation: Empirical evidence of the fundamental links.” </w:t>
      </w:r>
      <w:r>
        <w:rPr>
          <w:rStyle w:val="Enfasicorsivo"/>
        </w:rPr>
        <w:t>Journal of Accounting Research</w:t>
      </w:r>
      <w:r>
        <w:t xml:space="preserve"> 23 (Supplement): 54–77.</w:t>
      </w:r>
    </w:p>
    <w:p w14:paraId="23C6973B" w14:textId="77777777" w:rsidR="00CE7319" w:rsidRDefault="004547F8">
      <w:pPr>
        <w:pStyle w:val="Normale"/>
        <w:jc w:val="both"/>
      </w:pPr>
      <w:r>
        <w:rPr>
          <w:rStyle w:val="Carpredefinitoparagrafo"/>
          <w:b/>
          <w:bCs/>
          <w:sz w:val="24"/>
          <w:szCs w:val="24"/>
        </w:rPr>
        <w:t xml:space="preserve">15. </w:t>
      </w:r>
      <w:proofErr w:type="spellStart"/>
      <w:r>
        <w:t>Molodovsky</w:t>
      </w:r>
      <w:proofErr w:type="spellEnd"/>
      <w:r>
        <w:t xml:space="preserve"> N. 1959. “Valuation of common stocks.” </w:t>
      </w:r>
      <w:r>
        <w:rPr>
          <w:rStyle w:val="Enfasicorsivo"/>
        </w:rPr>
        <w:t>Financial Analysts Journal</w:t>
      </w:r>
      <w:r>
        <w:t xml:space="preserve"> XVI (January/February): 23–44.</w:t>
      </w:r>
    </w:p>
    <w:p w14:paraId="14A46C82" w14:textId="77777777" w:rsidR="00CE7319" w:rsidRDefault="004547F8">
      <w:pPr>
        <w:pStyle w:val="Normale"/>
        <w:jc w:val="both"/>
      </w:pPr>
      <w:r>
        <w:rPr>
          <w:rStyle w:val="Carpredefinitoparagrafo"/>
          <w:b/>
          <w:bCs/>
          <w:sz w:val="24"/>
          <w:szCs w:val="24"/>
        </w:rPr>
        <w:t xml:space="preserve">16. </w:t>
      </w:r>
      <w:proofErr w:type="spellStart"/>
      <w:r>
        <w:t>Holthausen</w:t>
      </w:r>
      <w:proofErr w:type="spellEnd"/>
      <w:r>
        <w:t xml:space="preserve"> R., </w:t>
      </w:r>
      <w:proofErr w:type="spellStart"/>
      <w:r>
        <w:t>Larcker</w:t>
      </w:r>
      <w:proofErr w:type="spellEnd"/>
      <w:r>
        <w:t xml:space="preserve"> D. 1991. </w:t>
      </w:r>
      <w:r>
        <w:rPr>
          <w:rStyle w:val="Enfasicorsivo"/>
        </w:rPr>
        <w:t>“The prediction of stock returns using financial statement information.”</w:t>
      </w:r>
      <w:r>
        <w:t xml:space="preserve"> Unpublished paper, Philadelphia: The Wharton School. Journal of Accounting and Economics, forthcoming.</w:t>
      </w:r>
    </w:p>
    <w:p w14:paraId="02E361F1" w14:textId="77777777" w:rsidR="00CE7319" w:rsidRDefault="004547F8">
      <w:pPr>
        <w:pStyle w:val="Normale"/>
        <w:jc w:val="both"/>
      </w:pPr>
      <w:r>
        <w:rPr>
          <w:rStyle w:val="Carpredefinitoparagrafo"/>
          <w:b/>
          <w:bCs/>
          <w:sz w:val="24"/>
          <w:szCs w:val="24"/>
        </w:rPr>
        <w:lastRenderedPageBreak/>
        <w:t xml:space="preserve">17. </w:t>
      </w:r>
      <w:r>
        <w:t xml:space="preserve">Ou J. 1990. “The information content of </w:t>
      </w:r>
      <w:proofErr w:type="spellStart"/>
      <w:r>
        <w:t>nonearnings</w:t>
      </w:r>
      <w:proofErr w:type="spellEnd"/>
      <w:r>
        <w:t xml:space="preserve"> accounting numbers as earnings predictors.” </w:t>
      </w:r>
      <w:r>
        <w:rPr>
          <w:rStyle w:val="Enfasicorsivo"/>
        </w:rPr>
        <w:t>Journal of Accounting Research</w:t>
      </w:r>
      <w:r>
        <w:t xml:space="preserve"> 28 (Spring): 144–163.</w:t>
      </w:r>
    </w:p>
    <w:p w14:paraId="6830FC31" w14:textId="77777777" w:rsidR="00CE7319" w:rsidRDefault="004547F8">
      <w:pPr>
        <w:pStyle w:val="Normale"/>
        <w:jc w:val="both"/>
      </w:pPr>
      <w:r>
        <w:rPr>
          <w:rStyle w:val="Carpredefinitoparagrafo"/>
          <w:b/>
          <w:bCs/>
          <w:sz w:val="24"/>
          <w:szCs w:val="24"/>
        </w:rPr>
        <w:t xml:space="preserve">18. </w:t>
      </w:r>
      <w:r>
        <w:t xml:space="preserve">Ou J., Penman S. 1989. “Accounting measurement, price-earnings ratios, and the information content of security prices.” </w:t>
      </w:r>
      <w:r>
        <w:rPr>
          <w:rStyle w:val="Enfasicorsivo"/>
        </w:rPr>
        <w:t>Journal of Accounting Research</w:t>
      </w:r>
      <w:r>
        <w:t xml:space="preserve"> 27 (Supplement): 111–144.</w:t>
      </w:r>
    </w:p>
    <w:p w14:paraId="3A47D2FF" w14:textId="77777777" w:rsidR="00CE7319" w:rsidRDefault="004547F8">
      <w:pPr>
        <w:pStyle w:val="Normale"/>
        <w:jc w:val="both"/>
      </w:pPr>
      <w:r>
        <w:rPr>
          <w:rStyle w:val="Carpredefinitoparagrafo"/>
          <w:b/>
          <w:bCs/>
          <w:sz w:val="24"/>
          <w:szCs w:val="24"/>
        </w:rPr>
        <w:t xml:space="preserve">19. </w:t>
      </w:r>
      <w:proofErr w:type="spellStart"/>
      <w:r>
        <w:t>Peasnell</w:t>
      </w:r>
      <w:proofErr w:type="spellEnd"/>
      <w:r>
        <w:t xml:space="preserve"> K. 1982. “Some formal connections between economic values and yields and accounting numbers.” </w:t>
      </w:r>
      <w:r>
        <w:rPr>
          <w:rStyle w:val="Enfasicorsivo"/>
        </w:rPr>
        <w:t>Journal of Business Finance and Accounting</w:t>
      </w:r>
      <w:r>
        <w:t xml:space="preserve"> 9 (October): 361–381.</w:t>
      </w:r>
    </w:p>
    <w:p w14:paraId="70766064" w14:textId="77777777" w:rsidR="00CE7319" w:rsidRDefault="004547F8">
      <w:pPr>
        <w:pStyle w:val="Normale"/>
        <w:jc w:val="both"/>
      </w:pPr>
      <w:r>
        <w:rPr>
          <w:rStyle w:val="Carpredefinitoparagrafo"/>
          <w:b/>
          <w:bCs/>
          <w:sz w:val="24"/>
          <w:szCs w:val="24"/>
        </w:rPr>
        <w:t xml:space="preserve">19. </w:t>
      </w:r>
      <w:r>
        <w:t xml:space="preserve">Williams J. 1938. </w:t>
      </w:r>
      <w:r>
        <w:rPr>
          <w:rStyle w:val="Enfasicorsivo"/>
        </w:rPr>
        <w:t>The Theory of Investment Value.</w:t>
      </w:r>
      <w:r>
        <w:t xml:space="preserve"> Cambridge, MA.: Harvard University Press</w:t>
      </w:r>
    </w:p>
    <w:p w14:paraId="085CE1C7" w14:textId="77777777" w:rsidR="00CE7319" w:rsidRDefault="004547F8">
      <w:pPr>
        <w:pStyle w:val="Normale"/>
        <w:jc w:val="both"/>
      </w:pPr>
      <w:r>
        <w:rPr>
          <w:rStyle w:val="Carpredefinitoparagrafo"/>
          <w:b/>
          <w:bCs/>
          <w:sz w:val="24"/>
          <w:szCs w:val="24"/>
        </w:rPr>
        <w:t xml:space="preserve">20. </w:t>
      </w:r>
      <w:proofErr w:type="spellStart"/>
      <w:r>
        <w:t>Staubus</w:t>
      </w:r>
      <w:proofErr w:type="spellEnd"/>
      <w:r>
        <w:t xml:space="preserve"> G. 1965. “The association of financial accounting variables with common stock values.” </w:t>
      </w:r>
      <w:r>
        <w:rPr>
          <w:rStyle w:val="Enfasicorsivo"/>
        </w:rPr>
        <w:t>Accounting Review</w:t>
      </w:r>
      <w:r>
        <w:t xml:space="preserve"> XL (January): 119–134.</w:t>
      </w:r>
    </w:p>
    <w:p w14:paraId="6E4E5619" w14:textId="77777777" w:rsidR="00CE7319" w:rsidRDefault="004547F8">
      <w:pPr>
        <w:pStyle w:val="Normale"/>
        <w:jc w:val="both"/>
      </w:pPr>
      <w:r>
        <w:rPr>
          <w:rStyle w:val="Carpredefinitoparagrafo"/>
          <w:b/>
          <w:bCs/>
          <w:sz w:val="24"/>
          <w:szCs w:val="24"/>
        </w:rPr>
        <w:t xml:space="preserve">21. </w:t>
      </w:r>
      <w:r>
        <w:t xml:space="preserve">Rubinstein M. 1976. “The valuation of uncertain income streams and the pricing of options.” </w:t>
      </w:r>
      <w:r>
        <w:rPr>
          <w:rStyle w:val="Enfasicorsivo"/>
        </w:rPr>
        <w:t>Bell Journal of Economics</w:t>
      </w:r>
      <w:r>
        <w:t xml:space="preserve"> 7 (Autumn): 407–425.</w:t>
      </w:r>
    </w:p>
    <w:p w14:paraId="4E49EFDF" w14:textId="77777777" w:rsidR="00CE7319" w:rsidRDefault="004547F8">
      <w:pPr>
        <w:pStyle w:val="Normale"/>
        <w:jc w:val="both"/>
      </w:pPr>
      <w:r>
        <w:rPr>
          <w:rStyle w:val="Carpredefinitoparagrafo"/>
          <w:b/>
          <w:bCs/>
          <w:sz w:val="24"/>
          <w:szCs w:val="24"/>
        </w:rPr>
        <w:t xml:space="preserve">22. </w:t>
      </w:r>
      <w:r>
        <w:t xml:space="preserve">Penman S. 1991. </w:t>
      </w:r>
      <w:r>
        <w:rPr>
          <w:rStyle w:val="Enfasicorsivo"/>
        </w:rPr>
        <w:t>“Return to fundamentals.”</w:t>
      </w:r>
      <w:r>
        <w:t xml:space="preserve"> Unpublished paper, Berkeley: University of California.</w:t>
      </w:r>
    </w:p>
    <w:p w14:paraId="05842258" w14:textId="77777777" w:rsidR="00CE7319" w:rsidRDefault="004547F8">
      <w:pPr>
        <w:pStyle w:val="Normale"/>
        <w:jc w:val="both"/>
      </w:pPr>
      <w:r>
        <w:rPr>
          <w:rStyle w:val="Carpredefinitoparagrafo"/>
          <w:b/>
          <w:bCs/>
          <w:sz w:val="24"/>
          <w:szCs w:val="24"/>
        </w:rPr>
        <w:t xml:space="preserve">23. </w:t>
      </w:r>
      <w:r>
        <w:rPr>
          <w:rStyle w:val="Carpredefinitoparagrafo"/>
          <w:rFonts w:ascii="Open Sans" w:hAnsi="Open Sans" w:cs="Open Sans"/>
          <w:color w:val="333333"/>
          <w:shd w:val="clear" w:color="auto" w:fill="FFFFFF"/>
        </w:rPr>
        <w:t xml:space="preserve">. </w:t>
      </w:r>
      <w:proofErr w:type="spellStart"/>
      <w:r>
        <w:t>Rappaport</w:t>
      </w:r>
      <w:proofErr w:type="spellEnd"/>
      <w:r>
        <w:t xml:space="preserve"> A. 1986. </w:t>
      </w:r>
      <w:r>
        <w:rPr>
          <w:rStyle w:val="Enfasicorsivo"/>
        </w:rPr>
        <w:t>Creating Shareholder Value: The New Standard for Business Performance.</w:t>
      </w:r>
      <w:r>
        <w:t xml:space="preserve"> New York: The Free Press.</w:t>
      </w:r>
    </w:p>
    <w:p w14:paraId="392645C3" w14:textId="77777777" w:rsidR="00CE7319" w:rsidRDefault="004547F8">
      <w:pPr>
        <w:pStyle w:val="Normale"/>
        <w:jc w:val="both"/>
      </w:pPr>
      <w:r>
        <w:rPr>
          <w:rStyle w:val="Carpredefinitoparagrafo"/>
          <w:b/>
          <w:bCs/>
          <w:sz w:val="24"/>
          <w:szCs w:val="24"/>
        </w:rPr>
        <w:t xml:space="preserve">24. </w:t>
      </w:r>
      <w:proofErr w:type="spellStart"/>
      <w:r>
        <w:t>Staubus</w:t>
      </w:r>
      <w:proofErr w:type="spellEnd"/>
      <w:r>
        <w:t xml:space="preserve"> G. 1965. “The association of financial accounting variables with common stock values.” </w:t>
      </w:r>
      <w:r>
        <w:rPr>
          <w:rStyle w:val="Enfasicorsivo"/>
        </w:rPr>
        <w:t>Accounting Review</w:t>
      </w:r>
      <w:r>
        <w:t xml:space="preserve"> XL (January): 119–134.</w:t>
      </w:r>
    </w:p>
    <w:p w14:paraId="0C4F21BC" w14:textId="77777777" w:rsidR="00CE7319" w:rsidRDefault="004547F8">
      <w:pPr>
        <w:pStyle w:val="Normale"/>
        <w:jc w:val="both"/>
      </w:pPr>
      <w:r>
        <w:rPr>
          <w:rStyle w:val="Carpredefinitoparagrafo"/>
          <w:b/>
          <w:bCs/>
          <w:sz w:val="24"/>
          <w:szCs w:val="24"/>
        </w:rPr>
        <w:t xml:space="preserve">25. </w:t>
      </w:r>
      <w:r>
        <w:t xml:space="preserve">Stewart G. Bennett III 1991. </w:t>
      </w:r>
      <w:r>
        <w:rPr>
          <w:rStyle w:val="Enfasicorsivo"/>
        </w:rPr>
        <w:t>The Quest for Value.</w:t>
      </w:r>
      <w:r>
        <w:t xml:space="preserve"> New York: Harper Collins Publishers, Inc.</w:t>
      </w:r>
    </w:p>
    <w:p w14:paraId="52CDDF3F" w14:textId="77777777" w:rsidR="00CE7319" w:rsidRDefault="004547F8">
      <w:pPr>
        <w:pStyle w:val="Normale"/>
        <w:jc w:val="both"/>
      </w:pPr>
      <w:r>
        <w:rPr>
          <w:rStyle w:val="Carpredefinitoparagrafo"/>
          <w:b/>
          <w:bCs/>
          <w:sz w:val="24"/>
          <w:szCs w:val="24"/>
        </w:rPr>
        <w:t xml:space="preserve">26. </w:t>
      </w:r>
      <w:r>
        <w:t xml:space="preserve">Penman S. 1991. “An evaluation of accounting rate-of-return.” </w:t>
      </w:r>
      <w:r>
        <w:rPr>
          <w:rStyle w:val="Enfasicorsivo"/>
        </w:rPr>
        <w:t>Journal of Accounting, Auditing and Finance</w:t>
      </w:r>
      <w:r>
        <w:t xml:space="preserve"> 6 (Spring): 233–255.</w:t>
      </w:r>
    </w:p>
    <w:p w14:paraId="3EFA4556" w14:textId="77777777" w:rsidR="00CE7319" w:rsidRDefault="00CE7319">
      <w:pPr>
        <w:pStyle w:val="Normale"/>
        <w:rPr>
          <w:b/>
          <w:bCs/>
          <w:sz w:val="24"/>
          <w:szCs w:val="24"/>
        </w:rPr>
      </w:pPr>
    </w:p>
    <w:p w14:paraId="2242B8BB" w14:textId="77777777" w:rsidR="00CE7319" w:rsidRDefault="00CE7319">
      <w:pPr>
        <w:pStyle w:val="Normale"/>
        <w:rPr>
          <w:sz w:val="24"/>
          <w:szCs w:val="24"/>
        </w:rPr>
      </w:pPr>
    </w:p>
    <w:p w14:paraId="74B59228" w14:textId="77777777" w:rsidR="00CE7319" w:rsidRDefault="00CE7319">
      <w:pPr>
        <w:pStyle w:val="Normale"/>
        <w:rPr>
          <w:sz w:val="24"/>
          <w:szCs w:val="24"/>
        </w:rPr>
      </w:pPr>
    </w:p>
    <w:p w14:paraId="74B4F985" w14:textId="77777777" w:rsidR="00CE7319" w:rsidRDefault="00CE7319">
      <w:pPr>
        <w:pStyle w:val="Normale"/>
        <w:rPr>
          <w:sz w:val="24"/>
          <w:szCs w:val="24"/>
        </w:rPr>
      </w:pPr>
    </w:p>
    <w:p w14:paraId="5DD56038" w14:textId="77777777" w:rsidR="00CE7319" w:rsidRDefault="00CE7319">
      <w:pPr>
        <w:pStyle w:val="Normale"/>
        <w:rPr>
          <w:sz w:val="24"/>
          <w:szCs w:val="24"/>
        </w:rPr>
      </w:pPr>
    </w:p>
    <w:p w14:paraId="5DD93CC1" w14:textId="77777777" w:rsidR="00CE7319" w:rsidRDefault="00CE7319">
      <w:pPr>
        <w:pStyle w:val="Normale"/>
        <w:rPr>
          <w:sz w:val="24"/>
          <w:szCs w:val="24"/>
        </w:rPr>
      </w:pPr>
    </w:p>
    <w:p w14:paraId="71FC8DFA" w14:textId="77777777" w:rsidR="00CE7319" w:rsidRDefault="00CE7319">
      <w:pPr>
        <w:pStyle w:val="Normale"/>
        <w:rPr>
          <w:sz w:val="24"/>
          <w:szCs w:val="24"/>
        </w:rPr>
      </w:pPr>
    </w:p>
    <w:p w14:paraId="00DFB62C" w14:textId="77777777" w:rsidR="00CE7319" w:rsidRDefault="00CE7319">
      <w:pPr>
        <w:pStyle w:val="Normale"/>
        <w:rPr>
          <w:sz w:val="24"/>
          <w:szCs w:val="24"/>
        </w:rPr>
      </w:pPr>
    </w:p>
    <w:p w14:paraId="215C5D53" w14:textId="77777777" w:rsidR="00CE7319" w:rsidRDefault="00CE7319">
      <w:pPr>
        <w:pStyle w:val="Normale"/>
        <w:rPr>
          <w:sz w:val="24"/>
          <w:szCs w:val="24"/>
        </w:rPr>
      </w:pPr>
    </w:p>
    <w:p w14:paraId="6F74FA7D" w14:textId="77777777" w:rsidR="00CE7319" w:rsidRDefault="00CE7319">
      <w:pPr>
        <w:pStyle w:val="Normale"/>
        <w:rPr>
          <w:sz w:val="24"/>
          <w:szCs w:val="24"/>
        </w:rPr>
      </w:pPr>
    </w:p>
    <w:p w14:paraId="75BA81BC" w14:textId="77777777" w:rsidR="00CE7319" w:rsidRDefault="00CE7319">
      <w:pPr>
        <w:pStyle w:val="Normale"/>
        <w:rPr>
          <w:sz w:val="24"/>
          <w:szCs w:val="24"/>
        </w:rPr>
      </w:pPr>
    </w:p>
    <w:p w14:paraId="0F0FF62C" w14:textId="77777777" w:rsidR="00CE7319" w:rsidRDefault="00CE7319">
      <w:pPr>
        <w:pStyle w:val="Normale"/>
        <w:rPr>
          <w:sz w:val="24"/>
          <w:szCs w:val="24"/>
        </w:rPr>
      </w:pPr>
    </w:p>
    <w:p w14:paraId="7263A69C" w14:textId="77777777" w:rsidR="00CE7319" w:rsidRDefault="00CE7319">
      <w:pPr>
        <w:pStyle w:val="Normale"/>
        <w:rPr>
          <w:sz w:val="24"/>
          <w:szCs w:val="24"/>
        </w:rPr>
      </w:pPr>
    </w:p>
    <w:sectPr w:rsidR="00CE731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C8963" w14:textId="77777777" w:rsidR="004547F8" w:rsidRDefault="004547F8">
      <w:pPr>
        <w:spacing w:after="0" w:line="240" w:lineRule="auto"/>
      </w:pPr>
      <w:r>
        <w:separator/>
      </w:r>
    </w:p>
  </w:endnote>
  <w:endnote w:type="continuationSeparator" w:id="0">
    <w:p w14:paraId="5C1BD35C" w14:textId="77777777" w:rsidR="004547F8" w:rsidRDefault="00454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EFAB1" w14:textId="77777777" w:rsidR="004547F8" w:rsidRDefault="004547F8">
      <w:pPr>
        <w:spacing w:after="0" w:line="240" w:lineRule="auto"/>
      </w:pPr>
      <w:r>
        <w:rPr>
          <w:color w:val="000000"/>
        </w:rPr>
        <w:separator/>
      </w:r>
    </w:p>
  </w:footnote>
  <w:footnote w:type="continuationSeparator" w:id="0">
    <w:p w14:paraId="00B5AA61" w14:textId="77777777" w:rsidR="004547F8" w:rsidRDefault="004547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D8022D"/>
    <w:multiLevelType w:val="multilevel"/>
    <w:tmpl w:val="4E16F81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123813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319"/>
    <w:rsid w:val="004547F8"/>
    <w:rsid w:val="00CE7319"/>
    <w:rsid w:val="00FE4B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02E054D"/>
  <w15:docId w15:val="{8CCF7841-7588-4DC5-B413-40581FBA2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e">
    <w:name w:val="Normale"/>
    <w:pPr>
      <w:suppressAutoHyphens/>
    </w:pPr>
  </w:style>
  <w:style w:type="character" w:customStyle="1" w:styleId="Carpredefinitoparagrafo">
    <w:name w:val="Car. predefinito paragrafo"/>
  </w:style>
  <w:style w:type="paragraph" w:customStyle="1" w:styleId="Paragrafoelenco">
    <w:name w:val="Paragrafo elenco"/>
    <w:basedOn w:val="Normale"/>
    <w:pPr>
      <w:ind w:left="720"/>
      <w:contextualSpacing/>
    </w:pPr>
  </w:style>
  <w:style w:type="paragraph" w:customStyle="1" w:styleId="Intestazione">
    <w:name w:val="Intestazione"/>
    <w:basedOn w:val="Normale"/>
    <w:pPr>
      <w:tabs>
        <w:tab w:val="center" w:pos="4513"/>
        <w:tab w:val="right" w:pos="9026"/>
      </w:tabs>
      <w:spacing w:after="0" w:line="240" w:lineRule="auto"/>
    </w:pPr>
  </w:style>
  <w:style w:type="character" w:customStyle="1" w:styleId="IntestazioneCarattere">
    <w:name w:val="Intestazione Carattere"/>
    <w:basedOn w:val="Carpredefinitoparagrafo"/>
  </w:style>
  <w:style w:type="paragraph" w:customStyle="1" w:styleId="Pidipagina">
    <w:name w:val="Piè di pagina"/>
    <w:basedOn w:val="Normale"/>
    <w:pPr>
      <w:tabs>
        <w:tab w:val="center" w:pos="4513"/>
        <w:tab w:val="right" w:pos="9026"/>
      </w:tabs>
      <w:spacing w:after="0" w:line="240" w:lineRule="auto"/>
    </w:pPr>
  </w:style>
  <w:style w:type="character" w:customStyle="1" w:styleId="PidipaginaCarattere">
    <w:name w:val="Piè di pagina Carattere"/>
    <w:basedOn w:val="Carpredefinitoparagrafo"/>
  </w:style>
  <w:style w:type="character" w:customStyle="1" w:styleId="Enfasicorsivo">
    <w:name w:val="Enfasi (corsivo)"/>
    <w:basedOn w:val="Carpredefinitoparagrafo"/>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3189</Words>
  <Characters>18182</Characters>
  <Application>Microsoft Office Word</Application>
  <DocSecurity>0</DocSecurity>
  <Lines>151</Lines>
  <Paragraphs>42</Paragraphs>
  <ScaleCrop>false</ScaleCrop>
  <Company/>
  <LinksUpToDate>false</LinksUpToDate>
  <CharactersWithSpaces>21329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Stan</dc:creator>
  <dc:description/>
  <cp:lastModifiedBy>Rebeca-Lacramioara Stan</cp:lastModifiedBy>
  <cp:revision>2</cp:revision>
  <dcterms:created xsi:type="dcterms:W3CDTF">2023-12-15T21:57:00Z</dcterms:created>
  <dcterms:modified xsi:type="dcterms:W3CDTF">2023-12-15T21:57:00Z</dcterms:modified>
</cp:coreProperties>
</file>