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432F04" w14:textId="60BC23A1" w:rsidR="00403F1C" w:rsidRDefault="00403F1C">
      <w:pPr>
        <w:widowControl/>
        <w:jc w:val="left"/>
        <w:rPr>
          <w:rFonts w:ascii="Arial" w:hAnsi="Arial" w:cs="Arial"/>
          <w:b/>
          <w:bCs/>
          <w:kern w:val="44"/>
          <w:sz w:val="24"/>
          <w:szCs w:val="24"/>
        </w:rPr>
      </w:pPr>
      <w:r>
        <w:rPr>
          <w:rFonts w:ascii="Arial" w:hAnsi="Arial" w:cs="Arial"/>
          <w:sz w:val="24"/>
          <w:szCs w:val="24"/>
        </w:rPr>
        <w:br w:type="page"/>
      </w:r>
    </w:p>
    <w:p w14:paraId="6786F765" w14:textId="405C5C06" w:rsidR="00403F1C" w:rsidRPr="00403F1C" w:rsidRDefault="00403F1C" w:rsidP="00403F1C">
      <w:pPr>
        <w:pStyle w:val="1"/>
        <w:rPr>
          <w:rFonts w:ascii="Arial" w:hAnsi="Arial" w:cs="Arial"/>
          <w:sz w:val="24"/>
          <w:szCs w:val="24"/>
        </w:rPr>
      </w:pPr>
      <w:r w:rsidRPr="00403F1C">
        <w:rPr>
          <w:rFonts w:ascii="Arial" w:hAnsi="Arial" w:cs="Arial"/>
          <w:sz w:val="24"/>
          <w:szCs w:val="24"/>
        </w:rPr>
        <w:lastRenderedPageBreak/>
        <w:t>1 Introduction</w:t>
      </w:r>
    </w:p>
    <w:p w14:paraId="54F7CC32" w14:textId="0323C823" w:rsidR="00403F1C" w:rsidRPr="00403F1C" w:rsidRDefault="00403F1C" w:rsidP="00403F1C">
      <w:pPr>
        <w:spacing w:line="480" w:lineRule="auto"/>
        <w:rPr>
          <w:rFonts w:ascii="Arial" w:hAnsi="Arial" w:cs="Arial" w:hint="eastAsia"/>
          <w:sz w:val="24"/>
          <w:szCs w:val="24"/>
        </w:rPr>
      </w:pPr>
      <w:r w:rsidRPr="00403F1C">
        <w:rPr>
          <w:rFonts w:ascii="Arial" w:hAnsi="Arial" w:cs="Arial"/>
          <w:sz w:val="24"/>
          <w:szCs w:val="24"/>
        </w:rPr>
        <w:t>(</w:t>
      </w:r>
      <w:proofErr w:type="spellStart"/>
      <w:r w:rsidRPr="00403F1C">
        <w:rPr>
          <w:rFonts w:ascii="Arial" w:hAnsi="Arial" w:cs="Arial"/>
          <w:sz w:val="24"/>
          <w:szCs w:val="24"/>
        </w:rPr>
        <w:t>Ristovska</w:t>
      </w:r>
      <w:proofErr w:type="spellEnd"/>
      <w:r w:rsidRPr="00403F1C">
        <w:rPr>
          <w:rFonts w:ascii="Arial" w:hAnsi="Arial" w:cs="Arial"/>
          <w:sz w:val="24"/>
          <w:szCs w:val="24"/>
        </w:rPr>
        <w:t xml:space="preserve"> et al.,2017) With the rapid development of globalization, the competition between enterprises has become more and more intense, and the impact of economic globalization on enterprises has become increasingly significant. Enterprises must actively respond to the opportunities and challenges brought by economic globalization and continuously improve their core competitiveness to develop and survive in the long term in the competitive market. Economic globalization also allows enterprises to identify more markets and investment opportunities, but at the same time, it brings new risks and challenges. (</w:t>
      </w:r>
      <w:proofErr w:type="spellStart"/>
      <w:r w:rsidRPr="00403F1C">
        <w:rPr>
          <w:rFonts w:ascii="Arial" w:hAnsi="Arial" w:cs="Arial"/>
          <w:sz w:val="24"/>
          <w:szCs w:val="24"/>
        </w:rPr>
        <w:t>Kordos</w:t>
      </w:r>
      <w:proofErr w:type="spellEnd"/>
      <w:r w:rsidRPr="00403F1C">
        <w:rPr>
          <w:rFonts w:ascii="Arial" w:hAnsi="Arial" w:cs="Arial"/>
          <w:sz w:val="24"/>
          <w:szCs w:val="24"/>
        </w:rPr>
        <w:t xml:space="preserve"> et al.,2016) To make a good cross-border investment, enterprises need to carefully consider the marketization and political risks to maintain a continuous and stable development trend. At the same time, to protect their interests and the legitimate rights and interests of stakeholders, enterprises also need to comply with local laws and regulations and constantly improve their management system, improve the awareness of social responsibility, enhance the trust and support of stakeholders, and achieve common development. Therefore, in the context of global ethics, whether enterprises should pay attention to ethics, whether enterprises should pay attention to morality or profit, and whether corporate greed is good or bad are some of the issues that modern enterprises cannot avoid. This paper takes the background of Japan's Toyota Motor Corporation as a case study and applies </w:t>
      </w:r>
      <w:r w:rsidRPr="00403F1C">
        <w:rPr>
          <w:rFonts w:ascii="Arial" w:hAnsi="Arial" w:cs="Arial"/>
          <w:sz w:val="24"/>
          <w:szCs w:val="24"/>
        </w:rPr>
        <w:lastRenderedPageBreak/>
        <w:t>business ethics and corporate social responsibility, shareholders and stakeholders, deontology and teleology in management ethics to study in detail the impact of Toyota's "Recall Door" incident on the development of modern enterprises and its revelations.</w:t>
      </w:r>
    </w:p>
    <w:p w14:paraId="41616E02" w14:textId="77777777" w:rsidR="00403F1C" w:rsidRPr="00403F1C" w:rsidRDefault="00403F1C" w:rsidP="00403F1C">
      <w:pPr>
        <w:pStyle w:val="1"/>
        <w:rPr>
          <w:rFonts w:ascii="Arial" w:hAnsi="Arial" w:cs="Arial"/>
          <w:sz w:val="24"/>
          <w:szCs w:val="24"/>
        </w:rPr>
      </w:pPr>
      <w:r w:rsidRPr="00403F1C">
        <w:rPr>
          <w:rFonts w:ascii="Arial" w:hAnsi="Arial" w:cs="Arial"/>
          <w:sz w:val="24"/>
          <w:szCs w:val="24"/>
        </w:rPr>
        <w:t>2 Objectives</w:t>
      </w:r>
    </w:p>
    <w:p w14:paraId="51C62661" w14:textId="77777777" w:rsidR="00403F1C" w:rsidRPr="00403F1C" w:rsidRDefault="00403F1C" w:rsidP="00403F1C">
      <w:pPr>
        <w:pStyle w:val="2"/>
        <w:rPr>
          <w:rFonts w:ascii="Arial" w:hAnsi="Arial" w:cs="Arial"/>
          <w:sz w:val="24"/>
          <w:szCs w:val="24"/>
        </w:rPr>
      </w:pPr>
      <w:r w:rsidRPr="00403F1C">
        <w:rPr>
          <w:rFonts w:ascii="Arial" w:hAnsi="Arial" w:cs="Arial"/>
          <w:sz w:val="24"/>
          <w:szCs w:val="24"/>
        </w:rPr>
        <w:t xml:space="preserve">2.1 Identify the main business issues behind this case </w:t>
      </w:r>
      <w:proofErr w:type="gramStart"/>
      <w:r w:rsidRPr="00403F1C">
        <w:rPr>
          <w:rFonts w:ascii="Arial" w:hAnsi="Arial" w:cs="Arial"/>
          <w:sz w:val="24"/>
          <w:szCs w:val="24"/>
        </w:rPr>
        <w:t>study</w:t>
      </w:r>
      <w:proofErr w:type="gramEnd"/>
    </w:p>
    <w:p w14:paraId="39BB4768" w14:textId="77777777" w:rsidR="00403F1C" w:rsidRPr="00403F1C" w:rsidRDefault="00403F1C" w:rsidP="00403F1C">
      <w:pPr>
        <w:pStyle w:val="2"/>
        <w:rPr>
          <w:rFonts w:ascii="Arial" w:hAnsi="Arial" w:cs="Arial"/>
          <w:sz w:val="24"/>
          <w:szCs w:val="24"/>
        </w:rPr>
      </w:pPr>
      <w:r w:rsidRPr="00403F1C">
        <w:rPr>
          <w:rFonts w:ascii="Arial" w:hAnsi="Arial" w:cs="Arial"/>
          <w:sz w:val="24"/>
          <w:szCs w:val="24"/>
        </w:rPr>
        <w:t>2.2 Critically analyze this case study's relevant theories applied to corporate behavior.</w:t>
      </w:r>
    </w:p>
    <w:p w14:paraId="3CED1CFF" w14:textId="7D6F5B87" w:rsidR="00403F1C" w:rsidRPr="00403F1C" w:rsidRDefault="00403F1C" w:rsidP="00403F1C">
      <w:pPr>
        <w:pStyle w:val="2"/>
        <w:rPr>
          <w:rFonts w:ascii="Arial" w:hAnsi="Arial" w:cs="Arial" w:hint="eastAsia"/>
          <w:sz w:val="24"/>
          <w:szCs w:val="24"/>
        </w:rPr>
      </w:pPr>
      <w:r w:rsidRPr="00403F1C">
        <w:rPr>
          <w:rFonts w:ascii="Arial" w:hAnsi="Arial" w:cs="Arial"/>
          <w:sz w:val="24"/>
          <w:szCs w:val="24"/>
        </w:rPr>
        <w:t>2.3 Answer the key question about corporate ethics: should corporations continue to be greedy?</w:t>
      </w:r>
    </w:p>
    <w:p w14:paraId="6F7E2D6A" w14:textId="77777777" w:rsidR="00403F1C" w:rsidRPr="00403F1C" w:rsidRDefault="00403F1C" w:rsidP="00403F1C">
      <w:pPr>
        <w:pStyle w:val="1"/>
        <w:rPr>
          <w:rFonts w:ascii="Arial" w:hAnsi="Arial" w:cs="Arial"/>
          <w:sz w:val="24"/>
          <w:szCs w:val="24"/>
        </w:rPr>
      </w:pPr>
      <w:r w:rsidRPr="00403F1C">
        <w:rPr>
          <w:rFonts w:ascii="Arial" w:hAnsi="Arial" w:cs="Arial"/>
          <w:sz w:val="24"/>
          <w:szCs w:val="24"/>
        </w:rPr>
        <w:t>3 Case study in Toyota</w:t>
      </w:r>
    </w:p>
    <w:p w14:paraId="56A11FFC" w14:textId="77777777" w:rsidR="00403F1C" w:rsidRPr="00403F1C" w:rsidRDefault="00403F1C" w:rsidP="00403F1C">
      <w:pPr>
        <w:pStyle w:val="2"/>
        <w:rPr>
          <w:rFonts w:ascii="Arial" w:hAnsi="Arial" w:cs="Arial"/>
          <w:sz w:val="24"/>
          <w:szCs w:val="24"/>
        </w:rPr>
      </w:pPr>
      <w:r w:rsidRPr="00403F1C">
        <w:rPr>
          <w:rFonts w:ascii="Arial" w:hAnsi="Arial" w:cs="Arial"/>
          <w:sz w:val="24"/>
          <w:szCs w:val="24"/>
        </w:rPr>
        <w:t>3.1 Toyota background</w:t>
      </w:r>
    </w:p>
    <w:p w14:paraId="7E54F6B6" w14:textId="2EE02850"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w:t>
      </w:r>
      <w:proofErr w:type="spellStart"/>
      <w:r w:rsidRPr="00403F1C">
        <w:rPr>
          <w:rFonts w:ascii="Arial" w:hAnsi="Arial" w:cs="Arial"/>
          <w:sz w:val="24"/>
          <w:szCs w:val="24"/>
        </w:rPr>
        <w:t>Tennert</w:t>
      </w:r>
      <w:proofErr w:type="spellEnd"/>
      <w:r w:rsidRPr="00403F1C">
        <w:rPr>
          <w:rFonts w:ascii="Arial" w:hAnsi="Arial" w:cs="Arial"/>
          <w:sz w:val="24"/>
          <w:szCs w:val="24"/>
        </w:rPr>
        <w:t xml:space="preserve">, 2014) Toyota Motor Corporation is one of the world's top ten automobile manufacturers, with products covering the entire range from one of the largest automobile companies in the minicar industry, Japan, founded in 1933, to large trucks. Toyota is trusted and loved by people all over the world for its globally acclaimed Toyota quality. This is due to Toyota's "customer first" philosophy and its comprehensive strength in development, production, sales, and service. However, in 2009, Toyota was involved in a major scandal called </w:t>
      </w:r>
      <w:r w:rsidRPr="00403F1C">
        <w:rPr>
          <w:rFonts w:ascii="Arial" w:hAnsi="Arial" w:cs="Arial"/>
          <w:sz w:val="24"/>
          <w:szCs w:val="24"/>
        </w:rPr>
        <w:lastRenderedPageBreak/>
        <w:t>"</w:t>
      </w:r>
      <w:proofErr w:type="spellStart"/>
      <w:proofErr w:type="gramStart"/>
      <w:r w:rsidRPr="00403F1C">
        <w:rPr>
          <w:rFonts w:ascii="Arial" w:hAnsi="Arial" w:cs="Arial"/>
          <w:sz w:val="24"/>
          <w:szCs w:val="24"/>
        </w:rPr>
        <w:t>Recallgate</w:t>
      </w:r>
      <w:proofErr w:type="spellEnd"/>
      <w:proofErr w:type="gramEnd"/>
      <w:r w:rsidRPr="00403F1C">
        <w:rPr>
          <w:rFonts w:ascii="Arial" w:hAnsi="Arial" w:cs="Arial"/>
          <w:sz w:val="24"/>
          <w:szCs w:val="24"/>
        </w:rPr>
        <w:t xml:space="preserve">" </w:t>
      </w:r>
    </w:p>
    <w:p w14:paraId="1C89A11A"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 xml:space="preserve">(Tomas, 2013) In August 2009, a Toyota Lexus vehicle in California, USA was involved in an accident resulting in four deaths due to sudden acceleration. The US media questioned the quality of the vehicle and pursued the story, raising concerns among consumers. Subsequently, the US Highway Traffic Safety Administration released data saying that it had received more than 100 related complaints, including 17 crashes resulting in five deaths. Under strong pressure from the U.S. media and authorities as well as consumers, the president of Toyota, Mr. </w:t>
      </w:r>
      <w:proofErr w:type="spellStart"/>
      <w:r w:rsidRPr="00403F1C">
        <w:rPr>
          <w:rFonts w:ascii="Arial" w:hAnsi="Arial" w:cs="Arial"/>
          <w:sz w:val="24"/>
          <w:szCs w:val="24"/>
        </w:rPr>
        <w:t>Zhangnan</w:t>
      </w:r>
      <w:proofErr w:type="spellEnd"/>
      <w:r w:rsidRPr="00403F1C">
        <w:rPr>
          <w:rFonts w:ascii="Arial" w:hAnsi="Arial" w:cs="Arial"/>
          <w:sz w:val="24"/>
          <w:szCs w:val="24"/>
        </w:rPr>
        <w:t>, only stated at the end of September 2009 saying that a total of more than 3.8 million vehicles of seven models, including the Camry, Prius and Lexus, sold in the U.S., had been involved in accidents caused by driver's foot mats jamming the accelerator pedal and not being able to reset, and asked users to remove the foot mats. at the end of 2009, following the " At the end of 2009, following the incidents of "Rubber Mat Door", "Pedal Door", "Hill Climbing Door", and "Brake Door", Toyota started to recall its vehicles with quality defects. The total number of vehicles recalled was 8.537 million.</w:t>
      </w:r>
    </w:p>
    <w:p w14:paraId="66F61505"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 xml:space="preserve">(Austen-Smith et al., 2017) In the first quarter of 2010, Toyota launched two large-scale car recalls worldwide, the engine parts of the recalled cars, some of the oil pipes have small cracks, some of the valves are loose at the joints, there is a risk of oil leakage, and the other part of the defective brakes design process may lead to sudden acceleration of the vehicle in motion, the safety, quality and reliability of Toyota's vehicles. Toyota's safety, quality, and reliability </w:t>
      </w:r>
      <w:r w:rsidRPr="00403F1C">
        <w:rPr>
          <w:rFonts w:ascii="Arial" w:hAnsi="Arial" w:cs="Arial"/>
          <w:sz w:val="24"/>
          <w:szCs w:val="24"/>
        </w:rPr>
        <w:lastRenderedPageBreak/>
        <w:t>have also begun to be widely questioned, which has nothing to do with Toyota's rapid expansion strategy. Expansion of scale naturally needs to be accompanied by talent management, quality management, product design, technology research, and development, but Toyota apparently in these aspects is not doing well. The continuous fermentation of the incident made Toyota's brand appeal continue to decline, the company's car sales also declined, and Toyota's share price fell by 20 percent in just over a month, the market value of the loss of 35 billion U.S. dollars. In less than a year, a cumulative total of more than 8 million vehicles in multiple recalls made Toyota feel unprecedented pressure. The recalls greatly affected Toyota's profit targets, and there is no doubt that Big Toyota suffered a severe blow. The recalls not only shook Toyota's leading position in the world but also hurt its image of "safety and reliability" and seriously affected consumers' credibility with Toyota.</w:t>
      </w:r>
    </w:p>
    <w:p w14:paraId="099151F6" w14:textId="77777777" w:rsidR="00403F1C" w:rsidRPr="00403F1C" w:rsidRDefault="00403F1C" w:rsidP="00403F1C">
      <w:pPr>
        <w:pStyle w:val="2"/>
        <w:rPr>
          <w:rFonts w:ascii="Arial" w:hAnsi="Arial" w:cs="Arial"/>
          <w:sz w:val="24"/>
          <w:szCs w:val="24"/>
        </w:rPr>
      </w:pPr>
      <w:r w:rsidRPr="00403F1C">
        <w:rPr>
          <w:rFonts w:ascii="Arial" w:hAnsi="Arial" w:cs="Arial"/>
          <w:sz w:val="24"/>
          <w:szCs w:val="24"/>
        </w:rPr>
        <w:t>3.2 Application of Business Ethics and CSR in the Toyota Case</w:t>
      </w:r>
    </w:p>
    <w:p w14:paraId="2702087C"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w:t>
      </w:r>
      <w:proofErr w:type="spellStart"/>
      <w:r w:rsidRPr="00403F1C">
        <w:rPr>
          <w:rFonts w:ascii="Arial" w:hAnsi="Arial" w:cs="Arial"/>
          <w:sz w:val="24"/>
          <w:szCs w:val="24"/>
        </w:rPr>
        <w:t>Manasakis</w:t>
      </w:r>
      <w:proofErr w:type="spellEnd"/>
      <w:r w:rsidRPr="00403F1C">
        <w:rPr>
          <w:rFonts w:ascii="Arial" w:hAnsi="Arial" w:cs="Arial"/>
          <w:sz w:val="24"/>
          <w:szCs w:val="24"/>
        </w:rPr>
        <w:t>, 2018) Business ethics and corporate social responsibility (CSR) are the core of corporate management ethics. Business ethics is about the code of conduct of the business while CSR is about the commitment and responsibility of the business to society.</w:t>
      </w:r>
    </w:p>
    <w:p w14:paraId="140C46C8"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w:t>
      </w:r>
      <w:proofErr w:type="spellStart"/>
      <w:r w:rsidRPr="00403F1C">
        <w:rPr>
          <w:rFonts w:ascii="Arial" w:hAnsi="Arial" w:cs="Arial"/>
          <w:sz w:val="24"/>
          <w:szCs w:val="24"/>
        </w:rPr>
        <w:t>Stanxick</w:t>
      </w:r>
      <w:proofErr w:type="spellEnd"/>
      <w:r w:rsidRPr="00403F1C">
        <w:rPr>
          <w:rFonts w:ascii="Arial" w:hAnsi="Arial" w:cs="Arial"/>
          <w:sz w:val="24"/>
          <w:szCs w:val="24"/>
        </w:rPr>
        <w:t xml:space="preserve"> et al., 2013) Business ethics is a specific moral code that is used to regulate business behaviors and address ethical issues that may arise. This code of ethics applies to all aspects of business activities and is relevant to the </w:t>
      </w:r>
      <w:r w:rsidRPr="00403F1C">
        <w:rPr>
          <w:rFonts w:ascii="Arial" w:hAnsi="Arial" w:cs="Arial"/>
          <w:sz w:val="24"/>
          <w:szCs w:val="24"/>
        </w:rPr>
        <w:lastRenderedPageBreak/>
        <w:t xml:space="preserve">behavior of the </w:t>
      </w:r>
      <w:proofErr w:type="gramStart"/>
      <w:r w:rsidRPr="00403F1C">
        <w:rPr>
          <w:rFonts w:ascii="Arial" w:hAnsi="Arial" w:cs="Arial"/>
          <w:sz w:val="24"/>
          <w:szCs w:val="24"/>
        </w:rPr>
        <w:t>business as a whole</w:t>
      </w:r>
      <w:proofErr w:type="gramEnd"/>
      <w:r w:rsidRPr="00403F1C">
        <w:rPr>
          <w:rFonts w:ascii="Arial" w:hAnsi="Arial" w:cs="Arial"/>
          <w:sz w:val="24"/>
          <w:szCs w:val="24"/>
        </w:rPr>
        <w:t>. (Crane et al., 2019) Business ethics play an important role in building business image, maintaining fair competition, improving business efficiency, and promoting sustainable business development. In this case, Toyota, which has been the champion of global sales of automobiles, has turned the original "Made by Toyota" into "Toyota Global Supply" for the sake of over-expansion. Toyota its system of suppliers to win, chose to maintain the high profit of parts to ensure profitability, with large-scale production, risk management pressure is rising, product quality supervision is difficult to increase, and when product quality problems, it is difficult to communicate between suppliers promptly, but also ignore the previous "customer first" concept. At the same time, the previous concept of "customer first" was ignored, so the problematic products would continue to follow the production line to the next processing stage. As a result of the defective auto parts, a series of Toyota's "Gasket Door", "Pedal Door", "Hill Climbing Door", and "Brake Door" auto safety hazards emerged. Door" car safety problems, thus harming the lives and property rights of consumers, this loss of control of product quality of corporate behavior is a serious violation of business ethics.</w:t>
      </w:r>
    </w:p>
    <w:p w14:paraId="36040FF1"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 xml:space="preserve">(Tai et al., 2014) Corporate Social Responsibility (CSR) is a business practice aimed at integrating environmental and social policies with the economic goals and operations of a company to reduce the adverse social and environmental impacts on the world, and the idea is that companies should take on social responsibility and integrate it into their daily operations and decision-making. </w:t>
      </w:r>
      <w:r w:rsidRPr="00403F1C">
        <w:rPr>
          <w:rFonts w:ascii="Arial" w:hAnsi="Arial" w:cs="Arial"/>
          <w:sz w:val="24"/>
          <w:szCs w:val="24"/>
        </w:rPr>
        <w:lastRenderedPageBreak/>
        <w:t>(Yu et al., 2020) For enterprises, active fulfillment of social responsibility not only enhances their brand image and strengthens their competitiveness, but also promotes sustainable development, strengthens their sense of corporate social responsibility, and improves their economic performance. In this case, Toyota did not take the initiative to cope with the crisis the first time but covered it up and was always forced to cope with it. The president of Toyota, Mr. Akio, did not show up to make public apologies until Toyota became a global target, and the incident became more and more difficult to end, even affecting the public's trust in Japanese goods, which aroused people's indignation. Toyota's handling of the whole incident did not assume corporate social responsibility, did not to consumers a satisfactory explanation, but also did not give the entire automotive industry an explanation. Toyota's crisis this time was not only a huge blow to Toyota itself, but it also triggered a crisis of confidence in the whole automobile industry, which has brought negative impacts on the whole automobile industry and is a huge blow to the whole automobile industry.</w:t>
      </w:r>
    </w:p>
    <w:p w14:paraId="5A4DEA70" w14:textId="34173B43" w:rsidR="00403F1C" w:rsidRPr="00403F1C" w:rsidRDefault="00403F1C" w:rsidP="00403F1C">
      <w:pPr>
        <w:spacing w:line="480" w:lineRule="auto"/>
        <w:rPr>
          <w:rFonts w:ascii="Arial" w:hAnsi="Arial" w:cs="Arial" w:hint="eastAsia"/>
          <w:sz w:val="24"/>
          <w:szCs w:val="24"/>
        </w:rPr>
      </w:pPr>
      <w:r w:rsidRPr="00403F1C">
        <w:rPr>
          <w:rFonts w:ascii="Arial" w:hAnsi="Arial" w:cs="Arial"/>
          <w:sz w:val="24"/>
          <w:szCs w:val="24"/>
        </w:rPr>
        <w:t xml:space="preserve">To sum up, such a serious consequence for Toyota is because the enterprise does not have good business ethics, the enterprise </w:t>
      </w:r>
      <w:proofErr w:type="spellStart"/>
      <w:r w:rsidRPr="00403F1C">
        <w:rPr>
          <w:rFonts w:ascii="Arial" w:hAnsi="Arial" w:cs="Arial"/>
          <w:sz w:val="24"/>
          <w:szCs w:val="24"/>
        </w:rPr>
        <w:t>can not</w:t>
      </w:r>
      <w:proofErr w:type="spellEnd"/>
      <w:r w:rsidRPr="00403F1C">
        <w:rPr>
          <w:rFonts w:ascii="Arial" w:hAnsi="Arial" w:cs="Arial"/>
          <w:sz w:val="24"/>
          <w:szCs w:val="24"/>
        </w:rPr>
        <w:t xml:space="preserve"> make the right decision, which will lead to the enterprise doing things against the laws and regulations. Therefore, modern enterprises need to know that business focuses on maximizing the profits of the enterprise under the premise of being based on morality, as well as the enterprise should react the first time it encounters a problem, dare to face the problem directly, and take up the corporate social </w:t>
      </w:r>
      <w:r w:rsidRPr="00403F1C">
        <w:rPr>
          <w:rFonts w:ascii="Arial" w:hAnsi="Arial" w:cs="Arial"/>
          <w:sz w:val="24"/>
          <w:szCs w:val="24"/>
        </w:rPr>
        <w:lastRenderedPageBreak/>
        <w:t>responsibility to the employees, consumers, communities and the environment, and eliminate the negative impacts promptly, which not only increases the reputation and competitiveness of the enterprise, but also promotes the sustainable development of the society and its Prosperity.</w:t>
      </w:r>
    </w:p>
    <w:p w14:paraId="7A27B2AF" w14:textId="77777777" w:rsidR="00403F1C" w:rsidRPr="00403F1C" w:rsidRDefault="00403F1C" w:rsidP="00403F1C">
      <w:pPr>
        <w:pStyle w:val="2"/>
        <w:rPr>
          <w:rFonts w:ascii="Arial" w:hAnsi="Arial" w:cs="Arial"/>
          <w:sz w:val="24"/>
          <w:szCs w:val="24"/>
        </w:rPr>
      </w:pPr>
      <w:r w:rsidRPr="00403F1C">
        <w:rPr>
          <w:rFonts w:ascii="Arial" w:hAnsi="Arial" w:cs="Arial"/>
          <w:sz w:val="24"/>
          <w:szCs w:val="24"/>
        </w:rPr>
        <w:t xml:space="preserve">3.3 </w:t>
      </w:r>
      <w:proofErr w:type="spellStart"/>
      <w:r w:rsidRPr="00403F1C">
        <w:rPr>
          <w:rFonts w:ascii="Arial" w:hAnsi="Arial" w:cs="Arial"/>
          <w:sz w:val="24"/>
          <w:szCs w:val="24"/>
        </w:rPr>
        <w:t>Analysing</w:t>
      </w:r>
      <w:proofErr w:type="spellEnd"/>
      <w:r w:rsidRPr="00403F1C">
        <w:rPr>
          <w:rFonts w:ascii="Arial" w:hAnsi="Arial" w:cs="Arial"/>
          <w:sz w:val="24"/>
          <w:szCs w:val="24"/>
        </w:rPr>
        <w:t xml:space="preserve"> the Toyota case from two perspectives: shareholder theory and stakeholder </w:t>
      </w:r>
      <w:proofErr w:type="gramStart"/>
      <w:r w:rsidRPr="00403F1C">
        <w:rPr>
          <w:rFonts w:ascii="Arial" w:hAnsi="Arial" w:cs="Arial"/>
          <w:sz w:val="24"/>
          <w:szCs w:val="24"/>
        </w:rPr>
        <w:t>theory</w:t>
      </w:r>
      <w:proofErr w:type="gramEnd"/>
    </w:p>
    <w:p w14:paraId="5FFEE845"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w:t>
      </w:r>
      <w:proofErr w:type="spellStart"/>
      <w:r w:rsidRPr="00403F1C">
        <w:rPr>
          <w:rFonts w:ascii="Arial" w:hAnsi="Arial" w:cs="Arial"/>
          <w:sz w:val="24"/>
          <w:szCs w:val="24"/>
        </w:rPr>
        <w:t>Tse</w:t>
      </w:r>
      <w:proofErr w:type="spellEnd"/>
      <w:r w:rsidRPr="00403F1C">
        <w:rPr>
          <w:rFonts w:ascii="Arial" w:hAnsi="Arial" w:cs="Arial"/>
          <w:sz w:val="24"/>
          <w:szCs w:val="24"/>
        </w:rPr>
        <w:t>, 2011) There are differences between shareholder theory and stakeholder theory in terms of focus, conflict of interest, corporate goals, and social responsibility.</w:t>
      </w:r>
    </w:p>
    <w:p w14:paraId="51219348"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 xml:space="preserve">(O'Connell et al., 2020) Shareholder theory, also known as the theory of shareholders' equity, is the foundation of corporate governance. The main elements of this theory include the rights, obligations, and responsibilities of shareholders of a company. Shareholders, as the owners of the company, are entitled to receive the profit distribution of the company and bear the risks of the company's operations. (Clarke, 2014) The main role of the shareholder theory is to guide the management of the company to put the interests of the shareholders first, </w:t>
      </w:r>
      <w:proofErr w:type="gramStart"/>
      <w:r w:rsidRPr="00403F1C">
        <w:rPr>
          <w:rFonts w:ascii="Arial" w:hAnsi="Arial" w:cs="Arial"/>
          <w:sz w:val="24"/>
          <w:szCs w:val="24"/>
        </w:rPr>
        <w:t>i.e.</w:t>
      </w:r>
      <w:proofErr w:type="gramEnd"/>
      <w:r w:rsidRPr="00403F1C">
        <w:rPr>
          <w:rFonts w:ascii="Arial" w:hAnsi="Arial" w:cs="Arial"/>
          <w:sz w:val="24"/>
          <w:szCs w:val="24"/>
        </w:rPr>
        <w:t xml:space="preserve"> to maximize the interests of the shareholders, but it does not mean that the rights and interests of other stakeholders are ignored. From the perspective of shareholder theory, Toyota's behavior is in pursuit of profit maximization. In this case, Toyota ignored the safety performance of its products and the rights of consumers to reduce costs and increase profits, and eventually 8,537,000 vehicles were recalled, which is equivalent to almost all </w:t>
      </w:r>
      <w:r w:rsidRPr="00403F1C">
        <w:rPr>
          <w:rFonts w:ascii="Arial" w:hAnsi="Arial" w:cs="Arial"/>
          <w:sz w:val="24"/>
          <w:szCs w:val="24"/>
        </w:rPr>
        <w:lastRenderedPageBreak/>
        <w:t>the cars sold were recalled. Such behavior has undermined the interests of shareholders, resulting in a 20% drop in the share price of Toyota in just a month or so, a loss of US$35 billion in market value, and a substantial reduction in the wealth of shareholders. Therefore, from a shareholder theory perspective, Toyota's behavior was irresponsible and short-sighted.</w:t>
      </w:r>
    </w:p>
    <w:p w14:paraId="101C006F"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w:t>
      </w:r>
      <w:proofErr w:type="spellStart"/>
      <w:r w:rsidRPr="00403F1C">
        <w:rPr>
          <w:rFonts w:ascii="Arial" w:hAnsi="Arial" w:cs="Arial"/>
          <w:sz w:val="24"/>
          <w:szCs w:val="24"/>
        </w:rPr>
        <w:t>Freema</w:t>
      </w:r>
      <w:proofErr w:type="spellEnd"/>
      <w:r w:rsidRPr="00403F1C">
        <w:rPr>
          <w:rFonts w:ascii="Arial" w:hAnsi="Arial" w:cs="Arial"/>
          <w:sz w:val="24"/>
          <w:szCs w:val="24"/>
        </w:rPr>
        <w:t>, 2015) Stakeholder theory refers to the fact that the operation and management of a company involve not only the interests of the shareholders but also the interests of other stakeholders. These stakeholders include employees, customers, suppliers, communities, etc. and the main point of the theory is that the company should balance the interests of each stakeholder. (</w:t>
      </w:r>
      <w:proofErr w:type="spellStart"/>
      <w:r w:rsidRPr="00403F1C">
        <w:rPr>
          <w:rFonts w:ascii="Arial" w:hAnsi="Arial" w:cs="Arial"/>
          <w:sz w:val="24"/>
          <w:szCs w:val="24"/>
        </w:rPr>
        <w:t>Rouwette</w:t>
      </w:r>
      <w:proofErr w:type="spellEnd"/>
      <w:r w:rsidRPr="00403F1C">
        <w:rPr>
          <w:rFonts w:ascii="Arial" w:hAnsi="Arial" w:cs="Arial"/>
          <w:sz w:val="24"/>
          <w:szCs w:val="24"/>
        </w:rPr>
        <w:t xml:space="preserve"> et al., 2017) The role of stakeholder theory is to help companies comprehensively consider the needs and interests of each stakeholder and to promote the sustainable development of the company and the fulfillment of social responsibility. From the perspective of stakeholder theory, Toyota's behavior is to balance the interests of different stakeholders. In this case, Toyota has taken measures to reduce costs to balance the interests of shareholders and the rights and interests of consumers. This behavior harmed the consumers' interests but increased the shareholders' wealth. Therefore, from the perspective of stakeholder theory, Toyota's behavior is complex and needs to balance the interests of different stakeholders.</w:t>
      </w:r>
    </w:p>
    <w:p w14:paraId="22701F82" w14:textId="7A493E7F" w:rsidR="00403F1C" w:rsidRPr="00403F1C" w:rsidRDefault="00403F1C" w:rsidP="00403F1C">
      <w:pPr>
        <w:spacing w:line="480" w:lineRule="auto"/>
        <w:rPr>
          <w:rFonts w:ascii="Arial" w:hAnsi="Arial" w:cs="Arial" w:hint="eastAsia"/>
          <w:sz w:val="24"/>
          <w:szCs w:val="24"/>
        </w:rPr>
      </w:pPr>
      <w:r w:rsidRPr="00403F1C">
        <w:rPr>
          <w:rFonts w:ascii="Arial" w:hAnsi="Arial" w:cs="Arial"/>
          <w:sz w:val="24"/>
          <w:szCs w:val="24"/>
        </w:rPr>
        <w:t xml:space="preserve">In summary, the Toyota recall involves both shareholder theory and stakeholder theory. Enterprises, need to balance the interests of different stakeholders, not </w:t>
      </w:r>
      <w:r w:rsidRPr="00403F1C">
        <w:rPr>
          <w:rFonts w:ascii="Arial" w:hAnsi="Arial" w:cs="Arial"/>
          <w:sz w:val="24"/>
          <w:szCs w:val="24"/>
        </w:rPr>
        <w:lastRenderedPageBreak/>
        <w:t xml:space="preserve">ignore the safety performance of the products and the rights and interests of consumers, </w:t>
      </w:r>
      <w:proofErr w:type="gramStart"/>
      <w:r w:rsidRPr="00403F1C">
        <w:rPr>
          <w:rFonts w:ascii="Arial" w:hAnsi="Arial" w:cs="Arial"/>
          <w:sz w:val="24"/>
          <w:szCs w:val="24"/>
        </w:rPr>
        <w:t>and also</w:t>
      </w:r>
      <w:proofErr w:type="gramEnd"/>
      <w:r w:rsidRPr="00403F1C">
        <w:rPr>
          <w:rFonts w:ascii="Arial" w:hAnsi="Arial" w:cs="Arial"/>
          <w:sz w:val="24"/>
          <w:szCs w:val="24"/>
        </w:rPr>
        <w:t xml:space="preserve"> need to consider the interests of shareholders. When making decisions, modern enterprises need to consider various factors comprehensively and cannot only pursue profit maximization while neglecting the interests of other stakeholders.</w:t>
      </w:r>
    </w:p>
    <w:p w14:paraId="42757DFE" w14:textId="77777777" w:rsidR="00403F1C" w:rsidRPr="00403F1C" w:rsidRDefault="00403F1C" w:rsidP="00403F1C">
      <w:pPr>
        <w:pStyle w:val="2"/>
        <w:rPr>
          <w:rFonts w:ascii="Arial" w:hAnsi="Arial" w:cs="Arial"/>
          <w:sz w:val="24"/>
          <w:szCs w:val="24"/>
        </w:rPr>
      </w:pPr>
      <w:r w:rsidRPr="00403F1C">
        <w:rPr>
          <w:rFonts w:ascii="Arial" w:hAnsi="Arial" w:cs="Arial"/>
          <w:sz w:val="24"/>
          <w:szCs w:val="24"/>
        </w:rPr>
        <w:t xml:space="preserve">3.4 How the Toyota case reacts to deontology and </w:t>
      </w:r>
      <w:proofErr w:type="gramStart"/>
      <w:r w:rsidRPr="00403F1C">
        <w:rPr>
          <w:rFonts w:ascii="Arial" w:hAnsi="Arial" w:cs="Arial"/>
          <w:sz w:val="24"/>
          <w:szCs w:val="24"/>
        </w:rPr>
        <w:t>teleology</w:t>
      </w:r>
      <w:proofErr w:type="gramEnd"/>
    </w:p>
    <w:p w14:paraId="306F42DB"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Deontology and purposivism are two major theories in moral philosophy that differ significantly in their criteria and methods of judging the rightness of moral behavior.</w:t>
      </w:r>
    </w:p>
    <w:p w14:paraId="37648D46"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 xml:space="preserve">(Lazar et al., 2019) Deontology is a theory of moral philosophy that emphasizes moral obligations and duties as the basis for moral behavior and decision-making. Deontology asserts that moral behavior should be guided by several universal, objective moral principles that are the source of moral obligations and responsibilities. (Chakrabarty, 2015) In terms of deontological responses, businesses should abide by legal and ethical norms, respect human rights and protect the environment, assume social responsibility and safeguard the public interest, operate with integrity, and compete fairly. However, in this case, Toyota was accused of cutting costs to break the bottom line, reducing the safety performance of its products, and disregarding the danger to customers' lives. Such behavior not only violates the law and moral norms but also harms the rights of consumers and public interests. Therefore, from the deontological </w:t>
      </w:r>
      <w:r w:rsidRPr="00403F1C">
        <w:rPr>
          <w:rFonts w:ascii="Arial" w:hAnsi="Arial" w:cs="Arial"/>
          <w:sz w:val="24"/>
          <w:szCs w:val="24"/>
        </w:rPr>
        <w:lastRenderedPageBreak/>
        <w:t>point of view, Toyota's behavior is unethical and illegal.</w:t>
      </w:r>
    </w:p>
    <w:p w14:paraId="278C755F"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w:t>
      </w:r>
      <w:proofErr w:type="spellStart"/>
      <w:r w:rsidRPr="00403F1C">
        <w:rPr>
          <w:rFonts w:ascii="Arial" w:hAnsi="Arial" w:cs="Arial"/>
          <w:sz w:val="24"/>
          <w:szCs w:val="24"/>
        </w:rPr>
        <w:t>Benlahcene</w:t>
      </w:r>
      <w:proofErr w:type="spellEnd"/>
      <w:r w:rsidRPr="00403F1C">
        <w:rPr>
          <w:rFonts w:ascii="Arial" w:hAnsi="Arial" w:cs="Arial"/>
          <w:sz w:val="24"/>
          <w:szCs w:val="24"/>
        </w:rPr>
        <w:t xml:space="preserve"> et al., 2018) Purpose theory is a moral philosophical theory that emphasizes that moral behavior should be based on the achievement of certain ends. Purpose theory asserts that moral behavior should be aimed at achieving the greatest degree of happiness or benefit, which can be personal or social. (</w:t>
      </w:r>
      <w:proofErr w:type="spellStart"/>
      <w:r w:rsidRPr="00403F1C">
        <w:rPr>
          <w:rFonts w:ascii="Arial" w:hAnsi="Arial" w:cs="Arial"/>
          <w:sz w:val="24"/>
          <w:szCs w:val="24"/>
        </w:rPr>
        <w:t>Baumane-Vitolina</w:t>
      </w:r>
      <w:proofErr w:type="spellEnd"/>
      <w:r w:rsidRPr="00403F1C">
        <w:rPr>
          <w:rFonts w:ascii="Arial" w:hAnsi="Arial" w:cs="Arial"/>
          <w:sz w:val="24"/>
          <w:szCs w:val="24"/>
        </w:rPr>
        <w:t xml:space="preserve"> et al., 2016) In terms of the purposive response, the purpose of business is to maximize profit. However, in the pursuit of profit maximization, firms cannot ignore social responsibility and public interest. In this case, Toyota pursued profits too much and neglected the safety performance of products and the rights of consumers, which led to the tragedy. This kind of behavior not only harms the rights and interests of consumers but also damages the reputation and long-term interests of the enterprise. Therefore, from a teleological perspective, Toyota's behavior is short-sighted and irresponsible.</w:t>
      </w:r>
    </w:p>
    <w:p w14:paraId="527F872A"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To sum up, the Toyota recall incident violates both the theory of obligation and the theory of purpose of enterprises. This incident reminds modern enterprises to abide by the law and moral norms, respect human rights and protect the environment, assume social responsibility and safeguard public interests, operate in good faith, and compete fairly. At the same time, enterprises should not neglect the safety performance of their products and the rights and interests of consumers and should pursue long-term sustainable development and profit maximization.</w:t>
      </w:r>
    </w:p>
    <w:p w14:paraId="0171454E" w14:textId="77777777" w:rsidR="00403F1C" w:rsidRPr="00403F1C" w:rsidRDefault="00403F1C" w:rsidP="00403F1C">
      <w:pPr>
        <w:spacing w:line="480" w:lineRule="auto"/>
        <w:rPr>
          <w:rFonts w:ascii="Arial" w:hAnsi="Arial" w:cs="Arial"/>
          <w:sz w:val="24"/>
          <w:szCs w:val="24"/>
        </w:rPr>
      </w:pPr>
    </w:p>
    <w:p w14:paraId="717C7C27" w14:textId="77777777" w:rsidR="00403F1C" w:rsidRPr="00C11F78" w:rsidRDefault="00403F1C" w:rsidP="00C11F78">
      <w:pPr>
        <w:pStyle w:val="1"/>
        <w:rPr>
          <w:rFonts w:ascii="Arial" w:hAnsi="Arial" w:cs="Arial"/>
          <w:sz w:val="24"/>
          <w:szCs w:val="24"/>
        </w:rPr>
      </w:pPr>
      <w:r w:rsidRPr="00C11F78">
        <w:rPr>
          <w:rFonts w:ascii="Arial" w:hAnsi="Arial" w:cs="Arial"/>
          <w:sz w:val="24"/>
          <w:szCs w:val="24"/>
        </w:rPr>
        <w:lastRenderedPageBreak/>
        <w:t>Conclusion</w:t>
      </w:r>
    </w:p>
    <w:p w14:paraId="153F639F" w14:textId="66EF8113" w:rsidR="00403F1C" w:rsidRDefault="00403F1C" w:rsidP="00403F1C">
      <w:pPr>
        <w:spacing w:line="480" w:lineRule="auto"/>
        <w:rPr>
          <w:rFonts w:ascii="Arial" w:hAnsi="Arial" w:cs="Arial"/>
          <w:sz w:val="24"/>
          <w:szCs w:val="24"/>
        </w:rPr>
      </w:pPr>
      <w:r w:rsidRPr="00403F1C">
        <w:rPr>
          <w:rFonts w:ascii="Arial" w:hAnsi="Arial" w:cs="Arial"/>
          <w:sz w:val="24"/>
          <w:szCs w:val="24"/>
        </w:rPr>
        <w:t>Through researching and analyzing some related theories of Toyota Motor Corporation, a conclusion is drawn. Firstly, the reasons for Toyota's "Recall Gate" are manifold, including the excessive pursuit of cost reduction, poor quality control, parts supply chain problems vehicle design problems, etc. These factors interact with each other to cause Toyota's "Recall Gate". These factors interacted with each other to cause a series of quality problems in Toyota vehicles, which led to the "</w:t>
      </w:r>
      <w:proofErr w:type="spellStart"/>
      <w:r w:rsidRPr="00403F1C">
        <w:rPr>
          <w:rFonts w:ascii="Arial" w:hAnsi="Arial" w:cs="Arial"/>
          <w:sz w:val="24"/>
          <w:szCs w:val="24"/>
        </w:rPr>
        <w:t>Recallgate</w:t>
      </w:r>
      <w:proofErr w:type="spellEnd"/>
      <w:r w:rsidRPr="00403F1C">
        <w:rPr>
          <w:rFonts w:ascii="Arial" w:hAnsi="Arial" w:cs="Arial"/>
          <w:sz w:val="24"/>
          <w:szCs w:val="24"/>
        </w:rPr>
        <w:t xml:space="preserve">" incident. Secondly, (Lambert et al., 2013) the purpose of business is to pursue profit maximization is indisputable, but in the process of creating economic benefits, special attention needs to be paid to the fact that if there is no morality but only the pursuit of profit is not feasible, the enterprise should not make a violation of the business ethics and corporate social responsibility, so the modern enterprise should be ethical first, to enable the enterprise to maintain a leading position in the fierce market competition and to make the enterprise to maintain a leading position in the fierce market competition and to make the enterprise to maintain a leading position in the fierce market competition and to make the enterprise to keep a leading position in the fierce market competition. competition in the market to stay ahead of the curve and achieve long-term results. Finally, (Bruhn et al.,2012) greed is not entirely bad, corporate greed may bring short-term economic benefits, but in the long run, this will lead to the decline of the enterprise, enterprises need to </w:t>
      </w:r>
      <w:r w:rsidRPr="00403F1C">
        <w:rPr>
          <w:rFonts w:ascii="Arial" w:hAnsi="Arial" w:cs="Arial"/>
          <w:sz w:val="24"/>
          <w:szCs w:val="24"/>
        </w:rPr>
        <w:lastRenderedPageBreak/>
        <w:t xml:space="preserve">balance short-term benefits and long-term development, and should not focus on current profits and ignore the sustainable development of the enterprise. Therefore, enterprises should not continue to be greedy, continued greed will destroy the reputation and credibility of the enterprise, so modern enterprises need to comply with ethical and legal </w:t>
      </w:r>
      <w:proofErr w:type="gramStart"/>
      <w:r w:rsidRPr="00403F1C">
        <w:rPr>
          <w:rFonts w:ascii="Arial" w:hAnsi="Arial" w:cs="Arial"/>
          <w:sz w:val="24"/>
          <w:szCs w:val="24"/>
        </w:rPr>
        <w:t>requirements, and</w:t>
      </w:r>
      <w:proofErr w:type="gramEnd"/>
      <w:r w:rsidRPr="00403F1C">
        <w:rPr>
          <w:rFonts w:ascii="Arial" w:hAnsi="Arial" w:cs="Arial"/>
          <w:sz w:val="24"/>
          <w:szCs w:val="24"/>
        </w:rPr>
        <w:t xml:space="preserve"> should not obtain benefits through improper means. Enterprises should focus on social responsibility and contribute to society so that they can gain wider social recognition and support. Therefore, enterprises should uphold the correct business philosophy and values, focus on sustainable development and social responsibility, and continue to innovate and develop, to make more contributions to society.</w:t>
      </w:r>
    </w:p>
    <w:p w14:paraId="2B3B5389" w14:textId="77777777" w:rsidR="00403F1C" w:rsidRDefault="00403F1C" w:rsidP="00403F1C">
      <w:pPr>
        <w:spacing w:line="480" w:lineRule="auto"/>
        <w:rPr>
          <w:rFonts w:ascii="Arial" w:hAnsi="Arial" w:cs="Arial"/>
          <w:sz w:val="24"/>
          <w:szCs w:val="24"/>
        </w:rPr>
      </w:pPr>
    </w:p>
    <w:p w14:paraId="15579C6A" w14:textId="77777777" w:rsidR="00403F1C" w:rsidRDefault="00403F1C" w:rsidP="00403F1C">
      <w:pPr>
        <w:spacing w:line="480" w:lineRule="auto"/>
        <w:rPr>
          <w:rFonts w:ascii="Arial" w:hAnsi="Arial" w:cs="Arial"/>
          <w:sz w:val="24"/>
          <w:szCs w:val="24"/>
        </w:rPr>
      </w:pPr>
    </w:p>
    <w:p w14:paraId="0AB8C368" w14:textId="77777777" w:rsidR="00403F1C" w:rsidRDefault="00403F1C" w:rsidP="00403F1C">
      <w:pPr>
        <w:spacing w:line="480" w:lineRule="auto"/>
        <w:rPr>
          <w:rFonts w:ascii="Arial" w:hAnsi="Arial" w:cs="Arial"/>
          <w:sz w:val="24"/>
          <w:szCs w:val="24"/>
        </w:rPr>
      </w:pPr>
    </w:p>
    <w:p w14:paraId="77D0CEEC" w14:textId="77777777" w:rsidR="00403F1C" w:rsidRDefault="00403F1C" w:rsidP="00403F1C">
      <w:pPr>
        <w:spacing w:line="480" w:lineRule="auto"/>
        <w:rPr>
          <w:rFonts w:ascii="Arial" w:hAnsi="Arial" w:cs="Arial"/>
          <w:sz w:val="24"/>
          <w:szCs w:val="24"/>
        </w:rPr>
      </w:pPr>
    </w:p>
    <w:p w14:paraId="1328B783" w14:textId="77777777" w:rsidR="00403F1C" w:rsidRDefault="00403F1C" w:rsidP="00403F1C">
      <w:pPr>
        <w:spacing w:line="480" w:lineRule="auto"/>
        <w:rPr>
          <w:rFonts w:ascii="Arial" w:hAnsi="Arial" w:cs="Arial"/>
          <w:sz w:val="24"/>
          <w:szCs w:val="24"/>
        </w:rPr>
      </w:pPr>
    </w:p>
    <w:p w14:paraId="65BB4B21" w14:textId="77777777" w:rsidR="00403F1C" w:rsidRDefault="00403F1C" w:rsidP="00403F1C">
      <w:pPr>
        <w:spacing w:line="480" w:lineRule="auto"/>
        <w:rPr>
          <w:rFonts w:ascii="Arial" w:hAnsi="Arial" w:cs="Arial"/>
          <w:sz w:val="24"/>
          <w:szCs w:val="24"/>
        </w:rPr>
      </w:pPr>
    </w:p>
    <w:p w14:paraId="34682831" w14:textId="77777777" w:rsidR="00403F1C" w:rsidRDefault="00403F1C" w:rsidP="00403F1C">
      <w:pPr>
        <w:spacing w:line="480" w:lineRule="auto"/>
        <w:rPr>
          <w:rFonts w:ascii="Arial" w:hAnsi="Arial" w:cs="Arial"/>
          <w:sz w:val="24"/>
          <w:szCs w:val="24"/>
        </w:rPr>
      </w:pPr>
    </w:p>
    <w:p w14:paraId="525E8DC7" w14:textId="77777777" w:rsidR="00403F1C" w:rsidRDefault="00403F1C" w:rsidP="00403F1C">
      <w:pPr>
        <w:spacing w:line="480" w:lineRule="auto"/>
        <w:rPr>
          <w:rFonts w:ascii="Arial" w:hAnsi="Arial" w:cs="Arial"/>
          <w:sz w:val="24"/>
          <w:szCs w:val="24"/>
        </w:rPr>
      </w:pPr>
    </w:p>
    <w:p w14:paraId="7DA3AD2F" w14:textId="77777777" w:rsidR="00403F1C" w:rsidRDefault="00403F1C" w:rsidP="00403F1C">
      <w:pPr>
        <w:spacing w:line="480" w:lineRule="auto"/>
        <w:rPr>
          <w:rFonts w:ascii="Arial" w:hAnsi="Arial" w:cs="Arial"/>
          <w:sz w:val="24"/>
          <w:szCs w:val="24"/>
        </w:rPr>
      </w:pPr>
    </w:p>
    <w:p w14:paraId="7754CAF5" w14:textId="77777777" w:rsidR="00403F1C" w:rsidRDefault="00403F1C" w:rsidP="00403F1C">
      <w:pPr>
        <w:spacing w:line="480" w:lineRule="auto"/>
        <w:rPr>
          <w:rFonts w:ascii="Arial" w:hAnsi="Arial" w:cs="Arial"/>
          <w:sz w:val="24"/>
          <w:szCs w:val="24"/>
        </w:rPr>
      </w:pPr>
    </w:p>
    <w:p w14:paraId="3B8ABDF8" w14:textId="77777777" w:rsidR="00403F1C" w:rsidRDefault="00403F1C" w:rsidP="00403F1C">
      <w:pPr>
        <w:spacing w:line="480" w:lineRule="auto"/>
        <w:rPr>
          <w:rFonts w:ascii="Arial" w:hAnsi="Arial" w:cs="Arial" w:hint="eastAsia"/>
          <w:sz w:val="24"/>
          <w:szCs w:val="24"/>
        </w:rPr>
      </w:pPr>
    </w:p>
    <w:p w14:paraId="7300607F" w14:textId="77777777" w:rsidR="00403F1C" w:rsidRPr="00C11F78" w:rsidRDefault="00403F1C" w:rsidP="00C11F78">
      <w:pPr>
        <w:pStyle w:val="1"/>
        <w:rPr>
          <w:rFonts w:ascii="Arial" w:hAnsi="Arial" w:cs="Arial"/>
          <w:sz w:val="24"/>
          <w:szCs w:val="24"/>
        </w:rPr>
      </w:pPr>
      <w:r w:rsidRPr="00C11F78">
        <w:rPr>
          <w:rFonts w:ascii="Arial" w:hAnsi="Arial" w:cs="Arial"/>
          <w:sz w:val="24"/>
          <w:szCs w:val="24"/>
        </w:rPr>
        <w:lastRenderedPageBreak/>
        <w:t>Reference</w:t>
      </w:r>
    </w:p>
    <w:p w14:paraId="7082E7A9" w14:textId="77777777" w:rsidR="00403F1C" w:rsidRPr="00403F1C" w:rsidRDefault="00403F1C" w:rsidP="00403F1C">
      <w:pPr>
        <w:spacing w:line="480" w:lineRule="auto"/>
        <w:rPr>
          <w:rFonts w:ascii="Arial" w:hAnsi="Arial" w:cs="Arial"/>
          <w:color w:val="222222"/>
          <w:sz w:val="24"/>
          <w:szCs w:val="24"/>
          <w:shd w:val="clear" w:color="auto" w:fill="FFFFFF"/>
        </w:rPr>
      </w:pPr>
      <w:r w:rsidRPr="00403F1C">
        <w:rPr>
          <w:rFonts w:ascii="Arial" w:hAnsi="Arial" w:cs="Arial"/>
          <w:color w:val="222222"/>
          <w:sz w:val="24"/>
          <w:szCs w:val="24"/>
          <w:shd w:val="clear" w:color="auto" w:fill="FFFFFF"/>
        </w:rPr>
        <w:t xml:space="preserve">Austen-Smith, D., </w:t>
      </w:r>
      <w:proofErr w:type="spellStart"/>
      <w:r w:rsidRPr="00403F1C">
        <w:rPr>
          <w:rFonts w:ascii="Arial" w:hAnsi="Arial" w:cs="Arial"/>
          <w:color w:val="222222"/>
          <w:sz w:val="24"/>
          <w:szCs w:val="24"/>
          <w:shd w:val="clear" w:color="auto" w:fill="FFFFFF"/>
        </w:rPr>
        <w:t>Diermeier</w:t>
      </w:r>
      <w:proofErr w:type="spellEnd"/>
      <w:r w:rsidRPr="00403F1C">
        <w:rPr>
          <w:rFonts w:ascii="Arial" w:hAnsi="Arial" w:cs="Arial"/>
          <w:color w:val="222222"/>
          <w:sz w:val="24"/>
          <w:szCs w:val="24"/>
          <w:shd w:val="clear" w:color="auto" w:fill="FFFFFF"/>
        </w:rPr>
        <w:t xml:space="preserve">, D., </w:t>
      </w:r>
      <w:proofErr w:type="spellStart"/>
      <w:r w:rsidRPr="00403F1C">
        <w:rPr>
          <w:rFonts w:ascii="Arial" w:hAnsi="Arial" w:cs="Arial"/>
          <w:color w:val="222222"/>
          <w:sz w:val="24"/>
          <w:szCs w:val="24"/>
          <w:shd w:val="clear" w:color="auto" w:fill="FFFFFF"/>
        </w:rPr>
        <w:t>Zemel</w:t>
      </w:r>
      <w:proofErr w:type="spellEnd"/>
      <w:r w:rsidRPr="00403F1C">
        <w:rPr>
          <w:rFonts w:ascii="Arial" w:hAnsi="Arial" w:cs="Arial"/>
          <w:color w:val="222222"/>
          <w:sz w:val="24"/>
          <w:szCs w:val="24"/>
          <w:shd w:val="clear" w:color="auto" w:fill="FFFFFF"/>
        </w:rPr>
        <w:t xml:space="preserve">, E., </w:t>
      </w:r>
      <w:proofErr w:type="spellStart"/>
      <w:r w:rsidRPr="00403F1C">
        <w:rPr>
          <w:rFonts w:ascii="Arial" w:hAnsi="Arial" w:cs="Arial"/>
          <w:color w:val="222222"/>
          <w:sz w:val="24"/>
          <w:szCs w:val="24"/>
          <w:shd w:val="clear" w:color="auto" w:fill="FFFFFF"/>
        </w:rPr>
        <w:t>Diermeier</w:t>
      </w:r>
      <w:proofErr w:type="spellEnd"/>
      <w:r w:rsidRPr="00403F1C">
        <w:rPr>
          <w:rFonts w:ascii="Arial" w:hAnsi="Arial" w:cs="Arial"/>
          <w:color w:val="222222"/>
          <w:sz w:val="24"/>
          <w:szCs w:val="24"/>
          <w:shd w:val="clear" w:color="auto" w:fill="FFFFFF"/>
        </w:rPr>
        <w:t>, D., &amp; Merkley, G. (2017). "Unintended acceleration: Toyota’s recall crisis." </w:t>
      </w:r>
      <w:r w:rsidRPr="00403F1C">
        <w:rPr>
          <w:rFonts w:ascii="Arial" w:hAnsi="Arial" w:cs="Arial"/>
          <w:i/>
          <w:iCs/>
          <w:color w:val="222222"/>
          <w:sz w:val="24"/>
          <w:szCs w:val="24"/>
          <w:shd w:val="clear" w:color="auto" w:fill="FFFFFF"/>
        </w:rPr>
        <w:t>Kellogg School of Management Cases,</w:t>
      </w:r>
      <w:r w:rsidRPr="00403F1C">
        <w:rPr>
          <w:rFonts w:ascii="Arial" w:hAnsi="Arial" w:cs="Arial"/>
          <w:color w:val="222222"/>
          <w:sz w:val="24"/>
          <w:szCs w:val="24"/>
          <w:shd w:val="clear" w:color="auto" w:fill="FFFFFF"/>
        </w:rPr>
        <w:t xml:space="preserve"> pp 1-16.</w:t>
      </w:r>
    </w:p>
    <w:p w14:paraId="68FE4470" w14:textId="77777777" w:rsidR="00403F1C" w:rsidRPr="00403F1C" w:rsidRDefault="00403F1C" w:rsidP="00403F1C">
      <w:pPr>
        <w:spacing w:line="480" w:lineRule="auto"/>
        <w:rPr>
          <w:rFonts w:ascii="Arial" w:hAnsi="Arial" w:cs="Arial"/>
          <w:color w:val="222222"/>
          <w:sz w:val="24"/>
          <w:szCs w:val="24"/>
          <w:shd w:val="clear" w:color="auto" w:fill="FFFFFF"/>
        </w:rPr>
      </w:pPr>
    </w:p>
    <w:p w14:paraId="7D947B3D" w14:textId="77777777" w:rsidR="00403F1C" w:rsidRPr="00471754" w:rsidRDefault="00403F1C" w:rsidP="00403F1C">
      <w:pPr>
        <w:spacing w:line="480" w:lineRule="auto"/>
        <w:rPr>
          <w:rFonts w:ascii="Arial" w:hAnsi="Arial" w:cs="Arial"/>
          <w:color w:val="222222"/>
          <w:sz w:val="24"/>
          <w:szCs w:val="24"/>
          <w:shd w:val="clear" w:color="auto" w:fill="FFFFFF"/>
        </w:rPr>
      </w:pPr>
      <w:proofErr w:type="spellStart"/>
      <w:r w:rsidRPr="00471754">
        <w:rPr>
          <w:rFonts w:ascii="Arial" w:hAnsi="Arial" w:cs="Arial"/>
          <w:color w:val="222222"/>
          <w:sz w:val="24"/>
          <w:szCs w:val="24"/>
          <w:shd w:val="clear" w:color="auto" w:fill="FFFFFF"/>
        </w:rPr>
        <w:t>Benlahcene</w:t>
      </w:r>
      <w:proofErr w:type="spellEnd"/>
      <w:r w:rsidRPr="00471754">
        <w:rPr>
          <w:rFonts w:ascii="Arial" w:hAnsi="Arial" w:cs="Arial"/>
          <w:color w:val="222222"/>
          <w:sz w:val="24"/>
          <w:szCs w:val="24"/>
          <w:shd w:val="clear" w:color="auto" w:fill="FFFFFF"/>
        </w:rPr>
        <w:t xml:space="preserve">, A., Zainuddin, R. B., </w:t>
      </w:r>
      <w:proofErr w:type="spellStart"/>
      <w:r w:rsidRPr="00471754">
        <w:rPr>
          <w:rFonts w:ascii="Arial" w:hAnsi="Arial" w:cs="Arial"/>
          <w:color w:val="222222"/>
          <w:sz w:val="24"/>
          <w:szCs w:val="24"/>
          <w:shd w:val="clear" w:color="auto" w:fill="FFFFFF"/>
        </w:rPr>
        <w:t>Syakiran</w:t>
      </w:r>
      <w:proofErr w:type="spellEnd"/>
      <w:r w:rsidRPr="00471754">
        <w:rPr>
          <w:rFonts w:ascii="Arial" w:hAnsi="Arial" w:cs="Arial"/>
          <w:color w:val="222222"/>
          <w:sz w:val="24"/>
          <w:szCs w:val="24"/>
          <w:shd w:val="clear" w:color="auto" w:fill="FFFFFF"/>
        </w:rPr>
        <w:t>, N., &amp; Ismail, A. B. (2018). "A narrative review of ethics theories: Teleological &amp; deontological Ethics."</w:t>
      </w:r>
      <w:r w:rsidRPr="00471754">
        <w:rPr>
          <w:rFonts w:ascii="Arial" w:hAnsi="Arial" w:cs="Arial"/>
          <w:i/>
          <w:iCs/>
          <w:color w:val="222222"/>
          <w:sz w:val="24"/>
          <w:szCs w:val="24"/>
          <w:shd w:val="clear" w:color="auto" w:fill="FFFFFF"/>
        </w:rPr>
        <w:t xml:space="preserve"> Journal of Humanities and Social Science (IOSR-JHSS)</w:t>
      </w:r>
      <w:r w:rsidRPr="00471754">
        <w:rPr>
          <w:rFonts w:ascii="Arial" w:hAnsi="Arial" w:cs="Arial"/>
          <w:color w:val="222222"/>
          <w:sz w:val="24"/>
          <w:szCs w:val="24"/>
          <w:shd w:val="clear" w:color="auto" w:fill="FFFFFF"/>
        </w:rPr>
        <w:t>, 23(1), pp 31-32.</w:t>
      </w:r>
    </w:p>
    <w:p w14:paraId="4448CB58" w14:textId="77777777" w:rsidR="00403F1C" w:rsidRPr="00403F1C" w:rsidRDefault="00403F1C" w:rsidP="00403F1C">
      <w:pPr>
        <w:spacing w:line="480" w:lineRule="auto"/>
        <w:rPr>
          <w:rFonts w:ascii="Arial" w:hAnsi="Arial" w:cs="Arial"/>
          <w:color w:val="222222"/>
          <w:sz w:val="24"/>
          <w:szCs w:val="24"/>
          <w:shd w:val="clear" w:color="auto" w:fill="FFFFFF"/>
        </w:rPr>
      </w:pPr>
    </w:p>
    <w:p w14:paraId="37ADD64C" w14:textId="77777777" w:rsidR="00403F1C" w:rsidRPr="00471754" w:rsidRDefault="00403F1C" w:rsidP="00403F1C">
      <w:pPr>
        <w:spacing w:line="480" w:lineRule="auto"/>
        <w:rPr>
          <w:rFonts w:ascii="Arial" w:hAnsi="Arial" w:cs="Arial"/>
          <w:color w:val="222222"/>
          <w:sz w:val="24"/>
          <w:szCs w:val="24"/>
          <w:shd w:val="clear" w:color="auto" w:fill="FFFFFF"/>
        </w:rPr>
      </w:pPr>
      <w:proofErr w:type="spellStart"/>
      <w:r w:rsidRPr="00471754">
        <w:rPr>
          <w:rFonts w:ascii="Arial" w:hAnsi="Arial" w:cs="Arial"/>
          <w:color w:val="222222"/>
          <w:sz w:val="24"/>
          <w:szCs w:val="24"/>
          <w:shd w:val="clear" w:color="auto" w:fill="FFFFFF"/>
        </w:rPr>
        <w:t>Baumane-Vitolina</w:t>
      </w:r>
      <w:proofErr w:type="spellEnd"/>
      <w:r w:rsidRPr="00471754">
        <w:rPr>
          <w:rFonts w:ascii="Arial" w:hAnsi="Arial" w:cs="Arial"/>
          <w:color w:val="222222"/>
          <w:sz w:val="24"/>
          <w:szCs w:val="24"/>
          <w:shd w:val="clear" w:color="auto" w:fill="FFFFFF"/>
        </w:rPr>
        <w:t xml:space="preserve">, I., Cals, I., &amp; </w:t>
      </w:r>
      <w:proofErr w:type="spellStart"/>
      <w:r w:rsidRPr="00471754">
        <w:rPr>
          <w:rFonts w:ascii="Arial" w:hAnsi="Arial" w:cs="Arial"/>
          <w:color w:val="222222"/>
          <w:sz w:val="24"/>
          <w:szCs w:val="24"/>
          <w:shd w:val="clear" w:color="auto" w:fill="FFFFFF"/>
        </w:rPr>
        <w:t>Sumilo</w:t>
      </w:r>
      <w:proofErr w:type="spellEnd"/>
      <w:r w:rsidRPr="00471754">
        <w:rPr>
          <w:rFonts w:ascii="Arial" w:hAnsi="Arial" w:cs="Arial"/>
          <w:color w:val="222222"/>
          <w:sz w:val="24"/>
          <w:szCs w:val="24"/>
          <w:shd w:val="clear" w:color="auto" w:fill="FFFFFF"/>
        </w:rPr>
        <w:t>, E. (2016). "Is ethics rational? Teleological, deontological and virtue ethics theories reconciled in the context of traditional economic decision making."</w:t>
      </w:r>
      <w:r w:rsidRPr="00471754">
        <w:rPr>
          <w:rFonts w:ascii="Arial" w:hAnsi="Arial" w:cs="Arial"/>
          <w:i/>
          <w:iCs/>
          <w:color w:val="222222"/>
          <w:sz w:val="24"/>
          <w:szCs w:val="24"/>
          <w:shd w:val="clear" w:color="auto" w:fill="FFFFFF"/>
        </w:rPr>
        <w:t xml:space="preserve"> Procedia Economics and Finance</w:t>
      </w:r>
      <w:r w:rsidRPr="00471754">
        <w:rPr>
          <w:rFonts w:ascii="Arial" w:hAnsi="Arial" w:cs="Arial"/>
          <w:color w:val="222222"/>
          <w:sz w:val="24"/>
          <w:szCs w:val="24"/>
          <w:shd w:val="clear" w:color="auto" w:fill="FFFFFF"/>
        </w:rPr>
        <w:t>, 39, pp 108-114.</w:t>
      </w:r>
    </w:p>
    <w:p w14:paraId="2302E798" w14:textId="77777777" w:rsidR="00403F1C" w:rsidRPr="00403F1C" w:rsidRDefault="00403F1C" w:rsidP="00403F1C">
      <w:pPr>
        <w:spacing w:line="480" w:lineRule="auto"/>
        <w:rPr>
          <w:rFonts w:ascii="Arial" w:hAnsi="Arial" w:cs="Arial"/>
          <w:color w:val="222222"/>
          <w:sz w:val="24"/>
          <w:szCs w:val="24"/>
          <w:shd w:val="clear" w:color="auto" w:fill="FFFFFF"/>
        </w:rPr>
      </w:pPr>
    </w:p>
    <w:p w14:paraId="417B7EB9" w14:textId="77777777" w:rsidR="00403F1C" w:rsidRPr="00403F1C" w:rsidRDefault="00403F1C" w:rsidP="00403F1C">
      <w:pPr>
        <w:spacing w:line="480" w:lineRule="auto"/>
        <w:rPr>
          <w:rFonts w:ascii="Arial" w:hAnsi="Arial" w:cs="Arial"/>
          <w:color w:val="222222"/>
          <w:sz w:val="24"/>
          <w:szCs w:val="24"/>
          <w:shd w:val="clear" w:color="auto" w:fill="FFFFFF"/>
        </w:rPr>
      </w:pPr>
      <w:r w:rsidRPr="00FA004E">
        <w:rPr>
          <w:rFonts w:ascii="Arial" w:hAnsi="Arial" w:cs="Arial"/>
          <w:color w:val="222222"/>
          <w:sz w:val="24"/>
          <w:szCs w:val="24"/>
          <w:shd w:val="clear" w:color="auto" w:fill="FFFFFF"/>
        </w:rPr>
        <w:t xml:space="preserve">Bruhn, J. G., &amp; Lowrey, J. (2012). </w:t>
      </w:r>
      <w:r w:rsidRPr="00471754">
        <w:rPr>
          <w:rFonts w:ascii="Arial" w:hAnsi="Arial" w:cs="Arial"/>
          <w:color w:val="222222"/>
          <w:sz w:val="24"/>
          <w:szCs w:val="24"/>
          <w:shd w:val="clear" w:color="auto" w:fill="FFFFFF"/>
        </w:rPr>
        <w:t>"</w:t>
      </w:r>
      <w:r w:rsidRPr="00FA004E">
        <w:rPr>
          <w:rFonts w:ascii="Arial" w:hAnsi="Arial" w:cs="Arial"/>
          <w:color w:val="222222"/>
          <w:sz w:val="24"/>
          <w:szCs w:val="24"/>
          <w:shd w:val="clear" w:color="auto" w:fill="FFFFFF"/>
        </w:rPr>
        <w:t xml:space="preserve">The good and bad about greed: How the manifestations of greed can be used to improve organizational and individual behavior and </w:t>
      </w:r>
      <w:proofErr w:type="spellStart"/>
      <w:r w:rsidRPr="00FA004E">
        <w:rPr>
          <w:rFonts w:ascii="Arial" w:hAnsi="Arial" w:cs="Arial"/>
          <w:color w:val="222222"/>
          <w:sz w:val="24"/>
          <w:szCs w:val="24"/>
          <w:shd w:val="clear" w:color="auto" w:fill="FFFFFF"/>
        </w:rPr>
        <w:t>performance</w:t>
      </w:r>
      <w:r w:rsidRPr="00471754">
        <w:rPr>
          <w:rFonts w:ascii="Arial" w:hAnsi="Arial" w:cs="Arial"/>
          <w:color w:val="222222"/>
          <w:sz w:val="24"/>
          <w:szCs w:val="24"/>
          <w:shd w:val="clear" w:color="auto" w:fill="FFFFFF"/>
        </w:rPr>
        <w:t>."</w:t>
      </w:r>
      <w:r w:rsidRPr="00FA004E">
        <w:rPr>
          <w:rFonts w:ascii="Arial" w:hAnsi="Arial" w:cs="Arial"/>
          <w:i/>
          <w:iCs/>
          <w:color w:val="222222"/>
          <w:sz w:val="24"/>
          <w:szCs w:val="24"/>
          <w:shd w:val="clear" w:color="auto" w:fill="FFFFFF"/>
        </w:rPr>
        <w:t>Consulting</w:t>
      </w:r>
      <w:proofErr w:type="spellEnd"/>
      <w:r w:rsidRPr="00FA004E">
        <w:rPr>
          <w:rFonts w:ascii="Arial" w:hAnsi="Arial" w:cs="Arial"/>
          <w:i/>
          <w:iCs/>
          <w:color w:val="222222"/>
          <w:sz w:val="24"/>
          <w:szCs w:val="24"/>
          <w:shd w:val="clear" w:color="auto" w:fill="FFFFFF"/>
        </w:rPr>
        <w:t xml:space="preserve"> Psychology Journal: Practice and Research</w:t>
      </w:r>
      <w:r w:rsidRPr="00FA004E">
        <w:rPr>
          <w:rFonts w:ascii="Arial" w:hAnsi="Arial" w:cs="Arial"/>
          <w:color w:val="222222"/>
          <w:sz w:val="24"/>
          <w:szCs w:val="24"/>
          <w:shd w:val="clear" w:color="auto" w:fill="FFFFFF"/>
        </w:rPr>
        <w:t xml:space="preserve">, 64(2), </w:t>
      </w:r>
      <w:r w:rsidRPr="00403F1C">
        <w:rPr>
          <w:rFonts w:ascii="Arial" w:hAnsi="Arial" w:cs="Arial"/>
          <w:color w:val="222222"/>
          <w:sz w:val="24"/>
          <w:szCs w:val="24"/>
          <w:shd w:val="clear" w:color="auto" w:fill="FFFFFF"/>
        </w:rPr>
        <w:t xml:space="preserve">p </w:t>
      </w:r>
      <w:r w:rsidRPr="00FA004E">
        <w:rPr>
          <w:rFonts w:ascii="Arial" w:hAnsi="Arial" w:cs="Arial"/>
          <w:color w:val="222222"/>
          <w:sz w:val="24"/>
          <w:szCs w:val="24"/>
          <w:shd w:val="clear" w:color="auto" w:fill="FFFFFF"/>
        </w:rPr>
        <w:t>136.</w:t>
      </w:r>
    </w:p>
    <w:p w14:paraId="39B94424" w14:textId="77777777" w:rsidR="00403F1C" w:rsidRPr="009A45E5" w:rsidRDefault="00403F1C" w:rsidP="00403F1C">
      <w:pPr>
        <w:spacing w:line="480" w:lineRule="auto"/>
        <w:rPr>
          <w:rFonts w:ascii="Arial" w:hAnsi="Arial" w:cs="Arial"/>
          <w:color w:val="222222"/>
          <w:sz w:val="24"/>
          <w:szCs w:val="24"/>
          <w:shd w:val="clear" w:color="auto" w:fill="FFFFFF"/>
        </w:rPr>
      </w:pPr>
    </w:p>
    <w:p w14:paraId="1377F71E" w14:textId="77777777" w:rsidR="00403F1C" w:rsidRPr="009A45E5" w:rsidRDefault="00403F1C" w:rsidP="00403F1C">
      <w:pPr>
        <w:spacing w:line="480" w:lineRule="auto"/>
        <w:rPr>
          <w:rFonts w:ascii="Arial" w:hAnsi="Arial" w:cs="Arial"/>
          <w:color w:val="222222"/>
          <w:sz w:val="24"/>
          <w:szCs w:val="24"/>
          <w:shd w:val="clear" w:color="auto" w:fill="FFFFFF"/>
        </w:rPr>
      </w:pPr>
      <w:proofErr w:type="spellStart"/>
      <w:r w:rsidRPr="009A45E5">
        <w:rPr>
          <w:rFonts w:ascii="Arial" w:hAnsi="Arial" w:cs="Arial"/>
          <w:color w:val="222222"/>
          <w:sz w:val="24"/>
          <w:szCs w:val="24"/>
          <w:shd w:val="clear" w:color="auto" w:fill="FFFFFF"/>
        </w:rPr>
        <w:t>Benlahcene</w:t>
      </w:r>
      <w:proofErr w:type="spellEnd"/>
      <w:r w:rsidRPr="009A45E5">
        <w:rPr>
          <w:rFonts w:ascii="Arial" w:hAnsi="Arial" w:cs="Arial"/>
          <w:color w:val="222222"/>
          <w:sz w:val="24"/>
          <w:szCs w:val="24"/>
          <w:shd w:val="clear" w:color="auto" w:fill="FFFFFF"/>
        </w:rPr>
        <w:t xml:space="preserve">, A., Zainuddin, R. B., </w:t>
      </w:r>
      <w:proofErr w:type="spellStart"/>
      <w:r w:rsidRPr="009A45E5">
        <w:rPr>
          <w:rFonts w:ascii="Arial" w:hAnsi="Arial" w:cs="Arial"/>
          <w:color w:val="222222"/>
          <w:sz w:val="24"/>
          <w:szCs w:val="24"/>
          <w:shd w:val="clear" w:color="auto" w:fill="FFFFFF"/>
        </w:rPr>
        <w:t>Syakiran</w:t>
      </w:r>
      <w:proofErr w:type="spellEnd"/>
      <w:r w:rsidRPr="009A45E5">
        <w:rPr>
          <w:rFonts w:ascii="Arial" w:hAnsi="Arial" w:cs="Arial"/>
          <w:color w:val="222222"/>
          <w:sz w:val="24"/>
          <w:szCs w:val="24"/>
          <w:shd w:val="clear" w:color="auto" w:fill="FFFFFF"/>
        </w:rPr>
        <w:t xml:space="preserve">, N., &amp; Ismail, A. B. (2018). "A narrative review of ethics theories: Teleological &amp; deontological Ethics." </w:t>
      </w:r>
      <w:r w:rsidRPr="009A45E5">
        <w:rPr>
          <w:rFonts w:ascii="Arial" w:hAnsi="Arial" w:cs="Arial"/>
          <w:i/>
          <w:iCs/>
          <w:color w:val="222222"/>
          <w:sz w:val="24"/>
          <w:szCs w:val="24"/>
          <w:shd w:val="clear" w:color="auto" w:fill="FFFFFF"/>
        </w:rPr>
        <w:t xml:space="preserve">Journal </w:t>
      </w:r>
      <w:r w:rsidRPr="009A45E5">
        <w:rPr>
          <w:rFonts w:ascii="Arial" w:hAnsi="Arial" w:cs="Arial"/>
          <w:i/>
          <w:iCs/>
          <w:color w:val="222222"/>
          <w:sz w:val="24"/>
          <w:szCs w:val="24"/>
          <w:shd w:val="clear" w:color="auto" w:fill="FFFFFF"/>
        </w:rPr>
        <w:lastRenderedPageBreak/>
        <w:t>of Humanities and Social Science (IOSR-JHSS)</w:t>
      </w:r>
      <w:r w:rsidRPr="009A45E5">
        <w:rPr>
          <w:rFonts w:ascii="Arial" w:hAnsi="Arial" w:cs="Arial"/>
          <w:color w:val="222222"/>
          <w:sz w:val="24"/>
          <w:szCs w:val="24"/>
          <w:shd w:val="clear" w:color="auto" w:fill="FFFFFF"/>
        </w:rPr>
        <w:t>, 23(1),</w:t>
      </w:r>
      <w:r w:rsidRPr="00403F1C">
        <w:rPr>
          <w:rFonts w:ascii="Arial" w:hAnsi="Arial" w:cs="Arial"/>
          <w:color w:val="222222"/>
          <w:sz w:val="24"/>
          <w:szCs w:val="24"/>
          <w:shd w:val="clear" w:color="auto" w:fill="FFFFFF"/>
        </w:rPr>
        <w:t xml:space="preserve"> </w:t>
      </w:r>
      <w:r w:rsidRPr="009A45E5">
        <w:rPr>
          <w:rFonts w:ascii="Arial" w:hAnsi="Arial" w:cs="Arial"/>
          <w:color w:val="222222"/>
          <w:sz w:val="24"/>
          <w:szCs w:val="24"/>
          <w:shd w:val="clear" w:color="auto" w:fill="FFFFFF"/>
        </w:rPr>
        <w:t>pp 31-32.</w:t>
      </w:r>
    </w:p>
    <w:p w14:paraId="7C4FEBCC" w14:textId="77777777" w:rsidR="00403F1C" w:rsidRPr="00403F1C" w:rsidRDefault="00403F1C" w:rsidP="00403F1C">
      <w:pPr>
        <w:spacing w:line="480" w:lineRule="auto"/>
        <w:rPr>
          <w:rFonts w:ascii="Arial" w:hAnsi="Arial" w:cs="Arial"/>
          <w:color w:val="222222"/>
          <w:sz w:val="24"/>
          <w:szCs w:val="24"/>
          <w:shd w:val="clear" w:color="auto" w:fill="FFFFFF"/>
        </w:rPr>
      </w:pPr>
    </w:p>
    <w:p w14:paraId="2115F044" w14:textId="77777777" w:rsidR="00403F1C" w:rsidRPr="00471754" w:rsidRDefault="00403F1C" w:rsidP="00403F1C">
      <w:pPr>
        <w:spacing w:line="480" w:lineRule="auto"/>
        <w:rPr>
          <w:rFonts w:ascii="Arial" w:hAnsi="Arial" w:cs="Arial"/>
          <w:color w:val="222222"/>
          <w:sz w:val="24"/>
          <w:szCs w:val="24"/>
          <w:shd w:val="clear" w:color="auto" w:fill="FFFFFF"/>
        </w:rPr>
      </w:pPr>
      <w:r w:rsidRPr="00471754">
        <w:rPr>
          <w:rFonts w:ascii="Arial" w:hAnsi="Arial" w:cs="Arial"/>
          <w:color w:val="222222"/>
          <w:sz w:val="24"/>
          <w:szCs w:val="24"/>
          <w:shd w:val="clear" w:color="auto" w:fill="FFFFFF"/>
        </w:rPr>
        <w:t xml:space="preserve">Crane, A., Matten, D., </w:t>
      </w:r>
      <w:proofErr w:type="spellStart"/>
      <w:r w:rsidRPr="00471754">
        <w:rPr>
          <w:rFonts w:ascii="Arial" w:hAnsi="Arial" w:cs="Arial"/>
          <w:color w:val="222222"/>
          <w:sz w:val="24"/>
          <w:szCs w:val="24"/>
          <w:shd w:val="clear" w:color="auto" w:fill="FFFFFF"/>
        </w:rPr>
        <w:t>Glozer</w:t>
      </w:r>
      <w:proofErr w:type="spellEnd"/>
      <w:r w:rsidRPr="00471754">
        <w:rPr>
          <w:rFonts w:ascii="Arial" w:hAnsi="Arial" w:cs="Arial"/>
          <w:color w:val="222222"/>
          <w:sz w:val="24"/>
          <w:szCs w:val="24"/>
          <w:shd w:val="clear" w:color="auto" w:fill="FFFFFF"/>
        </w:rPr>
        <w:t>, S., &amp; Spence, L. J. (2019). </w:t>
      </w:r>
      <w:r w:rsidRPr="00471754">
        <w:rPr>
          <w:rFonts w:ascii="Arial" w:hAnsi="Arial" w:cs="Arial"/>
          <w:i/>
          <w:iCs/>
          <w:color w:val="222222"/>
          <w:sz w:val="24"/>
          <w:szCs w:val="24"/>
          <w:shd w:val="clear" w:color="auto" w:fill="FFFFFF"/>
        </w:rPr>
        <w:t>Business ethics: Managing corporate citizenship and sustainability in the age of globalization</w:t>
      </w:r>
      <w:r w:rsidRPr="00471754">
        <w:rPr>
          <w:rFonts w:ascii="Arial" w:hAnsi="Arial" w:cs="Arial"/>
          <w:color w:val="222222"/>
          <w:sz w:val="24"/>
          <w:szCs w:val="24"/>
          <w:shd w:val="clear" w:color="auto" w:fill="FFFFFF"/>
        </w:rPr>
        <w:t>. Oxford University Press, USA,</w:t>
      </w:r>
      <w:r w:rsidRPr="00403F1C">
        <w:rPr>
          <w:rFonts w:ascii="Arial" w:hAnsi="Arial" w:cs="Arial"/>
          <w:color w:val="222222"/>
          <w:sz w:val="24"/>
          <w:szCs w:val="24"/>
          <w:shd w:val="clear" w:color="auto" w:fill="FFFFFF"/>
        </w:rPr>
        <w:t xml:space="preserve"> </w:t>
      </w:r>
      <w:r w:rsidRPr="00471754">
        <w:rPr>
          <w:rFonts w:ascii="Arial" w:hAnsi="Arial" w:cs="Arial"/>
          <w:color w:val="222222"/>
          <w:sz w:val="24"/>
          <w:szCs w:val="24"/>
          <w:shd w:val="clear" w:color="auto" w:fill="FFFFFF"/>
        </w:rPr>
        <w:t>pp 527-542.</w:t>
      </w:r>
    </w:p>
    <w:p w14:paraId="61AF1D9E" w14:textId="77777777" w:rsidR="00403F1C" w:rsidRPr="00403F1C" w:rsidRDefault="00403F1C" w:rsidP="00403F1C">
      <w:pPr>
        <w:spacing w:line="480" w:lineRule="auto"/>
        <w:rPr>
          <w:rFonts w:ascii="Arial" w:hAnsi="Arial" w:cs="Arial"/>
          <w:color w:val="222222"/>
          <w:sz w:val="24"/>
          <w:szCs w:val="24"/>
          <w:shd w:val="clear" w:color="auto" w:fill="FFFFFF"/>
        </w:rPr>
      </w:pPr>
    </w:p>
    <w:p w14:paraId="16102A17" w14:textId="77777777" w:rsidR="00403F1C" w:rsidRPr="00471754" w:rsidRDefault="00403F1C" w:rsidP="00403F1C">
      <w:pPr>
        <w:spacing w:line="480" w:lineRule="auto"/>
        <w:rPr>
          <w:rFonts w:ascii="Arial" w:hAnsi="Arial" w:cs="Arial"/>
          <w:color w:val="222222"/>
          <w:sz w:val="24"/>
          <w:szCs w:val="24"/>
          <w:shd w:val="clear" w:color="auto" w:fill="FFFFFF"/>
        </w:rPr>
      </w:pPr>
      <w:r w:rsidRPr="00471754">
        <w:rPr>
          <w:rFonts w:ascii="Arial" w:hAnsi="Arial" w:cs="Arial"/>
          <w:color w:val="222222"/>
          <w:sz w:val="24"/>
          <w:szCs w:val="24"/>
          <w:shd w:val="clear" w:color="auto" w:fill="FFFFFF"/>
        </w:rPr>
        <w:t xml:space="preserve">Clarke, T. (2014). "The impact of </w:t>
      </w:r>
      <w:proofErr w:type="spellStart"/>
      <w:r w:rsidRPr="00471754">
        <w:rPr>
          <w:rFonts w:ascii="Arial" w:hAnsi="Arial" w:cs="Arial"/>
          <w:color w:val="222222"/>
          <w:sz w:val="24"/>
          <w:szCs w:val="24"/>
          <w:shd w:val="clear" w:color="auto" w:fill="FFFFFF"/>
        </w:rPr>
        <w:t>financialisation</w:t>
      </w:r>
      <w:proofErr w:type="spellEnd"/>
      <w:r w:rsidRPr="00471754">
        <w:rPr>
          <w:rFonts w:ascii="Arial" w:hAnsi="Arial" w:cs="Arial"/>
          <w:color w:val="222222"/>
          <w:sz w:val="24"/>
          <w:szCs w:val="24"/>
          <w:shd w:val="clear" w:color="auto" w:fill="FFFFFF"/>
        </w:rPr>
        <w:t xml:space="preserve"> on international corporate governance: the role of agency theory and </w:t>
      </w:r>
      <w:proofErr w:type="spellStart"/>
      <w:r w:rsidRPr="00471754">
        <w:rPr>
          <w:rFonts w:ascii="Arial" w:hAnsi="Arial" w:cs="Arial"/>
          <w:color w:val="222222"/>
          <w:sz w:val="24"/>
          <w:szCs w:val="24"/>
          <w:shd w:val="clear" w:color="auto" w:fill="FFFFFF"/>
        </w:rPr>
        <w:t>maximising</w:t>
      </w:r>
      <w:proofErr w:type="spellEnd"/>
      <w:r w:rsidRPr="00471754">
        <w:rPr>
          <w:rFonts w:ascii="Arial" w:hAnsi="Arial" w:cs="Arial"/>
          <w:color w:val="222222"/>
          <w:sz w:val="24"/>
          <w:szCs w:val="24"/>
          <w:shd w:val="clear" w:color="auto" w:fill="FFFFFF"/>
        </w:rPr>
        <w:t xml:space="preserve"> shareholder </w:t>
      </w:r>
      <w:proofErr w:type="spellStart"/>
      <w:r w:rsidRPr="00471754">
        <w:rPr>
          <w:rFonts w:ascii="Arial" w:hAnsi="Arial" w:cs="Arial"/>
          <w:color w:val="222222"/>
          <w:sz w:val="24"/>
          <w:szCs w:val="24"/>
          <w:shd w:val="clear" w:color="auto" w:fill="FFFFFF"/>
        </w:rPr>
        <w:t>value."</w:t>
      </w:r>
      <w:r w:rsidRPr="00471754">
        <w:rPr>
          <w:rFonts w:ascii="Arial" w:hAnsi="Arial" w:cs="Arial"/>
          <w:i/>
          <w:iCs/>
          <w:color w:val="222222"/>
          <w:sz w:val="24"/>
          <w:szCs w:val="24"/>
          <w:shd w:val="clear" w:color="auto" w:fill="FFFFFF"/>
        </w:rPr>
        <w:t>Law</w:t>
      </w:r>
      <w:proofErr w:type="spellEnd"/>
      <w:r w:rsidRPr="00471754">
        <w:rPr>
          <w:rFonts w:ascii="Arial" w:hAnsi="Arial" w:cs="Arial"/>
          <w:i/>
          <w:iCs/>
          <w:color w:val="222222"/>
          <w:sz w:val="24"/>
          <w:szCs w:val="24"/>
          <w:shd w:val="clear" w:color="auto" w:fill="FFFFFF"/>
        </w:rPr>
        <w:t xml:space="preserve"> and Financial Markets Review</w:t>
      </w:r>
      <w:r w:rsidRPr="00471754">
        <w:rPr>
          <w:rFonts w:ascii="Arial" w:hAnsi="Arial" w:cs="Arial"/>
          <w:color w:val="222222"/>
          <w:sz w:val="24"/>
          <w:szCs w:val="24"/>
          <w:shd w:val="clear" w:color="auto" w:fill="FFFFFF"/>
        </w:rPr>
        <w:t>, 8(1), pp 39-51.</w:t>
      </w:r>
    </w:p>
    <w:p w14:paraId="052B7938" w14:textId="77777777" w:rsidR="00403F1C" w:rsidRPr="00403F1C" w:rsidRDefault="00403F1C" w:rsidP="00403F1C">
      <w:pPr>
        <w:spacing w:line="480" w:lineRule="auto"/>
        <w:rPr>
          <w:rFonts w:ascii="Arial" w:hAnsi="Arial" w:cs="Arial"/>
          <w:color w:val="222222"/>
          <w:sz w:val="24"/>
          <w:szCs w:val="24"/>
          <w:shd w:val="clear" w:color="auto" w:fill="FFFFFF"/>
        </w:rPr>
      </w:pPr>
    </w:p>
    <w:p w14:paraId="6FD60A0B" w14:textId="77777777" w:rsidR="00403F1C" w:rsidRPr="00471754" w:rsidRDefault="00403F1C" w:rsidP="00403F1C">
      <w:pPr>
        <w:spacing w:line="480" w:lineRule="auto"/>
        <w:rPr>
          <w:rFonts w:ascii="Arial" w:hAnsi="Arial" w:cs="Arial"/>
          <w:color w:val="222222"/>
          <w:sz w:val="24"/>
          <w:szCs w:val="24"/>
          <w:shd w:val="clear" w:color="auto" w:fill="FFFFFF"/>
        </w:rPr>
      </w:pPr>
      <w:r w:rsidRPr="00471754">
        <w:rPr>
          <w:rFonts w:ascii="Arial" w:hAnsi="Arial" w:cs="Arial"/>
          <w:color w:val="222222"/>
          <w:sz w:val="24"/>
          <w:szCs w:val="24"/>
          <w:shd w:val="clear" w:color="auto" w:fill="FFFFFF"/>
        </w:rPr>
        <w:t>Chakrabarty, S., &amp; Erin Bass, A. (2015). Comparing virtue, "Comparing virtue, consequentialist, and deontological ethics-based corporate social responsibility: Mitigating microfinance risk in institutional voids." </w:t>
      </w:r>
      <w:r w:rsidRPr="00471754">
        <w:rPr>
          <w:rFonts w:ascii="Arial" w:hAnsi="Arial" w:cs="Arial"/>
          <w:i/>
          <w:iCs/>
          <w:color w:val="222222"/>
          <w:sz w:val="24"/>
          <w:szCs w:val="24"/>
          <w:shd w:val="clear" w:color="auto" w:fill="FFFFFF"/>
        </w:rPr>
        <w:t xml:space="preserve"> Journal of business ethics</w:t>
      </w:r>
      <w:r w:rsidRPr="00471754">
        <w:rPr>
          <w:rFonts w:ascii="Arial" w:hAnsi="Arial" w:cs="Arial"/>
          <w:color w:val="222222"/>
          <w:sz w:val="24"/>
          <w:szCs w:val="24"/>
          <w:shd w:val="clear" w:color="auto" w:fill="FFFFFF"/>
        </w:rPr>
        <w:t>, 126, pp 487-512.</w:t>
      </w:r>
    </w:p>
    <w:p w14:paraId="014C4AC0" w14:textId="77777777" w:rsidR="00403F1C" w:rsidRPr="00403F1C" w:rsidRDefault="00403F1C" w:rsidP="00403F1C">
      <w:pPr>
        <w:spacing w:line="480" w:lineRule="auto"/>
        <w:rPr>
          <w:rFonts w:ascii="Arial" w:hAnsi="Arial" w:cs="Arial"/>
          <w:color w:val="222222"/>
          <w:sz w:val="24"/>
          <w:szCs w:val="24"/>
          <w:shd w:val="clear" w:color="auto" w:fill="FFFFFF"/>
        </w:rPr>
      </w:pPr>
    </w:p>
    <w:p w14:paraId="66DC59E0" w14:textId="77777777" w:rsidR="00403F1C" w:rsidRPr="00471754" w:rsidRDefault="00403F1C" w:rsidP="00403F1C">
      <w:pPr>
        <w:spacing w:line="480" w:lineRule="auto"/>
        <w:rPr>
          <w:rFonts w:ascii="Arial" w:hAnsi="Arial" w:cs="Arial"/>
          <w:color w:val="222222"/>
          <w:sz w:val="24"/>
          <w:szCs w:val="24"/>
          <w:shd w:val="clear" w:color="auto" w:fill="FFFFFF"/>
        </w:rPr>
      </w:pPr>
      <w:r w:rsidRPr="00471754">
        <w:rPr>
          <w:rFonts w:ascii="Arial" w:hAnsi="Arial" w:cs="Arial"/>
          <w:color w:val="222222"/>
          <w:sz w:val="24"/>
          <w:szCs w:val="24"/>
          <w:shd w:val="clear" w:color="auto" w:fill="FFFFFF"/>
        </w:rPr>
        <w:t>Freeman, R. E. (2015). "Stakeholder theory." </w:t>
      </w:r>
      <w:r w:rsidRPr="00471754">
        <w:rPr>
          <w:rFonts w:ascii="Arial" w:hAnsi="Arial" w:cs="Arial"/>
          <w:i/>
          <w:iCs/>
          <w:color w:val="222222"/>
          <w:sz w:val="24"/>
          <w:szCs w:val="24"/>
          <w:shd w:val="clear" w:color="auto" w:fill="FFFFFF"/>
        </w:rPr>
        <w:t>Wiley encyclopedia of management</w:t>
      </w:r>
      <w:r w:rsidRPr="00471754">
        <w:rPr>
          <w:rFonts w:ascii="Arial" w:hAnsi="Arial" w:cs="Arial"/>
          <w:color w:val="222222"/>
          <w:sz w:val="24"/>
          <w:szCs w:val="24"/>
          <w:shd w:val="clear" w:color="auto" w:fill="FFFFFF"/>
        </w:rPr>
        <w:t>,</w:t>
      </w:r>
      <w:r w:rsidRPr="00403F1C">
        <w:rPr>
          <w:rFonts w:ascii="Arial" w:hAnsi="Arial" w:cs="Arial"/>
          <w:color w:val="222222"/>
          <w:sz w:val="24"/>
          <w:szCs w:val="24"/>
          <w:shd w:val="clear" w:color="auto" w:fill="FFFFFF"/>
        </w:rPr>
        <w:t xml:space="preserve"> </w:t>
      </w:r>
      <w:r w:rsidRPr="00471754">
        <w:rPr>
          <w:rFonts w:ascii="Arial" w:hAnsi="Arial" w:cs="Arial"/>
          <w:color w:val="222222"/>
          <w:sz w:val="24"/>
          <w:szCs w:val="24"/>
          <w:shd w:val="clear" w:color="auto" w:fill="FFFFFF"/>
        </w:rPr>
        <w:t>pp 1-6.</w:t>
      </w:r>
    </w:p>
    <w:p w14:paraId="2E70D413" w14:textId="77777777" w:rsidR="00403F1C" w:rsidRPr="00403F1C" w:rsidRDefault="00403F1C" w:rsidP="00403F1C">
      <w:pPr>
        <w:spacing w:line="480" w:lineRule="auto"/>
        <w:rPr>
          <w:rFonts w:ascii="Arial" w:hAnsi="Arial" w:cs="Arial"/>
          <w:color w:val="222222"/>
          <w:sz w:val="24"/>
          <w:szCs w:val="24"/>
          <w:shd w:val="clear" w:color="auto" w:fill="FFFFFF"/>
        </w:rPr>
      </w:pPr>
    </w:p>
    <w:p w14:paraId="398498D8" w14:textId="77777777" w:rsidR="00403F1C" w:rsidRPr="00471754" w:rsidRDefault="00403F1C" w:rsidP="00403F1C">
      <w:pPr>
        <w:spacing w:line="480" w:lineRule="auto"/>
        <w:rPr>
          <w:rFonts w:ascii="Arial" w:hAnsi="Arial" w:cs="Arial"/>
          <w:color w:val="222222"/>
          <w:sz w:val="24"/>
          <w:szCs w:val="24"/>
          <w:shd w:val="clear" w:color="auto" w:fill="FFFFFF"/>
        </w:rPr>
      </w:pPr>
      <w:proofErr w:type="spellStart"/>
      <w:r w:rsidRPr="00471754">
        <w:rPr>
          <w:rFonts w:ascii="Arial" w:hAnsi="Arial" w:cs="Arial"/>
          <w:color w:val="222222"/>
          <w:sz w:val="24"/>
          <w:szCs w:val="24"/>
          <w:shd w:val="clear" w:color="auto" w:fill="FFFFFF"/>
        </w:rPr>
        <w:t>Kyove</w:t>
      </w:r>
      <w:proofErr w:type="spellEnd"/>
      <w:r w:rsidRPr="00471754">
        <w:rPr>
          <w:rFonts w:ascii="Arial" w:hAnsi="Arial" w:cs="Arial"/>
          <w:color w:val="222222"/>
          <w:sz w:val="24"/>
          <w:szCs w:val="24"/>
          <w:shd w:val="clear" w:color="auto" w:fill="FFFFFF"/>
        </w:rPr>
        <w:t xml:space="preserve">, J., </w:t>
      </w:r>
      <w:proofErr w:type="spellStart"/>
      <w:r w:rsidRPr="00471754">
        <w:rPr>
          <w:rFonts w:ascii="Arial" w:hAnsi="Arial" w:cs="Arial"/>
          <w:color w:val="222222"/>
          <w:sz w:val="24"/>
          <w:szCs w:val="24"/>
          <w:shd w:val="clear" w:color="auto" w:fill="FFFFFF"/>
        </w:rPr>
        <w:t>Streltsova</w:t>
      </w:r>
      <w:proofErr w:type="spellEnd"/>
      <w:r w:rsidRPr="00471754">
        <w:rPr>
          <w:rFonts w:ascii="Arial" w:hAnsi="Arial" w:cs="Arial"/>
          <w:color w:val="222222"/>
          <w:sz w:val="24"/>
          <w:szCs w:val="24"/>
          <w:shd w:val="clear" w:color="auto" w:fill="FFFFFF"/>
        </w:rPr>
        <w:t xml:space="preserve">, K., </w:t>
      </w:r>
      <w:proofErr w:type="spellStart"/>
      <w:r w:rsidRPr="00471754">
        <w:rPr>
          <w:rFonts w:ascii="Arial" w:hAnsi="Arial" w:cs="Arial"/>
          <w:color w:val="222222"/>
          <w:sz w:val="24"/>
          <w:szCs w:val="24"/>
          <w:shd w:val="clear" w:color="auto" w:fill="FFFFFF"/>
        </w:rPr>
        <w:t>Odibo</w:t>
      </w:r>
      <w:proofErr w:type="spellEnd"/>
      <w:r w:rsidRPr="00471754">
        <w:rPr>
          <w:rFonts w:ascii="Arial" w:hAnsi="Arial" w:cs="Arial"/>
          <w:color w:val="222222"/>
          <w:sz w:val="24"/>
          <w:szCs w:val="24"/>
          <w:shd w:val="clear" w:color="auto" w:fill="FFFFFF"/>
        </w:rPr>
        <w:t xml:space="preserve">, U., &amp; </w:t>
      </w:r>
      <w:proofErr w:type="spellStart"/>
      <w:r w:rsidRPr="00471754">
        <w:rPr>
          <w:rFonts w:ascii="Arial" w:hAnsi="Arial" w:cs="Arial"/>
          <w:color w:val="222222"/>
          <w:sz w:val="24"/>
          <w:szCs w:val="24"/>
          <w:shd w:val="clear" w:color="auto" w:fill="FFFFFF"/>
        </w:rPr>
        <w:t>Cirella</w:t>
      </w:r>
      <w:proofErr w:type="spellEnd"/>
      <w:r w:rsidRPr="00471754">
        <w:rPr>
          <w:rFonts w:ascii="Arial" w:hAnsi="Arial" w:cs="Arial"/>
          <w:color w:val="222222"/>
          <w:sz w:val="24"/>
          <w:szCs w:val="24"/>
          <w:shd w:val="clear" w:color="auto" w:fill="FFFFFF"/>
        </w:rPr>
        <w:t>, G. T. (2021)."Globalization impact on multinational enterprises." </w:t>
      </w:r>
      <w:r w:rsidRPr="00471754">
        <w:rPr>
          <w:rFonts w:ascii="Arial" w:hAnsi="Arial" w:cs="Arial"/>
          <w:i/>
          <w:iCs/>
          <w:color w:val="222222"/>
          <w:sz w:val="24"/>
          <w:szCs w:val="24"/>
          <w:shd w:val="clear" w:color="auto" w:fill="FFFFFF"/>
        </w:rPr>
        <w:t>World,</w:t>
      </w:r>
      <w:r w:rsidRPr="00471754">
        <w:rPr>
          <w:rFonts w:ascii="Arial" w:hAnsi="Arial" w:cs="Arial"/>
          <w:color w:val="222222"/>
          <w:sz w:val="24"/>
          <w:szCs w:val="24"/>
          <w:shd w:val="clear" w:color="auto" w:fill="FFFFFF"/>
        </w:rPr>
        <w:t xml:space="preserve"> 2(2),</w:t>
      </w:r>
      <w:r w:rsidRPr="00403F1C">
        <w:rPr>
          <w:rFonts w:ascii="Arial" w:hAnsi="Arial" w:cs="Arial"/>
          <w:color w:val="222222"/>
          <w:sz w:val="24"/>
          <w:szCs w:val="24"/>
          <w:shd w:val="clear" w:color="auto" w:fill="FFFFFF"/>
        </w:rPr>
        <w:t xml:space="preserve"> </w:t>
      </w:r>
      <w:r w:rsidRPr="00471754">
        <w:rPr>
          <w:rFonts w:ascii="Arial" w:hAnsi="Arial" w:cs="Arial"/>
          <w:color w:val="222222"/>
          <w:sz w:val="24"/>
          <w:szCs w:val="24"/>
          <w:shd w:val="clear" w:color="auto" w:fill="FFFFFF"/>
        </w:rPr>
        <w:t>pp 216-230.</w:t>
      </w:r>
    </w:p>
    <w:p w14:paraId="2EE87C4C" w14:textId="77777777" w:rsidR="00403F1C" w:rsidRPr="00403F1C" w:rsidRDefault="00403F1C" w:rsidP="00403F1C">
      <w:pPr>
        <w:spacing w:line="480" w:lineRule="auto"/>
        <w:rPr>
          <w:rFonts w:ascii="Arial" w:hAnsi="Arial" w:cs="Arial"/>
          <w:color w:val="222222"/>
          <w:sz w:val="24"/>
          <w:szCs w:val="24"/>
          <w:shd w:val="clear" w:color="auto" w:fill="FFFFFF"/>
        </w:rPr>
      </w:pPr>
    </w:p>
    <w:p w14:paraId="27F543AE" w14:textId="77777777" w:rsidR="00403F1C" w:rsidRPr="00403F1C" w:rsidRDefault="00403F1C" w:rsidP="00403F1C">
      <w:pPr>
        <w:spacing w:line="480" w:lineRule="auto"/>
        <w:rPr>
          <w:rFonts w:ascii="Arial" w:hAnsi="Arial" w:cs="Arial"/>
          <w:color w:val="222222"/>
          <w:sz w:val="24"/>
          <w:szCs w:val="24"/>
          <w:shd w:val="clear" w:color="auto" w:fill="FFFFFF"/>
        </w:rPr>
      </w:pPr>
      <w:proofErr w:type="spellStart"/>
      <w:r w:rsidRPr="00403F1C">
        <w:rPr>
          <w:rFonts w:ascii="Arial" w:hAnsi="Arial" w:cs="Arial"/>
          <w:color w:val="222222"/>
          <w:sz w:val="24"/>
          <w:szCs w:val="24"/>
          <w:shd w:val="clear" w:color="auto" w:fill="FFFFFF"/>
        </w:rPr>
        <w:t>Ristovska</w:t>
      </w:r>
      <w:proofErr w:type="spellEnd"/>
      <w:r w:rsidRPr="00403F1C">
        <w:rPr>
          <w:rFonts w:ascii="Arial" w:hAnsi="Arial" w:cs="Arial"/>
          <w:color w:val="222222"/>
          <w:sz w:val="24"/>
          <w:szCs w:val="24"/>
          <w:shd w:val="clear" w:color="auto" w:fill="FFFFFF"/>
        </w:rPr>
        <w:t xml:space="preserve">, K., &amp; </w:t>
      </w:r>
      <w:proofErr w:type="spellStart"/>
      <w:r w:rsidRPr="00403F1C">
        <w:rPr>
          <w:rFonts w:ascii="Arial" w:hAnsi="Arial" w:cs="Arial"/>
          <w:color w:val="222222"/>
          <w:sz w:val="24"/>
          <w:szCs w:val="24"/>
          <w:shd w:val="clear" w:color="auto" w:fill="FFFFFF"/>
        </w:rPr>
        <w:t>Ristovska</w:t>
      </w:r>
      <w:proofErr w:type="spellEnd"/>
      <w:r w:rsidRPr="00403F1C">
        <w:rPr>
          <w:rFonts w:ascii="Arial" w:hAnsi="Arial" w:cs="Arial"/>
          <w:color w:val="222222"/>
          <w:sz w:val="24"/>
          <w:szCs w:val="24"/>
          <w:shd w:val="clear" w:color="auto" w:fill="FFFFFF"/>
        </w:rPr>
        <w:t xml:space="preserve">, A. (2014). "The impact of globalization on the </w:t>
      </w:r>
      <w:r w:rsidRPr="00403F1C">
        <w:rPr>
          <w:rFonts w:ascii="Arial" w:hAnsi="Arial" w:cs="Arial"/>
          <w:color w:val="222222"/>
          <w:sz w:val="24"/>
          <w:szCs w:val="24"/>
          <w:shd w:val="clear" w:color="auto" w:fill="FFFFFF"/>
        </w:rPr>
        <w:lastRenderedPageBreak/>
        <w:t>business." </w:t>
      </w:r>
      <w:r w:rsidRPr="00403F1C">
        <w:rPr>
          <w:rFonts w:ascii="Arial" w:hAnsi="Arial" w:cs="Arial"/>
          <w:i/>
          <w:iCs/>
          <w:color w:val="222222"/>
          <w:sz w:val="24"/>
          <w:szCs w:val="24"/>
          <w:shd w:val="clear" w:color="auto" w:fill="FFFFFF"/>
        </w:rPr>
        <w:t>Economic Analysis</w:t>
      </w:r>
      <w:r w:rsidRPr="00403F1C">
        <w:rPr>
          <w:rFonts w:ascii="Arial" w:hAnsi="Arial" w:cs="Arial"/>
          <w:color w:val="222222"/>
          <w:sz w:val="24"/>
          <w:szCs w:val="24"/>
          <w:shd w:val="clear" w:color="auto" w:fill="FFFFFF"/>
        </w:rPr>
        <w:t>, 47(3-4), pp 83-89.</w:t>
      </w:r>
    </w:p>
    <w:p w14:paraId="07323C69" w14:textId="77777777" w:rsidR="00403F1C" w:rsidRPr="00403F1C" w:rsidRDefault="00403F1C" w:rsidP="00403F1C">
      <w:pPr>
        <w:spacing w:line="480" w:lineRule="auto"/>
        <w:rPr>
          <w:rFonts w:ascii="Arial" w:hAnsi="Arial" w:cs="Arial"/>
          <w:color w:val="222222"/>
          <w:sz w:val="24"/>
          <w:szCs w:val="24"/>
          <w:shd w:val="clear" w:color="auto" w:fill="FFFFFF"/>
        </w:rPr>
      </w:pPr>
    </w:p>
    <w:p w14:paraId="2D444596" w14:textId="77777777" w:rsidR="00403F1C" w:rsidRPr="00403F1C" w:rsidRDefault="00403F1C" w:rsidP="00403F1C">
      <w:pPr>
        <w:spacing w:line="480" w:lineRule="auto"/>
        <w:rPr>
          <w:rFonts w:ascii="Arial" w:hAnsi="Arial" w:cs="Arial"/>
          <w:color w:val="222222"/>
          <w:sz w:val="24"/>
          <w:szCs w:val="24"/>
          <w:shd w:val="clear" w:color="auto" w:fill="FFFFFF"/>
        </w:rPr>
      </w:pPr>
      <w:r w:rsidRPr="00471754">
        <w:rPr>
          <w:rFonts w:ascii="Arial" w:hAnsi="Arial" w:cs="Arial"/>
          <w:color w:val="222222"/>
          <w:sz w:val="24"/>
          <w:szCs w:val="24"/>
          <w:shd w:val="clear" w:color="auto" w:fill="FFFFFF"/>
        </w:rPr>
        <w:t>Lazar, S., &amp; Timmons, M. (2019). "Deontological decision theory and the grounds of subjective permissibility." </w:t>
      </w:r>
      <w:r w:rsidRPr="00471754">
        <w:rPr>
          <w:rFonts w:ascii="Arial" w:hAnsi="Arial" w:cs="Arial"/>
          <w:i/>
          <w:iCs/>
          <w:color w:val="222222"/>
          <w:sz w:val="24"/>
          <w:szCs w:val="24"/>
          <w:shd w:val="clear" w:color="auto" w:fill="FFFFFF"/>
        </w:rPr>
        <w:t xml:space="preserve"> Studies in Normative Ethics</w:t>
      </w:r>
      <w:r w:rsidRPr="00471754">
        <w:rPr>
          <w:rFonts w:ascii="Arial" w:hAnsi="Arial" w:cs="Arial"/>
          <w:color w:val="222222"/>
          <w:sz w:val="24"/>
          <w:szCs w:val="24"/>
          <w:shd w:val="clear" w:color="auto" w:fill="FFFFFF"/>
        </w:rPr>
        <w:t>, 9, pp 204-222.</w:t>
      </w:r>
    </w:p>
    <w:p w14:paraId="2F2E633C" w14:textId="77777777" w:rsidR="00403F1C" w:rsidRPr="00403F1C" w:rsidRDefault="00403F1C" w:rsidP="00403F1C">
      <w:pPr>
        <w:spacing w:line="480" w:lineRule="auto"/>
        <w:rPr>
          <w:rFonts w:ascii="Arial" w:hAnsi="Arial" w:cs="Arial"/>
          <w:color w:val="222222"/>
          <w:sz w:val="24"/>
          <w:szCs w:val="24"/>
          <w:shd w:val="clear" w:color="auto" w:fill="FFFFFF"/>
        </w:rPr>
      </w:pPr>
    </w:p>
    <w:p w14:paraId="21A1C32D" w14:textId="77777777" w:rsidR="00403F1C" w:rsidRPr="00292CF2" w:rsidRDefault="00403F1C" w:rsidP="00403F1C">
      <w:pPr>
        <w:spacing w:line="480" w:lineRule="auto"/>
        <w:rPr>
          <w:rFonts w:ascii="Arial" w:hAnsi="Arial" w:cs="Arial"/>
          <w:color w:val="222222"/>
          <w:sz w:val="24"/>
          <w:szCs w:val="24"/>
          <w:shd w:val="clear" w:color="auto" w:fill="FFFFFF"/>
        </w:rPr>
      </w:pPr>
      <w:r w:rsidRPr="00292CF2">
        <w:rPr>
          <w:rFonts w:ascii="Arial" w:hAnsi="Arial" w:cs="Arial"/>
          <w:color w:val="222222"/>
          <w:sz w:val="24"/>
          <w:szCs w:val="24"/>
          <w:shd w:val="clear" w:color="auto" w:fill="FFFFFF"/>
        </w:rPr>
        <w:t>Lambert, S. C., &amp; Davidson, R. A. (2013). "Applications of the business model in studies of enterprise success, innovation and classification: An analysis of empirical research from 1996 to 2010." </w:t>
      </w:r>
      <w:r w:rsidRPr="00292CF2">
        <w:rPr>
          <w:rFonts w:ascii="Arial" w:hAnsi="Arial" w:cs="Arial"/>
          <w:i/>
          <w:iCs/>
          <w:color w:val="222222"/>
          <w:sz w:val="24"/>
          <w:szCs w:val="24"/>
          <w:shd w:val="clear" w:color="auto" w:fill="FFFFFF"/>
        </w:rPr>
        <w:t>European management journal</w:t>
      </w:r>
      <w:r w:rsidRPr="00292CF2">
        <w:rPr>
          <w:rFonts w:ascii="Arial" w:hAnsi="Arial" w:cs="Arial"/>
          <w:color w:val="222222"/>
          <w:sz w:val="24"/>
          <w:szCs w:val="24"/>
          <w:shd w:val="clear" w:color="auto" w:fill="FFFFFF"/>
        </w:rPr>
        <w:t>, 31(6), pp 668-681.</w:t>
      </w:r>
    </w:p>
    <w:p w14:paraId="55C948AC" w14:textId="77777777" w:rsidR="00403F1C" w:rsidRPr="00471754" w:rsidRDefault="00403F1C" w:rsidP="00403F1C">
      <w:pPr>
        <w:spacing w:line="480" w:lineRule="auto"/>
        <w:rPr>
          <w:rFonts w:ascii="Arial" w:hAnsi="Arial" w:cs="Arial"/>
          <w:color w:val="222222"/>
          <w:sz w:val="24"/>
          <w:szCs w:val="24"/>
          <w:shd w:val="clear" w:color="auto" w:fill="FFFFFF"/>
        </w:rPr>
      </w:pPr>
    </w:p>
    <w:p w14:paraId="25F5D896" w14:textId="77777777" w:rsidR="00403F1C" w:rsidRPr="0005107E" w:rsidRDefault="00403F1C" w:rsidP="00403F1C">
      <w:pPr>
        <w:spacing w:line="480" w:lineRule="auto"/>
        <w:rPr>
          <w:rFonts w:ascii="Arial" w:hAnsi="Arial" w:cs="Arial"/>
          <w:color w:val="222222"/>
          <w:sz w:val="24"/>
          <w:szCs w:val="24"/>
          <w:shd w:val="clear" w:color="auto" w:fill="FFFFFF"/>
        </w:rPr>
      </w:pPr>
      <w:proofErr w:type="spellStart"/>
      <w:r w:rsidRPr="0005107E">
        <w:rPr>
          <w:rFonts w:ascii="Arial" w:hAnsi="Arial" w:cs="Arial"/>
          <w:color w:val="222222"/>
          <w:sz w:val="24"/>
          <w:szCs w:val="24"/>
          <w:shd w:val="clear" w:color="auto" w:fill="FFFFFF"/>
        </w:rPr>
        <w:t>Manasakis</w:t>
      </w:r>
      <w:proofErr w:type="spellEnd"/>
      <w:r w:rsidRPr="0005107E">
        <w:rPr>
          <w:rFonts w:ascii="Arial" w:hAnsi="Arial" w:cs="Arial"/>
          <w:color w:val="222222"/>
          <w:sz w:val="24"/>
          <w:szCs w:val="24"/>
          <w:shd w:val="clear" w:color="auto" w:fill="FFFFFF"/>
        </w:rPr>
        <w:t xml:space="preserve">, C. (2018). "Business ethics and corporate social responsibility." </w:t>
      </w:r>
      <w:r w:rsidRPr="0005107E">
        <w:rPr>
          <w:rFonts w:ascii="Arial" w:hAnsi="Arial" w:cs="Arial"/>
          <w:i/>
          <w:iCs/>
          <w:color w:val="222222"/>
          <w:sz w:val="24"/>
          <w:szCs w:val="24"/>
          <w:shd w:val="clear" w:color="auto" w:fill="FFFFFF"/>
        </w:rPr>
        <w:t>Managerial and Decision Economics</w:t>
      </w:r>
      <w:r w:rsidRPr="0005107E">
        <w:rPr>
          <w:rFonts w:ascii="Arial" w:hAnsi="Arial" w:cs="Arial"/>
          <w:color w:val="222222"/>
          <w:sz w:val="24"/>
          <w:szCs w:val="24"/>
          <w:shd w:val="clear" w:color="auto" w:fill="FFFFFF"/>
        </w:rPr>
        <w:t>, 39(4),</w:t>
      </w:r>
      <w:r w:rsidRPr="00403F1C">
        <w:rPr>
          <w:rFonts w:ascii="Arial" w:hAnsi="Arial" w:cs="Arial"/>
          <w:color w:val="222222"/>
          <w:sz w:val="24"/>
          <w:szCs w:val="24"/>
          <w:shd w:val="clear" w:color="auto" w:fill="FFFFFF"/>
        </w:rPr>
        <w:t xml:space="preserve"> </w:t>
      </w:r>
      <w:r w:rsidRPr="0005107E">
        <w:rPr>
          <w:rFonts w:ascii="Arial" w:hAnsi="Arial" w:cs="Arial"/>
          <w:color w:val="222222"/>
          <w:sz w:val="24"/>
          <w:szCs w:val="24"/>
          <w:shd w:val="clear" w:color="auto" w:fill="FFFFFF"/>
        </w:rPr>
        <w:t>pp 486-497.</w:t>
      </w:r>
    </w:p>
    <w:p w14:paraId="6382ADC2" w14:textId="77777777" w:rsidR="00403F1C" w:rsidRPr="00471754" w:rsidRDefault="00403F1C" w:rsidP="00403F1C">
      <w:pPr>
        <w:spacing w:line="480" w:lineRule="auto"/>
        <w:rPr>
          <w:rFonts w:ascii="Arial" w:hAnsi="Arial" w:cs="Arial"/>
          <w:color w:val="222222"/>
          <w:sz w:val="24"/>
          <w:szCs w:val="24"/>
          <w:shd w:val="clear" w:color="auto" w:fill="FFFFFF"/>
        </w:rPr>
      </w:pPr>
    </w:p>
    <w:p w14:paraId="2750DF51" w14:textId="77777777" w:rsidR="00403F1C" w:rsidRPr="0005107E" w:rsidRDefault="00403F1C" w:rsidP="00403F1C">
      <w:pPr>
        <w:spacing w:line="480" w:lineRule="auto"/>
        <w:rPr>
          <w:rFonts w:ascii="Arial" w:hAnsi="Arial" w:cs="Arial"/>
          <w:color w:val="222222"/>
          <w:sz w:val="24"/>
          <w:szCs w:val="24"/>
          <w:shd w:val="clear" w:color="auto" w:fill="FFFFFF"/>
        </w:rPr>
      </w:pPr>
      <w:r w:rsidRPr="0005107E">
        <w:rPr>
          <w:rFonts w:ascii="Arial" w:hAnsi="Arial" w:cs="Arial"/>
          <w:color w:val="222222"/>
          <w:sz w:val="24"/>
          <w:szCs w:val="24"/>
          <w:shd w:val="clear" w:color="auto" w:fill="FFFFFF"/>
        </w:rPr>
        <w:t>O’Connell, M., &amp; Ward, A. M. (2020). "Shareholder theory/shareholder value." </w:t>
      </w:r>
      <w:r w:rsidRPr="0005107E">
        <w:rPr>
          <w:rFonts w:ascii="Arial" w:hAnsi="Arial" w:cs="Arial"/>
          <w:i/>
          <w:iCs/>
          <w:color w:val="222222"/>
          <w:sz w:val="24"/>
          <w:szCs w:val="24"/>
          <w:shd w:val="clear" w:color="auto" w:fill="FFFFFF"/>
        </w:rPr>
        <w:t>Encyclopedia of sustainable management</w:t>
      </w:r>
      <w:r w:rsidRPr="0005107E">
        <w:rPr>
          <w:rFonts w:ascii="Arial" w:hAnsi="Arial" w:cs="Arial"/>
          <w:color w:val="222222"/>
          <w:sz w:val="24"/>
          <w:szCs w:val="24"/>
          <w:shd w:val="clear" w:color="auto" w:fill="FFFFFF"/>
        </w:rPr>
        <w:t>,</w:t>
      </w:r>
      <w:r w:rsidRPr="00403F1C">
        <w:rPr>
          <w:rFonts w:ascii="Arial" w:hAnsi="Arial" w:cs="Arial"/>
          <w:color w:val="222222"/>
          <w:sz w:val="24"/>
          <w:szCs w:val="24"/>
          <w:shd w:val="clear" w:color="auto" w:fill="FFFFFF"/>
        </w:rPr>
        <w:t xml:space="preserve"> </w:t>
      </w:r>
      <w:r w:rsidRPr="0005107E">
        <w:rPr>
          <w:rFonts w:ascii="Arial" w:hAnsi="Arial" w:cs="Arial"/>
          <w:color w:val="222222"/>
          <w:sz w:val="24"/>
          <w:szCs w:val="24"/>
          <w:shd w:val="clear" w:color="auto" w:fill="FFFFFF"/>
        </w:rPr>
        <w:t>pp 1-7.</w:t>
      </w:r>
    </w:p>
    <w:p w14:paraId="6493F938" w14:textId="77777777" w:rsidR="00403F1C" w:rsidRPr="00403F1C" w:rsidRDefault="00403F1C" w:rsidP="00403F1C">
      <w:pPr>
        <w:spacing w:line="480" w:lineRule="auto"/>
        <w:rPr>
          <w:rFonts w:ascii="Arial" w:hAnsi="Arial" w:cs="Arial"/>
          <w:color w:val="222222"/>
          <w:sz w:val="24"/>
          <w:szCs w:val="24"/>
          <w:shd w:val="clear" w:color="auto" w:fill="FFFFFF"/>
        </w:rPr>
      </w:pPr>
    </w:p>
    <w:p w14:paraId="1BCCCE89" w14:textId="77777777" w:rsidR="00403F1C" w:rsidRPr="00403F1C" w:rsidRDefault="00403F1C" w:rsidP="00403F1C">
      <w:pPr>
        <w:widowControl/>
        <w:autoSpaceDE w:val="0"/>
        <w:spacing w:after="160" w:line="480" w:lineRule="auto"/>
        <w:rPr>
          <w:rFonts w:ascii="Arial" w:hAnsi="Arial" w:cs="Arial"/>
          <w:sz w:val="24"/>
          <w:szCs w:val="24"/>
        </w:rPr>
      </w:pPr>
      <w:proofErr w:type="spellStart"/>
      <w:r w:rsidRPr="0005107E">
        <w:rPr>
          <w:rFonts w:ascii="Arial" w:hAnsi="Arial" w:cs="Arial"/>
          <w:sz w:val="24"/>
          <w:szCs w:val="24"/>
        </w:rPr>
        <w:t>Rouwette</w:t>
      </w:r>
      <w:proofErr w:type="spellEnd"/>
      <w:r w:rsidRPr="0005107E">
        <w:rPr>
          <w:rFonts w:ascii="Arial" w:hAnsi="Arial" w:cs="Arial"/>
          <w:sz w:val="24"/>
          <w:szCs w:val="24"/>
        </w:rPr>
        <w:t xml:space="preserve">, E., De </w:t>
      </w:r>
      <w:proofErr w:type="spellStart"/>
      <w:r w:rsidRPr="0005107E">
        <w:rPr>
          <w:rFonts w:ascii="Arial" w:hAnsi="Arial" w:cs="Arial"/>
          <w:sz w:val="24"/>
          <w:szCs w:val="24"/>
        </w:rPr>
        <w:t>Gooyert</w:t>
      </w:r>
      <w:proofErr w:type="spellEnd"/>
      <w:r w:rsidRPr="0005107E">
        <w:rPr>
          <w:rFonts w:ascii="Arial" w:hAnsi="Arial" w:cs="Arial"/>
          <w:sz w:val="24"/>
          <w:szCs w:val="24"/>
        </w:rPr>
        <w:t xml:space="preserve">, V., Van </w:t>
      </w:r>
      <w:proofErr w:type="spellStart"/>
      <w:r w:rsidRPr="0005107E">
        <w:rPr>
          <w:rFonts w:ascii="Arial" w:hAnsi="Arial" w:cs="Arial"/>
          <w:sz w:val="24"/>
          <w:szCs w:val="24"/>
        </w:rPr>
        <w:t>Kranenburg</w:t>
      </w:r>
      <w:proofErr w:type="spellEnd"/>
      <w:r w:rsidRPr="0005107E">
        <w:rPr>
          <w:rFonts w:ascii="Arial" w:hAnsi="Arial" w:cs="Arial"/>
          <w:sz w:val="24"/>
          <w:szCs w:val="24"/>
        </w:rPr>
        <w:t>, H., &amp; Freeman, E. (2017). "Reviewing the role of stakeholders in Operational Research: A stakeholder theory perspective." </w:t>
      </w:r>
      <w:r w:rsidRPr="0005107E">
        <w:rPr>
          <w:rFonts w:ascii="Arial" w:hAnsi="Arial" w:cs="Arial"/>
          <w:i/>
          <w:iCs/>
          <w:sz w:val="24"/>
          <w:szCs w:val="24"/>
        </w:rPr>
        <w:t>European Journal of Operational Research</w:t>
      </w:r>
      <w:r w:rsidRPr="0005107E">
        <w:rPr>
          <w:rFonts w:ascii="Arial" w:hAnsi="Arial" w:cs="Arial"/>
          <w:sz w:val="24"/>
          <w:szCs w:val="24"/>
        </w:rPr>
        <w:t>, 262(2), pp 402-410.</w:t>
      </w:r>
    </w:p>
    <w:p w14:paraId="67FD2D83" w14:textId="77777777" w:rsidR="00403F1C" w:rsidRDefault="00403F1C" w:rsidP="00403F1C">
      <w:pPr>
        <w:spacing w:line="480" w:lineRule="auto"/>
        <w:rPr>
          <w:rFonts w:ascii="Arial" w:hAnsi="Arial" w:cs="Arial"/>
          <w:color w:val="222222"/>
          <w:sz w:val="24"/>
          <w:szCs w:val="24"/>
          <w:shd w:val="clear" w:color="auto" w:fill="FFFFFF"/>
        </w:rPr>
      </w:pPr>
    </w:p>
    <w:p w14:paraId="1B1C148B" w14:textId="029D4F70" w:rsidR="00403F1C" w:rsidRPr="00403F1C" w:rsidRDefault="00403F1C" w:rsidP="00403F1C">
      <w:pPr>
        <w:spacing w:line="480" w:lineRule="auto"/>
        <w:rPr>
          <w:rFonts w:ascii="Arial" w:hAnsi="Arial" w:cs="Arial"/>
          <w:color w:val="222222"/>
          <w:sz w:val="24"/>
          <w:szCs w:val="24"/>
          <w:shd w:val="clear" w:color="auto" w:fill="FFFFFF"/>
        </w:rPr>
      </w:pPr>
      <w:r w:rsidRPr="00403F1C">
        <w:rPr>
          <w:rFonts w:ascii="Arial" w:hAnsi="Arial" w:cs="Arial"/>
          <w:color w:val="222222"/>
          <w:sz w:val="24"/>
          <w:szCs w:val="24"/>
          <w:shd w:val="clear" w:color="auto" w:fill="FFFFFF"/>
        </w:rPr>
        <w:lastRenderedPageBreak/>
        <w:t>Stanwick, P., &amp; Stanwick, S. (2013). </w:t>
      </w:r>
      <w:r w:rsidRPr="00403F1C">
        <w:rPr>
          <w:rFonts w:ascii="Arial" w:hAnsi="Arial" w:cs="Arial"/>
          <w:i/>
          <w:iCs/>
          <w:color w:val="222222"/>
          <w:sz w:val="24"/>
          <w:szCs w:val="24"/>
          <w:shd w:val="clear" w:color="auto" w:fill="FFFFFF"/>
        </w:rPr>
        <w:t>Understanding business ethics</w:t>
      </w:r>
      <w:r w:rsidRPr="00403F1C">
        <w:rPr>
          <w:rFonts w:ascii="Arial" w:hAnsi="Arial" w:cs="Arial"/>
          <w:color w:val="222222"/>
          <w:sz w:val="24"/>
          <w:szCs w:val="24"/>
          <w:shd w:val="clear" w:color="auto" w:fill="FFFFFF"/>
        </w:rPr>
        <w:t>. Sage, pp 2-19.</w:t>
      </w:r>
    </w:p>
    <w:p w14:paraId="1F4CE9DF" w14:textId="77777777" w:rsidR="00403F1C" w:rsidRPr="00403F1C" w:rsidRDefault="00403F1C" w:rsidP="00403F1C">
      <w:pPr>
        <w:widowControl/>
        <w:autoSpaceDE w:val="0"/>
        <w:spacing w:after="160" w:line="480" w:lineRule="auto"/>
        <w:rPr>
          <w:rFonts w:ascii="Arial" w:hAnsi="Arial" w:cs="Arial"/>
          <w:sz w:val="24"/>
          <w:szCs w:val="24"/>
        </w:rPr>
      </w:pPr>
    </w:p>
    <w:p w14:paraId="64B4CD87" w14:textId="77777777" w:rsidR="00403F1C" w:rsidRPr="00403F1C" w:rsidRDefault="00403F1C" w:rsidP="00403F1C">
      <w:pPr>
        <w:spacing w:line="480" w:lineRule="auto"/>
        <w:rPr>
          <w:rFonts w:ascii="Arial" w:hAnsi="Arial" w:cs="Arial"/>
          <w:color w:val="222222"/>
          <w:sz w:val="24"/>
          <w:szCs w:val="24"/>
          <w:shd w:val="clear" w:color="auto" w:fill="FFFFFF"/>
        </w:rPr>
      </w:pPr>
      <w:r w:rsidRPr="00403F1C">
        <w:rPr>
          <w:rFonts w:ascii="Arial" w:hAnsi="Arial" w:cs="Arial"/>
          <w:color w:val="222222"/>
          <w:sz w:val="24"/>
          <w:szCs w:val="24"/>
          <w:shd w:val="clear" w:color="auto" w:fill="FFFFFF"/>
        </w:rPr>
        <w:t>Tai, F. M., &amp; Chuang, S. H. (2014). "Corporate social responsibility."  </w:t>
      </w:r>
      <w:proofErr w:type="spellStart"/>
      <w:r w:rsidRPr="00403F1C">
        <w:rPr>
          <w:rFonts w:ascii="Arial" w:hAnsi="Arial" w:cs="Arial"/>
          <w:i/>
          <w:iCs/>
          <w:color w:val="222222"/>
          <w:sz w:val="24"/>
          <w:szCs w:val="24"/>
          <w:shd w:val="clear" w:color="auto" w:fill="FFFFFF"/>
        </w:rPr>
        <w:t>Ibusiness</w:t>
      </w:r>
      <w:proofErr w:type="spellEnd"/>
      <w:r w:rsidRPr="00403F1C">
        <w:rPr>
          <w:rFonts w:ascii="Arial" w:hAnsi="Arial" w:cs="Arial"/>
          <w:i/>
          <w:iCs/>
          <w:color w:val="222222"/>
          <w:sz w:val="24"/>
          <w:szCs w:val="24"/>
          <w:shd w:val="clear" w:color="auto" w:fill="FFFFFF"/>
        </w:rPr>
        <w:t>,</w:t>
      </w:r>
      <w:r w:rsidRPr="00403F1C">
        <w:rPr>
          <w:rFonts w:ascii="Arial" w:hAnsi="Arial" w:cs="Arial"/>
          <w:color w:val="222222"/>
          <w:sz w:val="24"/>
          <w:szCs w:val="24"/>
          <w:shd w:val="clear" w:color="auto" w:fill="FFFFFF"/>
        </w:rPr>
        <w:t xml:space="preserve"> 6(03</w:t>
      </w:r>
      <w:proofErr w:type="gramStart"/>
      <w:r w:rsidRPr="00403F1C">
        <w:rPr>
          <w:rFonts w:ascii="Arial" w:hAnsi="Arial" w:cs="Arial"/>
          <w:color w:val="222222"/>
          <w:sz w:val="24"/>
          <w:szCs w:val="24"/>
          <w:shd w:val="clear" w:color="auto" w:fill="FFFFFF"/>
        </w:rPr>
        <w:t>),p</w:t>
      </w:r>
      <w:proofErr w:type="gramEnd"/>
      <w:r w:rsidRPr="00403F1C">
        <w:rPr>
          <w:rFonts w:ascii="Arial" w:hAnsi="Arial" w:cs="Arial"/>
          <w:color w:val="222222"/>
          <w:sz w:val="24"/>
          <w:szCs w:val="24"/>
          <w:shd w:val="clear" w:color="auto" w:fill="FFFFFF"/>
        </w:rPr>
        <w:t xml:space="preserve"> 117.</w:t>
      </w:r>
    </w:p>
    <w:p w14:paraId="073D92C2" w14:textId="77777777" w:rsidR="00403F1C" w:rsidRPr="00403F1C" w:rsidRDefault="00403F1C" w:rsidP="00403F1C">
      <w:pPr>
        <w:spacing w:line="480" w:lineRule="auto"/>
        <w:rPr>
          <w:rFonts w:ascii="Arial" w:hAnsi="Arial" w:cs="Arial"/>
          <w:sz w:val="24"/>
          <w:szCs w:val="24"/>
        </w:rPr>
      </w:pPr>
    </w:p>
    <w:p w14:paraId="6033C05E" w14:textId="77777777" w:rsidR="00403F1C" w:rsidRPr="00403F1C" w:rsidRDefault="00403F1C" w:rsidP="00403F1C">
      <w:pPr>
        <w:spacing w:line="480" w:lineRule="auto"/>
        <w:rPr>
          <w:rFonts w:ascii="Arial" w:hAnsi="Arial" w:cs="Arial"/>
          <w:sz w:val="24"/>
          <w:szCs w:val="24"/>
        </w:rPr>
      </w:pPr>
      <w:proofErr w:type="spellStart"/>
      <w:r w:rsidRPr="00403F1C">
        <w:rPr>
          <w:rFonts w:ascii="Arial" w:hAnsi="Arial" w:cs="Arial"/>
          <w:sz w:val="24"/>
          <w:szCs w:val="24"/>
        </w:rPr>
        <w:t>Tennert</w:t>
      </w:r>
      <w:proofErr w:type="spellEnd"/>
      <w:r w:rsidRPr="00403F1C">
        <w:rPr>
          <w:rFonts w:ascii="Arial" w:hAnsi="Arial" w:cs="Arial"/>
          <w:sz w:val="24"/>
          <w:szCs w:val="24"/>
        </w:rPr>
        <w:t>, F. (2014). "An attributional analysis of corporate reporting in crisis situations: The 2010 Toyota recall." </w:t>
      </w:r>
      <w:r w:rsidRPr="00403F1C">
        <w:rPr>
          <w:rFonts w:ascii="Arial" w:hAnsi="Arial" w:cs="Arial"/>
          <w:i/>
          <w:iCs/>
          <w:sz w:val="24"/>
          <w:szCs w:val="24"/>
        </w:rPr>
        <w:t xml:space="preserve"> Journal of Communication Management</w:t>
      </w:r>
      <w:r w:rsidRPr="00403F1C">
        <w:rPr>
          <w:rFonts w:ascii="Arial" w:hAnsi="Arial" w:cs="Arial"/>
          <w:sz w:val="24"/>
          <w:szCs w:val="24"/>
        </w:rPr>
        <w:t>, 18(4), pp 422-435.</w:t>
      </w:r>
    </w:p>
    <w:p w14:paraId="3C67B036" w14:textId="77777777" w:rsidR="00403F1C" w:rsidRPr="0034063A" w:rsidRDefault="00403F1C" w:rsidP="00403F1C">
      <w:pPr>
        <w:spacing w:line="480" w:lineRule="auto"/>
        <w:rPr>
          <w:rFonts w:ascii="Arial" w:hAnsi="Arial" w:cs="Arial"/>
          <w:sz w:val="24"/>
          <w:szCs w:val="24"/>
        </w:rPr>
      </w:pPr>
    </w:p>
    <w:p w14:paraId="70DFEE31" w14:textId="77777777" w:rsidR="00403F1C" w:rsidRPr="0034063A" w:rsidRDefault="00403F1C" w:rsidP="00403F1C">
      <w:pPr>
        <w:spacing w:line="480" w:lineRule="auto"/>
        <w:rPr>
          <w:rFonts w:ascii="Arial" w:hAnsi="Arial" w:cs="Arial"/>
          <w:sz w:val="24"/>
          <w:szCs w:val="24"/>
        </w:rPr>
      </w:pPr>
      <w:r w:rsidRPr="0034063A">
        <w:rPr>
          <w:rFonts w:ascii="Arial" w:hAnsi="Arial" w:cs="Arial"/>
          <w:sz w:val="24"/>
          <w:szCs w:val="24"/>
        </w:rPr>
        <w:t>Tomas, C. M. (2013). "Recalling Toyota."  </w:t>
      </w:r>
      <w:r w:rsidRPr="0034063A">
        <w:rPr>
          <w:rFonts w:ascii="Arial" w:hAnsi="Arial" w:cs="Arial"/>
          <w:i/>
          <w:iCs/>
          <w:sz w:val="24"/>
          <w:szCs w:val="24"/>
        </w:rPr>
        <w:t>Emerald Emerging Markets Case Studies</w:t>
      </w:r>
      <w:r w:rsidRPr="0034063A">
        <w:rPr>
          <w:rFonts w:ascii="Arial" w:hAnsi="Arial" w:cs="Arial"/>
          <w:sz w:val="24"/>
          <w:szCs w:val="24"/>
        </w:rPr>
        <w:t>, 3(5), pp 1-10.</w:t>
      </w:r>
    </w:p>
    <w:p w14:paraId="59C1C130" w14:textId="77777777" w:rsidR="00403F1C" w:rsidRPr="00403F1C" w:rsidRDefault="00403F1C" w:rsidP="00403F1C">
      <w:pPr>
        <w:spacing w:line="480" w:lineRule="auto"/>
        <w:rPr>
          <w:rFonts w:ascii="Arial" w:hAnsi="Arial" w:cs="Arial"/>
          <w:sz w:val="24"/>
          <w:szCs w:val="24"/>
        </w:rPr>
      </w:pPr>
    </w:p>
    <w:p w14:paraId="791D4426" w14:textId="77777777" w:rsidR="00403F1C" w:rsidRPr="00403F1C" w:rsidRDefault="00403F1C" w:rsidP="00403F1C">
      <w:pPr>
        <w:spacing w:line="480" w:lineRule="auto"/>
        <w:rPr>
          <w:rFonts w:ascii="Arial" w:hAnsi="Arial" w:cs="Arial"/>
          <w:sz w:val="24"/>
          <w:szCs w:val="24"/>
        </w:rPr>
      </w:pPr>
      <w:proofErr w:type="spellStart"/>
      <w:r w:rsidRPr="00403F1C">
        <w:rPr>
          <w:rFonts w:ascii="Arial" w:hAnsi="Arial" w:cs="Arial"/>
          <w:sz w:val="24"/>
          <w:szCs w:val="24"/>
        </w:rPr>
        <w:t>Tse</w:t>
      </w:r>
      <w:proofErr w:type="spellEnd"/>
      <w:r w:rsidRPr="00403F1C">
        <w:rPr>
          <w:rFonts w:ascii="Arial" w:hAnsi="Arial" w:cs="Arial"/>
          <w:sz w:val="24"/>
          <w:szCs w:val="24"/>
        </w:rPr>
        <w:t>, T. (2011). "Shareholder and stakeholder theory: After the financial crisis." </w:t>
      </w:r>
      <w:r w:rsidRPr="00403F1C">
        <w:rPr>
          <w:rFonts w:ascii="Arial" w:hAnsi="Arial" w:cs="Arial"/>
          <w:i/>
          <w:iCs/>
          <w:sz w:val="24"/>
          <w:szCs w:val="24"/>
        </w:rPr>
        <w:t>Qualitative Research in Financial Markets</w:t>
      </w:r>
      <w:r w:rsidRPr="00403F1C">
        <w:rPr>
          <w:rFonts w:ascii="Arial" w:hAnsi="Arial" w:cs="Arial"/>
          <w:sz w:val="24"/>
          <w:szCs w:val="24"/>
        </w:rPr>
        <w:t>, 3(1), pp 51-63.</w:t>
      </w:r>
    </w:p>
    <w:p w14:paraId="72CC4D5A" w14:textId="77777777" w:rsidR="00403F1C" w:rsidRPr="00403F1C" w:rsidRDefault="00403F1C" w:rsidP="00403F1C">
      <w:pPr>
        <w:spacing w:line="480" w:lineRule="auto"/>
        <w:rPr>
          <w:rFonts w:ascii="Arial" w:hAnsi="Arial" w:cs="Arial"/>
          <w:sz w:val="24"/>
          <w:szCs w:val="24"/>
        </w:rPr>
      </w:pPr>
    </w:p>
    <w:p w14:paraId="22C076F3" w14:textId="77777777" w:rsidR="00403F1C" w:rsidRPr="00403F1C" w:rsidRDefault="00403F1C" w:rsidP="00403F1C">
      <w:pPr>
        <w:spacing w:line="480" w:lineRule="auto"/>
        <w:rPr>
          <w:rFonts w:ascii="Arial" w:hAnsi="Arial" w:cs="Arial"/>
          <w:sz w:val="24"/>
          <w:szCs w:val="24"/>
        </w:rPr>
      </w:pPr>
      <w:r w:rsidRPr="00403F1C">
        <w:rPr>
          <w:rFonts w:ascii="Arial" w:hAnsi="Arial" w:cs="Arial"/>
          <w:sz w:val="24"/>
          <w:szCs w:val="24"/>
        </w:rPr>
        <w:t>Yu, Z., Khan, S. A. R., &amp; Liu, Y. (2020). "Exploring the role of corporate social responsibility practices in enterprises." </w:t>
      </w:r>
      <w:r w:rsidRPr="00403F1C">
        <w:rPr>
          <w:rFonts w:ascii="Arial" w:hAnsi="Arial" w:cs="Arial"/>
          <w:i/>
          <w:iCs/>
          <w:sz w:val="24"/>
          <w:szCs w:val="24"/>
        </w:rPr>
        <w:t>Journal of Advanced Manufacturing Systems</w:t>
      </w:r>
      <w:r w:rsidRPr="00403F1C">
        <w:rPr>
          <w:rFonts w:ascii="Arial" w:hAnsi="Arial" w:cs="Arial"/>
          <w:sz w:val="24"/>
          <w:szCs w:val="24"/>
        </w:rPr>
        <w:t>, 19(03), pp 449-461.</w:t>
      </w:r>
    </w:p>
    <w:p w14:paraId="4CA0087E" w14:textId="77777777" w:rsidR="00403F1C" w:rsidRPr="00403F1C" w:rsidRDefault="00403F1C" w:rsidP="00403F1C">
      <w:pPr>
        <w:spacing w:line="480" w:lineRule="auto"/>
        <w:rPr>
          <w:rFonts w:ascii="Arial" w:hAnsi="Arial" w:cs="Arial"/>
          <w:sz w:val="24"/>
          <w:szCs w:val="24"/>
        </w:rPr>
      </w:pPr>
    </w:p>
    <w:p w14:paraId="327296CD" w14:textId="77777777" w:rsidR="00403F1C" w:rsidRPr="00403F1C" w:rsidRDefault="00403F1C" w:rsidP="00403F1C">
      <w:pPr>
        <w:spacing w:line="480" w:lineRule="auto"/>
        <w:rPr>
          <w:rFonts w:ascii="Arial" w:hAnsi="Arial" w:cs="Arial"/>
          <w:sz w:val="24"/>
          <w:szCs w:val="24"/>
        </w:rPr>
      </w:pPr>
    </w:p>
    <w:p w14:paraId="0BF5FE0A" w14:textId="77777777" w:rsidR="008840F2" w:rsidRPr="00403F1C" w:rsidRDefault="008840F2" w:rsidP="00403F1C">
      <w:pPr>
        <w:spacing w:line="480" w:lineRule="auto"/>
        <w:rPr>
          <w:rFonts w:ascii="Arial" w:hAnsi="Arial" w:cs="Arial"/>
          <w:sz w:val="24"/>
          <w:szCs w:val="24"/>
        </w:rPr>
      </w:pPr>
    </w:p>
    <w:sectPr w:rsidR="008840F2" w:rsidRPr="00403F1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F1C"/>
    <w:rsid w:val="00403F1C"/>
    <w:rsid w:val="006446E2"/>
    <w:rsid w:val="008840F2"/>
    <w:rsid w:val="009341BD"/>
    <w:rsid w:val="00C11F7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E2B167"/>
  <w15:chartTrackingRefBased/>
  <w15:docId w15:val="{F3723C06-8B1E-E34B-9D83-A6CD8BC5D4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03F1C"/>
    <w:pPr>
      <w:widowControl w:val="0"/>
      <w:jc w:val="both"/>
    </w:pPr>
    <w:rPr>
      <w:rFonts w:ascii="Calibri" w:eastAsia="宋体" w:hAnsi="Calibri" w:cs="Times New Roman"/>
      <w:szCs w:val="21"/>
      <w14:ligatures w14:val="none"/>
    </w:rPr>
  </w:style>
  <w:style w:type="paragraph" w:styleId="1">
    <w:name w:val="heading 1"/>
    <w:basedOn w:val="a"/>
    <w:next w:val="a"/>
    <w:link w:val="10"/>
    <w:uiPriority w:val="9"/>
    <w:qFormat/>
    <w:rsid w:val="00403F1C"/>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403F1C"/>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03F1C"/>
    <w:rPr>
      <w:rFonts w:ascii="Calibri" w:eastAsia="宋体" w:hAnsi="Calibri" w:cs="Times New Roman"/>
      <w:b/>
      <w:bCs/>
      <w:kern w:val="44"/>
      <w:sz w:val="44"/>
      <w:szCs w:val="44"/>
      <w14:ligatures w14:val="none"/>
    </w:rPr>
  </w:style>
  <w:style w:type="character" w:customStyle="1" w:styleId="20">
    <w:name w:val="标题 2 字符"/>
    <w:basedOn w:val="a0"/>
    <w:link w:val="2"/>
    <w:uiPriority w:val="9"/>
    <w:rsid w:val="00403F1C"/>
    <w:rPr>
      <w:rFonts w:asciiTheme="majorHAnsi" w:eastAsiaTheme="majorEastAsia" w:hAnsiTheme="majorHAnsi" w:cstheme="majorBidi"/>
      <w:b/>
      <w:bCs/>
      <w:sz w:val="32"/>
      <w:szCs w:val="3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7223165">
      <w:bodyDiv w:val="1"/>
      <w:marLeft w:val="0"/>
      <w:marRight w:val="0"/>
      <w:marTop w:val="0"/>
      <w:marBottom w:val="0"/>
      <w:divBdr>
        <w:top w:val="none" w:sz="0" w:space="0" w:color="auto"/>
        <w:left w:val="none" w:sz="0" w:space="0" w:color="auto"/>
        <w:bottom w:val="none" w:sz="0" w:space="0" w:color="auto"/>
        <w:right w:val="none" w:sz="0" w:space="0" w:color="auto"/>
      </w:divBdr>
    </w:div>
    <w:div w:id="1726489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39EAC4-4ABC-8348-BDA5-1F5A895FB1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17</Pages>
  <Words>3242</Words>
  <Characters>18483</Characters>
  <Application>Microsoft Office Word</Application>
  <DocSecurity>0</DocSecurity>
  <Lines>154</Lines>
  <Paragraphs>43</Paragraphs>
  <ScaleCrop>false</ScaleCrop>
  <Company/>
  <LinksUpToDate>false</LinksUpToDate>
  <CharactersWithSpaces>21682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1324228253@qq.com</dc:creator>
  <cp:keywords/>
  <dc:description/>
  <cp:lastModifiedBy>1324228253@qq.com</cp:lastModifiedBy>
  <cp:revision>2</cp:revision>
  <dcterms:created xsi:type="dcterms:W3CDTF">2023-11-10T15:30:00Z</dcterms:created>
  <dcterms:modified xsi:type="dcterms:W3CDTF">2023-11-10T16:10:00Z</dcterms:modified>
</cp:coreProperties>
</file>