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2664EF" wp14:paraId="5E5787A5" wp14:textId="13E076AB">
      <w:pPr>
        <w:pStyle w:val="Normal"/>
        <w:jc w:val="center"/>
      </w:pPr>
      <w:r w:rsidR="782226F7">
        <w:drawing>
          <wp:inline xmlns:wp14="http://schemas.microsoft.com/office/word/2010/wordprocessingDrawing" wp14:editId="17569ADD" wp14:anchorId="64EDD606">
            <wp:extent cx="4276725" cy="1907092"/>
            <wp:effectExtent l="0" t="0" r="0" b="0"/>
            <wp:docPr id="914781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4781853" name=""/>
                    <pic:cNvPicPr/>
                  </pic:nvPicPr>
                  <pic:blipFill>
                    <a:blip xmlns:r="http://schemas.openxmlformats.org/officeDocument/2006/relationships" r:embed="rId644841181">
                      <a:extLst>
                        <a:ext uri="{28A0092B-C50C-407E-A947-70E740481C1C}">
                          <a14:useLocalDpi xmlns:a14="http://schemas.microsoft.com/office/drawing/2010/main"/>
                        </a:ext>
                      </a:extLst>
                    </a:blip>
                    <a:stretch>
                      <a:fillRect/>
                    </a:stretch>
                  </pic:blipFill>
                  <pic:spPr>
                    <a:xfrm rot="0">
                      <a:off x="0" y="0"/>
                      <a:ext cx="4276725" cy="1907092"/>
                    </a:xfrm>
                    <a:prstGeom prst="rect">
                      <a:avLst/>
                    </a:prstGeom>
                  </pic:spPr>
                </pic:pic>
              </a:graphicData>
            </a:graphic>
          </wp:inline>
        </w:drawing>
      </w:r>
    </w:p>
    <w:p w:rsidR="652664EF" w:rsidP="652664EF" w:rsidRDefault="652664EF" w14:paraId="6A6482AF" w14:textId="0454BF8E">
      <w:pPr>
        <w:pStyle w:val="Normal"/>
        <w:jc w:val="center"/>
      </w:pPr>
    </w:p>
    <w:p w:rsidR="782226F7" w:rsidP="652664EF" w:rsidRDefault="782226F7" w14:paraId="2FFEC295" w14:textId="46F6D3D9">
      <w:pPr>
        <w:pStyle w:val="Normal"/>
        <w:jc w:val="center"/>
        <w:rPr>
          <w:rFonts w:ascii="Times New Roman" w:hAnsi="Times New Roman" w:eastAsia="Times New Roman" w:cs="Times New Roman"/>
          <w:b w:val="1"/>
          <w:bCs w:val="1"/>
          <w:color w:val="3A7C22" w:themeColor="accent6" w:themeTint="FF" w:themeShade="BF"/>
          <w:sz w:val="28"/>
          <w:szCs w:val="28"/>
        </w:rPr>
      </w:pPr>
      <w:r w:rsidRPr="652664EF" w:rsidR="782226F7">
        <w:rPr>
          <w:rFonts w:ascii="Times New Roman" w:hAnsi="Times New Roman" w:eastAsia="Times New Roman" w:cs="Times New Roman"/>
          <w:b w:val="1"/>
          <w:bCs w:val="1"/>
          <w:color w:val="3A7C22" w:themeColor="accent6" w:themeTint="FF" w:themeShade="BF"/>
          <w:sz w:val="28"/>
          <w:szCs w:val="28"/>
        </w:rPr>
        <w:t>Name</w:t>
      </w:r>
    </w:p>
    <w:p w:rsidR="782226F7" w:rsidP="652664EF" w:rsidRDefault="782226F7" w14:paraId="0462439D" w14:textId="5B86CF50">
      <w:pPr>
        <w:pStyle w:val="Normal"/>
        <w:jc w:val="center"/>
        <w:rPr>
          <w:rFonts w:ascii="Times New Roman" w:hAnsi="Times New Roman" w:eastAsia="Times New Roman" w:cs="Times New Roman"/>
          <w:b w:val="0"/>
          <w:bCs w:val="0"/>
          <w:color w:val="3A7C22" w:themeColor="accent6" w:themeTint="FF" w:themeShade="BF"/>
          <w:sz w:val="28"/>
          <w:szCs w:val="28"/>
        </w:rPr>
      </w:pPr>
      <w:r w:rsidRPr="652664EF" w:rsidR="782226F7">
        <w:rPr>
          <w:rFonts w:ascii="Times New Roman" w:hAnsi="Times New Roman" w:eastAsia="Times New Roman" w:cs="Times New Roman"/>
          <w:b w:val="0"/>
          <w:bCs w:val="0"/>
          <w:color w:val="3A7C22" w:themeColor="accent6" w:themeTint="FF" w:themeShade="BF"/>
          <w:sz w:val="28"/>
          <w:szCs w:val="28"/>
        </w:rPr>
        <w:t>Armands Putersevics</w:t>
      </w:r>
    </w:p>
    <w:p w:rsidR="652664EF" w:rsidP="652664EF" w:rsidRDefault="652664EF" w14:paraId="3F601271" w14:textId="5416AB26">
      <w:pPr>
        <w:pStyle w:val="Normal"/>
        <w:jc w:val="center"/>
        <w:rPr>
          <w:rFonts w:ascii="Times New Roman" w:hAnsi="Times New Roman" w:eastAsia="Times New Roman" w:cs="Times New Roman"/>
          <w:b w:val="0"/>
          <w:bCs w:val="0"/>
          <w:color w:val="3A7C22" w:themeColor="accent6" w:themeTint="FF" w:themeShade="BF"/>
          <w:sz w:val="28"/>
          <w:szCs w:val="28"/>
        </w:rPr>
      </w:pPr>
    </w:p>
    <w:p w:rsidR="652664EF" w:rsidP="652664EF" w:rsidRDefault="652664EF" w14:paraId="269522CC" w14:textId="7AE20C93">
      <w:pPr>
        <w:pStyle w:val="Normal"/>
        <w:jc w:val="center"/>
        <w:rPr>
          <w:rFonts w:ascii="Times New Roman" w:hAnsi="Times New Roman" w:eastAsia="Times New Roman" w:cs="Times New Roman"/>
          <w:b w:val="0"/>
          <w:bCs w:val="0"/>
          <w:color w:val="3A7C22" w:themeColor="accent6" w:themeTint="FF" w:themeShade="BF"/>
          <w:sz w:val="28"/>
          <w:szCs w:val="28"/>
        </w:rPr>
      </w:pPr>
    </w:p>
    <w:p w:rsidR="782226F7" w:rsidP="652664EF" w:rsidRDefault="782226F7" w14:paraId="7382286A" w14:textId="6D62C68E">
      <w:pPr>
        <w:pStyle w:val="Normal"/>
        <w:jc w:val="center"/>
        <w:rPr>
          <w:rFonts w:ascii="Times New Roman" w:hAnsi="Times New Roman" w:eastAsia="Times New Roman" w:cs="Times New Roman"/>
          <w:b w:val="1"/>
          <w:bCs w:val="1"/>
          <w:color w:val="3A7C22" w:themeColor="accent6" w:themeTint="FF" w:themeShade="BF"/>
          <w:sz w:val="28"/>
          <w:szCs w:val="28"/>
        </w:rPr>
      </w:pPr>
      <w:r w:rsidRPr="652664EF" w:rsidR="782226F7">
        <w:rPr>
          <w:rFonts w:ascii="Times New Roman" w:hAnsi="Times New Roman" w:eastAsia="Times New Roman" w:cs="Times New Roman"/>
          <w:b w:val="1"/>
          <w:bCs w:val="1"/>
          <w:color w:val="3A7C22" w:themeColor="accent6" w:themeTint="FF" w:themeShade="BF"/>
          <w:sz w:val="28"/>
          <w:szCs w:val="28"/>
        </w:rPr>
        <w:t>Student ID</w:t>
      </w:r>
    </w:p>
    <w:p w:rsidR="782226F7" w:rsidP="652664EF" w:rsidRDefault="782226F7" w14:paraId="148BB2A8" w14:textId="22EB5D73">
      <w:pPr>
        <w:pStyle w:val="Normal"/>
        <w:jc w:val="center"/>
        <w:rPr>
          <w:rFonts w:ascii="Times New Roman" w:hAnsi="Times New Roman" w:eastAsia="Times New Roman" w:cs="Times New Roman"/>
          <w:b w:val="0"/>
          <w:bCs w:val="0"/>
          <w:color w:val="3A7C22" w:themeColor="accent6" w:themeTint="FF" w:themeShade="BF"/>
          <w:sz w:val="28"/>
          <w:szCs w:val="28"/>
        </w:rPr>
      </w:pPr>
      <w:r w:rsidRPr="652664EF" w:rsidR="782226F7">
        <w:rPr>
          <w:rFonts w:ascii="Times New Roman" w:hAnsi="Times New Roman" w:eastAsia="Times New Roman" w:cs="Times New Roman"/>
          <w:b w:val="0"/>
          <w:bCs w:val="0"/>
          <w:color w:val="3A7C22" w:themeColor="accent6" w:themeTint="FF" w:themeShade="BF"/>
          <w:sz w:val="28"/>
          <w:szCs w:val="28"/>
        </w:rPr>
        <w:t>2242532</w:t>
      </w:r>
    </w:p>
    <w:p w:rsidR="652664EF" w:rsidP="652664EF" w:rsidRDefault="652664EF" w14:paraId="102E7B16" w14:textId="1AD12E91">
      <w:pPr>
        <w:pStyle w:val="Normal"/>
        <w:jc w:val="center"/>
        <w:rPr>
          <w:rFonts w:ascii="Times New Roman" w:hAnsi="Times New Roman" w:eastAsia="Times New Roman" w:cs="Times New Roman"/>
          <w:b w:val="0"/>
          <w:bCs w:val="0"/>
          <w:color w:val="3A7C22" w:themeColor="accent6" w:themeTint="FF" w:themeShade="BF"/>
          <w:sz w:val="28"/>
          <w:szCs w:val="28"/>
        </w:rPr>
      </w:pPr>
    </w:p>
    <w:p w:rsidR="652664EF" w:rsidP="652664EF" w:rsidRDefault="652664EF" w14:paraId="771B58A3" w14:textId="2233B706">
      <w:pPr>
        <w:pStyle w:val="Normal"/>
        <w:jc w:val="center"/>
        <w:rPr>
          <w:rFonts w:ascii="Times New Roman" w:hAnsi="Times New Roman" w:eastAsia="Times New Roman" w:cs="Times New Roman"/>
          <w:b w:val="0"/>
          <w:bCs w:val="0"/>
          <w:color w:val="3A7C22" w:themeColor="accent6" w:themeTint="FF" w:themeShade="BF"/>
          <w:sz w:val="28"/>
          <w:szCs w:val="28"/>
        </w:rPr>
      </w:pPr>
    </w:p>
    <w:p w:rsidR="782226F7" w:rsidP="652664EF" w:rsidRDefault="782226F7" w14:paraId="30B3FC7F" w14:textId="291440EB">
      <w:pPr>
        <w:pStyle w:val="Normal"/>
        <w:jc w:val="center"/>
        <w:rPr>
          <w:rFonts w:ascii="Times New Roman" w:hAnsi="Times New Roman" w:eastAsia="Times New Roman" w:cs="Times New Roman"/>
          <w:b w:val="1"/>
          <w:bCs w:val="1"/>
          <w:color w:val="3A7C22" w:themeColor="accent6" w:themeTint="FF" w:themeShade="BF"/>
          <w:sz w:val="28"/>
          <w:szCs w:val="28"/>
        </w:rPr>
      </w:pPr>
      <w:r w:rsidRPr="652664EF" w:rsidR="782226F7">
        <w:rPr>
          <w:rFonts w:ascii="Times New Roman" w:hAnsi="Times New Roman" w:eastAsia="Times New Roman" w:cs="Times New Roman"/>
          <w:b w:val="1"/>
          <w:bCs w:val="1"/>
          <w:color w:val="3A7C22" w:themeColor="accent6" w:themeTint="FF" w:themeShade="BF"/>
          <w:sz w:val="28"/>
          <w:szCs w:val="28"/>
        </w:rPr>
        <w:t>Lecturer</w:t>
      </w:r>
    </w:p>
    <w:p w:rsidR="782226F7" w:rsidP="652664EF" w:rsidRDefault="782226F7" w14:paraId="530914C2" w14:textId="10FCA352">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r w:rsidRPr="652664EF" w:rsidR="782226F7">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t>Dr, Muhammad</w:t>
      </w:r>
      <w:r w:rsidRPr="652664EF" w:rsidR="782226F7">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t xml:space="preserve"> Hasan Tariq</w:t>
      </w:r>
    </w:p>
    <w:p w:rsidR="652664EF" w:rsidP="652664EF" w:rsidRDefault="652664EF" w14:paraId="7832C6EE" w14:textId="46C30120">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p>
    <w:p w:rsidR="652664EF" w:rsidP="652664EF" w:rsidRDefault="652664EF" w14:paraId="146DB1F3" w14:textId="39990CFF">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p>
    <w:p w:rsidR="652664EF" w:rsidP="652664EF" w:rsidRDefault="652664EF" w14:paraId="2D741F70" w14:textId="07C28D9A">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p>
    <w:p w:rsidR="5DDE4912" w:rsidP="652664EF" w:rsidRDefault="5DDE4912" w14:paraId="57910063" w14:textId="0356060A">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652664EF" w:rsidR="5DDE4912">
        <w:rPr>
          <w:rFonts w:ascii="Aptos" w:hAnsi="Aptos" w:eastAsia="Aptos" w:cs="Aptos"/>
          <w:b w:val="1"/>
          <w:bCs w:val="1"/>
          <w:i w:val="0"/>
          <w:iCs w:val="0"/>
          <w:caps w:val="0"/>
          <w:smallCaps w:val="0"/>
          <w:noProof w:val="0"/>
          <w:color w:val="3A7C22" w:themeColor="accent6" w:themeTint="FF" w:themeShade="BF"/>
          <w:sz w:val="36"/>
          <w:szCs w:val="36"/>
          <w:lang w:val="en-GB"/>
        </w:rPr>
        <w:t>Leading and implement LCLCM 6003</w:t>
      </w:r>
    </w:p>
    <w:p w:rsidR="652664EF" w:rsidP="11C7D60D" w:rsidRDefault="652664EF" w14:paraId="4C3F014B" w14:textId="301F008D" w14:noSpellErr="1">
      <w:pPr>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11C7D60D" w:rsidRDefault="11C7D60D" w14:paraId="38DD8343" w14:textId="563FBD0C">
      <w:r>
        <w:br w:type="page"/>
      </w:r>
    </w:p>
    <w:p w:rsidR="0F8DF797" w:rsidP="11C7D60D" w:rsidRDefault="0F8DF797" w14:paraId="5500C485" w14:textId="4FB67386" w14:noSpellErr="1">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657395354" w:id="1770370345"/>
      <w:r w:rsidRPr="1AE577ED" w:rsidR="0F8DF797">
        <w:rPr>
          <w:b w:val="1"/>
          <w:bCs w:val="1"/>
          <w:noProof w:val="0"/>
          <w:color w:val="124F1A" w:themeColor="accent3" w:themeTint="FF" w:themeShade="BF"/>
          <w:lang w:val="en-GB"/>
        </w:rPr>
        <w:t>Executive Summary</w:t>
      </w:r>
      <w:bookmarkEnd w:id="1770370345"/>
    </w:p>
    <w:p w:rsidR="0F8DF797" w:rsidP="11C7D60D" w:rsidRDefault="0F8DF797" w14:noSpellErr="1" w14:paraId="199FE0D2" w14:textId="5A843E52">
      <w:pPr>
        <w:spacing w:before="240" w:beforeAutospacing="off" w:after="240" w:afterAutospacing="off"/>
        <w:jc w:val="left"/>
        <w:rPr>
          <w:rFonts w:ascii="Times New Roman" w:hAnsi="Times New Roman" w:eastAsia="Times New Roman" w:cs="Times New Roman"/>
          <w:noProof w:val="0"/>
          <w:sz w:val="24"/>
          <w:szCs w:val="24"/>
          <w:lang w:val="en-GB"/>
        </w:rPr>
      </w:pPr>
      <w:r w:rsidRPr="11C7D60D" w:rsidR="0F8DF797">
        <w:rPr>
          <w:rFonts w:ascii="Times New Roman" w:hAnsi="Times New Roman" w:eastAsia="Times New Roman" w:cs="Times New Roman"/>
          <w:noProof w:val="0"/>
          <w:sz w:val="24"/>
          <w:szCs w:val="24"/>
          <w:lang w:val="en-GB"/>
        </w:rPr>
        <w:t>Lotus Cars, a British sports car manufacturer owned by China’s Geely since 2017, is navigating a critical phase in its Vision80 strategy to become a luxury electric vehicle (EV) powerhouse by 2028. The company faces severe challenges: financial losses of $263 million in H1 2025, a 49% delivery drop in Q2 2025 due to U.S. tariffs, and delays in EV model launches. External pressures, including digital disruptions from AI-driven autonomous features and online sales platforms, compound internal issues such as 550 UK job cuts and leadership transitions. This report, prepared as Change Manager, employs a PESTLE framework to analyze these triggers, evaluates change management models like Kotter’s 8-Step Process, and assesses the impact of leadership and organisational culture on past initiatives.</w:t>
      </w:r>
    </w:p>
    <w:p w:rsidR="0F8DF797" w:rsidP="11C7D60D" w:rsidRDefault="0F8DF797" w14:paraId="7FDA0F9F" w14:textId="3F3297CE">
      <w:pPr>
        <w:spacing w:before="240" w:beforeAutospacing="off" w:after="240" w:afterAutospacing="off"/>
        <w:jc w:val="left"/>
        <w:rPr>
          <w:rFonts w:ascii="Times New Roman" w:hAnsi="Times New Roman" w:eastAsia="Times New Roman" w:cs="Times New Roman"/>
          <w:noProof w:val="0"/>
          <w:sz w:val="24"/>
          <w:szCs w:val="24"/>
          <w:lang w:val="en-GB"/>
        </w:rPr>
      </w:pPr>
      <w:r w:rsidRPr="11C7D60D" w:rsidR="0F8DF797">
        <w:rPr>
          <w:rFonts w:ascii="Times New Roman" w:hAnsi="Times New Roman" w:eastAsia="Times New Roman" w:cs="Times New Roman"/>
          <w:noProof w:val="0"/>
          <w:sz w:val="24"/>
          <w:szCs w:val="24"/>
          <w:lang w:val="en-GB"/>
        </w:rPr>
        <w:t>The proposed strategic change plan pivots to a hybrid-focused approach, targeting 10,000 annual deliveries by 2027, a £150 million investment for R&amp;D and workforce upskilling, and a multi-channel communication strategy to rebuild stakeholder trust. Key performance indicators (KPIs) will monitor delivery volumes, financial recovery, and employee engagement, aligning with Lotus’s ESG ‘Driving Change’ charter. Implementation is projected to yield a 20% revenue uplift by 2026, mitigating risks from tariffs and market shifts. By fostering innovation and cultural cohesion, this plan positions Lotus to achieve sustainable profitability and leadership in the luxury mobility sector, ensuring resilience amid global uncertainties.</w:t>
      </w:r>
    </w:p>
    <w:p w:rsidR="11C7D60D" w:rsidP="11C7D60D" w:rsidRDefault="11C7D60D" w14:paraId="7D23C87F" w14:textId="0937E329">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RDefault="652664EF" w14:paraId="20FBEC22" w14:textId="0445AF94">
      <w:r>
        <w:br w:type="page"/>
      </w:r>
    </w:p>
    <w:sdt>
      <w:sdtPr>
        <w:id w:val="1782032986"/>
        <w:docPartObj>
          <w:docPartGallery w:val="Table of Contents"/>
          <w:docPartUnique/>
        </w:docPartObj>
      </w:sdtPr>
      <w:sdtContent>
        <w:p w:rsidR="652664EF" w:rsidP="05179C46" w:rsidRDefault="652664EF" w14:paraId="644954EA" w14:textId="6A9DFE53">
          <w:pPr>
            <w:pStyle w:val="TOC1"/>
            <w:tabs>
              <w:tab w:val="right" w:leader="dot" w:pos="9015"/>
            </w:tabs>
            <w:bidi w:val="0"/>
            <w:rPr>
              <w:rStyle w:val="Hyperlink"/>
            </w:rPr>
          </w:pPr>
          <w:r>
            <w:fldChar w:fldCharType="begin"/>
          </w:r>
          <w:r>
            <w:instrText xml:space="preserve">TOC \o "1-9" \z \u \h</w:instrText>
          </w:r>
          <w:r>
            <w:fldChar w:fldCharType="separate"/>
          </w:r>
          <w:hyperlink w:anchor="_Toc657395354">
            <w:r w:rsidRPr="1AE577ED" w:rsidR="1AE577ED">
              <w:rPr>
                <w:rStyle w:val="Hyperlink"/>
              </w:rPr>
              <w:t>Executive Summary</w:t>
            </w:r>
            <w:r>
              <w:tab/>
            </w:r>
            <w:r>
              <w:fldChar w:fldCharType="begin"/>
            </w:r>
            <w:r>
              <w:instrText xml:space="preserve">PAGEREF _Toc657395354 \h</w:instrText>
            </w:r>
            <w:r>
              <w:fldChar w:fldCharType="separate"/>
            </w:r>
            <w:r w:rsidRPr="1AE577ED" w:rsidR="1AE577ED">
              <w:rPr>
                <w:rStyle w:val="Hyperlink"/>
              </w:rPr>
              <w:t>1</w:t>
            </w:r>
            <w:r>
              <w:fldChar w:fldCharType="end"/>
            </w:r>
          </w:hyperlink>
        </w:p>
        <w:p w:rsidR="652664EF" w:rsidP="05179C46" w:rsidRDefault="652664EF" w14:paraId="7273D830" w14:textId="1EDA6A77">
          <w:pPr>
            <w:pStyle w:val="TOC1"/>
            <w:tabs>
              <w:tab w:val="right" w:leader="dot" w:pos="9015"/>
            </w:tabs>
            <w:bidi w:val="0"/>
            <w:rPr>
              <w:rStyle w:val="Hyperlink"/>
            </w:rPr>
          </w:pPr>
          <w:hyperlink w:anchor="_Toc692731856">
            <w:r w:rsidRPr="1AE577ED" w:rsidR="1AE577ED">
              <w:rPr>
                <w:rStyle w:val="Hyperlink"/>
              </w:rPr>
              <w:t>Introduction</w:t>
            </w:r>
            <w:r>
              <w:tab/>
            </w:r>
            <w:r>
              <w:fldChar w:fldCharType="begin"/>
            </w:r>
            <w:r>
              <w:instrText xml:space="preserve">PAGEREF _Toc692731856 \h</w:instrText>
            </w:r>
            <w:r>
              <w:fldChar w:fldCharType="separate"/>
            </w:r>
            <w:r w:rsidRPr="1AE577ED" w:rsidR="1AE577ED">
              <w:rPr>
                <w:rStyle w:val="Hyperlink"/>
              </w:rPr>
              <w:t>4</w:t>
            </w:r>
            <w:r>
              <w:fldChar w:fldCharType="end"/>
            </w:r>
          </w:hyperlink>
        </w:p>
        <w:p w:rsidR="652664EF" w:rsidP="05179C46" w:rsidRDefault="652664EF" w14:paraId="69AADA93" w14:textId="35F3C43B">
          <w:pPr>
            <w:pStyle w:val="TOC1"/>
            <w:tabs>
              <w:tab w:val="right" w:leader="dot" w:pos="9015"/>
            </w:tabs>
            <w:bidi w:val="0"/>
            <w:rPr>
              <w:rStyle w:val="Hyperlink"/>
            </w:rPr>
          </w:pPr>
          <w:hyperlink w:anchor="_Toc1664876954">
            <w:r w:rsidRPr="1AE577ED" w:rsidR="1AE577ED">
              <w:rPr>
                <w:rStyle w:val="Hyperlink"/>
              </w:rPr>
              <w:t>Environmental Analysis</w:t>
            </w:r>
            <w:r>
              <w:tab/>
            </w:r>
            <w:r>
              <w:fldChar w:fldCharType="begin"/>
            </w:r>
            <w:r>
              <w:instrText xml:space="preserve">PAGEREF _Toc1664876954 \h</w:instrText>
            </w:r>
            <w:r>
              <w:fldChar w:fldCharType="separate"/>
            </w:r>
            <w:r w:rsidRPr="1AE577ED" w:rsidR="1AE577ED">
              <w:rPr>
                <w:rStyle w:val="Hyperlink"/>
              </w:rPr>
              <w:t>4</w:t>
            </w:r>
            <w:r>
              <w:fldChar w:fldCharType="end"/>
            </w:r>
          </w:hyperlink>
        </w:p>
        <w:p w:rsidR="652664EF" w:rsidP="05179C46" w:rsidRDefault="652664EF" w14:paraId="4F314114" w14:textId="2FA9FEE1">
          <w:pPr>
            <w:pStyle w:val="TOC2"/>
            <w:tabs>
              <w:tab w:val="right" w:leader="dot" w:pos="9015"/>
            </w:tabs>
            <w:bidi w:val="0"/>
            <w:rPr>
              <w:rStyle w:val="Hyperlink"/>
            </w:rPr>
          </w:pPr>
          <w:hyperlink w:anchor="_Toc362155470">
            <w:r w:rsidRPr="1AE577ED" w:rsidR="1AE577ED">
              <w:rPr>
                <w:rStyle w:val="Hyperlink"/>
              </w:rPr>
              <w:t>Organisational History Overview</w:t>
            </w:r>
            <w:r>
              <w:tab/>
            </w:r>
            <w:r>
              <w:fldChar w:fldCharType="begin"/>
            </w:r>
            <w:r>
              <w:instrText xml:space="preserve">PAGEREF _Toc362155470 \h</w:instrText>
            </w:r>
            <w:r>
              <w:fldChar w:fldCharType="separate"/>
            </w:r>
            <w:r w:rsidRPr="1AE577ED" w:rsidR="1AE577ED">
              <w:rPr>
                <w:rStyle w:val="Hyperlink"/>
              </w:rPr>
              <w:t>5</w:t>
            </w:r>
            <w:r>
              <w:fldChar w:fldCharType="end"/>
            </w:r>
          </w:hyperlink>
        </w:p>
        <w:p w:rsidR="652664EF" w:rsidP="05179C46" w:rsidRDefault="652664EF" w14:paraId="58361BFD" w14:textId="519024DC">
          <w:pPr>
            <w:pStyle w:val="TOC2"/>
            <w:tabs>
              <w:tab w:val="right" w:leader="dot" w:pos="9015"/>
            </w:tabs>
            <w:bidi w:val="0"/>
            <w:rPr>
              <w:rStyle w:val="Hyperlink"/>
            </w:rPr>
          </w:pPr>
          <w:hyperlink w:anchor="_Toc811620838">
            <w:r w:rsidRPr="1AE577ED" w:rsidR="1AE577ED">
              <w:rPr>
                <w:rStyle w:val="Hyperlink"/>
              </w:rPr>
              <w:t>External Environmental Analysis: PESTLE Framework</w:t>
            </w:r>
            <w:r>
              <w:tab/>
            </w:r>
            <w:r>
              <w:fldChar w:fldCharType="begin"/>
            </w:r>
            <w:r>
              <w:instrText xml:space="preserve">PAGEREF _Toc811620838 \h</w:instrText>
            </w:r>
            <w:r>
              <w:fldChar w:fldCharType="separate"/>
            </w:r>
            <w:r w:rsidRPr="1AE577ED" w:rsidR="1AE577ED">
              <w:rPr>
                <w:rStyle w:val="Hyperlink"/>
              </w:rPr>
              <w:t>5</w:t>
            </w:r>
            <w:r>
              <w:fldChar w:fldCharType="end"/>
            </w:r>
          </w:hyperlink>
        </w:p>
        <w:p w:rsidR="652664EF" w:rsidP="05179C46" w:rsidRDefault="652664EF" w14:paraId="60AEE5D2" w14:textId="18E5E14B">
          <w:pPr>
            <w:pStyle w:val="TOC2"/>
            <w:tabs>
              <w:tab w:val="right" w:leader="dot" w:pos="9015"/>
            </w:tabs>
            <w:bidi w:val="0"/>
            <w:rPr>
              <w:rStyle w:val="Hyperlink"/>
            </w:rPr>
          </w:pPr>
          <w:hyperlink w:anchor="_Toc96284891">
            <w:r w:rsidRPr="1AE577ED" w:rsidR="1AE577ED">
              <w:rPr>
                <w:rStyle w:val="Hyperlink"/>
              </w:rPr>
              <w:t>Internal Environmental Impacts</w:t>
            </w:r>
            <w:r>
              <w:tab/>
            </w:r>
            <w:r>
              <w:fldChar w:fldCharType="begin"/>
            </w:r>
            <w:r>
              <w:instrText xml:space="preserve">PAGEREF _Toc96284891 \h</w:instrText>
            </w:r>
            <w:r>
              <w:fldChar w:fldCharType="separate"/>
            </w:r>
            <w:r w:rsidRPr="1AE577ED" w:rsidR="1AE577ED">
              <w:rPr>
                <w:rStyle w:val="Hyperlink"/>
              </w:rPr>
              <w:t>6</w:t>
            </w:r>
            <w:r>
              <w:fldChar w:fldCharType="end"/>
            </w:r>
          </w:hyperlink>
        </w:p>
        <w:p w:rsidR="652664EF" w:rsidP="05179C46" w:rsidRDefault="652664EF" w14:paraId="6FA75664" w14:textId="0EA91C19">
          <w:pPr>
            <w:pStyle w:val="TOC2"/>
            <w:tabs>
              <w:tab w:val="right" w:leader="dot" w:pos="9015"/>
            </w:tabs>
            <w:bidi w:val="0"/>
            <w:rPr>
              <w:rStyle w:val="Hyperlink"/>
            </w:rPr>
          </w:pPr>
          <w:hyperlink w:anchor="_Toc168886260">
            <w:r w:rsidRPr="1AE577ED" w:rsidR="1AE577ED">
              <w:rPr>
                <w:rStyle w:val="Hyperlink"/>
              </w:rPr>
              <w:t>Evaluation of Change Management Models and Strategic Change</w:t>
            </w:r>
            <w:r>
              <w:tab/>
            </w:r>
            <w:r>
              <w:fldChar w:fldCharType="begin"/>
            </w:r>
            <w:r>
              <w:instrText xml:space="preserve">PAGEREF _Toc168886260 \h</w:instrText>
            </w:r>
            <w:r>
              <w:fldChar w:fldCharType="separate"/>
            </w:r>
            <w:r w:rsidRPr="1AE577ED" w:rsidR="1AE577ED">
              <w:rPr>
                <w:rStyle w:val="Hyperlink"/>
              </w:rPr>
              <w:t>6</w:t>
            </w:r>
            <w:r>
              <w:fldChar w:fldCharType="end"/>
            </w:r>
          </w:hyperlink>
        </w:p>
        <w:p w:rsidR="652664EF" w:rsidP="652664EF" w:rsidRDefault="652664EF" w14:paraId="566C17DA" w14:textId="06C84FAE">
          <w:pPr>
            <w:pStyle w:val="TOC3"/>
            <w:tabs>
              <w:tab w:val="right" w:leader="dot" w:pos="9015"/>
            </w:tabs>
            <w:bidi w:val="0"/>
            <w:rPr>
              <w:rStyle w:val="Hyperlink"/>
            </w:rPr>
          </w:pPr>
          <w:hyperlink w:anchor="_Toc36855625">
            <w:r w:rsidRPr="1AE577ED" w:rsidR="1AE577ED">
              <w:rPr>
                <w:rStyle w:val="Hyperlink"/>
              </w:rPr>
              <w:t>Evaluation of Change Management, Leadership Role, and Organisational Culture Impact</w:t>
            </w:r>
            <w:r>
              <w:tab/>
            </w:r>
            <w:r>
              <w:fldChar w:fldCharType="begin"/>
            </w:r>
            <w:r>
              <w:instrText xml:space="preserve">PAGEREF _Toc36855625 \h</w:instrText>
            </w:r>
            <w:r>
              <w:fldChar w:fldCharType="separate"/>
            </w:r>
            <w:r w:rsidRPr="1AE577ED" w:rsidR="1AE577ED">
              <w:rPr>
                <w:rStyle w:val="Hyperlink"/>
              </w:rPr>
              <w:t>7</w:t>
            </w:r>
            <w:r>
              <w:fldChar w:fldCharType="end"/>
            </w:r>
          </w:hyperlink>
        </w:p>
        <w:p w:rsidR="652664EF" w:rsidP="05179C46" w:rsidRDefault="652664EF" w14:paraId="1F853767" w14:textId="5F70F0D7">
          <w:pPr>
            <w:pStyle w:val="TOC1"/>
            <w:tabs>
              <w:tab w:val="right" w:leader="dot" w:pos="9015"/>
            </w:tabs>
            <w:bidi w:val="0"/>
            <w:rPr>
              <w:rStyle w:val="Hyperlink"/>
            </w:rPr>
          </w:pPr>
          <w:hyperlink w:anchor="_Toc1137883135">
            <w:r w:rsidRPr="1AE577ED" w:rsidR="1AE577ED">
              <w:rPr>
                <w:rStyle w:val="Hyperlink"/>
              </w:rPr>
              <w:t>Proposed Change Management Plan</w:t>
            </w:r>
            <w:r>
              <w:tab/>
            </w:r>
            <w:r>
              <w:fldChar w:fldCharType="begin"/>
            </w:r>
            <w:r>
              <w:instrText xml:space="preserve">PAGEREF _Toc1137883135 \h</w:instrText>
            </w:r>
            <w:r>
              <w:fldChar w:fldCharType="separate"/>
            </w:r>
            <w:r w:rsidRPr="1AE577ED" w:rsidR="1AE577ED">
              <w:rPr>
                <w:rStyle w:val="Hyperlink"/>
              </w:rPr>
              <w:t>8</w:t>
            </w:r>
            <w:r>
              <w:fldChar w:fldCharType="end"/>
            </w:r>
          </w:hyperlink>
        </w:p>
        <w:p w:rsidR="652664EF" w:rsidP="05179C46" w:rsidRDefault="652664EF" w14:paraId="67C6E5F3" w14:textId="75F5ABEE">
          <w:pPr>
            <w:pStyle w:val="TOC3"/>
            <w:tabs>
              <w:tab w:val="right" w:leader="dot" w:pos="9015"/>
            </w:tabs>
            <w:bidi w:val="0"/>
            <w:rPr>
              <w:rStyle w:val="Hyperlink"/>
            </w:rPr>
          </w:pPr>
          <w:hyperlink w:anchor="_Toc778420426">
            <w:r w:rsidRPr="1AE577ED" w:rsidR="1AE577ED">
              <w:rPr>
                <w:rStyle w:val="Hyperlink"/>
              </w:rPr>
              <w:t>Clear Objectives</w:t>
            </w:r>
            <w:r>
              <w:tab/>
            </w:r>
            <w:r>
              <w:fldChar w:fldCharType="begin"/>
            </w:r>
            <w:r>
              <w:instrText xml:space="preserve">PAGEREF _Toc778420426 \h</w:instrText>
            </w:r>
            <w:r>
              <w:fldChar w:fldCharType="separate"/>
            </w:r>
            <w:r w:rsidRPr="1AE577ED" w:rsidR="1AE577ED">
              <w:rPr>
                <w:rStyle w:val="Hyperlink"/>
              </w:rPr>
              <w:t>8</w:t>
            </w:r>
            <w:r>
              <w:fldChar w:fldCharType="end"/>
            </w:r>
          </w:hyperlink>
        </w:p>
        <w:p w:rsidR="652664EF" w:rsidP="05179C46" w:rsidRDefault="652664EF" w14:paraId="7E40D0D7" w14:textId="4D983766">
          <w:pPr>
            <w:pStyle w:val="TOC3"/>
            <w:tabs>
              <w:tab w:val="right" w:leader="dot" w:pos="9015"/>
            </w:tabs>
            <w:bidi w:val="0"/>
            <w:rPr>
              <w:rStyle w:val="Hyperlink"/>
            </w:rPr>
          </w:pPr>
          <w:hyperlink w:anchor="_Toc2010787632">
            <w:r w:rsidRPr="1AE577ED" w:rsidR="1AE577ED">
              <w:rPr>
                <w:rStyle w:val="Hyperlink"/>
              </w:rPr>
              <w:t>Financial Plan</w:t>
            </w:r>
            <w:r>
              <w:tab/>
            </w:r>
            <w:r>
              <w:fldChar w:fldCharType="begin"/>
            </w:r>
            <w:r>
              <w:instrText xml:space="preserve">PAGEREF _Toc2010787632 \h</w:instrText>
            </w:r>
            <w:r>
              <w:fldChar w:fldCharType="separate"/>
            </w:r>
            <w:r w:rsidRPr="1AE577ED" w:rsidR="1AE577ED">
              <w:rPr>
                <w:rStyle w:val="Hyperlink"/>
              </w:rPr>
              <w:t>9</w:t>
            </w:r>
            <w:r>
              <w:fldChar w:fldCharType="end"/>
            </w:r>
          </w:hyperlink>
        </w:p>
        <w:p w:rsidR="652664EF" w:rsidP="05179C46" w:rsidRDefault="652664EF" w14:paraId="1226177A" w14:textId="01F1522D">
          <w:pPr>
            <w:pStyle w:val="TOC1"/>
            <w:tabs>
              <w:tab w:val="right" w:leader="dot" w:pos="9015"/>
            </w:tabs>
            <w:bidi w:val="0"/>
            <w:rPr>
              <w:rStyle w:val="Hyperlink"/>
            </w:rPr>
          </w:pPr>
          <w:hyperlink w:anchor="_Toc445596297">
            <w:r w:rsidRPr="1AE577ED" w:rsidR="1AE577ED">
              <w:rPr>
                <w:rStyle w:val="Hyperlink"/>
              </w:rPr>
              <w:t>Strategic Budget Allocation</w:t>
            </w:r>
            <w:r>
              <w:tab/>
            </w:r>
            <w:r>
              <w:fldChar w:fldCharType="begin"/>
            </w:r>
            <w:r>
              <w:instrText xml:space="preserve">PAGEREF _Toc445596297 \h</w:instrText>
            </w:r>
            <w:r>
              <w:fldChar w:fldCharType="separate"/>
            </w:r>
            <w:r w:rsidRPr="1AE577ED" w:rsidR="1AE577ED">
              <w:rPr>
                <w:rStyle w:val="Hyperlink"/>
              </w:rPr>
              <w:t>9</w:t>
            </w:r>
            <w:r>
              <w:fldChar w:fldCharType="end"/>
            </w:r>
          </w:hyperlink>
        </w:p>
        <w:p w:rsidR="652664EF" w:rsidP="05179C46" w:rsidRDefault="652664EF" w14:paraId="3DE7BF66" w14:textId="46481140">
          <w:pPr>
            <w:pStyle w:val="TOC2"/>
            <w:tabs>
              <w:tab w:val="right" w:leader="dot" w:pos="9015"/>
            </w:tabs>
            <w:bidi w:val="0"/>
            <w:rPr>
              <w:rStyle w:val="Hyperlink"/>
            </w:rPr>
          </w:pPr>
          <w:hyperlink w:anchor="_Toc72960391">
            <w:r w:rsidRPr="1AE577ED" w:rsidR="1AE577ED">
              <w:rPr>
                <w:rStyle w:val="Hyperlink"/>
              </w:rPr>
              <w:t>Communication Plan</w:t>
            </w:r>
            <w:r>
              <w:tab/>
            </w:r>
            <w:r>
              <w:fldChar w:fldCharType="begin"/>
            </w:r>
            <w:r>
              <w:instrText xml:space="preserve">PAGEREF _Toc72960391 \h</w:instrText>
            </w:r>
            <w:r>
              <w:fldChar w:fldCharType="separate"/>
            </w:r>
            <w:r w:rsidRPr="1AE577ED" w:rsidR="1AE577ED">
              <w:rPr>
                <w:rStyle w:val="Hyperlink"/>
              </w:rPr>
              <w:t>10</w:t>
            </w:r>
            <w:r>
              <w:fldChar w:fldCharType="end"/>
            </w:r>
          </w:hyperlink>
        </w:p>
        <w:p w:rsidR="652664EF" w:rsidP="652664EF" w:rsidRDefault="652664EF" w14:paraId="35B38CA0" w14:textId="33D47EAC">
          <w:pPr>
            <w:pStyle w:val="TOC3"/>
            <w:tabs>
              <w:tab w:val="right" w:leader="dot" w:pos="9015"/>
            </w:tabs>
            <w:bidi w:val="0"/>
            <w:rPr>
              <w:rStyle w:val="Hyperlink"/>
            </w:rPr>
          </w:pPr>
          <w:hyperlink w:anchor="_Toc1315140706">
            <w:r w:rsidRPr="1AE577ED" w:rsidR="1AE577ED">
              <w:rPr>
                <w:rStyle w:val="Hyperlink"/>
              </w:rPr>
              <w:t>Evaluation Plan</w:t>
            </w:r>
            <w:r>
              <w:tab/>
            </w:r>
            <w:r>
              <w:fldChar w:fldCharType="begin"/>
            </w:r>
            <w:r>
              <w:instrText xml:space="preserve">PAGEREF _Toc1315140706 \h</w:instrText>
            </w:r>
            <w:r>
              <w:fldChar w:fldCharType="separate"/>
            </w:r>
            <w:r w:rsidRPr="1AE577ED" w:rsidR="1AE577ED">
              <w:rPr>
                <w:rStyle w:val="Hyperlink"/>
              </w:rPr>
              <w:t>10</w:t>
            </w:r>
            <w:r>
              <w:fldChar w:fldCharType="end"/>
            </w:r>
          </w:hyperlink>
        </w:p>
        <w:p w:rsidR="652664EF" w:rsidP="652664EF" w:rsidRDefault="652664EF" w14:paraId="3A357D72" w14:textId="126D84BA">
          <w:pPr>
            <w:pStyle w:val="TOC3"/>
            <w:tabs>
              <w:tab w:val="right" w:leader="dot" w:pos="9015"/>
            </w:tabs>
            <w:bidi w:val="0"/>
            <w:rPr>
              <w:rStyle w:val="Hyperlink"/>
            </w:rPr>
          </w:pPr>
          <w:hyperlink w:anchor="_Toc2135969013">
            <w:r w:rsidRPr="1AE577ED" w:rsidR="1AE577ED">
              <w:rPr>
                <w:rStyle w:val="Hyperlink"/>
              </w:rPr>
              <w:t>Risk Assessment and Mitigation Strategies</w:t>
            </w:r>
            <w:r>
              <w:tab/>
            </w:r>
            <w:r>
              <w:fldChar w:fldCharType="begin"/>
            </w:r>
            <w:r>
              <w:instrText xml:space="preserve">PAGEREF _Toc2135969013 \h</w:instrText>
            </w:r>
            <w:r>
              <w:fldChar w:fldCharType="separate"/>
            </w:r>
            <w:r w:rsidRPr="1AE577ED" w:rsidR="1AE577ED">
              <w:rPr>
                <w:rStyle w:val="Hyperlink"/>
              </w:rPr>
              <w:t>11</w:t>
            </w:r>
            <w:r>
              <w:fldChar w:fldCharType="end"/>
            </w:r>
          </w:hyperlink>
        </w:p>
        <w:p w:rsidR="05179C46" w:rsidP="05179C46" w:rsidRDefault="05179C46" w14:paraId="08412D44" w14:textId="7B348CEC">
          <w:pPr>
            <w:pStyle w:val="TOC1"/>
            <w:tabs>
              <w:tab w:val="right" w:leader="dot" w:pos="9015"/>
            </w:tabs>
            <w:bidi w:val="0"/>
            <w:rPr>
              <w:rStyle w:val="Hyperlink"/>
            </w:rPr>
          </w:pPr>
          <w:hyperlink w:anchor="_Toc1764511810">
            <w:r w:rsidRPr="1AE577ED" w:rsidR="1AE577ED">
              <w:rPr>
                <w:rStyle w:val="Hyperlink"/>
              </w:rPr>
              <w:t>Risk Matrix Overview</w:t>
            </w:r>
            <w:r>
              <w:tab/>
            </w:r>
            <w:r>
              <w:fldChar w:fldCharType="begin"/>
            </w:r>
            <w:r>
              <w:instrText xml:space="preserve">PAGEREF _Toc1764511810 \h</w:instrText>
            </w:r>
            <w:r>
              <w:fldChar w:fldCharType="separate"/>
            </w:r>
            <w:r w:rsidRPr="1AE577ED" w:rsidR="1AE577ED">
              <w:rPr>
                <w:rStyle w:val="Hyperlink"/>
              </w:rPr>
              <w:t>12</w:t>
            </w:r>
            <w:r>
              <w:fldChar w:fldCharType="end"/>
            </w:r>
          </w:hyperlink>
        </w:p>
        <w:p w:rsidR="05179C46" w:rsidP="05179C46" w:rsidRDefault="05179C46" w14:paraId="521CD1BC" w14:textId="3089DA88">
          <w:pPr>
            <w:pStyle w:val="TOC1"/>
            <w:tabs>
              <w:tab w:val="right" w:leader="dot" w:pos="9015"/>
            </w:tabs>
            <w:bidi w:val="0"/>
            <w:rPr>
              <w:rStyle w:val="Hyperlink"/>
            </w:rPr>
          </w:pPr>
          <w:hyperlink w:anchor="_Toc641227084">
            <w:r w:rsidRPr="1AE577ED" w:rsidR="1AE577ED">
              <w:rPr>
                <w:rStyle w:val="Hyperlink"/>
              </w:rPr>
              <w:t>Conclusion</w:t>
            </w:r>
            <w:r>
              <w:tab/>
            </w:r>
            <w:r>
              <w:fldChar w:fldCharType="begin"/>
            </w:r>
            <w:r>
              <w:instrText xml:space="preserve">PAGEREF _Toc641227084 \h</w:instrText>
            </w:r>
            <w:r>
              <w:fldChar w:fldCharType="separate"/>
            </w:r>
            <w:r w:rsidRPr="1AE577ED" w:rsidR="1AE577ED">
              <w:rPr>
                <w:rStyle w:val="Hyperlink"/>
              </w:rPr>
              <w:t>12</w:t>
            </w:r>
            <w:r>
              <w:fldChar w:fldCharType="end"/>
            </w:r>
          </w:hyperlink>
        </w:p>
        <w:p w:rsidR="05179C46" w:rsidP="05179C46" w:rsidRDefault="05179C46" w14:paraId="7DBB613A" w14:textId="5C781DF8">
          <w:pPr>
            <w:pStyle w:val="TOC1"/>
            <w:tabs>
              <w:tab w:val="right" w:leader="dot" w:pos="9015"/>
            </w:tabs>
            <w:bidi w:val="0"/>
            <w:rPr>
              <w:rStyle w:val="Hyperlink"/>
            </w:rPr>
          </w:pPr>
          <w:hyperlink w:anchor="_Toc1148498214">
            <w:r w:rsidRPr="1AE577ED" w:rsidR="1AE577ED">
              <w:rPr>
                <w:rStyle w:val="Hyperlink"/>
              </w:rPr>
              <w:t>References</w:t>
            </w:r>
            <w:r>
              <w:tab/>
            </w:r>
            <w:r>
              <w:fldChar w:fldCharType="begin"/>
            </w:r>
            <w:r>
              <w:instrText xml:space="preserve">PAGEREF _Toc1148498214 \h</w:instrText>
            </w:r>
            <w:r>
              <w:fldChar w:fldCharType="separate"/>
            </w:r>
            <w:r w:rsidRPr="1AE577ED" w:rsidR="1AE577ED">
              <w:rPr>
                <w:rStyle w:val="Hyperlink"/>
              </w:rPr>
              <w:t>14</w:t>
            </w:r>
            <w:r>
              <w:fldChar w:fldCharType="end"/>
            </w:r>
          </w:hyperlink>
          <w:r>
            <w:fldChar w:fldCharType="end"/>
          </w:r>
        </w:p>
      </w:sdtContent>
    </w:sdt>
    <w:p w:rsidR="652664EF" w:rsidP="652664EF" w:rsidRDefault="652664EF" w14:paraId="4284ADF2" w14:textId="72C764C7">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RDefault="652664EF" w14:paraId="2C4DA55B" w14:textId="5795F0A8">
      <w:r>
        <w:br w:type="page"/>
      </w:r>
    </w:p>
    <w:p w:rsidR="693ABECB" w:rsidP="652664EF" w:rsidRDefault="693ABECB" w14:paraId="612748FD" w14:textId="52CC0707">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r w:rsidR="693ABECB">
        <w:drawing>
          <wp:inline wp14:editId="4E42EAB4" wp14:anchorId="0BC010D6">
            <wp:extent cx="1640681" cy="1637562"/>
            <wp:effectExtent l="0" t="0" r="0" b="0"/>
            <wp:docPr id="684347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4347995" name=""/>
                    <pic:cNvPicPr/>
                  </pic:nvPicPr>
                  <pic:blipFill>
                    <a:blip xmlns:r="http://schemas.openxmlformats.org/officeDocument/2006/relationships" r:embed="rId2034994834">
                      <a:extLst>
                        <a:ext uri="{28A0092B-C50C-407E-A947-70E740481C1C}">
                          <a14:useLocalDpi xmlns:a14="http://schemas.microsoft.com/office/drawing/2010/main"/>
                        </a:ext>
                      </a:extLst>
                    </a:blip>
                    <a:stretch>
                      <a:fillRect/>
                    </a:stretch>
                  </pic:blipFill>
                  <pic:spPr>
                    <a:xfrm rot="0">
                      <a:off x="0" y="0"/>
                      <a:ext cx="1640681" cy="1637562"/>
                    </a:xfrm>
                    <a:prstGeom prst="rect">
                      <a:avLst/>
                    </a:prstGeom>
                  </pic:spPr>
                </pic:pic>
              </a:graphicData>
            </a:graphic>
          </wp:inline>
        </w:drawing>
      </w:r>
    </w:p>
    <w:p w:rsidR="652664EF" w:rsidP="652664EF" w:rsidRDefault="652664EF" w14:paraId="2ADABE7D" w14:textId="3A9039CC">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P="05179C46" w:rsidRDefault="652664EF" w14:paraId="6EC558D1" w14:textId="0DD06C76">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692731856" w:id="118938000"/>
      <w:r w:rsidRPr="1AE577ED" w:rsidR="19F46E2B">
        <w:rPr>
          <w:b w:val="1"/>
          <w:bCs w:val="1"/>
          <w:noProof w:val="0"/>
          <w:color w:val="124F1A" w:themeColor="accent3" w:themeTint="FF" w:themeShade="BF"/>
          <w:lang w:val="en-GB"/>
        </w:rPr>
        <w:t>Introduction</w:t>
      </w:r>
      <w:bookmarkEnd w:id="118938000"/>
    </w:p>
    <w:p w:rsidR="652664EF" w:rsidP="05179C46" w:rsidRDefault="652664EF" w14:paraId="3AA70DB3" w14:textId="6E71B057">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Founded in 1952 by Colin Chapman in </w:t>
      </w:r>
      <w:r w:rsidRPr="05179C46" w:rsidR="19F46E2B">
        <w:rPr>
          <w:rFonts w:ascii="Times New Roman" w:hAnsi="Times New Roman" w:eastAsia="Times New Roman" w:cs="Times New Roman"/>
          <w:noProof w:val="0"/>
          <w:sz w:val="24"/>
          <w:szCs w:val="24"/>
          <w:lang w:val="en-GB"/>
        </w:rPr>
        <w:t>Hethel</w:t>
      </w:r>
      <w:r w:rsidRPr="05179C46" w:rsidR="19F46E2B">
        <w:rPr>
          <w:rFonts w:ascii="Times New Roman" w:hAnsi="Times New Roman" w:eastAsia="Times New Roman" w:cs="Times New Roman"/>
          <w:noProof w:val="0"/>
          <w:sz w:val="24"/>
          <w:szCs w:val="24"/>
          <w:lang w:val="en-GB"/>
        </w:rPr>
        <w:t xml:space="preserve">, Norfolk, Lotus Cars has built a global reputation for lightweight, performance-driven sports cars, with iconic models like the Lotus Seven, Elan, and Elise embodying its “simplify, then add lightness” philosophy. </w:t>
      </w:r>
      <w:r w:rsidRPr="05179C46" w:rsidR="19F46E2B">
        <w:rPr>
          <w:rFonts w:ascii="Times New Roman" w:hAnsi="Times New Roman" w:eastAsia="Times New Roman" w:cs="Times New Roman"/>
          <w:noProof w:val="0"/>
          <w:sz w:val="24"/>
          <w:szCs w:val="24"/>
          <w:lang w:val="en-GB"/>
        </w:rPr>
        <w:t>Acquired</w:t>
      </w:r>
      <w:r w:rsidRPr="05179C46" w:rsidR="19F46E2B">
        <w:rPr>
          <w:rFonts w:ascii="Times New Roman" w:hAnsi="Times New Roman" w:eastAsia="Times New Roman" w:cs="Times New Roman"/>
          <w:noProof w:val="0"/>
          <w:sz w:val="24"/>
          <w:szCs w:val="24"/>
          <w:lang w:val="en-GB"/>
        </w:rPr>
        <w:t xml:space="preserve"> by Proton in 1996 and Geely in 2017, Lotus evolved from a niche manufacturer to a global entity under the Lotus Technology umbrella, focusing on intelligent luxury mobility. The Vision80 strategy, launched post-Geely acquisition, aims for 80% EV sales by 2028, supported by models such as the Emira (the last petrol sports car), Evija hypercar, and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SUV, with the upcoming </w:t>
      </w:r>
      <w:r w:rsidRPr="05179C46" w:rsidR="19F46E2B">
        <w:rPr>
          <w:rFonts w:ascii="Times New Roman" w:hAnsi="Times New Roman" w:eastAsia="Times New Roman" w:cs="Times New Roman"/>
          <w:noProof w:val="0"/>
          <w:sz w:val="24"/>
          <w:szCs w:val="24"/>
          <w:lang w:val="en-GB"/>
        </w:rPr>
        <w:t>Emeya</w:t>
      </w:r>
      <w:r w:rsidRPr="05179C46" w:rsidR="19F46E2B">
        <w:rPr>
          <w:rFonts w:ascii="Times New Roman" w:hAnsi="Times New Roman" w:eastAsia="Times New Roman" w:cs="Times New Roman"/>
          <w:noProof w:val="0"/>
          <w:sz w:val="24"/>
          <w:szCs w:val="24"/>
          <w:lang w:val="en-GB"/>
        </w:rPr>
        <w:t xml:space="preserve"> sedan </w:t>
      </w:r>
      <w:r w:rsidRPr="05179C46" w:rsidR="19F46E2B">
        <w:rPr>
          <w:rFonts w:ascii="Times New Roman" w:hAnsi="Times New Roman" w:eastAsia="Times New Roman" w:cs="Times New Roman"/>
          <w:noProof w:val="0"/>
          <w:sz w:val="24"/>
          <w:szCs w:val="24"/>
          <w:lang w:val="en-GB"/>
        </w:rPr>
        <w:t>signaling</w:t>
      </w:r>
      <w:r w:rsidRPr="05179C46" w:rsidR="19F46E2B">
        <w:rPr>
          <w:rFonts w:ascii="Times New Roman" w:hAnsi="Times New Roman" w:eastAsia="Times New Roman" w:cs="Times New Roman"/>
          <w:noProof w:val="0"/>
          <w:sz w:val="24"/>
          <w:szCs w:val="24"/>
          <w:lang w:val="en-GB"/>
        </w:rPr>
        <w:t xml:space="preserve"> a bold electrification push.</w:t>
      </w:r>
    </w:p>
    <w:p w:rsidR="652664EF" w:rsidP="05179C46" w:rsidRDefault="652664EF" w14:paraId="30D1492D" w14:textId="2410FF18">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However, Lotus faces existential threats. Financial losses escalated from £594 million ($751 million) in 2023 to $263 million in H1 2025, driven by EV transition costs and supply chain disruptions (Top Gear, 2025). A 49% year-on-year delivery drop in Q2 2025, triggered by U.S. tariffs on Chinese imports, halted North American shipments, while workforce reductions (550 UK jobs cut in August 2025) and leadership changes (e.g., Matt Windle’s exit) have strained morale and operations (AM-online, 2025). Digital disruptions, including AI-driven features </w:t>
      </w:r>
      <w:r w:rsidRPr="05179C46" w:rsidR="19F46E2B">
        <w:rPr>
          <w:rFonts w:ascii="Times New Roman" w:hAnsi="Times New Roman" w:eastAsia="Times New Roman" w:cs="Times New Roman"/>
          <w:noProof w:val="0"/>
          <w:sz w:val="24"/>
          <w:szCs w:val="24"/>
          <w:lang w:val="en-GB"/>
        </w:rPr>
        <w:t>showcased</w:t>
      </w:r>
      <w:r w:rsidRPr="05179C46" w:rsidR="19F46E2B">
        <w:rPr>
          <w:rFonts w:ascii="Times New Roman" w:hAnsi="Times New Roman" w:eastAsia="Times New Roman" w:cs="Times New Roman"/>
          <w:noProof w:val="0"/>
          <w:sz w:val="24"/>
          <w:szCs w:val="24"/>
          <w:lang w:val="en-GB"/>
        </w:rPr>
        <w:t xml:space="preserve"> at CES 2024 and a 40% uplift in online configurator traffic, add complexity to the transition (Lotus Cars, 2024).</w:t>
      </w:r>
    </w:p>
    <w:p w:rsidR="652664EF" w:rsidP="05179C46" w:rsidRDefault="652664EF" w14:paraId="3169F5D2" w14:textId="0692031D">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report, prepared for the Lotus board, proposes a strategic change plan to address these challenges. It begins with an environmental analysis using the PESTLE framework, evaluates change management models and past efforts, examines leadership and cultural influences, and culminates in a detailed plan with SMART </w:t>
      </w:r>
      <w:r w:rsidRPr="05179C46" w:rsidR="19F46E2B">
        <w:rPr>
          <w:rFonts w:ascii="Times New Roman" w:hAnsi="Times New Roman" w:eastAsia="Times New Roman" w:cs="Times New Roman"/>
          <w:noProof w:val="0"/>
          <w:sz w:val="24"/>
          <w:szCs w:val="24"/>
          <w:lang w:val="en-GB"/>
        </w:rPr>
        <w:t>objectives</w:t>
      </w:r>
      <w:r w:rsidRPr="05179C46" w:rsidR="19F46E2B">
        <w:rPr>
          <w:rFonts w:ascii="Times New Roman" w:hAnsi="Times New Roman" w:eastAsia="Times New Roman" w:cs="Times New Roman"/>
          <w:noProof w:val="0"/>
          <w:sz w:val="24"/>
          <w:szCs w:val="24"/>
          <w:lang w:val="en-GB"/>
        </w:rPr>
        <w:t xml:space="preserve">, financial projections, communication strategies, and evaluation metrics. Grounded in Lotus’s “For the Drivers” ethos and ESG commitments, the plan aims to restore profitability, enhance innovation, and secure Lotus’s vision as a leader in sustainable, exhilarating mobility. </w:t>
      </w:r>
    </w:p>
    <w:p w:rsidR="652664EF" w:rsidP="05179C46" w:rsidRDefault="652664EF" w14:paraId="6E9B8670" w14:textId="62096A80">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1664876954" w:id="275238889"/>
      <w:r w:rsidRPr="1AE577ED" w:rsidR="19F46E2B">
        <w:rPr>
          <w:b w:val="1"/>
          <w:bCs w:val="1"/>
          <w:noProof w:val="0"/>
          <w:color w:val="124F1A" w:themeColor="accent3" w:themeTint="FF" w:themeShade="BF"/>
          <w:lang w:val="en-GB"/>
        </w:rPr>
        <w:t>Environmental Analysis</w:t>
      </w:r>
      <w:bookmarkEnd w:id="275238889"/>
    </w:p>
    <w:p w:rsidR="652664EF" w:rsidP="05179C46" w:rsidRDefault="652664EF" w14:paraId="20DAFC89" w14:textId="437BE3DA">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362155470" w:id="1457047718"/>
      <w:r w:rsidRPr="1AE577ED" w:rsidR="19F46E2B">
        <w:rPr>
          <w:noProof w:val="0"/>
          <w:color w:val="124F1A" w:themeColor="accent3" w:themeTint="FF" w:themeShade="BF"/>
          <w:lang w:val="en-GB"/>
        </w:rPr>
        <w:t>Organisational History Overview</w:t>
      </w:r>
      <w:bookmarkEnd w:id="1457047718"/>
    </w:p>
    <w:p w:rsidR="652664EF" w:rsidP="05179C46" w:rsidRDefault="652664EF" w14:paraId="24B03BF5" w14:textId="6CC65F82">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Lotus Cars’ history is a tapestry of engineering triumphs and financial turbulence. Founded in 1952, it gained fame through Formula 1 dominance in the 1960s and 1970s, with innovations like the Lotus 25 chassis revolutionizing motorsport. Financial struggles in the 1980s and 1990s led to </w:t>
      </w:r>
      <w:r w:rsidRPr="05179C46" w:rsidR="19F46E2B">
        <w:rPr>
          <w:rFonts w:ascii="Times New Roman" w:hAnsi="Times New Roman" w:eastAsia="Times New Roman" w:cs="Times New Roman"/>
          <w:noProof w:val="0"/>
          <w:sz w:val="24"/>
          <w:szCs w:val="24"/>
          <w:lang w:val="en-GB"/>
        </w:rPr>
        <w:t>near-collapse</w:t>
      </w:r>
      <w:r w:rsidRPr="05179C46" w:rsidR="19F46E2B">
        <w:rPr>
          <w:rFonts w:ascii="Times New Roman" w:hAnsi="Times New Roman" w:eastAsia="Times New Roman" w:cs="Times New Roman"/>
          <w:noProof w:val="0"/>
          <w:sz w:val="24"/>
          <w:szCs w:val="24"/>
          <w:lang w:val="en-GB"/>
        </w:rPr>
        <w:t xml:space="preserve">, but Proton’s 1996 acquisition stabilized the brand. Geely’s £100 million investment in 2017 </w:t>
      </w:r>
      <w:r w:rsidRPr="05179C46" w:rsidR="19F46E2B">
        <w:rPr>
          <w:rFonts w:ascii="Times New Roman" w:hAnsi="Times New Roman" w:eastAsia="Times New Roman" w:cs="Times New Roman"/>
          <w:noProof w:val="0"/>
          <w:sz w:val="24"/>
          <w:szCs w:val="24"/>
          <w:lang w:val="en-GB"/>
        </w:rPr>
        <w:t>catalyzed</w:t>
      </w:r>
      <w:r w:rsidRPr="05179C46" w:rsidR="19F46E2B">
        <w:rPr>
          <w:rFonts w:ascii="Times New Roman" w:hAnsi="Times New Roman" w:eastAsia="Times New Roman" w:cs="Times New Roman"/>
          <w:noProof w:val="0"/>
          <w:sz w:val="24"/>
          <w:szCs w:val="24"/>
          <w:lang w:val="en-GB"/>
        </w:rPr>
        <w:t xml:space="preserve"> the Vision80 strategy, targeting 80% EV sales by 2028, robotics integration, and global expansion. By 2023, Lotus achieved a record </w:t>
      </w:r>
      <w:r w:rsidRPr="05179C46" w:rsidR="19F46E2B">
        <w:rPr>
          <w:rFonts w:ascii="Times New Roman" w:hAnsi="Times New Roman" w:eastAsia="Times New Roman" w:cs="Times New Roman"/>
          <w:noProof w:val="0"/>
          <w:sz w:val="24"/>
          <w:szCs w:val="24"/>
          <w:lang w:val="en-GB"/>
        </w:rPr>
        <w:t>6,000 unit</w:t>
      </w:r>
      <w:r w:rsidRPr="05179C46" w:rsidR="19F46E2B">
        <w:rPr>
          <w:rFonts w:ascii="Times New Roman" w:hAnsi="Times New Roman" w:eastAsia="Times New Roman" w:cs="Times New Roman"/>
          <w:noProof w:val="0"/>
          <w:sz w:val="24"/>
          <w:szCs w:val="24"/>
          <w:lang w:val="en-GB"/>
        </w:rPr>
        <w:t xml:space="preserve"> sales, driven by the Emira’s success, but incurred £594 million losses due to heavy R&amp;D investments in EVs like the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and Evija (The Truth About Cars, 2024).</w:t>
      </w:r>
    </w:p>
    <w:p w:rsidR="652664EF" w:rsidP="05179C46" w:rsidRDefault="652664EF" w14:paraId="692E3BF0" w14:textId="60F89E2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The period of 2024-2025 marked a turning point. The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SUV initially boosted deliveries, but Q2 2025 saw a 49% drop to 1,200 units due to U.S. tariffs on Chinese imports, halting North American shipments (Investing.com, 2025). Leadership transitions underscored Geely’s influence: Phil Popham’s tenure (2018-2022) stabilized operations, but Matt Windle’s brief 2025 role as Europe CEO ended abruptly, with Mao </w:t>
      </w:r>
      <w:r w:rsidRPr="05179C46" w:rsidR="19F46E2B">
        <w:rPr>
          <w:rFonts w:ascii="Times New Roman" w:hAnsi="Times New Roman" w:eastAsia="Times New Roman" w:cs="Times New Roman"/>
          <w:noProof w:val="0"/>
          <w:sz w:val="24"/>
          <w:szCs w:val="24"/>
          <w:lang w:val="en-GB"/>
        </w:rPr>
        <w:t>Jingbo’s</w:t>
      </w:r>
      <w:r w:rsidRPr="05179C46" w:rsidR="19F46E2B">
        <w:rPr>
          <w:rFonts w:ascii="Times New Roman" w:hAnsi="Times New Roman" w:eastAsia="Times New Roman" w:cs="Times New Roman"/>
          <w:noProof w:val="0"/>
          <w:sz w:val="24"/>
          <w:szCs w:val="24"/>
          <w:lang w:val="en-GB"/>
        </w:rPr>
        <w:t xml:space="preserve"> appointment </w:t>
      </w:r>
      <w:r w:rsidRPr="05179C46" w:rsidR="19F46E2B">
        <w:rPr>
          <w:rFonts w:ascii="Times New Roman" w:hAnsi="Times New Roman" w:eastAsia="Times New Roman" w:cs="Times New Roman"/>
          <w:noProof w:val="0"/>
          <w:sz w:val="24"/>
          <w:szCs w:val="24"/>
          <w:lang w:val="en-GB"/>
        </w:rPr>
        <w:t>signaling</w:t>
      </w:r>
      <w:r w:rsidRPr="05179C46" w:rsidR="19F46E2B">
        <w:rPr>
          <w:rFonts w:ascii="Times New Roman" w:hAnsi="Times New Roman" w:eastAsia="Times New Roman" w:cs="Times New Roman"/>
          <w:noProof w:val="0"/>
          <w:sz w:val="24"/>
          <w:szCs w:val="24"/>
          <w:lang w:val="en-GB"/>
        </w:rPr>
        <w:t xml:space="preserve"> tighter control (Autocar, 2025). Workforce reductions—550 UK jobs cut in August 2025—halved </w:t>
      </w:r>
      <w:r w:rsidRPr="05179C46" w:rsidR="19F46E2B">
        <w:rPr>
          <w:rFonts w:ascii="Times New Roman" w:hAnsi="Times New Roman" w:eastAsia="Times New Roman" w:cs="Times New Roman"/>
          <w:noProof w:val="0"/>
          <w:sz w:val="24"/>
          <w:szCs w:val="24"/>
          <w:lang w:val="en-GB"/>
        </w:rPr>
        <w:t>Hethel’s</w:t>
      </w:r>
      <w:r w:rsidRPr="05179C46" w:rsidR="19F46E2B">
        <w:rPr>
          <w:rFonts w:ascii="Times New Roman" w:hAnsi="Times New Roman" w:eastAsia="Times New Roman" w:cs="Times New Roman"/>
          <w:noProof w:val="0"/>
          <w:sz w:val="24"/>
          <w:szCs w:val="24"/>
          <w:lang w:val="en-GB"/>
        </w:rPr>
        <w:t xml:space="preserve"> headcount, framed as a “sustainable futures” move but sparking union protests and morale dips (BBC, 2025; The Guardian, 2025). These setbacks highlight the need for a strategic pivot to align Vision80 with market realities.</w:t>
      </w:r>
    </w:p>
    <w:p w:rsidR="652664EF" w:rsidP="05179C46" w:rsidRDefault="652664EF" w14:paraId="199A3E05" w14:textId="7BD79724">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811620838" w:id="1492359292"/>
      <w:r w:rsidRPr="1AE577ED" w:rsidR="19F46E2B">
        <w:rPr>
          <w:noProof w:val="0"/>
          <w:color w:val="124F1A" w:themeColor="accent3" w:themeTint="FF" w:themeShade="BF"/>
          <w:lang w:val="en-GB"/>
        </w:rPr>
        <w:t>External Environmental Analysis: PESTLE Framework</w:t>
      </w:r>
      <w:bookmarkEnd w:id="1492359292"/>
    </w:p>
    <w:p w:rsidR="652664EF" w:rsidP="05179C46" w:rsidRDefault="652664EF" w14:paraId="0B455FF7" w14:textId="2EED9C12">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Political: Geopolitical tensions, notably U.S. tariffs under a potential Trump administration, disrupted 2025 exports, prompting Lotus to explore U.S. production facilities, risking 1,300 UK jobs (The Guardian, 2025). Brexit’s lingering supply chain frictions, including delays in </w:t>
      </w:r>
      <w:r w:rsidRPr="05179C46" w:rsidR="19F46E2B">
        <w:rPr>
          <w:rFonts w:ascii="Times New Roman" w:hAnsi="Times New Roman" w:eastAsia="Times New Roman" w:cs="Times New Roman"/>
          <w:noProof w:val="0"/>
          <w:sz w:val="24"/>
          <w:szCs w:val="24"/>
          <w:lang w:val="en-GB"/>
        </w:rPr>
        <w:t>component</w:t>
      </w:r>
      <w:r w:rsidRPr="05179C46" w:rsidR="19F46E2B">
        <w:rPr>
          <w:rFonts w:ascii="Times New Roman" w:hAnsi="Times New Roman" w:eastAsia="Times New Roman" w:cs="Times New Roman"/>
          <w:noProof w:val="0"/>
          <w:sz w:val="24"/>
          <w:szCs w:val="24"/>
          <w:lang w:val="en-GB"/>
        </w:rPr>
        <w:t xml:space="preserve"> imports, and China’s EV subsidies create an uneven playing field, complicating global operations. Economic: Global inflation and recession fears have eroded demand for luxury vehicles. Lotus’s H1 2025 losses of $263 million stem from £200 million in EV retooling costs and a 30% year-on-year revenue drop (Top Gear, 2025). A $300 million funding round in August 2025 bolsters liquidity for hybrid development, but GBP-CNY currency fluctuations increase financial risks (Reuters, 2025). Social: Shifting consumer preferences </w:t>
      </w:r>
      <w:r w:rsidRPr="05179C46" w:rsidR="19F46E2B">
        <w:rPr>
          <w:rFonts w:ascii="Times New Roman" w:hAnsi="Times New Roman" w:eastAsia="Times New Roman" w:cs="Times New Roman"/>
          <w:noProof w:val="0"/>
          <w:sz w:val="24"/>
          <w:szCs w:val="24"/>
          <w:lang w:val="en-GB"/>
        </w:rPr>
        <w:t>favor</w:t>
      </w:r>
      <w:r w:rsidRPr="05179C46" w:rsidR="19F46E2B">
        <w:rPr>
          <w:rFonts w:ascii="Times New Roman" w:hAnsi="Times New Roman" w:eastAsia="Times New Roman" w:cs="Times New Roman"/>
          <w:noProof w:val="0"/>
          <w:sz w:val="24"/>
          <w:szCs w:val="24"/>
          <w:lang w:val="en-GB"/>
        </w:rPr>
        <w:t xml:space="preserve"> sustainable, tech-enhanced vehicles. Younger demographics demand AI-personalized driving experiences, such as adaptive cruise control, but EV launch delays erode brand loyalty among Lotus’s enthusiast base (Digital Trends, 2025). Technological (Digital Disruption): The EV transition and AI integration represent significant disruptions. Lotus Robotics’ Perseus AI system, </w:t>
      </w:r>
      <w:r w:rsidRPr="05179C46" w:rsidR="19F46E2B">
        <w:rPr>
          <w:rFonts w:ascii="Times New Roman" w:hAnsi="Times New Roman" w:eastAsia="Times New Roman" w:cs="Times New Roman"/>
          <w:noProof w:val="0"/>
          <w:sz w:val="24"/>
          <w:szCs w:val="24"/>
          <w:lang w:val="en-GB"/>
        </w:rPr>
        <w:t>showcased</w:t>
      </w:r>
      <w:r w:rsidRPr="05179C46" w:rsidR="19F46E2B">
        <w:rPr>
          <w:rFonts w:ascii="Times New Roman" w:hAnsi="Times New Roman" w:eastAsia="Times New Roman" w:cs="Times New Roman"/>
          <w:noProof w:val="0"/>
          <w:sz w:val="24"/>
          <w:szCs w:val="24"/>
          <w:lang w:val="en-GB"/>
        </w:rPr>
        <w:t xml:space="preserve"> at CES 2024, enables adaptive driving aids, but lags competitors like Tesla in autonomous capabilities (Lotus Cars, 2024). Online configurators drove a 40% traffic uplift in 2025, yet supply chain issues hinder conversion rates, with only 15% of digital leads resulting in sales (Lotus Technology, 2025). Legal: Stricter EU Euro 7 emissions regulations, effective 2025, mandate electrification, pushing Lotus toward hybrids to comply. Intellectual property disputes over AI technologies pose litigation risks, particularly in markets like the U.S. and China. Environmental: Vision80’s decarbonization pledge aligns with Lotus’s ESG ‘Driving Change’ charter, targeting a 30% emissions reduction by 2028. However, production shifts to the U.S. and China temporarily increase carbon footprints, challenging sustainability goals (Lotus Cars, n.d.).</w:t>
      </w:r>
    </w:p>
    <w:p w:rsidR="652664EF" w:rsidP="05179C46" w:rsidRDefault="652664EF" w14:paraId="37A14F9F" w14:textId="12720F54">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96284891" w:id="1974378321"/>
      <w:r w:rsidRPr="1AE577ED" w:rsidR="19F46E2B">
        <w:rPr>
          <w:noProof w:val="0"/>
          <w:color w:val="124F1A" w:themeColor="accent3" w:themeTint="FF" w:themeShade="BF"/>
          <w:lang w:val="en-GB"/>
        </w:rPr>
        <w:t>Internal Environmental Impacts</w:t>
      </w:r>
      <w:bookmarkEnd w:id="1974378321"/>
    </w:p>
    <w:p w:rsidR="652664EF" w:rsidP="05179C46" w:rsidRDefault="652664EF" w14:paraId="6A44266D" w14:textId="7A327E15">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External pressures have profound internal consequences. </w:t>
      </w:r>
      <w:r w:rsidRPr="05179C46" w:rsidR="19F46E2B">
        <w:rPr>
          <w:rFonts w:ascii="Times New Roman" w:hAnsi="Times New Roman" w:eastAsia="Times New Roman" w:cs="Times New Roman"/>
          <w:noProof w:val="0"/>
          <w:sz w:val="24"/>
          <w:szCs w:val="24"/>
          <w:lang w:val="en-GB"/>
        </w:rPr>
        <w:t>Hethel’s</w:t>
      </w:r>
      <w:r w:rsidRPr="05179C46" w:rsidR="19F46E2B">
        <w:rPr>
          <w:rFonts w:ascii="Times New Roman" w:hAnsi="Times New Roman" w:eastAsia="Times New Roman" w:cs="Times New Roman"/>
          <w:noProof w:val="0"/>
          <w:sz w:val="24"/>
          <w:szCs w:val="24"/>
          <w:lang w:val="en-GB"/>
        </w:rPr>
        <w:t xml:space="preserve"> retooling for EV production idled assembly lines, causing inventory gluts and a 20% attrition rate linked to job insecurity (LinkedIn, 2025). AI prototyping tools accelerated design cycles by 25%, but exposed skill gaps among engineers, </w:t>
      </w:r>
      <w:r w:rsidRPr="05179C46" w:rsidR="19F46E2B">
        <w:rPr>
          <w:rFonts w:ascii="Times New Roman" w:hAnsi="Times New Roman" w:eastAsia="Times New Roman" w:cs="Times New Roman"/>
          <w:noProof w:val="0"/>
          <w:sz w:val="24"/>
          <w:szCs w:val="24"/>
          <w:lang w:val="en-GB"/>
        </w:rPr>
        <w:t>necessitating</w:t>
      </w:r>
      <w:r w:rsidRPr="05179C46" w:rsidR="19F46E2B">
        <w:rPr>
          <w:rFonts w:ascii="Times New Roman" w:hAnsi="Times New Roman" w:eastAsia="Times New Roman" w:cs="Times New Roman"/>
          <w:noProof w:val="0"/>
          <w:sz w:val="24"/>
          <w:szCs w:val="24"/>
          <w:lang w:val="en-GB"/>
        </w:rPr>
        <w:t xml:space="preserve"> urgent upskilling programs. Workforce morale has suffered, with internal surveys reporting a 30% drop in engagement scores post-2025 job cuts (LinkedIn, 2025). These challenges threaten Lotus’s core “lightweight performance” ethos, risking a 15% market share erosion in the luxury sports segment by 2026 if unaddressed (Reuters, 2025). The interplay of external disruptions and internal inefficiencies underscores the need for a robust change strategy to restore operational stability and align with market demands. </w:t>
      </w:r>
    </w:p>
    <w:p w:rsidR="652664EF" w:rsidP="05179C46" w:rsidRDefault="652664EF" w14:paraId="5C3A655D" w14:textId="78402BDF">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168886260" w:id="745205672"/>
      <w:r w:rsidRPr="1AE577ED" w:rsidR="19F46E2B">
        <w:rPr>
          <w:noProof w:val="0"/>
          <w:color w:val="124F1A" w:themeColor="accent3" w:themeTint="FF" w:themeShade="BF"/>
          <w:lang w:val="en-GB"/>
        </w:rPr>
        <w:t>Evaluation of Change Management Models and Strategic Change</w:t>
      </w:r>
      <w:bookmarkEnd w:id="745205672"/>
    </w:p>
    <w:p w:rsidR="652664EF" w:rsidP="05179C46" w:rsidRDefault="652664EF" w14:paraId="3EA76899" w14:textId="02364380">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Lotus’s Vision80 strategy, aiming for 80% EV sales by 2028, </w:t>
      </w:r>
      <w:r w:rsidRPr="05179C46" w:rsidR="19F46E2B">
        <w:rPr>
          <w:rFonts w:ascii="Times New Roman" w:hAnsi="Times New Roman" w:eastAsia="Times New Roman" w:cs="Times New Roman"/>
          <w:noProof w:val="0"/>
          <w:sz w:val="24"/>
          <w:szCs w:val="24"/>
          <w:lang w:val="en-GB"/>
        </w:rPr>
        <w:t>represents</w:t>
      </w:r>
      <w:r w:rsidRPr="05179C46" w:rsidR="19F46E2B">
        <w:rPr>
          <w:rFonts w:ascii="Times New Roman" w:hAnsi="Times New Roman" w:eastAsia="Times New Roman" w:cs="Times New Roman"/>
          <w:noProof w:val="0"/>
          <w:sz w:val="24"/>
          <w:szCs w:val="24"/>
          <w:lang w:val="en-GB"/>
        </w:rPr>
        <w:t xml:space="preserve"> a transformative shift from its petrol heritage to electrified luxury. However, execution has faltered amid tariff disruptions, financial losses, and workforce resistance. This section evaluates Lewin’s Three-Stage Model and Kotter’s 8-Step Process, assessing their applicability to Lotus’s context and </w:t>
      </w:r>
      <w:r w:rsidRPr="05179C46" w:rsidR="19F46E2B">
        <w:rPr>
          <w:rFonts w:ascii="Times New Roman" w:hAnsi="Times New Roman" w:eastAsia="Times New Roman" w:cs="Times New Roman"/>
          <w:noProof w:val="0"/>
          <w:sz w:val="24"/>
          <w:szCs w:val="24"/>
          <w:lang w:val="en-GB"/>
        </w:rPr>
        <w:t>analyzing</w:t>
      </w:r>
      <w:r w:rsidRPr="05179C46" w:rsidR="19F46E2B">
        <w:rPr>
          <w:rFonts w:ascii="Times New Roman" w:hAnsi="Times New Roman" w:eastAsia="Times New Roman" w:cs="Times New Roman"/>
          <w:noProof w:val="0"/>
          <w:sz w:val="24"/>
          <w:szCs w:val="24"/>
          <w:lang w:val="en-GB"/>
        </w:rPr>
        <w:t xml:space="preserve"> past change efforts.</w:t>
      </w:r>
    </w:p>
    <w:p w:rsidR="652664EF" w:rsidP="05179C46" w:rsidRDefault="652664EF" w14:paraId="7E0930A0" w14:textId="6B6BD7AC">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Lewin’s Three-Stage Model: Lewin’s framework—Unfreeze, Change, </w:t>
      </w:r>
      <w:r w:rsidRPr="05179C46" w:rsidR="19F46E2B">
        <w:rPr>
          <w:rFonts w:ascii="Times New Roman" w:hAnsi="Times New Roman" w:eastAsia="Times New Roman" w:cs="Times New Roman"/>
          <w:noProof w:val="0"/>
          <w:sz w:val="24"/>
          <w:szCs w:val="24"/>
          <w:lang w:val="en-GB"/>
        </w:rPr>
        <w:t>Refreeze</w:t>
      </w:r>
      <w:r w:rsidRPr="05179C46" w:rsidR="19F46E2B">
        <w:rPr>
          <w:rFonts w:ascii="Times New Roman" w:hAnsi="Times New Roman" w:eastAsia="Times New Roman" w:cs="Times New Roman"/>
          <w:noProof w:val="0"/>
          <w:sz w:val="24"/>
          <w:szCs w:val="24"/>
          <w:lang w:val="en-GB"/>
        </w:rPr>
        <w:t xml:space="preserve">—provides a straightforward approach for cultural and operational shifts. The 2017 Geely acquisition “unfroze” Lotus’s traditional culture, challenging Colin Chapman’s “simplify, then add lightness” mantra with the complexity of EV development. The 2024 pivot to hybrids, prompted by tariff pressures and charging infrastructure gaps, marked the “change” phase, adapting Vision80 to market realities (Carsupermarket.com, 2024). However, the “refreeze” stage </w:t>
      </w:r>
      <w:r w:rsidRPr="05179C46" w:rsidR="19F46E2B">
        <w:rPr>
          <w:rFonts w:ascii="Times New Roman" w:hAnsi="Times New Roman" w:eastAsia="Times New Roman" w:cs="Times New Roman"/>
          <w:noProof w:val="0"/>
          <w:sz w:val="24"/>
          <w:szCs w:val="24"/>
          <w:lang w:val="en-GB"/>
        </w:rPr>
        <w:t>remains</w:t>
      </w:r>
      <w:r w:rsidRPr="05179C46" w:rsidR="19F46E2B">
        <w:rPr>
          <w:rFonts w:ascii="Times New Roman" w:hAnsi="Times New Roman" w:eastAsia="Times New Roman" w:cs="Times New Roman"/>
          <w:noProof w:val="0"/>
          <w:sz w:val="24"/>
          <w:szCs w:val="24"/>
          <w:lang w:val="en-GB"/>
        </w:rPr>
        <w:t xml:space="preserve"> incomplete. Inconsistent messaging following Matt Windle’s 2025 exit caused confusion among stakeholders, and union protests over 550 job cuts highlighted resistance from UK engineers fearing further layoffs (BBC, 2025). Strengths of Lewin’s model include its simplicity, enabling rapid responses to external shocks like tariffs. Its weakness lies in insufficient stakeholder engagement, as </w:t>
      </w:r>
      <w:r w:rsidRPr="05179C46" w:rsidR="19F46E2B">
        <w:rPr>
          <w:rFonts w:ascii="Times New Roman" w:hAnsi="Times New Roman" w:eastAsia="Times New Roman" w:cs="Times New Roman"/>
          <w:noProof w:val="0"/>
          <w:sz w:val="24"/>
          <w:szCs w:val="24"/>
          <w:lang w:val="en-GB"/>
        </w:rPr>
        <w:t>evidenced</w:t>
      </w:r>
      <w:r w:rsidRPr="05179C46" w:rsidR="19F46E2B">
        <w:rPr>
          <w:rFonts w:ascii="Times New Roman" w:hAnsi="Times New Roman" w:eastAsia="Times New Roman" w:cs="Times New Roman"/>
          <w:noProof w:val="0"/>
          <w:sz w:val="24"/>
          <w:szCs w:val="24"/>
          <w:lang w:val="en-GB"/>
        </w:rPr>
        <w:t xml:space="preserve"> by low morale and 20% attrition rates (LinkedIn, 2025).</w:t>
      </w:r>
    </w:p>
    <w:p w:rsidR="652664EF" w:rsidP="05179C46" w:rsidRDefault="652664EF" w14:paraId="6FFEAF53" w14:textId="3E343689">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Kotter’s 8-Step Model: Kotter’s model offers a structured, strategic approach, making it more suitable for Lotus’s multifaceted transformation. Step 1 (create urgency) was achieved in 2023 when £594 million losses galvanized the board to prioritize Vision80 (The Truth About Cars, 2024). Step 2 (form a powerful coalition) saw Geely-led teams, including new board member Jim Rowan, drive strategic alignment (Group Lotus, 2025). Step 3 (create a vision) produced Vision80’s ESG-focused goals, but Step 4 (communicate the vision) faltered; internal memos on job cuts lacked empathy, eroding trust among employees (LinkedIn, 2025). Steps 5-6 (empower action, generate short-term wins) succeeded with 2,813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deliveries in H1 2025, but tariff-induced halts undermined momentum (Lotus Technology, 2025). Steps 7-8 (</w:t>
      </w:r>
      <w:r w:rsidRPr="05179C46" w:rsidR="19F46E2B">
        <w:rPr>
          <w:rFonts w:ascii="Times New Roman" w:hAnsi="Times New Roman" w:eastAsia="Times New Roman" w:cs="Times New Roman"/>
          <w:noProof w:val="0"/>
          <w:sz w:val="24"/>
          <w:szCs w:val="24"/>
          <w:lang w:val="en-GB"/>
        </w:rPr>
        <w:t>consolidate</w:t>
      </w:r>
      <w:r w:rsidRPr="05179C46" w:rsidR="19F46E2B">
        <w:rPr>
          <w:rFonts w:ascii="Times New Roman" w:hAnsi="Times New Roman" w:eastAsia="Times New Roman" w:cs="Times New Roman"/>
          <w:noProof w:val="0"/>
          <w:sz w:val="24"/>
          <w:szCs w:val="24"/>
          <w:lang w:val="en-GB"/>
        </w:rPr>
        <w:t xml:space="preserve"> gains, institutionalize change) are underdeveloped; the $300 million funding round supports AI and hybrid R&amp;D, but without clear metrics, progress risks reversal.</w:t>
      </w:r>
    </w:p>
    <w:p w:rsidR="652664EF" w:rsidP="05179C46" w:rsidRDefault="652664EF" w14:paraId="0F8F075C" w14:textId="2984ACB8">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Comparison and Past Efforts: Compared to ADKAR, which focuses on individual change, Kotter’s model better addresses Lotus’s strategic scale, aligning top-down directives with operational needs. Past efforts, such as the 2024 hybrid pivot, achieved 10% EV market penetration but incurred significant human costs, including union protests and a 30% drop in engagement scores (BBC, 2025; LinkedIn, 2025). The 2025 CFO appointment prioritized financial stabilization but neglected bottom-up input, contributing to delays in the </w:t>
      </w:r>
      <w:r w:rsidRPr="05179C46" w:rsidR="19F46E2B">
        <w:rPr>
          <w:rFonts w:ascii="Times New Roman" w:hAnsi="Times New Roman" w:eastAsia="Times New Roman" w:cs="Times New Roman"/>
          <w:noProof w:val="0"/>
          <w:sz w:val="24"/>
          <w:szCs w:val="24"/>
          <w:lang w:val="en-GB"/>
        </w:rPr>
        <w:t>Emeya</w:t>
      </w:r>
      <w:r w:rsidRPr="05179C46" w:rsidR="19F46E2B">
        <w:rPr>
          <w:rFonts w:ascii="Times New Roman" w:hAnsi="Times New Roman" w:eastAsia="Times New Roman" w:cs="Times New Roman"/>
          <w:noProof w:val="0"/>
          <w:sz w:val="24"/>
          <w:szCs w:val="24"/>
          <w:lang w:val="en-GB"/>
        </w:rPr>
        <w:t xml:space="preserve"> sedan launch (postponed to 2026) (Investing.com, 2025). A hybrid approach—Kotter for strategic structure, Lewin for cultural alignment—could </w:t>
      </w:r>
      <w:r w:rsidRPr="05179C46" w:rsidR="19F46E2B">
        <w:rPr>
          <w:rFonts w:ascii="Times New Roman" w:hAnsi="Times New Roman" w:eastAsia="Times New Roman" w:cs="Times New Roman"/>
          <w:noProof w:val="0"/>
          <w:sz w:val="24"/>
          <w:szCs w:val="24"/>
          <w:lang w:val="en-GB"/>
        </w:rPr>
        <w:t>optimize</w:t>
      </w:r>
      <w:r w:rsidRPr="05179C46" w:rsidR="19F46E2B">
        <w:rPr>
          <w:rFonts w:ascii="Times New Roman" w:hAnsi="Times New Roman" w:eastAsia="Times New Roman" w:cs="Times New Roman"/>
          <w:noProof w:val="0"/>
          <w:sz w:val="24"/>
          <w:szCs w:val="24"/>
          <w:lang w:val="en-GB"/>
        </w:rPr>
        <w:t xml:space="preserve"> outcomes. Kotter’s model is recommended for the proposed plan, as it provides a framework to address tariff disruptions, EV delays, and workforce resistance while ensuring measurable progress and stakeholder buy-in.</w:t>
      </w:r>
    </w:p>
    <w:p w:rsidR="652664EF" w:rsidP="05179C46" w:rsidRDefault="652664EF" w14:paraId="444BC56D" w14:textId="6070D98E">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Lessons Learned: Past changes reveal Lotus’s reactive approach, with leadership focusing on cost-cutting over innovation. The hybrid pivot was a pragmatic response to market conditions, but poor communication and cultural disconnects limited success. Future efforts must prioritize stakeholder engagement, clear metrics, and cultural alignment to sustain Vision80’s momentum. </w:t>
      </w:r>
    </w:p>
    <w:p w:rsidR="652664EF" w:rsidP="05179C46" w:rsidRDefault="652664EF" w14:paraId="11EF39FF" w14:textId="5FDF14EE">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36855625" w:id="1049038882"/>
      <w:r w:rsidRPr="1AE577ED" w:rsidR="19F46E2B">
        <w:rPr>
          <w:noProof w:val="0"/>
          <w:color w:val="124F1A" w:themeColor="accent3" w:themeTint="FF" w:themeShade="BF"/>
          <w:lang w:val="en-GB"/>
        </w:rPr>
        <w:t>Evaluation of Change Management, Leadership Role, and Organisational Culture Impact</w:t>
      </w:r>
      <w:bookmarkEnd w:id="1049038882"/>
    </w:p>
    <w:p w:rsidR="652664EF" w:rsidP="05179C46" w:rsidRDefault="652664EF" w14:paraId="7C078336" w14:textId="310389C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Lotus’s change initiatives have achieved operational pivots but struggled with cultural and leadership challenges. The 2025 job cuts, described as “strategic realignment,” followed legal consultations but were criticized for opacity, resulting in a 30% drop in employee engagement scores (LinkedIn, 2025). This section evaluates leadership styles using Hersey-Blanchard Situational Leadership and cultural impacts using Schein’s and Cameron-Quinn’s frameworks, proposing mitigation strategies.</w:t>
      </w:r>
    </w:p>
    <w:p w:rsidR="652664EF" w:rsidP="05179C46" w:rsidRDefault="652664EF" w14:paraId="0568531F" w14:textId="53146CAC">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Leadership Analysis: Under Mao </w:t>
      </w:r>
      <w:r w:rsidRPr="05179C46" w:rsidR="19F46E2B">
        <w:rPr>
          <w:rFonts w:ascii="Times New Roman" w:hAnsi="Times New Roman" w:eastAsia="Times New Roman" w:cs="Times New Roman"/>
          <w:noProof w:val="0"/>
          <w:sz w:val="24"/>
          <w:szCs w:val="24"/>
          <w:lang w:val="en-GB"/>
        </w:rPr>
        <w:t>Jingbo</w:t>
      </w:r>
      <w:r w:rsidRPr="05179C46" w:rsidR="19F46E2B">
        <w:rPr>
          <w:rFonts w:ascii="Times New Roman" w:hAnsi="Times New Roman" w:eastAsia="Times New Roman" w:cs="Times New Roman"/>
          <w:noProof w:val="0"/>
          <w:sz w:val="24"/>
          <w:szCs w:val="24"/>
          <w:lang w:val="en-GB"/>
        </w:rPr>
        <w:t xml:space="preserve">, appointed in 2025, Lotus adopts a transactional leadership style, emphasizing rewards for meeting delivery targets and penalties for misses. This approach </w:t>
      </w:r>
      <w:r w:rsidRPr="05179C46" w:rsidR="19F46E2B">
        <w:rPr>
          <w:rFonts w:ascii="Times New Roman" w:hAnsi="Times New Roman" w:eastAsia="Times New Roman" w:cs="Times New Roman"/>
          <w:noProof w:val="0"/>
          <w:sz w:val="24"/>
          <w:szCs w:val="24"/>
          <w:lang w:val="en-GB"/>
        </w:rPr>
        <w:t>facilitated</w:t>
      </w:r>
      <w:r w:rsidRPr="05179C46" w:rsidR="19F46E2B">
        <w:rPr>
          <w:rFonts w:ascii="Times New Roman" w:hAnsi="Times New Roman" w:eastAsia="Times New Roman" w:cs="Times New Roman"/>
          <w:noProof w:val="0"/>
          <w:sz w:val="24"/>
          <w:szCs w:val="24"/>
          <w:lang w:val="en-GB"/>
        </w:rPr>
        <w:t xml:space="preserve"> a 25% delivery increase in Q3 2025 by restarting U.S. production to bypass tariffs (Investing.com, 2025). However, it lacks transformational elements critical for fostering innovation, as seen in delayed AI feature integration (e.g., Perseus system lagging Tesla’s capabilities) (Digital Trends, 2025). Matt Windle’s brief 2025 tenure was directive, effective for crisis management but uninspiring, </w:t>
      </w:r>
      <w:r w:rsidRPr="05179C46" w:rsidR="19F46E2B">
        <w:rPr>
          <w:rFonts w:ascii="Times New Roman" w:hAnsi="Times New Roman" w:eastAsia="Times New Roman" w:cs="Times New Roman"/>
          <w:noProof w:val="0"/>
          <w:sz w:val="24"/>
          <w:szCs w:val="24"/>
          <w:lang w:val="en-GB"/>
        </w:rPr>
        <w:t>exacerbating</w:t>
      </w:r>
      <w:r w:rsidRPr="05179C46" w:rsidR="19F46E2B">
        <w:rPr>
          <w:rFonts w:ascii="Times New Roman" w:hAnsi="Times New Roman" w:eastAsia="Times New Roman" w:cs="Times New Roman"/>
          <w:noProof w:val="0"/>
          <w:sz w:val="24"/>
          <w:szCs w:val="24"/>
          <w:lang w:val="en-GB"/>
        </w:rPr>
        <w:t xml:space="preserve"> cultural rifts between UK heritage staff and Geely’s Chinese executives (Autocar, 2025). Applying Hersey-Blanchard’s Situational Leadership, Lotus </w:t>
      </w:r>
      <w:r w:rsidRPr="05179C46" w:rsidR="19F46E2B">
        <w:rPr>
          <w:rFonts w:ascii="Times New Roman" w:hAnsi="Times New Roman" w:eastAsia="Times New Roman" w:cs="Times New Roman"/>
          <w:noProof w:val="0"/>
          <w:sz w:val="24"/>
          <w:szCs w:val="24"/>
          <w:lang w:val="en-GB"/>
        </w:rPr>
        <w:t>requires</w:t>
      </w:r>
      <w:r w:rsidRPr="05179C46" w:rsidR="19F46E2B">
        <w:rPr>
          <w:rFonts w:ascii="Times New Roman" w:hAnsi="Times New Roman" w:eastAsia="Times New Roman" w:cs="Times New Roman"/>
          <w:noProof w:val="0"/>
          <w:sz w:val="24"/>
          <w:szCs w:val="24"/>
          <w:lang w:val="en-GB"/>
        </w:rPr>
        <w:t xml:space="preserve"> a “selling” style for mid-level managers, coaching them on EV and AI technologies, transitioning to a “delegating” style as teams gain autonomy. The addition of Jim Rowan to the board in 2025, with his auto-tech </w:t>
      </w:r>
      <w:r w:rsidRPr="05179C46" w:rsidR="19F46E2B">
        <w:rPr>
          <w:rFonts w:ascii="Times New Roman" w:hAnsi="Times New Roman" w:eastAsia="Times New Roman" w:cs="Times New Roman"/>
          <w:noProof w:val="0"/>
          <w:sz w:val="24"/>
          <w:szCs w:val="24"/>
          <w:lang w:val="en-GB"/>
        </w:rPr>
        <w:t>expertise</w:t>
      </w:r>
      <w:r w:rsidRPr="05179C46" w:rsidR="19F46E2B">
        <w:rPr>
          <w:rFonts w:ascii="Times New Roman" w:hAnsi="Times New Roman" w:eastAsia="Times New Roman" w:cs="Times New Roman"/>
          <w:noProof w:val="0"/>
          <w:sz w:val="24"/>
          <w:szCs w:val="24"/>
          <w:lang w:val="en-GB"/>
        </w:rPr>
        <w:t>, signals a shift toward transformational leadership, supporting Vision80’s technological pivot (Group Lotus, 2025).</w:t>
      </w:r>
    </w:p>
    <w:p w:rsidR="652664EF" w:rsidP="05179C46" w:rsidRDefault="652664EF" w14:paraId="0A6F8DCE" w14:textId="61D7E9FE">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Organisational Culture Analysis: Using Schein’s model, Lotus’s culture is defined by artifacts like </w:t>
      </w:r>
      <w:r w:rsidRPr="05179C46" w:rsidR="19F46E2B">
        <w:rPr>
          <w:rFonts w:ascii="Times New Roman" w:hAnsi="Times New Roman" w:eastAsia="Times New Roman" w:cs="Times New Roman"/>
          <w:noProof w:val="0"/>
          <w:sz w:val="24"/>
          <w:szCs w:val="24"/>
          <w:lang w:val="en-GB"/>
        </w:rPr>
        <w:t>Hethel</w:t>
      </w:r>
      <w:r w:rsidRPr="05179C46" w:rsidR="19F46E2B">
        <w:rPr>
          <w:rFonts w:ascii="Times New Roman" w:hAnsi="Times New Roman" w:eastAsia="Times New Roman" w:cs="Times New Roman"/>
          <w:noProof w:val="0"/>
          <w:sz w:val="24"/>
          <w:szCs w:val="24"/>
          <w:lang w:val="en-GB"/>
        </w:rPr>
        <w:t xml:space="preserve"> track days, which reinforce its “For the Drivers” passion, and espoused values of sustainability via the ESG ‘Driving Change’ charter. However, unspoken realities—job insecurity and Geely’s hierarchical control—clash with these values, fostering resistance. For example, 30% of staff opted for voluntary redundancy in 2025, reflecting distrust (The Guardian, 2025). Cameron-Quinn’s Competing Values Framework </w:t>
      </w:r>
      <w:r w:rsidRPr="05179C46" w:rsidR="19F46E2B">
        <w:rPr>
          <w:rFonts w:ascii="Times New Roman" w:hAnsi="Times New Roman" w:eastAsia="Times New Roman" w:cs="Times New Roman"/>
          <w:noProof w:val="0"/>
          <w:sz w:val="24"/>
          <w:szCs w:val="24"/>
          <w:lang w:val="en-GB"/>
        </w:rPr>
        <w:t>identifies</w:t>
      </w:r>
      <w:r w:rsidRPr="05179C46" w:rsidR="19F46E2B">
        <w:rPr>
          <w:rFonts w:ascii="Times New Roman" w:hAnsi="Times New Roman" w:eastAsia="Times New Roman" w:cs="Times New Roman"/>
          <w:noProof w:val="0"/>
          <w:sz w:val="24"/>
          <w:szCs w:val="24"/>
          <w:lang w:val="en-GB"/>
        </w:rPr>
        <w:t xml:space="preserve"> a clan culture in Lotus’s design teams, fostering collaboration, but a hierarchical culture in operations, driven by Geely’s top-down directives, hinders agility in responding to digital disruptions like AI and online sales (Lotus Cars, 2024). This tension moderated change success, achieving operational gains (e.g., hybrid pivot) but at the cost of morale, with 20% attrition linked to cultural disconnects (LinkedIn, 2025).</w:t>
      </w:r>
    </w:p>
    <w:p w:rsidR="652664EF" w:rsidP="05179C46" w:rsidRDefault="652664EF" w14:paraId="004EC683" w14:textId="318F0D10">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Impact on Change: Transactional leadership and cultural tensions limited the efficacy of past changes. The 2024 hybrid pivot addressed market demands but </w:t>
      </w:r>
      <w:r w:rsidRPr="05179C46" w:rsidR="19F46E2B">
        <w:rPr>
          <w:rFonts w:ascii="Times New Roman" w:hAnsi="Times New Roman" w:eastAsia="Times New Roman" w:cs="Times New Roman"/>
          <w:noProof w:val="0"/>
          <w:sz w:val="24"/>
          <w:szCs w:val="24"/>
          <w:lang w:val="en-GB"/>
        </w:rPr>
        <w:t>failed to</w:t>
      </w:r>
      <w:r w:rsidRPr="05179C46" w:rsidR="19F46E2B">
        <w:rPr>
          <w:rFonts w:ascii="Times New Roman" w:hAnsi="Times New Roman" w:eastAsia="Times New Roman" w:cs="Times New Roman"/>
          <w:noProof w:val="0"/>
          <w:sz w:val="24"/>
          <w:szCs w:val="24"/>
          <w:lang w:val="en-GB"/>
        </w:rPr>
        <w:t xml:space="preserve"> engage employees, leading to union protests and reduced productivity (BBC, 2025). Conversely, short-term wins like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deliveries boosted board confidence but did not translate to cultural alignment. Mitigation strategies include adopting a coaching leadership style to upskill employees, implementing bi-weekly town halls to improve transparency, and aligning clan-based design culture with operational goals through cross-functional teams. These measures could enhance change efficacy by 15-20%, per industry studies, fostering innovation and trust (LinkedIn, 2025).</w:t>
      </w:r>
    </w:p>
    <w:p w:rsidR="652664EF" w:rsidP="05179C46" w:rsidRDefault="652664EF" w14:paraId="17013D2B" w14:textId="77E0F85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Recommendations: Leadership must balance transactional efficiency with transformational vision, empowering employees to embrace AI and EV technologies. Cultural interventions, such as regular feedback loops and recognition programs, can bridge UK-Geely divides, aligning the organization with Vision80’s sustainable mobility goals. </w:t>
      </w:r>
    </w:p>
    <w:p w:rsidR="652664EF" w:rsidP="05179C46" w:rsidRDefault="652664EF" w14:paraId="560F006D" w14:textId="447FA5D8">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1137883135" w:id="156420072"/>
      <w:r w:rsidRPr="1AE577ED" w:rsidR="19F46E2B">
        <w:rPr>
          <w:b w:val="1"/>
          <w:bCs w:val="1"/>
          <w:noProof w:val="0"/>
          <w:color w:val="124F1A" w:themeColor="accent3" w:themeTint="FF" w:themeShade="BF"/>
          <w:lang w:val="en-GB"/>
        </w:rPr>
        <w:t>Proposed Change Management Plan</w:t>
      </w:r>
      <w:bookmarkEnd w:id="156420072"/>
    </w:p>
    <w:p w:rsidR="652664EF" w:rsidP="05179C46" w:rsidRDefault="652664EF" w14:paraId="4AB01B1F" w14:textId="749AC15D">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plan leverages Kotter’s 8-Step Model to address Lotus’s challenges, pivoting to a hybrid-focused strategy to achieve Vision80’s goals by 2027. The timeline spans 18 months, with phased implementation across strategic, operational, financial, and sustainability </w:t>
      </w:r>
      <w:r w:rsidRPr="05179C46" w:rsidR="19F46E2B">
        <w:rPr>
          <w:rFonts w:ascii="Times New Roman" w:hAnsi="Times New Roman" w:eastAsia="Times New Roman" w:cs="Times New Roman"/>
          <w:noProof w:val="0"/>
          <w:sz w:val="24"/>
          <w:szCs w:val="24"/>
          <w:lang w:val="en-GB"/>
        </w:rPr>
        <w:t>objectives</w:t>
      </w:r>
      <w:r w:rsidRPr="05179C46" w:rsidR="19F46E2B">
        <w:rPr>
          <w:rFonts w:ascii="Times New Roman" w:hAnsi="Times New Roman" w:eastAsia="Times New Roman" w:cs="Times New Roman"/>
          <w:noProof w:val="0"/>
          <w:sz w:val="24"/>
          <w:szCs w:val="24"/>
          <w:lang w:val="en-GB"/>
        </w:rPr>
        <w:t>.</w:t>
      </w:r>
    </w:p>
    <w:p w:rsidR="652664EF" w:rsidP="05179C46" w:rsidRDefault="652664EF" w14:paraId="5656085F" w14:textId="65188B43">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778420426" w:id="1099828173"/>
      <w:r w:rsidRPr="1AE577ED" w:rsidR="19F46E2B">
        <w:rPr>
          <w:noProof w:val="0"/>
          <w:color w:val="124F1A" w:themeColor="accent3" w:themeTint="FF" w:themeShade="BF"/>
          <w:lang w:val="en-GB"/>
        </w:rPr>
        <w:t>Clear Objectives</w:t>
      </w:r>
      <w:bookmarkEnd w:id="1099828173"/>
      <w:r w:rsidRPr="1AE577ED" w:rsidR="19F46E2B">
        <w:rPr>
          <w:noProof w:val="0"/>
          <w:color w:val="124F1A" w:themeColor="accent3" w:themeTint="FF" w:themeShade="BF"/>
          <w:lang w:val="en-GB"/>
        </w:rPr>
        <w:t xml:space="preserve"> </w:t>
      </w:r>
    </w:p>
    <w:p w:rsidR="652664EF" w:rsidP="1AFAF4AA" w:rsidRDefault="652664EF" w14:paraId="3B18E432" w14:textId="5C7D7E94"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Strategic: Launch two hybrid models (Emira Hybrid, Type 135) by Q4 2026, capturing 15% of the luxury hybrid market; integrate Perseus AI system in 50% of vehicles for adaptive driving features.</w:t>
      </w:r>
    </w:p>
    <w:p w:rsidR="652664EF" w:rsidP="1AFAF4AA" w:rsidRDefault="652664EF" w14:paraId="0EF6E60D" w14:textId="00D0055D"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Operational: Resume full UK production by Q1 2026, reducing reliance on U.S. facilities; upskill 80% of the workforce in EV and digital technologies.</w:t>
      </w:r>
    </w:p>
    <w:p w:rsidR="652664EF" w:rsidP="1AFAF4AA" w:rsidRDefault="652664EF" w14:paraId="2F83B323" w14:textId="4E142B06"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Financial: Achieve breakeven by 2026, targeting 10,000 annual deliveries with a 20% margin on hybrids.</w:t>
      </w:r>
    </w:p>
    <w:p w:rsidR="652664EF" w:rsidP="1AFAF4AA" w:rsidRDefault="652664EF" w14:paraId="788AC235" w14:textId="3E529B88"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Sustainability: Reduce emissions by 30% through ESG-aligned supply chains, supporting the ‘Driving Change’ charter. These SMART (Specific, Measurable, Achievable, Relevant, Time-bound) </w:t>
      </w:r>
      <w:r w:rsidRPr="1AFAF4AA" w:rsidR="19F46E2B">
        <w:rPr>
          <w:rFonts w:ascii="Times New Roman" w:hAnsi="Times New Roman" w:eastAsia="Times New Roman" w:cs="Times New Roman"/>
          <w:noProof w:val="0"/>
          <w:sz w:val="24"/>
          <w:szCs w:val="24"/>
          <w:lang w:val="en-GB"/>
        </w:rPr>
        <w:t>objectives</w:t>
      </w:r>
      <w:r w:rsidRPr="1AFAF4AA" w:rsidR="19F46E2B">
        <w:rPr>
          <w:rFonts w:ascii="Times New Roman" w:hAnsi="Times New Roman" w:eastAsia="Times New Roman" w:cs="Times New Roman"/>
          <w:noProof w:val="0"/>
          <w:sz w:val="24"/>
          <w:szCs w:val="24"/>
          <w:lang w:val="en-GB"/>
        </w:rPr>
        <w:t xml:space="preserve"> align with Lotus’s vision of “exhilarating, sustainable mobility.”</w:t>
      </w:r>
    </w:p>
    <w:p w:rsidR="652664EF" w:rsidP="05179C46" w:rsidRDefault="652664EF" w14:paraId="5B969F7D" w14:textId="11F689C0">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2010787632" w:id="700539967"/>
      <w:r w:rsidRPr="1AE577ED" w:rsidR="19F46E2B">
        <w:rPr>
          <w:noProof w:val="0"/>
          <w:color w:val="124F1A" w:themeColor="accent3" w:themeTint="FF" w:themeShade="BF"/>
          <w:lang w:val="en-GB"/>
        </w:rPr>
        <w:t>Financial Plan</w:t>
      </w:r>
      <w:bookmarkEnd w:id="700539967"/>
    </w:p>
    <w:p w:rsidR="652664EF" w:rsidP="05179C46" w:rsidRDefault="652664EF" w14:paraId="289A929F" w14:textId="43E8CF54">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Budget: £150 million over 18 months, funded by a £80 million Geely loan, $300 million equity round (August 2025), and £20 million in cost savings from operational efficiencies.</w:t>
      </w:r>
    </w:p>
    <w:p w:rsidR="652664EF" w:rsidP="05179C46" w:rsidRDefault="652664EF" w14:paraId="6BF6CCBB" w14:textId="3FEF6939">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Projections: By Q1 2026, revenue is expected to reach £200 million (40% increase), driven by hybrid launches. A 20% margin on 10,000 deliveries yields breakeven within 24 months, with long-term profitability by 2027.</w:t>
      </w:r>
    </w:p>
    <w:p w:rsidR="652664EF" w:rsidP="05179C46" w:rsidRDefault="652664EF" w14:paraId="31E0E0E0" w14:textId="6D649168">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05179C46" w:rsidRDefault="652664EF" w14:paraId="071AFCA2" w14:textId="569E61EA">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05179C46" w:rsidRDefault="652664EF" w14:paraId="71E9D535" w14:textId="32EEF007">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1AE577ED" w:rsidRDefault="652664EF" w14:paraId="5C75B768" w14:textId="2A1AD77D">
      <w:pPr>
        <w:pStyle w:val="Heading1"/>
        <w:rPr>
          <w:rFonts w:ascii="Times New Roman" w:hAnsi="Times New Roman" w:eastAsia="Times New Roman" w:cs="Times New Roman"/>
          <w:b w:val="1"/>
          <w:bCs w:val="1"/>
          <w:i w:val="0"/>
          <w:iCs w:val="0"/>
          <w:strike w:val="0"/>
          <w:dstrike w:val="0"/>
          <w:noProof w:val="0"/>
          <w:color w:val="124F1A" w:themeColor="accent3" w:themeTint="FF" w:themeShade="BF"/>
          <w:sz w:val="24"/>
          <w:szCs w:val="24"/>
          <w:u w:val="none"/>
          <w:lang w:val="en-GB"/>
        </w:rPr>
      </w:pPr>
      <w:bookmarkStart w:name="_Toc445596297" w:id="1575972829"/>
      <w:r w:rsidRPr="1AE577ED" w:rsidR="3F9C07CB">
        <w:rPr>
          <w:b w:val="1"/>
          <w:bCs w:val="1"/>
          <w:noProof w:val="0"/>
          <w:color w:val="124F1A" w:themeColor="accent3" w:themeTint="FF" w:themeShade="BF"/>
          <w:lang w:val="en-GB"/>
        </w:rPr>
        <w:t>Strategic Budget Allocation</w:t>
      </w:r>
      <w:bookmarkEnd w:id="1575972829"/>
    </w:p>
    <w:tbl>
      <w:tblPr>
        <w:tblStyle w:val="TableNormal"/>
        <w:bidiVisual w:val="0"/>
        <w:tblW w:w="0" w:type="auto"/>
        <w:tblLayout w:type="fixed"/>
        <w:tblLook w:val="06A0" w:firstRow="1" w:lastRow="0" w:firstColumn="1" w:lastColumn="0" w:noHBand="1" w:noVBand="1"/>
      </w:tblPr>
      <w:tblGrid>
        <w:gridCol w:w="2955"/>
        <w:gridCol w:w="2949"/>
        <w:gridCol w:w="2964"/>
      </w:tblGrid>
      <w:tr w:rsidR="05179C46" w:rsidTr="05179C46" w14:paraId="3EEE4635">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shd w:val="clear" w:color="auto" w:fill="3A7C22" w:themeFill="accent6" w:themeFillShade="BF"/>
            <w:tcMar>
              <w:left w:w="108" w:type="dxa"/>
              <w:right w:w="108" w:type="dxa"/>
            </w:tcMar>
            <w:vAlign w:val="top"/>
          </w:tcPr>
          <w:p w:rsidR="05179C46" w:rsidP="05179C46" w:rsidRDefault="05179C46" w14:paraId="482A470D" w14:textId="24847587">
            <w:pPr>
              <w:spacing w:before="0" w:beforeAutospacing="off" w:after="0" w:afterAutospacing="off"/>
              <w:ind w:left="-108" w:right="0"/>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t>Category</w:t>
            </w:r>
          </w:p>
        </w:tc>
        <w:tc>
          <w:tcPr>
            <w:tcW w:w="2949" w:type="dxa"/>
            <w:tcBorders>
              <w:top w:val="single" w:color="000000" w:themeColor="text1" w:sz="4"/>
              <w:left w:val="single" w:color="000000" w:themeColor="text1" w:sz="4"/>
              <w:bottom w:val="single" w:color="000000" w:themeColor="text1" w:sz="4"/>
              <w:right w:val="single" w:color="000000" w:themeColor="text1" w:sz="4"/>
            </w:tcBorders>
            <w:shd w:val="clear" w:color="auto" w:fill="3A7C22" w:themeFill="accent6" w:themeFillShade="BF"/>
            <w:tcMar>
              <w:left w:w="108" w:type="dxa"/>
              <w:right w:w="108" w:type="dxa"/>
            </w:tcMar>
            <w:vAlign w:val="top"/>
          </w:tcPr>
          <w:p w:rsidR="05179C46" w:rsidP="05179C46" w:rsidRDefault="05179C46" w14:paraId="60C3541D" w14:textId="3B6DAF0E">
            <w:pPr>
              <w:spacing w:before="0" w:beforeAutospacing="off" w:after="0" w:afterAutospacing="off"/>
              <w:ind w:left="-108" w:right="0"/>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t>Budget (£m)</w:t>
            </w:r>
          </w:p>
        </w:tc>
        <w:tc>
          <w:tcPr>
            <w:tcW w:w="2964" w:type="dxa"/>
            <w:tcBorders>
              <w:top w:val="single" w:color="000000" w:themeColor="text1" w:sz="4"/>
              <w:left w:val="single" w:color="000000" w:themeColor="text1" w:sz="4"/>
              <w:bottom w:val="single" w:color="000000" w:themeColor="text1" w:sz="4"/>
              <w:right w:val="single" w:color="000000" w:themeColor="text1" w:sz="4"/>
            </w:tcBorders>
            <w:shd w:val="clear" w:color="auto" w:fill="3A7C22" w:themeFill="accent6" w:themeFillShade="BF"/>
            <w:tcMar>
              <w:left w:w="108" w:type="dxa"/>
              <w:right w:w="108" w:type="dxa"/>
            </w:tcMar>
            <w:vAlign w:val="top"/>
          </w:tcPr>
          <w:p w:rsidR="05179C46" w:rsidP="05179C46" w:rsidRDefault="05179C46" w14:paraId="0C92A67F" w14:textId="437DF219">
            <w:pPr>
              <w:spacing w:before="0" w:beforeAutospacing="off" w:after="0" w:afterAutospacing="off"/>
              <w:ind w:left="-108" w:right="0"/>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t>Description / Strategic Focus</w:t>
            </w:r>
          </w:p>
        </w:tc>
      </w:tr>
      <w:tr w:rsidR="05179C46" w:rsidTr="05179C46" w14:paraId="452B2FEB">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9913CA0" w14:textId="08D86E94">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R&amp;D (EV/Hybrid, AI)</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FB29988" w14:textId="34284B19">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60</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3CF42421" w14:textId="3D75A622">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Develop Perseus AI and battery partnerships with suppliers like CATL; ROI: 25% via premium pricing on hybrids.</w:t>
            </w:r>
          </w:p>
        </w:tc>
      </w:tr>
      <w:tr w:rsidR="05179C46" w:rsidTr="05179C46" w14:paraId="53EB2850">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3CBA5D1D" w14:textId="06F6D637">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Workforce/Training</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40639656" w14:textId="63CFFC47">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30</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0547C67D" w14:textId="5FE84CF1">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Upskilling programs for 1,000 employees, retention bonuses to reduce attrition; mitigates impact of 550 job cuts.</w:t>
            </w:r>
          </w:p>
        </w:tc>
      </w:tr>
      <w:tr w:rsidR="05179C46" w:rsidTr="05179C46" w14:paraId="494C93BF">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2B24C704" w14:textId="0514AE44">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Marketing/Communications</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994CC25" w14:textId="47D45EED">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20</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4F47C0A6" w14:textId="13AEBAE3">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Digital campaigns (#LotusEvolve) to boost online configurator conversions; target 25% sales growth.</w:t>
            </w:r>
          </w:p>
        </w:tc>
      </w:tr>
      <w:tr w:rsidR="05179C46" w:rsidTr="05179C46" w14:paraId="291FCC68">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0016B2E3" w14:textId="0898771D">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Operations (Supply Chain)</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795E7F09" w14:textId="2BC012E9">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25</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2CA1D83E" w14:textId="34B6F6F0">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Establish tariff-proof U.S. assembly facility; </w:t>
            </w: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optimize</w:t>
            </w: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UK supply chains to reduce Brexit-related delays.</w:t>
            </w:r>
          </w:p>
        </w:tc>
      </w:tr>
      <w:tr w:rsidR="05179C46" w:rsidTr="05179C46" w14:paraId="7478ED28">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983F146" w14:textId="7D57746C">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Contingency</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FBB3F8F" w14:textId="633EEDEE">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15</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13C2BF95" w14:textId="1E0A3AB4">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Buffer for economic volatility (e.g., GBP-CNY fluctuations, inflation).</w:t>
            </w:r>
          </w:p>
        </w:tc>
      </w:tr>
    </w:tbl>
    <w:p w:rsidR="652664EF" w:rsidP="05179C46" w:rsidRDefault="652664EF" w14:paraId="64F3F1AD" w14:textId="2CBFDDF3">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05179C46" w:rsidRDefault="652664EF" w14:paraId="7DA868C5" w14:textId="6E9C7A9F">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72960391" w:id="2062251078"/>
      <w:r w:rsidRPr="1AE577ED" w:rsidR="19F46E2B">
        <w:rPr>
          <w:noProof w:val="0"/>
          <w:color w:val="124F1A" w:themeColor="accent3" w:themeTint="FF" w:themeShade="BF"/>
          <w:lang w:val="en-GB"/>
        </w:rPr>
        <w:t>Communication Plan</w:t>
      </w:r>
      <w:bookmarkEnd w:id="2062251078"/>
    </w:p>
    <w:p w:rsidR="652664EF" w:rsidP="05179C46" w:rsidRDefault="652664EF" w14:paraId="275482E6" w14:textId="74A6A1CB">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A multi-tiered strategy, aligned with Kotter’s Step 4, ensures transparency and stakeholder buy-in: </w:t>
      </w:r>
    </w:p>
    <w:p w:rsidR="652664EF" w:rsidP="05179C46" w:rsidRDefault="652664EF" w14:paraId="2675948E" w14:textId="5A9916BD">
      <w:pPr>
        <w:pStyle w:val="ListParagraph"/>
        <w:numPr>
          <w:ilvl w:val="0"/>
          <w:numId w:val="8"/>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Internal: Bi-weekly town halls led by Mao </w:t>
      </w:r>
      <w:r w:rsidRPr="05179C46" w:rsidR="19F46E2B">
        <w:rPr>
          <w:rFonts w:ascii="Times New Roman" w:hAnsi="Times New Roman" w:eastAsia="Times New Roman" w:cs="Times New Roman"/>
          <w:noProof w:val="0"/>
          <w:sz w:val="24"/>
          <w:szCs w:val="24"/>
          <w:lang w:val="en-GB"/>
        </w:rPr>
        <w:t>Jingbo</w:t>
      </w:r>
      <w:r w:rsidRPr="05179C46" w:rsidR="19F46E2B">
        <w:rPr>
          <w:rFonts w:ascii="Times New Roman" w:hAnsi="Times New Roman" w:eastAsia="Times New Roman" w:cs="Times New Roman"/>
          <w:noProof w:val="0"/>
          <w:sz w:val="24"/>
          <w:szCs w:val="24"/>
          <w:lang w:val="en-GB"/>
        </w:rPr>
        <w:t xml:space="preserve"> to share progress and address concerns; intranet portal with real-time updates; anonymous surveys targeting 90% engagement.</w:t>
      </w:r>
    </w:p>
    <w:p w:rsidR="652664EF" w:rsidP="05179C46" w:rsidRDefault="652664EF" w14:paraId="688A9A5A" w14:textId="2F94A927">
      <w:pPr>
        <w:pStyle w:val="ListParagraph"/>
        <w:numPr>
          <w:ilvl w:val="0"/>
          <w:numId w:val="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External: Social media campaign (#LotusEvolve) to promote hybrid launches; press releases for Emira Hybrid and Type 135; webinars for 200 global dealers to align sales strategies.</w:t>
      </w:r>
    </w:p>
    <w:p w:rsidR="652664EF" w:rsidP="05179C46" w:rsidRDefault="652664EF" w14:paraId="4ED1FF76" w14:textId="448D0753">
      <w:pPr>
        <w:pStyle w:val="ListParagraph"/>
        <w:numPr>
          <w:ilvl w:val="0"/>
          <w:numId w:val="10"/>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Stakeholder: Quarterly board reports detailing financial and delivery KPIs; monthly union dialogues to </w:t>
      </w:r>
      <w:r w:rsidRPr="05179C46" w:rsidR="19F46E2B">
        <w:rPr>
          <w:rFonts w:ascii="Times New Roman" w:hAnsi="Times New Roman" w:eastAsia="Times New Roman" w:cs="Times New Roman"/>
          <w:noProof w:val="0"/>
          <w:sz w:val="24"/>
          <w:szCs w:val="24"/>
          <w:lang w:val="en-GB"/>
        </w:rPr>
        <w:t>preempt</w:t>
      </w:r>
      <w:r w:rsidRPr="05179C46" w:rsidR="19F46E2B">
        <w:rPr>
          <w:rFonts w:ascii="Times New Roman" w:hAnsi="Times New Roman" w:eastAsia="Times New Roman" w:cs="Times New Roman"/>
          <w:noProof w:val="0"/>
          <w:sz w:val="24"/>
          <w:szCs w:val="24"/>
          <w:lang w:val="en-GB"/>
        </w:rPr>
        <w:t xml:space="preserve"> resistance, building on 2025 consultation lessons.</w:t>
      </w:r>
    </w:p>
    <w:p w:rsidR="652664EF" w:rsidP="05179C46" w:rsidRDefault="652664EF" w14:paraId="5580B597" w14:textId="6F7C15E3">
      <w:pPr>
        <w:pStyle w:val="ListParagraph"/>
        <w:numPr>
          <w:ilvl w:val="0"/>
          <w:numId w:val="11"/>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Channels: 80% digital (AI chatbots for customer/staff queries, social media), 20% face-to-face (</w:t>
      </w:r>
      <w:r w:rsidRPr="05179C46" w:rsidR="19F46E2B">
        <w:rPr>
          <w:rFonts w:ascii="Times New Roman" w:hAnsi="Times New Roman" w:eastAsia="Times New Roman" w:cs="Times New Roman"/>
          <w:noProof w:val="0"/>
          <w:sz w:val="24"/>
          <w:szCs w:val="24"/>
          <w:lang w:val="en-GB"/>
        </w:rPr>
        <w:t>Hethel</w:t>
      </w:r>
      <w:r w:rsidRPr="05179C46" w:rsidR="19F46E2B">
        <w:rPr>
          <w:rFonts w:ascii="Times New Roman" w:hAnsi="Times New Roman" w:eastAsia="Times New Roman" w:cs="Times New Roman"/>
          <w:noProof w:val="0"/>
          <w:sz w:val="24"/>
          <w:szCs w:val="24"/>
          <w:lang w:val="en-GB"/>
        </w:rPr>
        <w:t xml:space="preserve"> track days, employee forums).</w:t>
      </w:r>
    </w:p>
    <w:p w:rsidR="652664EF" w:rsidP="05179C46" w:rsidRDefault="652664EF" w14:paraId="6BDBA66F" w14:textId="7B42294D">
      <w:pPr>
        <w:pStyle w:val="ListParagraph"/>
        <w:numPr>
          <w:ilvl w:val="0"/>
          <w:numId w:val="12"/>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Metrics: Sentiment analysis targeting 85% positive feedback; monitor survey responses and social media engagement (e.g., 50,000 #LotusEvolve impressions).</w:t>
      </w:r>
    </w:p>
    <w:p w:rsidR="652664EF" w:rsidP="05179C46" w:rsidRDefault="652664EF" w14:paraId="1C719725" w14:textId="415EFC54">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1315140706" w:id="1271791870"/>
      <w:r w:rsidRPr="1AE577ED" w:rsidR="19F46E2B">
        <w:rPr>
          <w:noProof w:val="0"/>
          <w:color w:val="124F1A" w:themeColor="accent3" w:themeTint="FF" w:themeShade="BF"/>
          <w:lang w:val="en-GB"/>
        </w:rPr>
        <w:t>Evaluation Plan</w:t>
      </w:r>
      <w:bookmarkEnd w:id="1271791870"/>
    </w:p>
    <w:p w:rsidR="652664EF" w:rsidP="05179C46" w:rsidRDefault="652664EF" w14:paraId="1C0089F6" w14:textId="6BF6022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A KPI dashboard, reviewed quarterly, tracks progress to ensure Vision80 alignment: </w:t>
      </w:r>
    </w:p>
    <w:p w:rsidR="652664EF" w:rsidP="05179C46" w:rsidRDefault="652664EF" w14:paraId="57B59612" w14:textId="50C5FBED">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Leading Indicators: Training completion rate (80% by Q3 2026), communication reach (95% workforce exposure), AI integration in 50% vehicles.</w:t>
      </w:r>
    </w:p>
    <w:p w:rsidR="652664EF" w:rsidP="05179C46" w:rsidRDefault="652664EF" w14:paraId="23ADC06D" w14:textId="7FBA99A9">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Lagging Indicators: Delivery volumes (+20% YoY to 10,000 by 2027), EBITDA (&gt;0 by 2026), employee Net Promoter Score (NPS &gt;70).</w:t>
      </w:r>
    </w:p>
    <w:p w:rsidR="652664EF" w:rsidP="05179C46" w:rsidRDefault="652664EF" w14:paraId="08004F33" w14:textId="0E254AC9">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Methods: Balanced Scorecard for financial/operational metrics; AI-driven analytics for cultural pulse (e.g., sentiment tracking); external audits by Q4 2026.</w:t>
      </w:r>
    </w:p>
    <w:p w:rsidR="652664EF" w:rsidP="05179C46" w:rsidRDefault="652664EF" w14:paraId="4C9B118E" w14:textId="2276CCD0">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Adjustments: If KPIs miss targets by 10%, trigger Kotter Step 7 reviews (e.g., reallocate R&amp;D budget, revise communication channels).</w:t>
      </w:r>
    </w:p>
    <w:p w:rsidR="652664EF" w:rsidP="05179C46" w:rsidRDefault="652664EF" w14:paraId="11685C1E" w14:textId="06F52300">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Success Criteria: A 2027 audit confirms Vision80 on track, with 15% profitability and 80% electrification achieved.</w:t>
      </w:r>
    </w:p>
    <w:p w:rsidR="652664EF" w:rsidP="05179C46" w:rsidRDefault="652664EF" w14:paraId="1AA7CA84" w14:textId="112F9CA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plan </w:t>
      </w:r>
      <w:r w:rsidRPr="05179C46" w:rsidR="19F46E2B">
        <w:rPr>
          <w:rFonts w:ascii="Times New Roman" w:hAnsi="Times New Roman" w:eastAsia="Times New Roman" w:cs="Times New Roman"/>
          <w:noProof w:val="0"/>
          <w:sz w:val="24"/>
          <w:szCs w:val="24"/>
          <w:lang w:val="en-GB"/>
        </w:rPr>
        <w:t>leverages</w:t>
      </w:r>
      <w:r w:rsidRPr="05179C46" w:rsidR="19F46E2B">
        <w:rPr>
          <w:rFonts w:ascii="Times New Roman" w:hAnsi="Times New Roman" w:eastAsia="Times New Roman" w:cs="Times New Roman"/>
          <w:noProof w:val="0"/>
          <w:sz w:val="24"/>
          <w:szCs w:val="24"/>
          <w:lang w:val="en-GB"/>
        </w:rPr>
        <w:t xml:space="preserve"> $300 million funding, hybrid market demand, and digital tools to mitigate tariffs and EV delays. By addressing cultural tensions and upskilling employees, it ensures operational stability and aligns with ESG goals, positioning Lotus as a resilient luxury mobility leader. </w:t>
      </w:r>
    </w:p>
    <w:p w:rsidR="652664EF" w:rsidP="05179C46" w:rsidRDefault="652664EF" w14:paraId="585B297E" w14:textId="546A5829">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2135969013" w:id="929327368"/>
      <w:r w:rsidRPr="1AE577ED" w:rsidR="19F46E2B">
        <w:rPr>
          <w:noProof w:val="0"/>
          <w:color w:val="124F1A" w:themeColor="accent3" w:themeTint="FF" w:themeShade="BF"/>
          <w:lang w:val="en-GB"/>
        </w:rPr>
        <w:t>Risk Assessment and Mitigation Strategies</w:t>
      </w:r>
      <w:bookmarkEnd w:id="929327368"/>
    </w:p>
    <w:p w:rsidR="652664EF" w:rsidP="05179C46" w:rsidRDefault="652664EF" w14:paraId="11A6065A" w14:textId="2E719400">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To ensure the success of the proposed change management plan, a comprehensive risk assessment is essential. This section </w:t>
      </w:r>
      <w:r w:rsidRPr="05179C46" w:rsidR="19F46E2B">
        <w:rPr>
          <w:rFonts w:ascii="Times New Roman" w:hAnsi="Times New Roman" w:eastAsia="Times New Roman" w:cs="Times New Roman"/>
          <w:noProof w:val="0"/>
          <w:sz w:val="24"/>
          <w:szCs w:val="24"/>
          <w:lang w:val="en-GB"/>
        </w:rPr>
        <w:t>identifies</w:t>
      </w:r>
      <w:r w:rsidRPr="05179C46" w:rsidR="19F46E2B">
        <w:rPr>
          <w:rFonts w:ascii="Times New Roman" w:hAnsi="Times New Roman" w:eastAsia="Times New Roman" w:cs="Times New Roman"/>
          <w:noProof w:val="0"/>
          <w:sz w:val="24"/>
          <w:szCs w:val="24"/>
          <w:lang w:val="en-GB"/>
        </w:rPr>
        <w:t xml:space="preserve"> key risks associated with the hybrid pivot, evaluates their likelihood and impact, and outlines mitigation strategies. Risks are categorized into strategic, operational, financial, and external factors, drawing on insights from the PESTLE analysis and past change efforts. A risk matrix is used to prioritize threats, with likelihood rated as low (1-3), medium (4-6), or high (7-10), and impact similarly scaled. </w:t>
      </w:r>
    </w:p>
    <w:p w:rsidR="652664EF" w:rsidP="05179C46" w:rsidRDefault="652664EF" w14:paraId="7FDB4236" w14:textId="41C23594">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Key Risks and Mitigation: </w:t>
      </w:r>
    </w:p>
    <w:p w:rsidR="652664EF" w:rsidP="05179C46" w:rsidRDefault="652664EF" w14:paraId="7B12A36E" w14:textId="256CD376">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Geopolitical and Tariff Risks (High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Escalating U.S.-China trade tensions could impose further tariffs, </w:t>
      </w:r>
      <w:r w:rsidRPr="05179C46" w:rsidR="19F46E2B">
        <w:rPr>
          <w:rFonts w:ascii="Times New Roman" w:hAnsi="Times New Roman" w:eastAsia="Times New Roman" w:cs="Times New Roman"/>
          <w:noProof w:val="0"/>
          <w:sz w:val="24"/>
          <w:szCs w:val="24"/>
          <w:lang w:val="en-GB"/>
        </w:rPr>
        <w:t>disrupting</w:t>
      </w:r>
      <w:r w:rsidRPr="05179C46" w:rsidR="19F46E2B">
        <w:rPr>
          <w:rFonts w:ascii="Times New Roman" w:hAnsi="Times New Roman" w:eastAsia="Times New Roman" w:cs="Times New Roman"/>
          <w:noProof w:val="0"/>
          <w:sz w:val="24"/>
          <w:szCs w:val="24"/>
          <w:lang w:val="en-GB"/>
        </w:rPr>
        <w:t xml:space="preserve"> exports and increasing costs by up to 25% (The Guardian, 2025). Mitigation: Diversify production by accelerating U.S. assembly facilities (</w:t>
      </w:r>
      <w:r w:rsidRPr="05179C46" w:rsidR="19F46E2B">
        <w:rPr>
          <w:rFonts w:ascii="Times New Roman" w:hAnsi="Times New Roman" w:eastAsia="Times New Roman" w:cs="Times New Roman"/>
          <w:noProof w:val="0"/>
          <w:sz w:val="24"/>
          <w:szCs w:val="24"/>
          <w:lang w:val="en-GB"/>
        </w:rPr>
        <w:t>allocated</w:t>
      </w:r>
      <w:r w:rsidRPr="05179C46" w:rsidR="19F46E2B">
        <w:rPr>
          <w:rFonts w:ascii="Times New Roman" w:hAnsi="Times New Roman" w:eastAsia="Times New Roman" w:cs="Times New Roman"/>
          <w:noProof w:val="0"/>
          <w:sz w:val="24"/>
          <w:szCs w:val="24"/>
          <w:lang w:val="en-GB"/>
        </w:rPr>
        <w:t xml:space="preserve"> £25 million in operations budget); monitor policy changes via quarterly geopolitical audits; </w:t>
      </w:r>
      <w:r w:rsidRPr="05179C46" w:rsidR="19F46E2B">
        <w:rPr>
          <w:rFonts w:ascii="Times New Roman" w:hAnsi="Times New Roman" w:eastAsia="Times New Roman" w:cs="Times New Roman"/>
          <w:noProof w:val="0"/>
          <w:sz w:val="24"/>
          <w:szCs w:val="24"/>
          <w:lang w:val="en-GB"/>
        </w:rPr>
        <w:t>establish</w:t>
      </w:r>
      <w:r w:rsidRPr="05179C46" w:rsidR="19F46E2B">
        <w:rPr>
          <w:rFonts w:ascii="Times New Roman" w:hAnsi="Times New Roman" w:eastAsia="Times New Roman" w:cs="Times New Roman"/>
          <w:noProof w:val="0"/>
          <w:sz w:val="24"/>
          <w:szCs w:val="24"/>
          <w:lang w:val="en-GB"/>
        </w:rPr>
        <w:t xml:space="preserve"> alternative supply chains in Europe and Asia to reduce dependency on Chinese components. Contingency: If tariffs rise above 100%, pivot to local sourcing, potentially saving £10-15 million annually. </w:t>
      </w:r>
    </w:p>
    <w:p w:rsidR="652664EF" w:rsidP="05179C46" w:rsidRDefault="652664EF" w14:paraId="62F0A52A" w14:textId="1B19FD37">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Market Competition and Demand Fluctuations (Medium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Competitors like Porsche and Ferrari are advancing in hybrids and EVs, potentially eroding Lotus’s 15% market share target (Reuters, 2025). Economic downturns could further suppress luxury vehicle demand. Mitigation: Enhance differentiation through Perseus AI integration and lightweight design; conduct bi-annual market research to adjust pricing and features; partner with tech firms (e.g., for AI enhancements) to stay ahead. Contingency: If demand drops 20%, implement promotional campaigns via #LotusEvolve to boost online sales conversions. </w:t>
      </w:r>
    </w:p>
    <w:p w:rsidR="652664EF" w:rsidP="05179C46" w:rsidRDefault="652664EF" w14:paraId="7544B4A4" w14:textId="0D47C826">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Technological and Innovation Delays (High Likelihood, Medium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Delays in hybrid model launches (e.g., </w:t>
      </w:r>
      <w:r w:rsidRPr="05179C46" w:rsidR="19F46E2B">
        <w:rPr>
          <w:rFonts w:ascii="Times New Roman" w:hAnsi="Times New Roman" w:eastAsia="Times New Roman" w:cs="Times New Roman"/>
          <w:noProof w:val="0"/>
          <w:sz w:val="24"/>
          <w:szCs w:val="24"/>
          <w:lang w:val="en-GB"/>
        </w:rPr>
        <w:t>Emeya</w:t>
      </w:r>
      <w:r w:rsidRPr="05179C46" w:rsidR="19F46E2B">
        <w:rPr>
          <w:rFonts w:ascii="Times New Roman" w:hAnsi="Times New Roman" w:eastAsia="Times New Roman" w:cs="Times New Roman"/>
          <w:noProof w:val="0"/>
          <w:sz w:val="24"/>
          <w:szCs w:val="24"/>
          <w:lang w:val="en-GB"/>
        </w:rPr>
        <w:t xml:space="preserve"> postponed to 2026) or AI system integration could hinder 50% vehicle adoption goals, as seen in past EV setbacks (Investing.com, 2025). Mitigation: Allocate 60% of R&amp;D budget (£36 million) to agile prototyping and supplier partnerships (e.g., CATL for batteries); form cross-functional innovation teams with weekly progress reviews; invest in simulation software to reduce development time by 15%. Contingency: Engage external consultants if internal delays exceed 3 months, ensuring on-time launches. </w:t>
      </w:r>
    </w:p>
    <w:p w:rsidR="652664EF" w:rsidP="05179C46" w:rsidRDefault="652664EF" w14:paraId="0A1651E3" w14:textId="4700006B">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Workforce and Cultural Resistance (Medium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Post-2025 job cuts, morale dips could lead to further attrition (20% rate) and union actions, impeding upskilling programs (BBC, 2025). Mitigation: Roll out retention bonuses and training initiatives (£30 million budget); foster cultural alignment via town halls and feedback loops; monitor engagement through monthly NPS surveys, aiming for &gt;70 score. Contingency: If attrition hits 25%, hire specialized recruiters and offer relocation incentives for key talent. </w:t>
      </w:r>
    </w:p>
    <w:p w:rsidR="652664EF" w:rsidP="05179C46" w:rsidRDefault="652664EF" w14:paraId="38962CD9" w14:textId="082D035F">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Financial Volatility (Medium Likelihood, Medium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Currency fluctuations (GBP-CNY) and inflation could inflate costs beyond the £150 million budget, as experienced in H1 2025 (Top Gear, 2025). Mitigation: Hedge currency risks through financial instruments; conduct monthly budget reviews with contingency fund (£15 million); seek </w:t>
      </w:r>
      <w:r w:rsidRPr="05179C46" w:rsidR="19F46E2B">
        <w:rPr>
          <w:rFonts w:ascii="Times New Roman" w:hAnsi="Times New Roman" w:eastAsia="Times New Roman" w:cs="Times New Roman"/>
          <w:noProof w:val="0"/>
          <w:sz w:val="24"/>
          <w:szCs w:val="24"/>
          <w:lang w:val="en-GB"/>
        </w:rPr>
        <w:t>additional</w:t>
      </w:r>
      <w:r w:rsidRPr="05179C46" w:rsidR="19F46E2B">
        <w:rPr>
          <w:rFonts w:ascii="Times New Roman" w:hAnsi="Times New Roman" w:eastAsia="Times New Roman" w:cs="Times New Roman"/>
          <w:noProof w:val="0"/>
          <w:sz w:val="24"/>
          <w:szCs w:val="24"/>
          <w:lang w:val="en-GB"/>
        </w:rPr>
        <w:t xml:space="preserve"> Geely funding if overruns exceed 10%. Contingency: Prioritize cost-saving measures, such as </w:t>
      </w:r>
      <w:r w:rsidRPr="05179C46" w:rsidR="19F46E2B">
        <w:rPr>
          <w:rFonts w:ascii="Times New Roman" w:hAnsi="Times New Roman" w:eastAsia="Times New Roman" w:cs="Times New Roman"/>
          <w:noProof w:val="0"/>
          <w:sz w:val="24"/>
          <w:szCs w:val="24"/>
          <w:lang w:val="en-GB"/>
        </w:rPr>
        <w:t>optimizing</w:t>
      </w:r>
      <w:r w:rsidRPr="05179C46" w:rsidR="19F46E2B">
        <w:rPr>
          <w:rFonts w:ascii="Times New Roman" w:hAnsi="Times New Roman" w:eastAsia="Times New Roman" w:cs="Times New Roman"/>
          <w:noProof w:val="0"/>
          <w:sz w:val="24"/>
          <w:szCs w:val="24"/>
          <w:lang w:val="en-GB"/>
        </w:rPr>
        <w:t xml:space="preserve"> supply chains, to </w:t>
      </w:r>
      <w:r w:rsidRPr="05179C46" w:rsidR="19F46E2B">
        <w:rPr>
          <w:rFonts w:ascii="Times New Roman" w:hAnsi="Times New Roman" w:eastAsia="Times New Roman" w:cs="Times New Roman"/>
          <w:noProof w:val="0"/>
          <w:sz w:val="24"/>
          <w:szCs w:val="24"/>
          <w:lang w:val="en-GB"/>
        </w:rPr>
        <w:t>maintain</w:t>
      </w:r>
      <w:r w:rsidRPr="05179C46" w:rsidR="19F46E2B">
        <w:rPr>
          <w:rFonts w:ascii="Times New Roman" w:hAnsi="Times New Roman" w:eastAsia="Times New Roman" w:cs="Times New Roman"/>
          <w:noProof w:val="0"/>
          <w:sz w:val="24"/>
          <w:szCs w:val="24"/>
          <w:lang w:val="en-GB"/>
        </w:rPr>
        <w:t xml:space="preserve"> breakeven targets. </w:t>
      </w:r>
    </w:p>
    <w:p w:rsidR="652664EF" w:rsidP="05179C46" w:rsidRDefault="652664EF" w14:paraId="7AF86DD5" w14:textId="7AE142DB">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Sustainability and Regulatory Compliance (Low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Failure to meet EU Euro 7 standards or ESG goals could result in fines and reputational damage, countering the ‘Driving Change’ charter (Lotus Cars, n.d.). Mitigation: Integrate sustainability audits into quarterly KPIs; partner with green suppliers for 30% emissions reduction; track carbon footprints via AI analytics. Contingency: If regulations tighten, accelerate hybrid transitions and lobby through industry associations.</w:t>
      </w:r>
    </w:p>
    <w:p w:rsidR="652664EF" w:rsidP="05179C46" w:rsidRDefault="652664EF" w14:paraId="14F967A7" w14:textId="026AA98D">
      <w:pPr>
        <w:spacing w:before="240" w:beforeAutospacing="off" w:after="240" w:afterAutospacing="off"/>
        <w:jc w:val="left"/>
        <w:rPr>
          <w:rFonts w:ascii="Times New Roman" w:hAnsi="Times New Roman" w:eastAsia="Times New Roman" w:cs="Times New Roman"/>
          <w:noProof w:val="0"/>
          <w:sz w:val="24"/>
          <w:szCs w:val="24"/>
          <w:lang w:val="en-GB"/>
        </w:rPr>
      </w:pPr>
      <w:bookmarkStart w:name="_Toc1764511810" w:id="1794821225"/>
      <w:r w:rsidRPr="1AE577ED" w:rsidR="19F46E2B">
        <w:rPr>
          <w:rStyle w:val="Heading1Char"/>
          <w:b w:val="1"/>
          <w:bCs w:val="1"/>
          <w:noProof w:val="0"/>
          <w:color w:val="124F1A" w:themeColor="accent3" w:themeTint="FF" w:themeShade="BF"/>
          <w:lang w:val="en-GB"/>
        </w:rPr>
        <w:t>Risk Matrix Overview</w:t>
      </w:r>
      <w:bookmarkEnd w:id="1794821225"/>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ayout w:type="fixed"/>
        <w:tblLook w:val="06A0" w:firstRow="1" w:lastRow="0" w:firstColumn="1" w:lastColumn="0" w:noHBand="1" w:noVBand="1"/>
      </w:tblPr>
      <w:tblGrid>
        <w:gridCol w:w="2840"/>
        <w:gridCol w:w="1426"/>
        <w:gridCol w:w="1426"/>
        <w:gridCol w:w="1056"/>
        <w:gridCol w:w="2268"/>
      </w:tblGrid>
      <w:tr w:rsidR="05179C46" w:rsidTr="05179C46" w14:paraId="29F0C626">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6662F9B0" w14:textId="71422A62">
            <w:pPr>
              <w:spacing w:before="0" w:beforeAutospacing="off" w:after="0" w:afterAutospacing="off"/>
              <w:jc w:val="center"/>
              <w:rPr>
                <w:rFonts w:ascii="Times New Roman" w:hAnsi="Times New Roman" w:eastAsia="Times New Roman" w:cs="Times New Roman"/>
                <w:b w:val="1"/>
                <w:bCs w:val="1"/>
                <w:color w:val="124F1A" w:themeColor="accent3" w:themeTint="FF" w:themeShade="BF"/>
                <w:sz w:val="24"/>
                <w:szCs w:val="24"/>
                <w:highlight w:val="darkGreen"/>
              </w:rPr>
            </w:pPr>
            <w:r w:rsidRPr="05179C46" w:rsidR="05179C46">
              <w:rPr>
                <w:rFonts w:ascii="Times New Roman" w:hAnsi="Times New Roman" w:eastAsia="Times New Roman" w:cs="Times New Roman"/>
                <w:b w:val="1"/>
                <w:bCs w:val="1"/>
                <w:sz w:val="24"/>
                <w:szCs w:val="24"/>
              </w:rPr>
              <w:t>Risk Category</w:t>
            </w:r>
          </w:p>
        </w:tc>
        <w:tc>
          <w:tcPr>
            <w:tcW w:w="1426"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25A07483" w14:textId="309B0D45">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Likelihood</w:t>
            </w:r>
          </w:p>
        </w:tc>
        <w:tc>
          <w:tcPr>
            <w:tcW w:w="1426"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77AD15F9" w14:textId="48A57A41">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Impact</w:t>
            </w:r>
          </w:p>
        </w:tc>
        <w:tc>
          <w:tcPr>
            <w:tcW w:w="1056"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0C1F3B4D" w14:textId="21AA7AC1">
            <w:pPr>
              <w:spacing w:before="0" w:beforeAutospacing="off" w:after="0" w:afterAutospacing="off"/>
              <w:jc w:val="center"/>
              <w:rPr>
                <w:rFonts w:ascii="Times New Roman" w:hAnsi="Times New Roman" w:eastAsia="Times New Roman" w:cs="Times New Roman"/>
                <w:b w:val="1"/>
                <w:bCs w:val="1"/>
                <w:sz w:val="24"/>
                <w:szCs w:val="24"/>
              </w:rPr>
            </w:pPr>
          </w:p>
          <w:p w:rsidR="05179C46" w:rsidP="05179C46" w:rsidRDefault="05179C46" w14:paraId="562811C0" w14:textId="3710FA80">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Priority</w:t>
            </w:r>
          </w:p>
        </w:tc>
        <w:tc>
          <w:tcPr>
            <w:tcW w:w="2268"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23B1010A" w14:textId="2C312B8F">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Mitigation Owner</w:t>
            </w:r>
          </w:p>
        </w:tc>
      </w:tr>
      <w:tr w:rsidR="05179C46" w:rsidTr="05179C46" w14:paraId="19F0761A">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D0602CB" w14:textId="6EA620E4">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Geopolitical/Tariffs</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D3407B3" w14:textId="189A60A0">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(8)</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919D655" w14:textId="177821C5">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(9)</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D8E995E" w14:textId="3DF147C9">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Critical</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39D43A63" w14:textId="04601938">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Operations Director</w:t>
            </w:r>
          </w:p>
        </w:tc>
      </w:tr>
      <w:tr w:rsidR="05179C46" w:rsidTr="05179C46" w14:paraId="71957B83">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A44825D" w14:textId="1140B606">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Market Competition</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B2B094A" w14:textId="17D9D86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(6)</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D932A92" w14:textId="17AA29DC">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(8)</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08E4D228" w14:textId="58BC132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1E972E2" w14:textId="5FD5EC7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Marketing Lead</w:t>
            </w:r>
          </w:p>
        </w:tc>
      </w:tr>
      <w:tr w:rsidR="05179C46" w:rsidTr="05179C46" w14:paraId="55EA5F7B">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76D9420F" w14:textId="5DD2876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Tech Delays</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70E33EF8" w14:textId="6DAB9C34">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(7)</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C6E4D09" w14:textId="2462E51A">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(6)</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387758A" w14:textId="3303726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8878533" w14:textId="5189559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R&amp;D Head</w:t>
            </w:r>
          </w:p>
        </w:tc>
      </w:tr>
      <w:tr w:rsidR="05179C46" w:rsidTr="05179C46" w14:paraId="5B095CFF">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24A8633" w14:textId="3966B219">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Workforce Resistance</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ABE1EF8" w14:textId="07EE21DF">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(5)</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11696E2" w14:textId="01A6F51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(8)</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9C2A647" w14:textId="371DB74F">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33CB3817" w14:textId="7341CA50">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HR Manager</w:t>
            </w:r>
          </w:p>
        </w:tc>
      </w:tr>
      <w:tr w:rsidR="05179C46" w:rsidTr="05179C46" w14:paraId="17CE7B33">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0745E0FC" w14:textId="2C15482C">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Financial Volatility</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229FFEE" w14:textId="6B1E1EB8">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(5)</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99FE840" w14:textId="0FB9475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(6)</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27B12872" w14:textId="4E5DB9A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01E177F3" w14:textId="740F1627">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CFO</w:t>
            </w:r>
          </w:p>
        </w:tc>
      </w:tr>
      <w:tr w:rsidR="05179C46" w:rsidTr="05179C46" w14:paraId="0C445181">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C8A58C4" w14:textId="4CF40D69">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Sustainability/Regulatory</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B27AD6A" w14:textId="4651A4C3">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Low (3)</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7AC06DF3" w14:textId="60542AF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(7)</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32064CA0" w14:textId="4396D03B">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E8D0E6A" w14:textId="065BF02F">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ESG Officer</w:t>
            </w:r>
          </w:p>
        </w:tc>
      </w:tr>
    </w:tbl>
    <w:p w:rsidR="652664EF" w:rsidP="05179C46" w:rsidRDefault="652664EF" w14:paraId="78DCFBC6" w14:textId="627E296E">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risk assessment integrates with Kotter’s Steps 5-7, empowering action through proactive monitoring and </w:t>
      </w:r>
      <w:r w:rsidRPr="05179C46" w:rsidR="19F46E2B">
        <w:rPr>
          <w:rFonts w:ascii="Times New Roman" w:hAnsi="Times New Roman" w:eastAsia="Times New Roman" w:cs="Times New Roman"/>
          <w:noProof w:val="0"/>
          <w:sz w:val="24"/>
          <w:szCs w:val="24"/>
          <w:lang w:val="en-GB"/>
        </w:rPr>
        <w:t>consolidating</w:t>
      </w:r>
      <w:r w:rsidRPr="05179C46" w:rsidR="19F46E2B">
        <w:rPr>
          <w:rFonts w:ascii="Times New Roman" w:hAnsi="Times New Roman" w:eastAsia="Times New Roman" w:cs="Times New Roman"/>
          <w:noProof w:val="0"/>
          <w:sz w:val="24"/>
          <w:szCs w:val="24"/>
          <w:lang w:val="en-GB"/>
        </w:rPr>
        <w:t xml:space="preserve"> gains via adaptive adjustments. Regular risk reviews (monthly for critical items) will use AI-driven tools for predictive analysis, reducing overall exposure by 20-30% and enhancing plan resilience. By addressing these risks head-on, Lotus can minimize disruptions and maximize the hybrid pivot’s potential. </w:t>
      </w:r>
    </w:p>
    <w:p w:rsidR="652664EF" w:rsidP="05179C46" w:rsidRDefault="652664EF" w14:paraId="536E0C13" w14:textId="14087DBA">
      <w:pPr>
        <w:pStyle w:val="Heading1"/>
        <w:bidi w:val="0"/>
        <w:rPr>
          <w:rFonts w:ascii="Times New Roman" w:hAnsi="Times New Roman" w:eastAsia="Times New Roman" w:cs="Times New Roman"/>
          <w:b w:val="1"/>
          <w:bCs w:val="1"/>
          <w:noProof w:val="0"/>
          <w:color w:val="124F1A" w:themeColor="accent3" w:themeTint="FF" w:themeShade="BF"/>
          <w:sz w:val="24"/>
          <w:szCs w:val="24"/>
          <w:lang w:val="en-GB"/>
        </w:rPr>
      </w:pPr>
      <w:bookmarkStart w:name="_Toc641227084" w:id="1903539323"/>
      <w:r w:rsidRPr="1AE577ED" w:rsidR="19F46E2B">
        <w:rPr>
          <w:b w:val="1"/>
          <w:bCs w:val="1"/>
          <w:noProof w:val="0"/>
          <w:color w:val="124F1A" w:themeColor="accent3" w:themeTint="FF" w:themeShade="BF"/>
          <w:lang w:val="en-GB"/>
        </w:rPr>
        <w:t>Conclusion</w:t>
      </w:r>
      <w:bookmarkEnd w:id="1903539323"/>
    </w:p>
    <w:p w:rsidR="652664EF" w:rsidP="05179C46" w:rsidRDefault="652664EF" w14:paraId="39673351" w14:textId="4691DEBB">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1AE577ED" w:rsidR="19F46E2B">
        <w:rPr>
          <w:rFonts w:ascii="Times New Roman" w:hAnsi="Times New Roman" w:eastAsia="Times New Roman" w:cs="Times New Roman"/>
          <w:noProof w:val="0"/>
          <w:sz w:val="24"/>
          <w:szCs w:val="24"/>
          <w:lang w:val="en-GB"/>
        </w:rPr>
        <w:t xml:space="preserve">Lotus Cars stands at a critical juncture, its storied heritage of lightweight performance and engineering excellence challenged by significant financial losses, U.S. tariff disruptions, and delays in its electric vehicle (EV) transition. The company’s £594 million loss in 2023, followed by $263 million in H1 2025, coupled with a 49% delivery drop in Q2 2025, underscores the need for immediate strategic action (Top Gear, 2025; Investing.com, 2025). This strategic change plan, grounded in Kotter’s 8-Step Model, proposes a hybrid-focused pivot to achieve 10,000 annual deliveries by 2027, supported by a £150 million investment in R&amp;D, workforce upskilling, and supply chain resilience. A transparent, multi-channel communication strategy, including bi-weekly town halls and a #LotusEvolve campaign, aims to rebuild stakeholder trust and address cultural tensions </w:t>
      </w:r>
      <w:r w:rsidRPr="1AE577ED" w:rsidR="19F46E2B">
        <w:rPr>
          <w:rFonts w:ascii="Times New Roman" w:hAnsi="Times New Roman" w:eastAsia="Times New Roman" w:cs="Times New Roman"/>
          <w:noProof w:val="0"/>
          <w:sz w:val="24"/>
          <w:szCs w:val="24"/>
          <w:lang w:val="en-GB"/>
        </w:rPr>
        <w:t>exacerbated</w:t>
      </w:r>
      <w:r w:rsidRPr="1AE577ED" w:rsidR="19F46E2B">
        <w:rPr>
          <w:rFonts w:ascii="Times New Roman" w:hAnsi="Times New Roman" w:eastAsia="Times New Roman" w:cs="Times New Roman"/>
          <w:noProof w:val="0"/>
          <w:sz w:val="24"/>
          <w:szCs w:val="24"/>
          <w:lang w:val="en-GB"/>
        </w:rPr>
        <w:t xml:space="preserve"> by 550 UK job cuts in 2025 (AM-</w:t>
      </w:r>
      <w:r w:rsidRPr="1AE577ED" w:rsidR="19F46E2B">
        <w:rPr>
          <w:rFonts w:ascii="Times New Roman" w:hAnsi="Times New Roman" w:eastAsia="Times New Roman" w:cs="Times New Roman"/>
          <w:noProof w:val="0"/>
          <w:color w:val="000000" w:themeColor="text1" w:themeTint="FF" w:themeShade="FF"/>
          <w:sz w:val="24"/>
          <w:szCs w:val="24"/>
          <w:lang w:val="en-GB"/>
        </w:rPr>
        <w:t>online</w:t>
      </w:r>
      <w:r w:rsidRPr="1AE577ED" w:rsidR="19F46E2B">
        <w:rPr>
          <w:rFonts w:ascii="Times New Roman" w:hAnsi="Times New Roman" w:eastAsia="Times New Roman" w:cs="Times New Roman"/>
          <w:noProof w:val="0"/>
          <w:sz w:val="24"/>
          <w:szCs w:val="24"/>
          <w:lang w:val="en-GB"/>
        </w:rPr>
        <w:t>, 2025).</w:t>
      </w:r>
    </w:p>
    <w:p w:rsidR="652664EF" w:rsidP="05179C46" w:rsidRDefault="652664EF" w14:paraId="392D07CE" w14:textId="60636F72">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By addressing leadership gaps through a shift to a coaching style and fostering cultural cohesion between UK heritage staff and Geely’s directives, the plan mitigates risks from geopolitical uncertainties and digital disruptions, such as AI integration and online sales platforms (Lotus Cars, 2024). Aligned with Lotus’s ESG ‘Driving Change’ charter, the plan targets a 30% emissions reduction and a 20% revenue uplift by 2026, restoring profitability and positioning Lotus as a leader in sustainable, exhilarating mobility. Robust KPIs, including delivery volumes and employee Net Promoter Scores, will ensure accountability, with quarterly reviews to adjust strategies if targets are missed (Lotus Technology, 2025). The added risk assessment further strengthens the plan by </w:t>
      </w:r>
      <w:r w:rsidRPr="05179C46" w:rsidR="19F46E2B">
        <w:rPr>
          <w:rFonts w:ascii="Times New Roman" w:hAnsi="Times New Roman" w:eastAsia="Times New Roman" w:cs="Times New Roman"/>
          <w:noProof w:val="0"/>
          <w:sz w:val="24"/>
          <w:szCs w:val="24"/>
          <w:lang w:val="en-GB"/>
        </w:rPr>
        <w:t>identifying</w:t>
      </w:r>
      <w:r w:rsidRPr="05179C46" w:rsidR="19F46E2B">
        <w:rPr>
          <w:rFonts w:ascii="Times New Roman" w:hAnsi="Times New Roman" w:eastAsia="Times New Roman" w:cs="Times New Roman"/>
          <w:noProof w:val="0"/>
          <w:sz w:val="24"/>
          <w:szCs w:val="24"/>
          <w:lang w:val="en-GB"/>
        </w:rPr>
        <w:t xml:space="preserve"> and mitigating potential pitfalls, ensuring proactive management of uncertainties. Urgent implementation is critical to capitalize on the $300 million funding round and hybrid market demand, boosting morale, </w:t>
      </w:r>
      <w:r w:rsidRPr="05179C46" w:rsidR="19F46E2B">
        <w:rPr>
          <w:rFonts w:ascii="Times New Roman" w:hAnsi="Times New Roman" w:eastAsia="Times New Roman" w:cs="Times New Roman"/>
          <w:noProof w:val="0"/>
          <w:sz w:val="24"/>
          <w:szCs w:val="24"/>
          <w:lang w:val="en-GB"/>
        </w:rPr>
        <w:t>retaining</w:t>
      </w:r>
      <w:r w:rsidRPr="05179C46" w:rsidR="19F46E2B">
        <w:rPr>
          <w:rFonts w:ascii="Times New Roman" w:hAnsi="Times New Roman" w:eastAsia="Times New Roman" w:cs="Times New Roman"/>
          <w:noProof w:val="0"/>
          <w:sz w:val="24"/>
          <w:szCs w:val="24"/>
          <w:lang w:val="en-GB"/>
        </w:rPr>
        <w:t xml:space="preserve"> talent, and securing Lotus’s competitive edge. By embracing this plan, Lotus can navigate global uncertainties, </w:t>
      </w:r>
      <w:r w:rsidRPr="05179C46" w:rsidR="19F46E2B">
        <w:rPr>
          <w:rFonts w:ascii="Times New Roman" w:hAnsi="Times New Roman" w:eastAsia="Times New Roman" w:cs="Times New Roman"/>
          <w:noProof w:val="0"/>
          <w:sz w:val="24"/>
          <w:szCs w:val="24"/>
          <w:lang w:val="en-GB"/>
        </w:rPr>
        <w:t>honor</w:t>
      </w:r>
      <w:r w:rsidRPr="05179C46" w:rsidR="19F46E2B">
        <w:rPr>
          <w:rFonts w:ascii="Times New Roman" w:hAnsi="Times New Roman" w:eastAsia="Times New Roman" w:cs="Times New Roman"/>
          <w:noProof w:val="0"/>
          <w:sz w:val="24"/>
          <w:szCs w:val="24"/>
          <w:lang w:val="en-GB"/>
        </w:rPr>
        <w:t xml:space="preserve"> its “For the Drivers” ethos, and achieve long-term resilience in the luxury automotive sector. </w:t>
      </w:r>
    </w:p>
    <w:p w:rsidR="652664EF" w:rsidP="05179C46" w:rsidRDefault="652664EF" w14:paraId="1F63397F" w14:textId="2A3E6495">
      <w:pPr>
        <w:bidi w:val="0"/>
        <w:spacing w:before="240" w:beforeAutospacing="off" w:after="240" w:afterAutospacing="off"/>
        <w:jc w:val="center"/>
        <w:rPr>
          <w:rFonts w:ascii="Times New Roman" w:hAnsi="Times New Roman" w:eastAsia="Times New Roman" w:cs="Times New Roman"/>
          <w:noProof w:val="0"/>
          <w:sz w:val="24"/>
          <w:szCs w:val="24"/>
          <w:lang w:val="en-GB"/>
        </w:rPr>
      </w:pPr>
      <w:r w:rsidR="2F88E6C6">
        <w:drawing>
          <wp:inline wp14:editId="478A9ECC" wp14:anchorId="684F2D2A">
            <wp:extent cx="4122483" cy="2750608"/>
            <wp:effectExtent l="0" t="0" r="0" b="0"/>
            <wp:docPr id="1316450736" name="drawing" descr="Lotus Elise 220 Sport &quot;Gulf&quot; | Lotus Elise 220 Sport &quot;Gulf&quot; … | Flick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6450736" name="Picture 1316450736"/>
                    <pic:cNvPicPr/>
                  </pic:nvPicPr>
                  <pic:blipFill>
                    <a:blip xmlns:r="http://schemas.openxmlformats.org/officeDocument/2006/relationships" r:embed="rId1871743587">
                      <a:extLst>
                        <a:ext uri="{28A0092B-C50C-407E-A947-70E740481C1C}">
                          <a14:useLocalDpi xmlns:a14="http://schemas.microsoft.com/office/drawing/2010/main"/>
                        </a:ext>
                      </a:extLst>
                    </a:blip>
                    <a:stretch>
                      <a:fillRect/>
                    </a:stretch>
                  </pic:blipFill>
                  <pic:spPr>
                    <a:xfrm rot="0">
                      <a:off x="0" y="0"/>
                      <a:ext cx="4122483" cy="2750608"/>
                    </a:xfrm>
                    <a:prstGeom prst="rect">
                      <a:avLst/>
                    </a:prstGeom>
                  </pic:spPr>
                </pic:pic>
              </a:graphicData>
            </a:graphic>
          </wp:inline>
        </w:drawing>
      </w:r>
    </w:p>
    <w:p w:rsidR="652664EF" w:rsidP="05179C46" w:rsidRDefault="652664EF" w14:paraId="7BA5002D" w14:textId="54C5F708">
      <w:pPr>
        <w:bidi w:val="0"/>
        <w:spacing w:before="240" w:beforeAutospacing="off" w:after="240" w:afterAutospacing="off"/>
        <w:jc w:val="center"/>
        <w:rPr>
          <w:rFonts w:ascii="Times New Roman" w:hAnsi="Times New Roman" w:eastAsia="Times New Roman" w:cs="Times New Roman"/>
          <w:noProof w:val="0"/>
          <w:sz w:val="24"/>
          <w:szCs w:val="24"/>
          <w:lang w:val="en-GB"/>
        </w:rPr>
      </w:pPr>
      <w:r w:rsidRPr="05179C46" w:rsidR="1F9275C4">
        <w:rPr>
          <w:rFonts w:ascii="Times New Roman" w:hAnsi="Times New Roman" w:eastAsia="Times New Roman" w:cs="Times New Roman"/>
          <w:noProof w:val="0"/>
          <w:sz w:val="24"/>
          <w:szCs w:val="24"/>
          <w:lang w:val="en-GB"/>
        </w:rPr>
        <w:t>(Google.com)</w:t>
      </w:r>
    </w:p>
    <w:p w:rsidR="652664EF" w:rsidP="05179C46" w:rsidRDefault="652664EF" w14:paraId="6E015E59" w14:textId="70F7ACA5">
      <w:pPr>
        <w:pStyle w:val="Heading1"/>
        <w:bidi w:val="0"/>
        <w:rPr>
          <w:rFonts w:ascii="Times New Roman" w:hAnsi="Times New Roman" w:eastAsia="Times New Roman" w:cs="Times New Roman"/>
          <w:b w:val="1"/>
          <w:bCs w:val="1"/>
          <w:noProof w:val="0"/>
          <w:color w:val="124F1A" w:themeColor="accent3" w:themeTint="FF" w:themeShade="BF"/>
          <w:sz w:val="24"/>
          <w:szCs w:val="24"/>
          <w:lang w:val="en-GB"/>
        </w:rPr>
      </w:pPr>
      <w:bookmarkStart w:name="_Toc1148498214" w:id="509291095"/>
      <w:r w:rsidRPr="1AE577ED" w:rsidR="19F46E2B">
        <w:rPr>
          <w:b w:val="1"/>
          <w:bCs w:val="1"/>
          <w:noProof w:val="0"/>
          <w:color w:val="124F1A" w:themeColor="accent3" w:themeTint="FF" w:themeShade="BF"/>
          <w:lang w:val="en-GB"/>
        </w:rPr>
        <w:t>References</w:t>
      </w:r>
      <w:bookmarkEnd w:id="509291095"/>
    </w:p>
    <w:p w:rsidR="652664EF" w:rsidP="1AFAF4AA" w:rsidRDefault="652664EF" w14:paraId="1EC14298" w14:textId="5BD06FA3">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AM-online (2025) Lotus to almost halve UK workforce as Vision 80 strategy falters. Available at: </w:t>
      </w:r>
      <w:hyperlink r:id="Rf036f230770945d0">
        <w:r w:rsidRPr="11C7D60D" w:rsidR="19F46E2B">
          <w:rPr>
            <w:rStyle w:val="Hyperlink"/>
            <w:rFonts w:ascii="Times New Roman" w:hAnsi="Times New Roman" w:eastAsia="Times New Roman" w:cs="Times New Roman"/>
            <w:noProof w:val="0"/>
            <w:sz w:val="24"/>
            <w:szCs w:val="24"/>
            <w:lang w:val="en-GB"/>
          </w:rPr>
          <w:t>https://www.am-online.com/news/Lotus-to-almost-halve-UK-workforce-as-Vision-80-strategy-falters</w:t>
        </w:r>
      </w:hyperlink>
      <w:r w:rsidRPr="11C7D60D" w:rsidR="19F46E2B">
        <w:rPr>
          <w:rFonts w:ascii="Times New Roman" w:hAnsi="Times New Roman" w:eastAsia="Times New Roman" w:cs="Times New Roman"/>
          <w:noProof w:val="0"/>
          <w:sz w:val="24"/>
          <w:szCs w:val="24"/>
          <w:lang w:val="en-GB"/>
        </w:rPr>
        <w:t xml:space="preserve"> (Accessed: 24 </w:t>
      </w:r>
      <w:r w:rsidRPr="11C7D60D" w:rsidR="248B2AB2">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19F46E2B" w:rsidP="11C7D60D" w:rsidRDefault="19F46E2B" w14:paraId="12D55A01" w14:textId="0025D151">
      <w:pPr>
        <w:pStyle w:val="ListParagraph"/>
        <w:numPr>
          <w:ilvl w:val="0"/>
          <w:numId w:val="20"/>
        </w:numPr>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Autocar (2025) Exclusive: Lotus to name China boss as replacement for Matt Windle. Available at: </w:t>
      </w:r>
      <w:hyperlink r:id="R9c90d94080e6448d">
        <w:r w:rsidRPr="11C7D60D" w:rsidR="19F46E2B">
          <w:rPr>
            <w:rStyle w:val="Hyperlink"/>
            <w:rFonts w:ascii="Times New Roman" w:hAnsi="Times New Roman" w:eastAsia="Times New Roman" w:cs="Times New Roman"/>
            <w:noProof w:val="0"/>
            <w:sz w:val="24"/>
            <w:szCs w:val="24"/>
            <w:lang w:val="en-GB"/>
          </w:rPr>
          <w:t>https://www.autocar.co.uk/car-news/business-corporate/exclusive-lotus-name-china-boss-replacement-matt-windle</w:t>
        </w:r>
      </w:hyperlink>
      <w:r w:rsidRPr="11C7D60D" w:rsidR="19F46E2B">
        <w:rPr>
          <w:rFonts w:ascii="Times New Roman" w:hAnsi="Times New Roman" w:eastAsia="Times New Roman" w:cs="Times New Roman"/>
          <w:noProof w:val="0"/>
          <w:sz w:val="24"/>
          <w:szCs w:val="24"/>
          <w:lang w:val="en-GB"/>
        </w:rPr>
        <w:t xml:space="preserve"> (Accessed: </w:t>
      </w:r>
      <w:r w:rsidRPr="11C7D60D" w:rsidR="209CFA71">
        <w:rPr>
          <w:rFonts w:ascii="Times New Roman" w:hAnsi="Times New Roman" w:eastAsia="Times New Roman" w:cs="Times New Roman"/>
          <w:noProof w:val="0"/>
          <w:sz w:val="24"/>
          <w:szCs w:val="24"/>
          <w:lang w:val="en-GB"/>
        </w:rPr>
        <w:t>17</w:t>
      </w:r>
      <w:r w:rsidRPr="11C7D60D" w:rsidR="19F46E2B">
        <w:rPr>
          <w:rFonts w:ascii="Times New Roman" w:hAnsi="Times New Roman" w:eastAsia="Times New Roman" w:cs="Times New Roman"/>
          <w:noProof w:val="0"/>
          <w:sz w:val="24"/>
          <w:szCs w:val="24"/>
          <w:lang w:val="en-GB"/>
        </w:rPr>
        <w:t xml:space="preserve"> </w:t>
      </w:r>
      <w:r w:rsidRPr="11C7D60D" w:rsidR="16E8E8F0">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652664EF" w:rsidP="1AFAF4AA" w:rsidRDefault="652664EF" w14:paraId="20AE5248" w14:textId="66C0B10A">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Carsupermarket.com (2024) Lotus Makes U-Turn on All-Electric Future as Hybrid Plans Take Centre Stage. Available at: </w:t>
      </w:r>
      <w:hyperlink r:id="R586714fd8ba44ccb">
        <w:r w:rsidRPr="11C7D60D" w:rsidR="19F46E2B">
          <w:rPr>
            <w:rStyle w:val="Hyperlink"/>
            <w:rFonts w:ascii="Times New Roman" w:hAnsi="Times New Roman" w:eastAsia="Times New Roman" w:cs="Times New Roman"/>
            <w:noProof w:val="0"/>
            <w:sz w:val="24"/>
            <w:szCs w:val="24"/>
            <w:lang w:val="en-GB"/>
          </w:rPr>
          <w:t>https://www.carsupermarket.com/blog/lotus-makes-u-turn-on-all-electric-future-as-hybrid-plans-take-centre-stage</w:t>
        </w:r>
      </w:hyperlink>
      <w:r w:rsidRPr="11C7D60D" w:rsidR="19F46E2B">
        <w:rPr>
          <w:rFonts w:ascii="Times New Roman" w:hAnsi="Times New Roman" w:eastAsia="Times New Roman" w:cs="Times New Roman"/>
          <w:noProof w:val="0"/>
          <w:sz w:val="24"/>
          <w:szCs w:val="24"/>
          <w:lang w:val="en-GB"/>
        </w:rPr>
        <w:t xml:space="preserve"> (Accessed: </w:t>
      </w:r>
      <w:r w:rsidRPr="11C7D60D" w:rsidR="495CFCAA">
        <w:rPr>
          <w:rFonts w:ascii="Times New Roman" w:hAnsi="Times New Roman" w:eastAsia="Times New Roman" w:cs="Times New Roman"/>
          <w:noProof w:val="0"/>
          <w:sz w:val="24"/>
          <w:szCs w:val="24"/>
          <w:lang w:val="en-GB"/>
        </w:rPr>
        <w:t>09</w:t>
      </w:r>
      <w:r w:rsidRPr="11C7D60D" w:rsidR="19F46E2B">
        <w:rPr>
          <w:rFonts w:ascii="Times New Roman" w:hAnsi="Times New Roman" w:eastAsia="Times New Roman" w:cs="Times New Roman"/>
          <w:noProof w:val="0"/>
          <w:sz w:val="24"/>
          <w:szCs w:val="24"/>
          <w:lang w:val="en-GB"/>
        </w:rPr>
        <w:t xml:space="preserve"> </w:t>
      </w:r>
      <w:r w:rsidRPr="11C7D60D" w:rsidR="149CFF53">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652664EF" w:rsidP="1AFAF4AA" w:rsidRDefault="652664EF" w14:paraId="7BC49F64" w14:textId="2634F1A8">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Digital Trends (2025) This week in EV Tech: Your </w:t>
      </w:r>
      <w:r w:rsidRPr="11C7D60D" w:rsidR="19F46E2B">
        <w:rPr>
          <w:rFonts w:ascii="Times New Roman" w:hAnsi="Times New Roman" w:eastAsia="Times New Roman" w:cs="Times New Roman"/>
          <w:noProof w:val="0"/>
          <w:sz w:val="24"/>
          <w:szCs w:val="24"/>
          <w:lang w:val="en-GB"/>
        </w:rPr>
        <w:t>emotionally-attuned</w:t>
      </w:r>
      <w:r w:rsidRPr="11C7D60D" w:rsidR="19F46E2B">
        <w:rPr>
          <w:rFonts w:ascii="Times New Roman" w:hAnsi="Times New Roman" w:eastAsia="Times New Roman" w:cs="Times New Roman"/>
          <w:noProof w:val="0"/>
          <w:sz w:val="24"/>
          <w:szCs w:val="24"/>
          <w:lang w:val="en-GB"/>
        </w:rPr>
        <w:t xml:space="preserve"> AI car might soon be here. Available at: </w:t>
      </w:r>
      <w:hyperlink r:id="R7733ae5438bd43c2">
        <w:r w:rsidRPr="11C7D60D" w:rsidR="19F46E2B">
          <w:rPr>
            <w:rStyle w:val="Hyperlink"/>
            <w:rFonts w:ascii="Times New Roman" w:hAnsi="Times New Roman" w:eastAsia="Times New Roman" w:cs="Times New Roman"/>
            <w:noProof w:val="0"/>
            <w:sz w:val="24"/>
            <w:szCs w:val="24"/>
            <w:lang w:val="en-GB"/>
          </w:rPr>
          <w:t>https://www.digitaltrends.com/cars/this-week-in-ev-tech-your-emotionally-attuned-ai-car-might-finally-be-here/</w:t>
        </w:r>
      </w:hyperlink>
      <w:r w:rsidRPr="11C7D60D" w:rsidR="19F46E2B">
        <w:rPr>
          <w:rFonts w:ascii="Times New Roman" w:hAnsi="Times New Roman" w:eastAsia="Times New Roman" w:cs="Times New Roman"/>
          <w:noProof w:val="0"/>
          <w:sz w:val="24"/>
          <w:szCs w:val="24"/>
          <w:lang w:val="en-GB"/>
        </w:rPr>
        <w:t xml:space="preserve"> </w:t>
      </w:r>
    </w:p>
    <w:p w:rsidR="652664EF" w:rsidP="1AFAF4AA" w:rsidRDefault="652664EF" w14:paraId="1C5CC963" w14:textId="09E6EC07">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(Accessed: </w:t>
      </w:r>
      <w:r w:rsidRPr="11C7D60D" w:rsidR="25B2E906">
        <w:rPr>
          <w:rFonts w:ascii="Times New Roman" w:hAnsi="Times New Roman" w:eastAsia="Times New Roman" w:cs="Times New Roman"/>
          <w:noProof w:val="0"/>
          <w:sz w:val="24"/>
          <w:szCs w:val="24"/>
          <w:lang w:val="en-GB"/>
        </w:rPr>
        <w:t>01</w:t>
      </w:r>
      <w:r w:rsidRPr="11C7D60D" w:rsidR="19F46E2B">
        <w:rPr>
          <w:rFonts w:ascii="Times New Roman" w:hAnsi="Times New Roman" w:eastAsia="Times New Roman" w:cs="Times New Roman"/>
          <w:noProof w:val="0"/>
          <w:sz w:val="24"/>
          <w:szCs w:val="24"/>
          <w:lang w:val="en-GB"/>
        </w:rPr>
        <w:t xml:space="preserve"> </w:t>
      </w:r>
      <w:r w:rsidRPr="11C7D60D" w:rsidR="2FCB17E2">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652664EF" w:rsidP="1AFAF4AA" w:rsidRDefault="652664EF" w14:paraId="536C5D2A" w14:textId="587D5EB5">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EV Magazine (2023) Lotus' electric vehicle transformation takes a new turn. Available at: </w:t>
      </w:r>
      <w:hyperlink r:id="R6c9a3e149dcd46a1">
        <w:r w:rsidRPr="11C7D60D" w:rsidR="19F46E2B">
          <w:rPr>
            <w:rStyle w:val="Hyperlink"/>
            <w:rFonts w:ascii="Times New Roman" w:hAnsi="Times New Roman" w:eastAsia="Times New Roman" w:cs="Times New Roman"/>
            <w:noProof w:val="0"/>
            <w:sz w:val="24"/>
            <w:szCs w:val="24"/>
            <w:lang w:val="en-GB"/>
          </w:rPr>
          <w:t>https://evmagazine.com/electric-cars/lotus-electric-vehicle-transformation-takes-a-new-turn</w:t>
        </w:r>
      </w:hyperlink>
      <w:r w:rsidRPr="11C7D60D" w:rsidR="19F46E2B">
        <w:rPr>
          <w:rFonts w:ascii="Times New Roman" w:hAnsi="Times New Roman" w:eastAsia="Times New Roman" w:cs="Times New Roman"/>
          <w:noProof w:val="0"/>
          <w:sz w:val="24"/>
          <w:szCs w:val="24"/>
          <w:lang w:val="en-GB"/>
        </w:rPr>
        <w:t xml:space="preserve"> (Accessed: 2</w:t>
      </w:r>
      <w:r w:rsidRPr="11C7D60D" w:rsidR="0138DA92">
        <w:rPr>
          <w:rFonts w:ascii="Times New Roman" w:hAnsi="Times New Roman" w:eastAsia="Times New Roman" w:cs="Times New Roman"/>
          <w:noProof w:val="0"/>
          <w:sz w:val="24"/>
          <w:szCs w:val="24"/>
          <w:lang w:val="en-GB"/>
        </w:rPr>
        <w:t>7</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2D3C0B33" w14:textId="45C4E3DF">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Group Lotus (2025) Board of Directors. Available at: </w:t>
      </w:r>
      <w:hyperlink r:id="Re641f9b052d94825">
        <w:r w:rsidRPr="11C7D60D" w:rsidR="19F46E2B">
          <w:rPr>
            <w:rStyle w:val="Hyperlink"/>
            <w:rFonts w:ascii="Times New Roman" w:hAnsi="Times New Roman" w:eastAsia="Times New Roman" w:cs="Times New Roman"/>
            <w:noProof w:val="0"/>
            <w:sz w:val="24"/>
            <w:szCs w:val="24"/>
            <w:lang w:val="en-GB"/>
          </w:rPr>
          <w:t>https://ir.group-lotus.com/governance/board-of-directors</w:t>
        </w:r>
      </w:hyperlink>
      <w:r w:rsidRPr="11C7D60D" w:rsidR="19F46E2B">
        <w:rPr>
          <w:rFonts w:ascii="Times New Roman" w:hAnsi="Times New Roman" w:eastAsia="Times New Roman" w:cs="Times New Roman"/>
          <w:noProof w:val="0"/>
          <w:sz w:val="24"/>
          <w:szCs w:val="24"/>
          <w:lang w:val="en-GB"/>
        </w:rPr>
        <w:t xml:space="preserve"> (Accessed: 2</w:t>
      </w:r>
      <w:r w:rsidRPr="11C7D60D" w:rsidR="20077928">
        <w:rPr>
          <w:rFonts w:ascii="Times New Roman" w:hAnsi="Times New Roman" w:eastAsia="Times New Roman" w:cs="Times New Roman"/>
          <w:noProof w:val="0"/>
          <w:sz w:val="24"/>
          <w:szCs w:val="24"/>
          <w:lang w:val="en-GB"/>
        </w:rPr>
        <w:t>6</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4583E60A" w14:textId="5DE180DA">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Group Lotus (2025) Lotus Technology Announces Management and Board Changes. Available at: </w:t>
      </w:r>
      <w:hyperlink r:id="Ree1550d7619846ca">
        <w:r w:rsidRPr="11C7D60D" w:rsidR="19F46E2B">
          <w:rPr>
            <w:rStyle w:val="Hyperlink"/>
            <w:rFonts w:ascii="Times New Roman" w:hAnsi="Times New Roman" w:eastAsia="Times New Roman" w:cs="Times New Roman"/>
            <w:noProof w:val="0"/>
            <w:sz w:val="24"/>
            <w:szCs w:val="24"/>
            <w:lang w:val="en-GB"/>
          </w:rPr>
          <w:t>https://ir.group-lotus.com/news-releases/news-release-details/lotus-technology-announces-management-and-board-changes</w:t>
        </w:r>
      </w:hyperlink>
      <w:r w:rsidRPr="11C7D60D" w:rsidR="19F46E2B">
        <w:rPr>
          <w:rFonts w:ascii="Times New Roman" w:hAnsi="Times New Roman" w:eastAsia="Times New Roman" w:cs="Times New Roman"/>
          <w:noProof w:val="0"/>
          <w:sz w:val="24"/>
          <w:szCs w:val="24"/>
          <w:lang w:val="en-GB"/>
        </w:rPr>
        <w:t xml:space="preserve"> (Accessed: 2</w:t>
      </w:r>
      <w:r w:rsidRPr="11C7D60D" w:rsidR="6AE2E93D">
        <w:rPr>
          <w:rFonts w:ascii="Times New Roman" w:hAnsi="Times New Roman" w:eastAsia="Times New Roman" w:cs="Times New Roman"/>
          <w:noProof w:val="0"/>
          <w:sz w:val="24"/>
          <w:szCs w:val="24"/>
          <w:lang w:val="en-GB"/>
        </w:rPr>
        <w:t>8</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129370F9" w14:textId="1ED74917">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Investing.com (2025) Earnings call transcript: Lotus Technology sees Q2 2025 revenue drop, plans new launches. Available at: </w:t>
      </w:r>
      <w:hyperlink r:id="Re2ed650af1704ce3">
        <w:r w:rsidRPr="11C7D60D" w:rsidR="19F46E2B">
          <w:rPr>
            <w:rStyle w:val="Hyperlink"/>
            <w:rFonts w:ascii="Times New Roman" w:hAnsi="Times New Roman" w:eastAsia="Times New Roman" w:cs="Times New Roman"/>
            <w:noProof w:val="0"/>
            <w:sz w:val="24"/>
            <w:szCs w:val="24"/>
            <w:lang w:val="en-GB"/>
          </w:rPr>
          <w:t>https://www.investing.com/news/transcripts/earnings-call-transcript-lotus-technology-sees-q2-2025-revenue-drop-plans-new-launches-93CH-4216702</w:t>
        </w:r>
      </w:hyperlink>
      <w:r w:rsidRPr="11C7D60D" w:rsidR="19F46E2B">
        <w:rPr>
          <w:rFonts w:ascii="Times New Roman" w:hAnsi="Times New Roman" w:eastAsia="Times New Roman" w:cs="Times New Roman"/>
          <w:noProof w:val="0"/>
          <w:sz w:val="24"/>
          <w:szCs w:val="24"/>
          <w:lang w:val="en-GB"/>
        </w:rPr>
        <w:t xml:space="preserve"> (Accessed: 2</w:t>
      </w:r>
      <w:r w:rsidRPr="11C7D60D" w:rsidR="3E1D75B8">
        <w:rPr>
          <w:rFonts w:ascii="Times New Roman" w:hAnsi="Times New Roman" w:eastAsia="Times New Roman" w:cs="Times New Roman"/>
          <w:noProof w:val="0"/>
          <w:sz w:val="24"/>
          <w:szCs w:val="24"/>
          <w:lang w:val="en-GB"/>
        </w:rPr>
        <w:t>8</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4EEB0385" w14:textId="3C6758D8"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LinkedIn (2025) Lotus Case Study. Available at: </w:t>
      </w:r>
      <w:hyperlink r:id="Rc7f231dca3964d40">
        <w:r w:rsidRPr="1AFAF4AA" w:rsidR="19F46E2B">
          <w:rPr>
            <w:rStyle w:val="Hyperlink"/>
            <w:rFonts w:ascii="Times New Roman" w:hAnsi="Times New Roman" w:eastAsia="Times New Roman" w:cs="Times New Roman"/>
            <w:noProof w:val="0"/>
            <w:sz w:val="24"/>
            <w:szCs w:val="24"/>
            <w:lang w:val="en-GB"/>
          </w:rPr>
          <w:t>https://learning.linkedin.com/elearning-case-studies/lotus</w:t>
        </w:r>
      </w:hyperlink>
      <w:r w:rsidRPr="1AFAF4AA" w:rsidR="19F46E2B">
        <w:rPr>
          <w:rFonts w:ascii="Times New Roman" w:hAnsi="Times New Roman" w:eastAsia="Times New Roman" w:cs="Times New Roman"/>
          <w:noProof w:val="0"/>
          <w:sz w:val="24"/>
          <w:szCs w:val="24"/>
          <w:lang w:val="en-GB"/>
        </w:rPr>
        <w:t xml:space="preserve"> (Accessed: 24 October 2025). Lotus Cars (n.d.) The Lotus ESG Charter. Available at: </w:t>
      </w:r>
      <w:hyperlink r:id="R2c135895e94f4e45">
        <w:r w:rsidRPr="1AFAF4AA" w:rsidR="19F46E2B">
          <w:rPr>
            <w:rStyle w:val="Hyperlink"/>
            <w:rFonts w:ascii="Times New Roman" w:hAnsi="Times New Roman" w:eastAsia="Times New Roman" w:cs="Times New Roman"/>
            <w:noProof w:val="0"/>
            <w:sz w:val="24"/>
            <w:szCs w:val="24"/>
            <w:lang w:val="en-GB"/>
          </w:rPr>
          <w:t>https://www.lotuscars.com/en-GB/esg</w:t>
        </w:r>
      </w:hyperlink>
      <w:r w:rsidRPr="1AFAF4AA" w:rsidR="19F46E2B">
        <w:rPr>
          <w:rFonts w:ascii="Times New Roman" w:hAnsi="Times New Roman" w:eastAsia="Times New Roman" w:cs="Times New Roman"/>
          <w:noProof w:val="0"/>
          <w:sz w:val="24"/>
          <w:szCs w:val="24"/>
          <w:lang w:val="en-GB"/>
        </w:rPr>
        <w:t xml:space="preserve"> (Accessed: 24 October 2025).</w:t>
      </w:r>
    </w:p>
    <w:p w:rsidR="652664EF" w:rsidP="1AFAF4AA" w:rsidRDefault="652664EF" w14:paraId="096FFEFC" w14:textId="4389D93D">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Lotus Cars (2024) Lotus Robotics </w:t>
      </w:r>
      <w:r w:rsidRPr="11C7D60D" w:rsidR="19F46E2B">
        <w:rPr>
          <w:rFonts w:ascii="Times New Roman" w:hAnsi="Times New Roman" w:eastAsia="Times New Roman" w:cs="Times New Roman"/>
          <w:noProof w:val="0"/>
          <w:sz w:val="24"/>
          <w:szCs w:val="24"/>
          <w:lang w:val="en-GB"/>
        </w:rPr>
        <w:t>showcases</w:t>
      </w:r>
      <w:r w:rsidRPr="11C7D60D" w:rsidR="19F46E2B">
        <w:rPr>
          <w:rFonts w:ascii="Times New Roman" w:hAnsi="Times New Roman" w:eastAsia="Times New Roman" w:cs="Times New Roman"/>
          <w:noProof w:val="0"/>
          <w:sz w:val="24"/>
          <w:szCs w:val="24"/>
          <w:lang w:val="en-GB"/>
        </w:rPr>
        <w:t xml:space="preserve"> latest technologies at CES. Available at: </w:t>
      </w:r>
      <w:hyperlink r:id="R9abad1df664b4a04">
        <w:r w:rsidRPr="11C7D60D" w:rsidR="19F46E2B">
          <w:rPr>
            <w:rStyle w:val="Hyperlink"/>
            <w:rFonts w:ascii="Times New Roman" w:hAnsi="Times New Roman" w:eastAsia="Times New Roman" w:cs="Times New Roman"/>
            <w:noProof w:val="0"/>
            <w:sz w:val="24"/>
            <w:szCs w:val="24"/>
            <w:lang w:val="en-GB"/>
          </w:rPr>
          <w:t>https://www.lotuscars.com/en/press/news/lotus-robotics-showcases-latest-technologies-at-ces</w:t>
        </w:r>
      </w:hyperlink>
      <w:r w:rsidRPr="11C7D60D" w:rsidR="19F46E2B">
        <w:rPr>
          <w:rFonts w:ascii="Times New Roman" w:hAnsi="Times New Roman" w:eastAsia="Times New Roman" w:cs="Times New Roman"/>
          <w:noProof w:val="0"/>
          <w:sz w:val="24"/>
          <w:szCs w:val="24"/>
          <w:lang w:val="en-GB"/>
        </w:rPr>
        <w:t xml:space="preserve"> (Accessed: 2</w:t>
      </w:r>
      <w:r w:rsidRPr="11C7D60D" w:rsidR="7A58DB05">
        <w:rPr>
          <w:rFonts w:ascii="Times New Roman" w:hAnsi="Times New Roman" w:eastAsia="Times New Roman" w:cs="Times New Roman"/>
          <w:noProof w:val="0"/>
          <w:sz w:val="24"/>
          <w:szCs w:val="24"/>
          <w:lang w:val="en-GB"/>
        </w:rPr>
        <w:t>5</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2FF4270D" w14:textId="0A123D3A"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 Lotus Technology (2025) Lotus Technology Reports Unaudited Second Quarter and First Half. Available at: </w:t>
      </w:r>
      <w:hyperlink r:id="R4511f0d5bf9446dd">
        <w:r w:rsidRPr="1AFAF4AA" w:rsidR="19F46E2B">
          <w:rPr>
            <w:rStyle w:val="Hyperlink"/>
            <w:rFonts w:ascii="Times New Roman" w:hAnsi="Times New Roman" w:eastAsia="Times New Roman" w:cs="Times New Roman"/>
            <w:noProof w:val="0"/>
            <w:sz w:val="24"/>
            <w:szCs w:val="24"/>
            <w:lang w:val="en-GB"/>
          </w:rPr>
          <w:t>https://lotustechnology.gcs-web.com/news-releases/news-release-details/lotus-technology-reports-unaudited-second-quarter-and-first-0</w:t>
        </w:r>
      </w:hyperlink>
      <w:r w:rsidRPr="1AFAF4AA" w:rsidR="19F46E2B">
        <w:rPr>
          <w:rFonts w:ascii="Times New Roman" w:hAnsi="Times New Roman" w:eastAsia="Times New Roman" w:cs="Times New Roman"/>
          <w:noProof w:val="0"/>
          <w:sz w:val="24"/>
          <w:szCs w:val="24"/>
          <w:lang w:val="en-GB"/>
        </w:rPr>
        <w:t xml:space="preserve"> (Accessed: 24 October 2025).</w:t>
      </w:r>
    </w:p>
    <w:p w:rsidR="652664EF" w:rsidP="1AFAF4AA" w:rsidRDefault="652664EF" w14:paraId="3D4E67C6" w14:textId="27606DE1"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 Reuters (2025) Car maker Lotus to cut 550 jobs in UK amid global auto uncertainties. Available at: </w:t>
      </w:r>
      <w:hyperlink r:id="R65ab21c88e9b4add">
        <w:r w:rsidRPr="1AFAF4AA" w:rsidR="19F46E2B">
          <w:rPr>
            <w:rStyle w:val="Hyperlink"/>
            <w:rFonts w:ascii="Times New Roman" w:hAnsi="Times New Roman" w:eastAsia="Times New Roman" w:cs="Times New Roman"/>
            <w:noProof w:val="0"/>
            <w:sz w:val="24"/>
            <w:szCs w:val="24"/>
            <w:lang w:val="en-GB"/>
          </w:rPr>
          <w:t>https://www.reuters.com/sustainability/car-maker-lotus-cut-550-jobs-uk-amid-global-auto-uncertainties-2025-08-28/</w:t>
        </w:r>
      </w:hyperlink>
      <w:r w:rsidRPr="1AFAF4AA" w:rsidR="19F46E2B">
        <w:rPr>
          <w:rFonts w:ascii="Times New Roman" w:hAnsi="Times New Roman" w:eastAsia="Times New Roman" w:cs="Times New Roman"/>
          <w:noProof w:val="0"/>
          <w:sz w:val="24"/>
          <w:szCs w:val="24"/>
          <w:lang w:val="en-GB"/>
        </w:rPr>
        <w:t xml:space="preserve"> (Accessed: 24 October 2025).</w:t>
      </w:r>
    </w:p>
    <w:p w:rsidR="652664EF" w:rsidP="1AFAF4AA" w:rsidRDefault="652664EF" w14:paraId="061B2E7F" w14:textId="1CC1469D">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The Guardian (2025) Lotus to cut 550 UK jobs amid 'uncertainty' including Trump tariffs. Available at: </w:t>
      </w:r>
      <w:hyperlink r:id="Rb6b55a43392a40ee">
        <w:r w:rsidRPr="11C7D60D" w:rsidR="19F46E2B">
          <w:rPr>
            <w:rStyle w:val="Hyperlink"/>
            <w:rFonts w:ascii="Times New Roman" w:hAnsi="Times New Roman" w:eastAsia="Times New Roman" w:cs="Times New Roman"/>
            <w:noProof w:val="0"/>
            <w:sz w:val="24"/>
            <w:szCs w:val="24"/>
            <w:lang w:val="en-GB"/>
          </w:rPr>
          <w:t>https://www.theguardian.com/business/2025/aug/28/lotus-cut-uk-jobs-auto-industry-trump-tariffs</w:t>
        </w:r>
      </w:hyperlink>
      <w:r w:rsidRPr="11C7D60D" w:rsidR="19F46E2B">
        <w:rPr>
          <w:rFonts w:ascii="Times New Roman" w:hAnsi="Times New Roman" w:eastAsia="Times New Roman" w:cs="Times New Roman"/>
          <w:noProof w:val="0"/>
          <w:sz w:val="24"/>
          <w:szCs w:val="24"/>
          <w:lang w:val="en-GB"/>
        </w:rPr>
        <w:t xml:space="preserve"> (Accessed: </w:t>
      </w:r>
      <w:r w:rsidRPr="11C7D60D" w:rsidR="42FED4DB">
        <w:rPr>
          <w:rFonts w:ascii="Times New Roman" w:hAnsi="Times New Roman" w:eastAsia="Times New Roman" w:cs="Times New Roman"/>
          <w:noProof w:val="0"/>
          <w:sz w:val="24"/>
          <w:szCs w:val="24"/>
          <w:lang w:val="en-GB"/>
        </w:rPr>
        <w:t>29</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152C461E" w14:textId="7695B459">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The Truth About Cars (2024) Lotus Technology Inc. Posts Losses in 2023. Available at: </w:t>
      </w:r>
      <w:hyperlink r:id="Rabe74c67603a4748">
        <w:r w:rsidRPr="11C7D60D" w:rsidR="19F46E2B">
          <w:rPr>
            <w:rStyle w:val="Hyperlink"/>
            <w:rFonts w:ascii="Times New Roman" w:hAnsi="Times New Roman" w:eastAsia="Times New Roman" w:cs="Times New Roman"/>
            <w:noProof w:val="0"/>
            <w:sz w:val="24"/>
            <w:szCs w:val="24"/>
            <w:lang w:val="en-GB"/>
          </w:rPr>
          <w:t>https://www.thetruthaboutcars.com/cars/news-blog/lotus-technology-inc-posts-losses-in-2023-44500590</w:t>
        </w:r>
      </w:hyperlink>
      <w:r w:rsidRPr="11C7D60D" w:rsidR="19F46E2B">
        <w:rPr>
          <w:rFonts w:ascii="Times New Roman" w:hAnsi="Times New Roman" w:eastAsia="Times New Roman" w:cs="Times New Roman"/>
          <w:noProof w:val="0"/>
          <w:sz w:val="24"/>
          <w:szCs w:val="24"/>
          <w:lang w:val="en-GB"/>
        </w:rPr>
        <w:t xml:space="preserve"> (Accessed: 0</w:t>
      </w:r>
      <w:r w:rsidRPr="11C7D60D" w:rsidR="6CE63284">
        <w:rPr>
          <w:rFonts w:ascii="Times New Roman" w:hAnsi="Times New Roman" w:eastAsia="Times New Roman" w:cs="Times New Roman"/>
          <w:noProof w:val="0"/>
          <w:sz w:val="24"/>
          <w:szCs w:val="24"/>
          <w:lang w:val="en-GB"/>
        </w:rPr>
        <w:t>6</w:t>
      </w:r>
      <w:r w:rsidRPr="11C7D60D" w:rsidR="19F46E2B">
        <w:rPr>
          <w:rFonts w:ascii="Times New Roman" w:hAnsi="Times New Roman" w:eastAsia="Times New Roman" w:cs="Times New Roman"/>
          <w:noProof w:val="0"/>
          <w:sz w:val="24"/>
          <w:szCs w:val="24"/>
          <w:lang w:val="en-GB"/>
        </w:rPr>
        <w:t xml:space="preserve"> November 2025).</w:t>
      </w:r>
    </w:p>
    <w:p w:rsidR="652664EF" w:rsidP="1AFAF4AA" w:rsidRDefault="652664EF" w14:paraId="4EDC9698" w14:textId="50DF037F"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Top Gear (2025) Lotus is planning a U-turn on its all-electric future. Available at: </w:t>
      </w:r>
      <w:hyperlink r:id="R9676bfb73f804a67">
        <w:r w:rsidRPr="1AFAF4AA" w:rsidR="19F46E2B">
          <w:rPr>
            <w:rStyle w:val="Hyperlink"/>
            <w:rFonts w:ascii="Times New Roman" w:hAnsi="Times New Roman" w:eastAsia="Times New Roman" w:cs="Times New Roman"/>
            <w:noProof w:val="0"/>
            <w:sz w:val="24"/>
            <w:szCs w:val="24"/>
            <w:lang w:val="en-GB"/>
          </w:rPr>
          <w:t>https://www.topgear.com/car-news/electric/lotus-planning-u-turn-its-all-electric-future</w:t>
        </w:r>
      </w:hyperlink>
      <w:r w:rsidRPr="1AFAF4AA" w:rsidR="19F46E2B">
        <w:rPr>
          <w:rFonts w:ascii="Times New Roman" w:hAnsi="Times New Roman" w:eastAsia="Times New Roman" w:cs="Times New Roman"/>
          <w:noProof w:val="0"/>
          <w:sz w:val="24"/>
          <w:szCs w:val="24"/>
          <w:lang w:val="en-GB"/>
        </w:rPr>
        <w:t xml:space="preserve"> (Accessed: 07 November 2025).</w:t>
      </w:r>
    </w:p>
    <w:p w:rsidR="652664EF" w:rsidP="05179C46" w:rsidRDefault="652664EF" w14:paraId="259638A0" w14:textId="0985C5BA">
      <w:pPr>
        <w:pStyle w:val="Normal"/>
        <w:jc w:val="left"/>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P="652664EF" w:rsidRDefault="652664EF" w14:paraId="6AFA8215" w14:textId="08A75406">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52664EF" w:rsidP="652664EF" w:rsidRDefault="652664EF" w14:paraId="7E036F5C" w14:textId="462F6EAC">
      <w:pPr>
        <w:pStyle w:val="Normal"/>
        <w:jc w:val="center"/>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517ca9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0">
    <w:nsid w:val="5e44958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9">
    <w:nsid w:val="2baf85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8">
    <w:nsid w:val="4d0a60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dec6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c1b4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95e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9fee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2411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69c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30cce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a53e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95a1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3da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694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c4f6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236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914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319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0f0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6f5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0F050"/>
    <w:rsid w:val="0138DA92"/>
    <w:rsid w:val="0308EA81"/>
    <w:rsid w:val="0370509F"/>
    <w:rsid w:val="04EC8364"/>
    <w:rsid w:val="05179C46"/>
    <w:rsid w:val="062630E1"/>
    <w:rsid w:val="09101B11"/>
    <w:rsid w:val="0A4D962C"/>
    <w:rsid w:val="0A4D962C"/>
    <w:rsid w:val="0B145918"/>
    <w:rsid w:val="0BBA0B36"/>
    <w:rsid w:val="0C28775D"/>
    <w:rsid w:val="0DEEC070"/>
    <w:rsid w:val="0F8DF797"/>
    <w:rsid w:val="10517F7E"/>
    <w:rsid w:val="10626EDB"/>
    <w:rsid w:val="11C7D60D"/>
    <w:rsid w:val="1397FFE6"/>
    <w:rsid w:val="14203D41"/>
    <w:rsid w:val="14638850"/>
    <w:rsid w:val="147D2279"/>
    <w:rsid w:val="149CFF53"/>
    <w:rsid w:val="14EAD5F4"/>
    <w:rsid w:val="15D0F050"/>
    <w:rsid w:val="16E8E8F0"/>
    <w:rsid w:val="1759EFBF"/>
    <w:rsid w:val="19F46E2B"/>
    <w:rsid w:val="1A3E93EC"/>
    <w:rsid w:val="1A930985"/>
    <w:rsid w:val="1AE577ED"/>
    <w:rsid w:val="1AFAF4AA"/>
    <w:rsid w:val="1CAAED2B"/>
    <w:rsid w:val="1F9275C4"/>
    <w:rsid w:val="20077928"/>
    <w:rsid w:val="209CFA71"/>
    <w:rsid w:val="242D91B8"/>
    <w:rsid w:val="248B2AB2"/>
    <w:rsid w:val="25B2E906"/>
    <w:rsid w:val="280E44B4"/>
    <w:rsid w:val="286C072E"/>
    <w:rsid w:val="28D99360"/>
    <w:rsid w:val="298F145B"/>
    <w:rsid w:val="2A0F66DB"/>
    <w:rsid w:val="2A6409F3"/>
    <w:rsid w:val="2A779977"/>
    <w:rsid w:val="2C518DBC"/>
    <w:rsid w:val="2D323408"/>
    <w:rsid w:val="2F66A6AD"/>
    <w:rsid w:val="2F88E6C6"/>
    <w:rsid w:val="2FCB17E2"/>
    <w:rsid w:val="30236408"/>
    <w:rsid w:val="31723CE8"/>
    <w:rsid w:val="31723CE8"/>
    <w:rsid w:val="33B82C71"/>
    <w:rsid w:val="37A49495"/>
    <w:rsid w:val="3804499B"/>
    <w:rsid w:val="3BC00318"/>
    <w:rsid w:val="3C2C9322"/>
    <w:rsid w:val="3C2C9322"/>
    <w:rsid w:val="3E1D75B8"/>
    <w:rsid w:val="3F85AE16"/>
    <w:rsid w:val="3F9C07CB"/>
    <w:rsid w:val="4228E2F1"/>
    <w:rsid w:val="42FED4DB"/>
    <w:rsid w:val="4496A3FB"/>
    <w:rsid w:val="4496A3FB"/>
    <w:rsid w:val="46362976"/>
    <w:rsid w:val="495CFCAA"/>
    <w:rsid w:val="4C4ED6F2"/>
    <w:rsid w:val="4DEDAE7C"/>
    <w:rsid w:val="4E2BB684"/>
    <w:rsid w:val="4FFD316F"/>
    <w:rsid w:val="5041899C"/>
    <w:rsid w:val="50CE9CFC"/>
    <w:rsid w:val="51F4A522"/>
    <w:rsid w:val="51F4A522"/>
    <w:rsid w:val="529B6638"/>
    <w:rsid w:val="582B99F1"/>
    <w:rsid w:val="59B6C8ED"/>
    <w:rsid w:val="59B6C8ED"/>
    <w:rsid w:val="59C1D77A"/>
    <w:rsid w:val="5B5EA7B3"/>
    <w:rsid w:val="5DDE4912"/>
    <w:rsid w:val="5E2344F0"/>
    <w:rsid w:val="5F8FB55B"/>
    <w:rsid w:val="652664EF"/>
    <w:rsid w:val="653F133F"/>
    <w:rsid w:val="693ABECB"/>
    <w:rsid w:val="6A1C8377"/>
    <w:rsid w:val="6AE2E93D"/>
    <w:rsid w:val="6CE1180F"/>
    <w:rsid w:val="6CE63284"/>
    <w:rsid w:val="6EDFA739"/>
    <w:rsid w:val="6F66ADFE"/>
    <w:rsid w:val="724EDA1A"/>
    <w:rsid w:val="7380E869"/>
    <w:rsid w:val="738A9AC9"/>
    <w:rsid w:val="74E27330"/>
    <w:rsid w:val="782226F7"/>
    <w:rsid w:val="7A58DB05"/>
    <w:rsid w:val="7AF7783B"/>
    <w:rsid w:val="7BCE1CBC"/>
    <w:rsid w:val="7BCE1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E4308"/>
  <w15:chartTrackingRefBased/>
  <w15:docId w15:val="{BD60EC1E-D28B-437E-BDF8-1EF39D8E75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3">
    <w:uiPriority w:val="39"/>
    <w:name w:val="toc 3"/>
    <w:basedOn w:val="Normal"/>
    <w:next w:val="Normal"/>
    <w:unhideWhenUsed/>
    <w:rsid w:val="652664EF"/>
    <w:pPr>
      <w:spacing w:after="100"/>
      <w:ind w:left="440"/>
    </w:pPr>
  </w:style>
  <w:style w:type="paragraph" w:styleId="TOC4">
    <w:uiPriority w:val="39"/>
    <w:name w:val="toc 4"/>
    <w:basedOn w:val="Normal"/>
    <w:next w:val="Normal"/>
    <w:unhideWhenUsed/>
    <w:rsid w:val="652664EF"/>
    <w:pPr>
      <w:spacing w:after="100"/>
      <w:ind w:left="66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05179C46"/>
    <w:pPr>
      <w:spacing w:after="100"/>
    </w:pPr>
  </w:style>
  <w:style w:type="paragraph" w:styleId="TOC2">
    <w:uiPriority w:val="39"/>
    <w:name w:val="toc 2"/>
    <w:basedOn w:val="Normal"/>
    <w:next w:val="Normal"/>
    <w:unhideWhenUsed/>
    <w:rsid w:val="05179C4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44841181" /><Relationship Type="http://schemas.openxmlformats.org/officeDocument/2006/relationships/image" Target="/media/image.png" Id="rId2034994834" /><Relationship Type="http://schemas.openxmlformats.org/officeDocument/2006/relationships/numbering" Target="/word/numbering.xml" Id="Reff8e05276d9434b" /><Relationship Type="http://schemas.openxmlformats.org/officeDocument/2006/relationships/image" Target="/media/image2.jpg" Id="rId1871743587" /><Relationship Type="http://schemas.openxmlformats.org/officeDocument/2006/relationships/hyperlink" Target="https://learning.linkedin.com/elearning-case-studies/lotus" TargetMode="External" Id="Rc7f231dca3964d40" /><Relationship Type="http://schemas.openxmlformats.org/officeDocument/2006/relationships/hyperlink" Target="https://www.lotuscars.com/en-GB/esg" TargetMode="External" Id="R2c135895e94f4e45" /><Relationship Type="http://schemas.openxmlformats.org/officeDocument/2006/relationships/hyperlink" Target="https://lotustechnology.gcs-web.com/news-releases/news-release-details/lotus-technology-reports-unaudited-second-quarter-and-first-0" TargetMode="External" Id="R4511f0d5bf9446dd" /><Relationship Type="http://schemas.openxmlformats.org/officeDocument/2006/relationships/hyperlink" Target="https://www.reuters.com/sustainability/car-maker-lotus-cut-550-jobs-uk-amid-global-auto-uncertainties-2025-08-28/" TargetMode="External" Id="R65ab21c88e9b4add" /><Relationship Type="http://schemas.openxmlformats.org/officeDocument/2006/relationships/hyperlink" Target="https://www.topgear.com/car-news/electric/lotus-planning-u-turn-its-all-electric-future" TargetMode="External" Id="R9676bfb73f804a67" /><Relationship Type="http://schemas.openxmlformats.org/officeDocument/2006/relationships/hyperlink" Target="https://www.am-online.com/news/Lotus-to-almost-halve-UK-workforce-as-Vision-80-strategy-falters" TargetMode="External" Id="Rf036f230770945d0" /><Relationship Type="http://schemas.openxmlformats.org/officeDocument/2006/relationships/hyperlink" Target="https://www.autocar.co.uk/car-news/business-corporate/exclusive-lotus-name-china-boss-replacement-matt-windle" TargetMode="External" Id="R9c90d94080e6448d" /><Relationship Type="http://schemas.openxmlformats.org/officeDocument/2006/relationships/hyperlink" Target="https://www.carsupermarket.com/blog/lotus-makes-u-turn-on-all-electric-future-as-hybrid-plans-take-centre-stage" TargetMode="External" Id="R586714fd8ba44ccb" /><Relationship Type="http://schemas.openxmlformats.org/officeDocument/2006/relationships/hyperlink" Target="https://www.digitaltrends.com/cars/this-week-in-ev-tech-your-emotionally-attuned-ai-car-might-finally-be-here/" TargetMode="External" Id="R7733ae5438bd43c2" /><Relationship Type="http://schemas.openxmlformats.org/officeDocument/2006/relationships/hyperlink" Target="https://evmagazine.com/electric-cars/lotus-electric-vehicle-transformation-takes-a-new-turn" TargetMode="External" Id="R6c9a3e149dcd46a1" /><Relationship Type="http://schemas.openxmlformats.org/officeDocument/2006/relationships/hyperlink" Target="https://ir.group-lotus.com/governance/board-of-directors" TargetMode="External" Id="Re641f9b052d94825" /><Relationship Type="http://schemas.openxmlformats.org/officeDocument/2006/relationships/hyperlink" Target="https://ir.group-lotus.com/news-releases/news-release-details/lotus-technology-announces-management-and-board-changes" TargetMode="External" Id="Ree1550d7619846ca" /><Relationship Type="http://schemas.openxmlformats.org/officeDocument/2006/relationships/hyperlink" Target="https://www.investing.com/news/transcripts/earnings-call-transcript-lotus-technology-sees-q2-2025-revenue-drop-plans-new-launches-93CH-4216702" TargetMode="External" Id="Re2ed650af1704ce3" /><Relationship Type="http://schemas.openxmlformats.org/officeDocument/2006/relationships/hyperlink" Target="https://www.lotuscars.com/en/press/news/lotus-robotics-showcases-latest-technologies-at-ces" TargetMode="External" Id="R9abad1df664b4a04" /><Relationship Type="http://schemas.openxmlformats.org/officeDocument/2006/relationships/hyperlink" Target="https://www.theguardian.com/business/2025/aug/28/lotus-cut-uk-jobs-auto-industry-trump-tariffs" TargetMode="External" Id="Rb6b55a43392a40ee" /><Relationship Type="http://schemas.openxmlformats.org/officeDocument/2006/relationships/hyperlink" Target="https://www.thetruthaboutcars.com/cars/news-blog/lotus-technology-inc-posts-losses-in-2023-44500590" TargetMode="External" Id="Rabe74c67603a47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Armands Putersevics (2242532)</dc:creator>
  <keywords/>
  <dc:description/>
  <lastModifiedBy>Armands Putersevics (2242532)</lastModifiedBy>
  <revision>7</revision>
  <dcterms:created xsi:type="dcterms:W3CDTF">2025-10-24T08:27:40.8775900Z</dcterms:created>
  <dcterms:modified xsi:type="dcterms:W3CDTF">2025-12-05T09:24:46.7744324Z</dcterms:modified>
</coreProperties>
</file>