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4A28A" w14:textId="77777777" w:rsidR="00B21F2E" w:rsidRDefault="00B21F2E" w:rsidP="00A551C6">
      <w:pPr>
        <w:jc w:val="center"/>
        <w:rPr>
          <w:rFonts w:ascii="Tahoma" w:hAnsi="Tahoma" w:cs="Tahoma"/>
          <w:b/>
          <w:u w:val="single"/>
        </w:rPr>
      </w:pPr>
    </w:p>
    <w:p w14:paraId="192C4880" w14:textId="77777777" w:rsidR="001B69C8" w:rsidRDefault="001B69C8" w:rsidP="00B945EA">
      <w:pPr>
        <w:jc w:val="both"/>
        <w:rPr>
          <w:rFonts w:ascii="Tahoma" w:hAnsi="Tahoma" w:cs="Tahoma"/>
          <w:b/>
          <w:u w:val="single"/>
        </w:rPr>
      </w:pPr>
    </w:p>
    <w:p w14:paraId="52E60B19" w14:textId="77777777" w:rsidR="001B69C8" w:rsidRDefault="001B69C8" w:rsidP="00B945EA">
      <w:pPr>
        <w:jc w:val="both"/>
        <w:rPr>
          <w:rFonts w:ascii="Tahoma" w:hAnsi="Tahoma" w:cs="Tahoma"/>
          <w:b/>
          <w:u w:val="single"/>
        </w:rPr>
      </w:pPr>
    </w:p>
    <w:p w14:paraId="5E44AB8D" w14:textId="77777777"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sidR="00643CB9">
        <w:rPr>
          <w:rFonts w:ascii="Tahoma" w:hAnsi="Tahoma" w:cs="Tahoma"/>
          <w:b/>
          <w:u w:val="single"/>
        </w:rPr>
        <w:t>–</w:t>
      </w:r>
      <w:r w:rsidR="00B21F2E">
        <w:rPr>
          <w:rFonts w:ascii="Tahoma" w:hAnsi="Tahoma" w:cs="Tahoma"/>
          <w:b/>
          <w:u w:val="single"/>
        </w:rPr>
        <w:t xml:space="preserve">Student Journal </w:t>
      </w:r>
      <w:r w:rsidR="00A138AA">
        <w:rPr>
          <w:rFonts w:ascii="Tahoma" w:hAnsi="Tahoma" w:cs="Tahoma"/>
          <w:b/>
          <w:u w:val="single"/>
        </w:rPr>
        <w:t>(750 words)</w:t>
      </w:r>
    </w:p>
    <w:p w14:paraId="0B762887" w14:textId="77777777" w:rsidR="00C50AE7" w:rsidRPr="003C3341" w:rsidRDefault="00C50AE7" w:rsidP="00B945EA">
      <w:pPr>
        <w:jc w:val="both"/>
        <w:rPr>
          <w:rFonts w:ascii="Tahoma" w:hAnsi="Tahoma" w:cs="Tahoma"/>
          <w:b/>
          <w:u w:val="single"/>
        </w:rPr>
      </w:pPr>
    </w:p>
    <w:p w14:paraId="42C3DB82"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12B2B068" w14:textId="77777777" w:rsidTr="00B21F2E">
        <w:tc>
          <w:tcPr>
            <w:tcW w:w="3987" w:type="dxa"/>
            <w:shd w:val="clear" w:color="auto" w:fill="8DB3E2" w:themeFill="text2" w:themeFillTint="66"/>
          </w:tcPr>
          <w:p w14:paraId="6EC8EF14" w14:textId="3C53411E" w:rsidR="00B21F2E" w:rsidRDefault="00B21F2E">
            <w:pPr>
              <w:rPr>
                <w:rFonts w:ascii="Tahoma" w:hAnsi="Tahoma" w:cs="Tahoma"/>
                <w:b/>
                <w:sz w:val="20"/>
                <w:szCs w:val="20"/>
              </w:rPr>
            </w:pPr>
            <w:r>
              <w:rPr>
                <w:rFonts w:ascii="Tahoma" w:hAnsi="Tahoma" w:cs="Tahoma"/>
                <w:b/>
                <w:sz w:val="20"/>
                <w:szCs w:val="20"/>
              </w:rPr>
              <w:t xml:space="preserve">Student </w:t>
            </w:r>
            <w:proofErr w:type="spellStart"/>
            <w:proofErr w:type="gramStart"/>
            <w:r w:rsidRPr="003C3341">
              <w:rPr>
                <w:rFonts w:ascii="Tahoma" w:hAnsi="Tahoma" w:cs="Tahoma"/>
                <w:b/>
                <w:sz w:val="20"/>
                <w:szCs w:val="20"/>
              </w:rPr>
              <w:t>Name:</w:t>
            </w:r>
            <w:r w:rsidR="0076585F">
              <w:rPr>
                <w:rFonts w:ascii="Tahoma" w:hAnsi="Tahoma" w:cs="Tahoma"/>
                <w:b/>
                <w:sz w:val="20"/>
                <w:szCs w:val="20"/>
              </w:rPr>
              <w:t>Felicia</w:t>
            </w:r>
            <w:proofErr w:type="spellEnd"/>
            <w:proofErr w:type="gramEnd"/>
            <w:r w:rsidR="0076585F">
              <w:rPr>
                <w:rFonts w:ascii="Tahoma" w:hAnsi="Tahoma" w:cs="Tahoma"/>
                <w:b/>
                <w:sz w:val="20"/>
                <w:szCs w:val="20"/>
              </w:rPr>
              <w:t xml:space="preserve"> Popescu</w:t>
            </w:r>
          </w:p>
          <w:p w14:paraId="2D88BED7" w14:textId="77777777" w:rsidR="001B69C8" w:rsidRPr="003C3341" w:rsidRDefault="001B69C8">
            <w:pPr>
              <w:rPr>
                <w:rFonts w:ascii="Tahoma" w:hAnsi="Tahoma" w:cs="Tahoma"/>
                <w:b/>
                <w:sz w:val="20"/>
                <w:szCs w:val="20"/>
              </w:rPr>
            </w:pPr>
          </w:p>
          <w:p w14:paraId="720DF939" w14:textId="28355487" w:rsidR="00B21F2E" w:rsidRPr="003C3341" w:rsidRDefault="001B69C8">
            <w:pPr>
              <w:rPr>
                <w:rFonts w:ascii="Tahoma" w:hAnsi="Tahoma" w:cs="Tahoma"/>
                <w:b/>
                <w:sz w:val="20"/>
                <w:szCs w:val="20"/>
              </w:rPr>
            </w:pPr>
            <w:r>
              <w:rPr>
                <w:rFonts w:ascii="Tahoma" w:hAnsi="Tahoma" w:cs="Tahoma"/>
                <w:b/>
                <w:sz w:val="20"/>
                <w:szCs w:val="20"/>
              </w:rPr>
              <w:t>Student Number:</w:t>
            </w:r>
            <w:r w:rsidR="0076585F">
              <w:rPr>
                <w:rFonts w:ascii="Tahoma" w:hAnsi="Tahoma" w:cs="Tahoma"/>
                <w:b/>
                <w:sz w:val="20"/>
                <w:szCs w:val="20"/>
              </w:rPr>
              <w:t>2119254</w:t>
            </w:r>
          </w:p>
          <w:p w14:paraId="1D1EE59D"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2F4202BF" w14:textId="766D8D5D" w:rsidR="0076585F" w:rsidRDefault="001B69C8" w:rsidP="0076585F">
            <w:pPr>
              <w:rPr>
                <w:rStyle w:val="Hyperlink"/>
                <w:rFonts w:ascii="Segoe UI" w:hAnsi="Segoe UI" w:cs="Segoe UI"/>
                <w:color w:val="212529"/>
                <w:sz w:val="23"/>
                <w:szCs w:val="23"/>
                <w:u w:val="none"/>
              </w:rPr>
            </w:pPr>
            <w:r>
              <w:rPr>
                <w:rFonts w:ascii="Tahoma" w:hAnsi="Tahoma" w:cs="Tahoma"/>
                <w:b/>
                <w:sz w:val="20"/>
                <w:szCs w:val="20"/>
              </w:rPr>
              <w:t>Module:</w:t>
            </w:r>
            <w:r w:rsidR="0076585F">
              <w:t xml:space="preserve"> </w:t>
            </w:r>
            <w:r w:rsidR="0076585F">
              <w:fldChar w:fldCharType="begin"/>
            </w:r>
            <w:r w:rsidR="0076585F">
              <w:instrText xml:space="preserve"> HYPERLINK "https://moodle.uwtsd.ac.uk/course/view.php?id=3670" </w:instrText>
            </w:r>
            <w:r w:rsidR="0076585F">
              <w:fldChar w:fldCharType="separate"/>
            </w:r>
          </w:p>
          <w:p w14:paraId="127020F2" w14:textId="77777777" w:rsidR="0076585F" w:rsidRPr="0076585F" w:rsidRDefault="0076585F" w:rsidP="0076585F">
            <w:pPr>
              <w:pStyle w:val="Heading1"/>
              <w:spacing w:before="0" w:beforeAutospacing="0"/>
              <w:textAlignment w:val="center"/>
              <w:rPr>
                <w:b w:val="0"/>
                <w:bCs w:val="0"/>
                <w:sz w:val="24"/>
                <w:szCs w:val="24"/>
              </w:rPr>
            </w:pPr>
            <w:r w:rsidRPr="0076585F">
              <w:rPr>
                <w:rFonts w:ascii="Segoe UI" w:hAnsi="Segoe UI" w:cs="Segoe UI"/>
                <w:b w:val="0"/>
                <w:bCs w:val="0"/>
                <w:color w:val="212529"/>
                <w:sz w:val="24"/>
                <w:szCs w:val="24"/>
              </w:rPr>
              <w:t>Hotel Placement - Food &amp; Beverage Operations (BMIH4002)</w:t>
            </w:r>
          </w:p>
          <w:p w14:paraId="72ACA94B" w14:textId="77777777" w:rsidR="0076585F" w:rsidRDefault="0076585F" w:rsidP="0076585F">
            <w:r>
              <w:fldChar w:fldCharType="end"/>
            </w:r>
          </w:p>
          <w:p w14:paraId="455B6CB6" w14:textId="64E7AA17" w:rsidR="00B21F2E" w:rsidRDefault="00B21F2E">
            <w:pPr>
              <w:rPr>
                <w:rFonts w:ascii="Tahoma" w:hAnsi="Tahoma" w:cs="Tahoma"/>
                <w:b/>
                <w:sz w:val="20"/>
                <w:szCs w:val="20"/>
              </w:rPr>
            </w:pPr>
          </w:p>
          <w:p w14:paraId="5F665031" w14:textId="77777777" w:rsidR="00B21F2E" w:rsidRDefault="00B21F2E" w:rsidP="00B21F2E">
            <w:pPr>
              <w:rPr>
                <w:rFonts w:ascii="Tahoma" w:hAnsi="Tahoma" w:cs="Tahoma"/>
                <w:b/>
                <w:sz w:val="20"/>
                <w:szCs w:val="20"/>
              </w:rPr>
            </w:pPr>
          </w:p>
          <w:p w14:paraId="3A432FAF" w14:textId="0A31462A" w:rsidR="0076585F" w:rsidRDefault="001B69C8" w:rsidP="0076585F">
            <w:r>
              <w:rPr>
                <w:rFonts w:ascii="Tahoma" w:hAnsi="Tahoma" w:cs="Tahoma"/>
                <w:b/>
                <w:sz w:val="20"/>
                <w:szCs w:val="20"/>
              </w:rPr>
              <w:t>Lecturer:</w:t>
            </w:r>
            <w:r w:rsidR="0076585F">
              <w:rPr>
                <w:rFonts w:ascii="Segoe UI" w:hAnsi="Segoe UI" w:cs="Segoe UI"/>
                <w:color w:val="373A3C"/>
                <w:sz w:val="23"/>
                <w:szCs w:val="23"/>
                <w:shd w:val="clear" w:color="auto" w:fill="FFFFFF"/>
              </w:rPr>
              <w:t xml:space="preserve"> </w:t>
            </w:r>
            <w:r w:rsidR="0076585F" w:rsidRPr="0076585F">
              <w:rPr>
                <w:rStyle w:val="Emphasis"/>
                <w:rFonts w:ascii="Segoe UI" w:hAnsi="Segoe UI" w:cs="Segoe UI"/>
                <w:i w:val="0"/>
                <w:iCs w:val="0"/>
                <w:color w:val="373A3C"/>
                <w:sz w:val="23"/>
                <w:szCs w:val="23"/>
                <w:shd w:val="clear" w:color="auto" w:fill="FFFFFF"/>
              </w:rPr>
              <w:t>Laurence</w:t>
            </w:r>
            <w:r w:rsidR="0076585F">
              <w:rPr>
                <w:rStyle w:val="Emphasis"/>
                <w:rFonts w:ascii="Segoe UI" w:hAnsi="Segoe UI" w:cs="Segoe UI"/>
                <w:i w:val="0"/>
                <w:iCs w:val="0"/>
                <w:color w:val="373A3C"/>
                <w:sz w:val="23"/>
                <w:szCs w:val="23"/>
                <w:shd w:val="clear" w:color="auto" w:fill="FFFFFF"/>
              </w:rPr>
              <w:t xml:space="preserve"> Blake</w:t>
            </w:r>
          </w:p>
          <w:p w14:paraId="731F4BFA" w14:textId="3E892823" w:rsidR="001B69C8" w:rsidRPr="003C3341" w:rsidRDefault="001B69C8" w:rsidP="00B21F2E">
            <w:pPr>
              <w:rPr>
                <w:rFonts w:ascii="Tahoma" w:hAnsi="Tahoma" w:cs="Tahoma"/>
                <w:b/>
                <w:sz w:val="20"/>
                <w:szCs w:val="20"/>
              </w:rPr>
            </w:pPr>
          </w:p>
        </w:tc>
      </w:tr>
    </w:tbl>
    <w:p w14:paraId="6C263F8C" w14:textId="77777777"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03CE03A8" w14:textId="77777777" w:rsidTr="00563973">
        <w:tc>
          <w:tcPr>
            <w:tcW w:w="3983" w:type="dxa"/>
            <w:shd w:val="clear" w:color="auto" w:fill="FBD4B4" w:themeFill="accent6" w:themeFillTint="66"/>
          </w:tcPr>
          <w:p w14:paraId="1260DFCA" w14:textId="77777777" w:rsidR="00B21F2E" w:rsidRPr="00946B23" w:rsidRDefault="008F0D83" w:rsidP="00B21F2E">
            <w:pPr>
              <w:rPr>
                <w:rFonts w:ascii="Tahoma" w:hAnsi="Tahoma" w:cs="Tahoma"/>
                <w:b/>
                <w:sz w:val="20"/>
                <w:szCs w:val="20"/>
              </w:rPr>
            </w:pPr>
            <w:r>
              <w:rPr>
                <w:rFonts w:ascii="Tahoma" w:hAnsi="Tahoma" w:cs="Tahoma"/>
                <w:b/>
                <w:sz w:val="20"/>
                <w:szCs w:val="20"/>
              </w:rPr>
              <w:t>Topic of choice:</w:t>
            </w:r>
          </w:p>
        </w:tc>
        <w:tc>
          <w:tcPr>
            <w:tcW w:w="7199" w:type="dxa"/>
            <w:shd w:val="clear" w:color="auto" w:fill="FBD4B4" w:themeFill="accent6" w:themeFillTint="66"/>
          </w:tcPr>
          <w:p w14:paraId="2975FAA9" w14:textId="77777777" w:rsidR="00B21F2E" w:rsidRDefault="00B21F2E" w:rsidP="00B945EA">
            <w:pPr>
              <w:rPr>
                <w:rFonts w:ascii="Tahoma" w:hAnsi="Tahoma" w:cs="Tahoma"/>
                <w:b/>
                <w:sz w:val="20"/>
                <w:szCs w:val="20"/>
              </w:rPr>
            </w:pPr>
          </w:p>
          <w:p w14:paraId="2E1DFAAA" w14:textId="77777777" w:rsidR="00B21F2E" w:rsidRPr="007E4464" w:rsidRDefault="007E4464" w:rsidP="007E4464">
            <w:pPr>
              <w:jc w:val="both"/>
              <w:rPr>
                <w:rFonts w:ascii="Arial" w:hAnsi="Arial" w:cs="Arial"/>
                <w:b/>
              </w:rPr>
            </w:pPr>
            <w:r w:rsidRPr="007E4464">
              <w:rPr>
                <w:rFonts w:ascii="Arial" w:hAnsi="Arial" w:cs="Arial"/>
                <w:b/>
              </w:rPr>
              <w:t xml:space="preserve">Allergies and Intolerances and the importance within </w:t>
            </w:r>
            <w:r>
              <w:rPr>
                <w:rFonts w:ascii="Arial" w:hAnsi="Arial" w:cs="Arial"/>
                <w:b/>
              </w:rPr>
              <w:t xml:space="preserve">food and </w:t>
            </w:r>
            <w:r w:rsidR="008777A1">
              <w:rPr>
                <w:rFonts w:ascii="Arial" w:hAnsi="Arial" w:cs="Arial"/>
                <w:b/>
              </w:rPr>
              <w:t>beverage</w:t>
            </w:r>
            <w:r>
              <w:rPr>
                <w:rFonts w:ascii="Arial" w:hAnsi="Arial" w:cs="Arial"/>
                <w:b/>
              </w:rPr>
              <w:t xml:space="preserve"> industry</w:t>
            </w:r>
          </w:p>
          <w:p w14:paraId="4F261A5B" w14:textId="77777777" w:rsidR="00B21F2E" w:rsidRPr="003C3341" w:rsidRDefault="00B21F2E" w:rsidP="00B21F2E">
            <w:pPr>
              <w:jc w:val="center"/>
              <w:rPr>
                <w:rFonts w:ascii="Tahoma" w:hAnsi="Tahoma" w:cs="Tahoma"/>
                <w:b/>
                <w:sz w:val="20"/>
                <w:szCs w:val="20"/>
              </w:rPr>
            </w:pPr>
          </w:p>
        </w:tc>
      </w:tr>
      <w:tr w:rsidR="00B945EA" w:rsidRPr="003C3341" w14:paraId="3783DBF9" w14:textId="77777777" w:rsidTr="00A91FD6">
        <w:trPr>
          <w:trHeight w:val="2494"/>
        </w:trPr>
        <w:tc>
          <w:tcPr>
            <w:tcW w:w="11182" w:type="dxa"/>
            <w:gridSpan w:val="2"/>
          </w:tcPr>
          <w:p w14:paraId="116EFB68" w14:textId="77777777" w:rsidR="00B945EA" w:rsidRDefault="00B945EA" w:rsidP="00A65C1D">
            <w:pPr>
              <w:rPr>
                <w:rFonts w:ascii="Tahoma" w:hAnsi="Tahoma" w:cs="Tahoma"/>
                <w:sz w:val="20"/>
                <w:szCs w:val="20"/>
              </w:rPr>
            </w:pPr>
          </w:p>
          <w:p w14:paraId="69AF812C" w14:textId="77777777" w:rsidR="005A7400" w:rsidRPr="005A7400" w:rsidRDefault="005A7400" w:rsidP="005A7400">
            <w:pPr>
              <w:spacing w:line="360" w:lineRule="auto"/>
              <w:jc w:val="both"/>
              <w:rPr>
                <w:rFonts w:ascii="Arial" w:eastAsia="Arial" w:hAnsi="Arial" w:cs="Arial"/>
                <w:lang w:val="en-IN" w:eastAsia="en-US"/>
              </w:rPr>
            </w:pPr>
            <w:r w:rsidRPr="005A7400">
              <w:rPr>
                <w:rFonts w:ascii="Arial" w:eastAsia="Arial" w:hAnsi="Arial" w:cs="Arial"/>
                <w:lang w:val="en-IN" w:eastAsia="en-US"/>
              </w:rPr>
              <w:t>Food allergy and food intolerance negatively impact humans, and millions of people are affected every year. The beverage and food industry faces serious challenges before providing food items to the customers by maintaining food allergies and intolerance (</w:t>
            </w:r>
            <w:proofErr w:type="spellStart"/>
            <w:r w:rsidRPr="005A7400">
              <w:rPr>
                <w:rFonts w:ascii="Arial" w:eastAsia="Arial" w:hAnsi="Arial" w:cs="Arial"/>
                <w:color w:val="222222"/>
                <w:highlight w:val="white"/>
                <w:lang w:val="en-IN" w:eastAsia="en-US"/>
              </w:rPr>
              <w:t>Renz</w:t>
            </w:r>
            <w:r w:rsidRPr="005A7400">
              <w:rPr>
                <w:rFonts w:ascii="Arial" w:eastAsia="Arial" w:hAnsi="Arial" w:cs="Arial"/>
                <w:i/>
                <w:color w:val="222222"/>
                <w:highlight w:val="white"/>
                <w:lang w:val="en-IN" w:eastAsia="en-US"/>
              </w:rPr>
              <w:t>et</w:t>
            </w:r>
            <w:proofErr w:type="spellEnd"/>
            <w:r w:rsidRPr="005A7400">
              <w:rPr>
                <w:rFonts w:ascii="Arial" w:eastAsia="Arial" w:hAnsi="Arial" w:cs="Arial"/>
                <w:i/>
                <w:color w:val="222222"/>
                <w:highlight w:val="white"/>
                <w:lang w:val="en-IN" w:eastAsia="en-US"/>
              </w:rPr>
              <w:t xml:space="preserve"> al</w:t>
            </w:r>
            <w:r w:rsidRPr="005A7400">
              <w:rPr>
                <w:rFonts w:ascii="Arial" w:eastAsia="Arial" w:hAnsi="Arial" w:cs="Arial"/>
                <w:color w:val="222222"/>
                <w:highlight w:val="white"/>
                <w:lang w:val="en-IN" w:eastAsia="en-US"/>
              </w:rPr>
              <w:t>. 2018)</w:t>
            </w:r>
            <w:r w:rsidRPr="005A7400">
              <w:rPr>
                <w:rFonts w:ascii="Arial" w:eastAsia="Arial" w:hAnsi="Arial" w:cs="Arial"/>
                <w:lang w:val="en-IN" w:eastAsia="en-US"/>
              </w:rPr>
              <w:t xml:space="preserve">. Food allergy is defined as when an individual effects from different symptoms after consuming food products; it is varied based on severe to mild symptoms like lip swelling, life-threatening issues, respiratory issues and shock. However, food allergy is not curable; the human body responds based on ingredients, and people need to avoid such food items or ingredients to prevent health issues. On the other hand, food intolerance is </w:t>
            </w:r>
            <w:r w:rsidR="00221242" w:rsidRPr="005A7400">
              <w:rPr>
                <w:rFonts w:ascii="Arial" w:eastAsia="Arial" w:hAnsi="Arial" w:cs="Arial"/>
                <w:lang w:val="en-IN" w:eastAsia="en-US"/>
              </w:rPr>
              <w:t>food</w:t>
            </w:r>
            <w:r w:rsidRPr="005A7400">
              <w:rPr>
                <w:rFonts w:ascii="Arial" w:eastAsia="Arial" w:hAnsi="Arial" w:cs="Arial"/>
                <w:lang w:val="en-IN" w:eastAsia="en-US"/>
              </w:rPr>
              <w:t xml:space="preserve"> sensitivity when an individual cannot digest the food items, leading to abdominal pain, intestinal problems, and diarrhoea (</w:t>
            </w:r>
            <w:r w:rsidRPr="005A7400">
              <w:rPr>
                <w:rFonts w:ascii="Arial" w:eastAsia="Arial" w:hAnsi="Arial" w:cs="Arial"/>
                <w:color w:val="222222"/>
                <w:highlight w:val="white"/>
                <w:lang w:val="en-IN" w:eastAsia="en-US"/>
              </w:rPr>
              <w:t xml:space="preserve">Iweala </w:t>
            </w:r>
            <w:r w:rsidRPr="00563B7C">
              <w:rPr>
                <w:rFonts w:ascii="Arial" w:eastAsia="Arial" w:hAnsi="Arial" w:cs="Arial"/>
                <w:i/>
                <w:iCs/>
                <w:color w:val="222222"/>
                <w:highlight w:val="white"/>
                <w:lang w:val="en-IN" w:eastAsia="en-US"/>
              </w:rPr>
              <w:t>et al.</w:t>
            </w:r>
            <w:r w:rsidRPr="005A7400">
              <w:rPr>
                <w:rFonts w:ascii="Arial" w:eastAsia="Arial" w:hAnsi="Arial" w:cs="Arial"/>
                <w:color w:val="222222"/>
                <w:highlight w:val="white"/>
                <w:lang w:val="en-IN" w:eastAsia="en-US"/>
              </w:rPr>
              <w:t xml:space="preserve"> 2018)</w:t>
            </w:r>
            <w:r w:rsidRPr="005A7400">
              <w:rPr>
                <w:rFonts w:ascii="Arial" w:eastAsia="Arial" w:hAnsi="Arial" w:cs="Arial"/>
                <w:lang w:val="en-IN" w:eastAsia="en-US"/>
              </w:rPr>
              <w:t xml:space="preserve">. Food intolerance sometimes misleads the food allergy, but these two issues have an adverse impact on an individual. Food intolerance is significantly related to the digestive system. </w:t>
            </w:r>
          </w:p>
          <w:p w14:paraId="0CFB5E43" w14:textId="77777777" w:rsidR="005A7400" w:rsidRPr="005A7400" w:rsidRDefault="005A7400" w:rsidP="005A7400">
            <w:pPr>
              <w:spacing w:line="360" w:lineRule="auto"/>
              <w:jc w:val="both"/>
              <w:rPr>
                <w:rFonts w:ascii="Georgia" w:eastAsia="Georgia" w:hAnsi="Georgia" w:cs="Georgia"/>
                <w:color w:val="333333"/>
                <w:sz w:val="27"/>
                <w:szCs w:val="27"/>
                <w:highlight w:val="white"/>
                <w:lang w:val="en-IN" w:eastAsia="en-US"/>
              </w:rPr>
            </w:pPr>
            <w:r w:rsidRPr="005A7400">
              <w:rPr>
                <w:rFonts w:ascii="Arial" w:eastAsia="Arial" w:hAnsi="Arial" w:cs="Arial"/>
                <w:lang w:val="en-IN" w:eastAsia="en-US"/>
              </w:rPr>
              <w:t>On the other hand, food allergy is correlated with a severe life-threatening issue called anaphylaxis. The Food and Drug Administration (FDA) provides guidelines on following the food making process and allergen control process in the food and beverage industry (</w:t>
            </w:r>
            <w:proofErr w:type="spellStart"/>
            <w:r w:rsidRPr="005A7400">
              <w:rPr>
                <w:rFonts w:ascii="Arial" w:eastAsia="Arial" w:hAnsi="Arial" w:cs="Arial"/>
                <w:color w:val="222222"/>
                <w:highlight w:val="white"/>
                <w:lang w:val="en-IN" w:eastAsia="en-US"/>
              </w:rPr>
              <w:t>Muthukumar</w:t>
            </w:r>
            <w:proofErr w:type="spellEnd"/>
            <w:r w:rsidR="00563B7C">
              <w:rPr>
                <w:rFonts w:ascii="Arial" w:eastAsia="Arial" w:hAnsi="Arial" w:cs="Arial"/>
                <w:color w:val="222222"/>
                <w:highlight w:val="white"/>
                <w:lang w:val="en-IN" w:eastAsia="en-US"/>
              </w:rPr>
              <w:t xml:space="preserve"> </w:t>
            </w:r>
            <w:r w:rsidRPr="005A7400">
              <w:rPr>
                <w:rFonts w:ascii="Arial" w:eastAsia="Arial" w:hAnsi="Arial" w:cs="Arial"/>
                <w:i/>
                <w:color w:val="222222"/>
                <w:highlight w:val="white"/>
                <w:lang w:val="en-IN" w:eastAsia="en-US"/>
              </w:rPr>
              <w:t xml:space="preserve">et al. </w:t>
            </w:r>
            <w:r w:rsidRPr="005A7400">
              <w:rPr>
                <w:rFonts w:ascii="Arial" w:eastAsia="Arial" w:hAnsi="Arial" w:cs="Arial"/>
                <w:color w:val="222222"/>
                <w:highlight w:val="white"/>
                <w:lang w:val="en-IN" w:eastAsia="en-US"/>
              </w:rPr>
              <w:t>2020)</w:t>
            </w:r>
            <w:r w:rsidRPr="005A7400">
              <w:rPr>
                <w:rFonts w:ascii="Arial" w:eastAsia="Arial" w:hAnsi="Arial" w:cs="Arial"/>
                <w:lang w:val="en-IN" w:eastAsia="en-US"/>
              </w:rPr>
              <w:t xml:space="preserve">. By following the proper method, the restaurant can reduce the percentage of food allergies and food intolerance by double-checking the food samples and labelling them appropriately. The beverage and food industry needs to give more attention to the food ingredients, and their impact on allergen and intolerance people helps attract more customers. In this context, the food and beverage industry carefully read the FDA guidelines and educated others on reducing the percentage of food allergy and food intolerance by providing exemplary service and food products to the target customers based on their needs and demands. </w:t>
            </w:r>
          </w:p>
          <w:p w14:paraId="225BEBAF" w14:textId="77777777" w:rsidR="005A7400" w:rsidRPr="005A7400" w:rsidRDefault="005A7400" w:rsidP="005A7400">
            <w:pPr>
              <w:spacing w:line="360" w:lineRule="auto"/>
              <w:jc w:val="both"/>
              <w:rPr>
                <w:rFonts w:ascii="Arial" w:eastAsia="Arial" w:hAnsi="Arial" w:cs="Arial"/>
                <w:lang w:val="en-IN" w:eastAsia="en-US"/>
              </w:rPr>
            </w:pPr>
            <w:r w:rsidRPr="005A7400">
              <w:rPr>
                <w:rFonts w:ascii="Arial" w:eastAsia="Arial" w:hAnsi="Arial" w:cs="Arial"/>
                <w:lang w:val="en-IN" w:eastAsia="en-US"/>
              </w:rPr>
              <w:lastRenderedPageBreak/>
              <w:t>To reduce this, I realise that I need to read many books by which I can minimise food allergen and food intolerance. In this context, knowledge about food allergy and food intolerance methods gives me a better opportunity in the near future. After reading many books and interacting with my professor, I need to arrange employees' training sessions by which I can educate them about the FDA guidelines. This training session allows learning unique ideas on how to control these issues from the restaurant. The staff training helps me to make a team by which the operational activities will be processed in a more structured way (</w:t>
            </w:r>
            <w:proofErr w:type="spellStart"/>
            <w:r w:rsidRPr="005A7400">
              <w:rPr>
                <w:rFonts w:ascii="Arial" w:eastAsia="Arial" w:hAnsi="Arial" w:cs="Arial"/>
                <w:color w:val="222222"/>
                <w:highlight w:val="white"/>
                <w:lang w:val="en-IN" w:eastAsia="en-US"/>
              </w:rPr>
              <w:t>Coucke</w:t>
            </w:r>
            <w:proofErr w:type="spellEnd"/>
            <w:r w:rsidRPr="005A7400">
              <w:rPr>
                <w:rFonts w:ascii="Arial" w:eastAsia="Arial" w:hAnsi="Arial" w:cs="Arial"/>
                <w:color w:val="222222"/>
                <w:highlight w:val="white"/>
                <w:lang w:val="en-IN" w:eastAsia="en-US"/>
              </w:rPr>
              <w:t>, 2018)</w:t>
            </w:r>
            <w:r w:rsidRPr="005A7400">
              <w:rPr>
                <w:rFonts w:ascii="Arial" w:eastAsia="Arial" w:hAnsi="Arial" w:cs="Arial"/>
                <w:lang w:val="en-IN" w:eastAsia="en-US"/>
              </w:rPr>
              <w:t xml:space="preserve">. I think that if customers learn that the restaurant properly follows FDA guidelines, they will be attracted to get service from this particular restaurant. </w:t>
            </w:r>
          </w:p>
          <w:p w14:paraId="3B6D6D05" w14:textId="77777777" w:rsidR="005A7400" w:rsidRPr="005A7400" w:rsidRDefault="005A7400" w:rsidP="005A7400">
            <w:pPr>
              <w:spacing w:line="360" w:lineRule="auto"/>
              <w:jc w:val="both"/>
              <w:rPr>
                <w:rFonts w:ascii="Georgia" w:eastAsia="Georgia" w:hAnsi="Georgia" w:cs="Georgia"/>
                <w:color w:val="333333"/>
                <w:sz w:val="27"/>
                <w:szCs w:val="27"/>
                <w:highlight w:val="white"/>
                <w:lang w:val="en-IN" w:eastAsia="en-US"/>
              </w:rPr>
            </w:pPr>
            <w:r w:rsidRPr="005A7400">
              <w:rPr>
                <w:rFonts w:ascii="Arial" w:eastAsia="Arial" w:hAnsi="Arial" w:cs="Arial"/>
                <w:lang w:val="en-IN" w:eastAsia="en-US"/>
              </w:rPr>
              <w:t>On the other hand, I need to separate the cooking equipment to cook for the allergies or intolerance food items and interact with the customers to know their issues. The utensils will be adequately cleaned by which I can reduce food-related matters. Alternatively, I properly label the ingredient that helps to reduce any miscommunications. On the other hand, I separate the cooked food items from the ingredients and regularly clean the kitchen areas by which I can reduce diarrhoea or allergic issues. At the same time, I mention the ingredients to make particular food items in the menu card that helps the customers on which food they order. In this context, I realised that I need to develop some skills like communication, teamwork, problem solving and creative thinking skills. By using active listening and communication skills I can understand customer's issues and also provide proper guidance to the employees.</w:t>
            </w:r>
          </w:p>
          <w:p w14:paraId="6FFC277D" w14:textId="77777777" w:rsidR="00375882" w:rsidRPr="005A7400" w:rsidRDefault="005A7400" w:rsidP="005A7400">
            <w:pPr>
              <w:spacing w:line="360" w:lineRule="auto"/>
              <w:jc w:val="both"/>
              <w:rPr>
                <w:rFonts w:ascii="Arial" w:eastAsia="Arial" w:hAnsi="Arial" w:cs="Arial"/>
                <w:lang w:val="en-IN" w:eastAsia="en-US"/>
              </w:rPr>
            </w:pPr>
            <w:r w:rsidRPr="005A7400">
              <w:rPr>
                <w:rFonts w:ascii="Arial" w:eastAsia="Arial" w:hAnsi="Arial" w:cs="Arial"/>
                <w:lang w:val="en-IN" w:eastAsia="en-US"/>
              </w:rPr>
              <w:t>Food and beverage industry plays an important role to assure customers that they give proper attention to reducing food allergen and food intolerance. By reading proper guidelines of the FDA, they help to attract more customers to increase their profit margin (</w:t>
            </w:r>
            <w:r w:rsidRPr="005A7400">
              <w:rPr>
                <w:rFonts w:ascii="Arial" w:eastAsia="Arial" w:hAnsi="Arial" w:cs="Arial"/>
                <w:color w:val="222222"/>
                <w:highlight w:val="white"/>
                <w:lang w:val="en-IN" w:eastAsia="en-US"/>
              </w:rPr>
              <w:t>Soares, 2018)</w:t>
            </w:r>
            <w:r w:rsidRPr="005A7400">
              <w:rPr>
                <w:rFonts w:ascii="Arial" w:eastAsia="Arial" w:hAnsi="Arial" w:cs="Arial"/>
                <w:lang w:val="en-IN" w:eastAsia="en-US"/>
              </w:rPr>
              <w:t>. The food and beverage industry needs to focus on customer's health and also provide safety to take service or products from the particular restaurant. The food and beverage industry needs to educate people about their steps to control food-related issues by which they can compete with the international business world. Food and beverage industry plays an essential role in contributing a huge portion in the country's economic growth. For this reason, the food and beverage industry needs to interact with customers about their needs and issues and critically think about food-related safety (</w:t>
            </w:r>
            <w:r w:rsidRPr="005A7400">
              <w:rPr>
                <w:rFonts w:ascii="Arial" w:eastAsia="Arial" w:hAnsi="Arial" w:cs="Arial"/>
                <w:color w:val="222222"/>
                <w:highlight w:val="white"/>
                <w:lang w:val="en-IN" w:eastAsia="en-US"/>
              </w:rPr>
              <w:t>Aguilar, and Serra, 2020)</w:t>
            </w:r>
            <w:r w:rsidRPr="005A7400">
              <w:rPr>
                <w:rFonts w:ascii="Arial" w:eastAsia="Arial" w:hAnsi="Arial" w:cs="Arial"/>
                <w:lang w:val="en-IN" w:eastAsia="en-US"/>
              </w:rPr>
              <w:t xml:space="preserve">. On the other hand, this industry needs to educate employees to inform them about the harmful impact of food allergy and food intolerance that has a negative impact on business growth. </w:t>
            </w:r>
          </w:p>
        </w:tc>
      </w:tr>
    </w:tbl>
    <w:p w14:paraId="589AB925"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7E4464" w:rsidRPr="003C3341" w14:paraId="19717B03" w14:textId="77777777" w:rsidTr="00375882">
        <w:tc>
          <w:tcPr>
            <w:tcW w:w="10910" w:type="dxa"/>
            <w:shd w:val="clear" w:color="auto" w:fill="FBD4B4" w:themeFill="accent6" w:themeFillTint="66"/>
          </w:tcPr>
          <w:p w14:paraId="42BDAA8A" w14:textId="7777777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014451C5" w14:textId="77777777" w:rsidR="00375882" w:rsidRDefault="00375882" w:rsidP="007F6692">
            <w:pPr>
              <w:jc w:val="center"/>
              <w:rPr>
                <w:rFonts w:ascii="Tahoma" w:hAnsi="Tahoma" w:cs="Tahoma"/>
                <w:b/>
                <w:sz w:val="20"/>
                <w:szCs w:val="20"/>
              </w:rPr>
            </w:pPr>
          </w:p>
          <w:p w14:paraId="350199AE" w14:textId="77777777" w:rsidR="00375882" w:rsidRPr="003C3341" w:rsidRDefault="00375882" w:rsidP="007F6692">
            <w:pPr>
              <w:jc w:val="center"/>
              <w:rPr>
                <w:rFonts w:ascii="Tahoma" w:hAnsi="Tahoma" w:cs="Tahoma"/>
                <w:b/>
                <w:sz w:val="20"/>
                <w:szCs w:val="20"/>
              </w:rPr>
            </w:pPr>
          </w:p>
        </w:tc>
      </w:tr>
      <w:tr w:rsidR="007E4464" w:rsidRPr="003C3341" w14:paraId="38F115B1" w14:textId="77777777" w:rsidTr="007F6692">
        <w:trPr>
          <w:trHeight w:val="2494"/>
        </w:trPr>
        <w:tc>
          <w:tcPr>
            <w:tcW w:w="11182" w:type="dxa"/>
            <w:gridSpan w:val="2"/>
          </w:tcPr>
          <w:p w14:paraId="3188D60E" w14:textId="77777777" w:rsidR="005A7400" w:rsidRDefault="005A7400" w:rsidP="005A7400">
            <w:pPr>
              <w:spacing w:line="360" w:lineRule="auto"/>
              <w:jc w:val="both"/>
              <w:rPr>
                <w:color w:val="222222"/>
                <w:highlight w:val="white"/>
              </w:rPr>
            </w:pPr>
          </w:p>
          <w:p w14:paraId="69889C81" w14:textId="77777777" w:rsidR="005A7400" w:rsidRPr="002F4F85" w:rsidRDefault="005A7400" w:rsidP="005A7400">
            <w:pPr>
              <w:spacing w:line="360" w:lineRule="auto"/>
              <w:jc w:val="both"/>
              <w:rPr>
                <w:rFonts w:ascii="Arial" w:hAnsi="Arial" w:cs="Arial"/>
                <w:color w:val="222222"/>
                <w:highlight w:val="white"/>
              </w:rPr>
            </w:pPr>
            <w:r w:rsidRPr="002F4F85">
              <w:rPr>
                <w:rFonts w:ascii="Arial" w:hAnsi="Arial" w:cs="Arial"/>
                <w:color w:val="222222"/>
                <w:highlight w:val="white"/>
              </w:rPr>
              <w:t xml:space="preserve">Aguilar, A. and Serra, J., 2020. When a patient with suspected food intolerance </w:t>
            </w:r>
            <w:proofErr w:type="gramStart"/>
            <w:r w:rsidRPr="002F4F85">
              <w:rPr>
                <w:rFonts w:ascii="Arial" w:hAnsi="Arial" w:cs="Arial"/>
                <w:color w:val="222222"/>
                <w:highlight w:val="white"/>
              </w:rPr>
              <w:t>has to</w:t>
            </w:r>
            <w:proofErr w:type="gramEnd"/>
            <w:r w:rsidRPr="002F4F85">
              <w:rPr>
                <w:rFonts w:ascii="Arial" w:hAnsi="Arial" w:cs="Arial"/>
                <w:color w:val="222222"/>
                <w:highlight w:val="white"/>
              </w:rPr>
              <w:t xml:space="preserve"> be studied. </w:t>
            </w:r>
            <w:proofErr w:type="spellStart"/>
            <w:r w:rsidRPr="002F4F85">
              <w:rPr>
                <w:rFonts w:ascii="Arial" w:hAnsi="Arial" w:cs="Arial"/>
                <w:i/>
                <w:color w:val="222222"/>
                <w:highlight w:val="white"/>
              </w:rPr>
              <w:t>AtencionPrimaria</w:t>
            </w:r>
            <w:proofErr w:type="spellEnd"/>
            <w:r w:rsidRPr="002F4F85">
              <w:rPr>
                <w:rFonts w:ascii="Arial" w:hAnsi="Arial" w:cs="Arial"/>
                <w:color w:val="222222"/>
                <w:highlight w:val="white"/>
              </w:rPr>
              <w:t xml:space="preserve">, </w:t>
            </w:r>
            <w:r w:rsidRPr="002F4F85">
              <w:rPr>
                <w:rFonts w:ascii="Arial" w:hAnsi="Arial" w:cs="Arial"/>
                <w:i/>
                <w:color w:val="222222"/>
                <w:highlight w:val="white"/>
              </w:rPr>
              <w:t>52</w:t>
            </w:r>
            <w:r w:rsidRPr="002F4F85">
              <w:rPr>
                <w:rFonts w:ascii="Arial" w:hAnsi="Arial" w:cs="Arial"/>
                <w:color w:val="222222"/>
                <w:highlight w:val="white"/>
              </w:rPr>
              <w:t>(3), pp.140-141.</w:t>
            </w:r>
          </w:p>
          <w:p w14:paraId="38E8F903" w14:textId="77777777" w:rsidR="005A7400" w:rsidRPr="002F4F85" w:rsidRDefault="005A7400" w:rsidP="005A7400">
            <w:pPr>
              <w:spacing w:line="360" w:lineRule="auto"/>
              <w:jc w:val="both"/>
              <w:rPr>
                <w:rFonts w:ascii="Arial" w:hAnsi="Arial" w:cs="Arial"/>
                <w:color w:val="222222"/>
                <w:highlight w:val="white"/>
              </w:rPr>
            </w:pPr>
            <w:proofErr w:type="spellStart"/>
            <w:r w:rsidRPr="002F4F85">
              <w:rPr>
                <w:rFonts w:ascii="Arial" w:hAnsi="Arial" w:cs="Arial"/>
                <w:color w:val="222222"/>
                <w:highlight w:val="white"/>
              </w:rPr>
              <w:t>Coucke</w:t>
            </w:r>
            <w:proofErr w:type="spellEnd"/>
            <w:r w:rsidRPr="002F4F85">
              <w:rPr>
                <w:rFonts w:ascii="Arial" w:hAnsi="Arial" w:cs="Arial"/>
                <w:color w:val="222222"/>
                <w:highlight w:val="white"/>
              </w:rPr>
              <w:t xml:space="preserve">, F., 2018. Food intolerance in patients with manifest autoimmunity. Observational study. </w:t>
            </w:r>
            <w:r w:rsidRPr="002F4F85">
              <w:rPr>
                <w:rFonts w:ascii="Arial" w:hAnsi="Arial" w:cs="Arial"/>
                <w:i/>
                <w:color w:val="222222"/>
                <w:highlight w:val="white"/>
              </w:rPr>
              <w:t>Autoimmunity Reviews</w:t>
            </w:r>
            <w:r w:rsidRPr="002F4F85">
              <w:rPr>
                <w:rFonts w:ascii="Arial" w:hAnsi="Arial" w:cs="Arial"/>
                <w:color w:val="222222"/>
                <w:highlight w:val="white"/>
              </w:rPr>
              <w:t xml:space="preserve">, </w:t>
            </w:r>
            <w:r w:rsidRPr="002F4F85">
              <w:rPr>
                <w:rFonts w:ascii="Arial" w:hAnsi="Arial" w:cs="Arial"/>
                <w:i/>
                <w:color w:val="222222"/>
                <w:highlight w:val="white"/>
              </w:rPr>
              <w:t>17</w:t>
            </w:r>
            <w:r w:rsidRPr="002F4F85">
              <w:rPr>
                <w:rFonts w:ascii="Arial" w:hAnsi="Arial" w:cs="Arial"/>
                <w:color w:val="222222"/>
                <w:highlight w:val="white"/>
              </w:rPr>
              <w:t>(11), pp.1078-1080.</w:t>
            </w:r>
          </w:p>
          <w:p w14:paraId="5CA5B8B6" w14:textId="77777777" w:rsidR="005A7400" w:rsidRPr="002F4F85" w:rsidRDefault="005A7400" w:rsidP="005A7400">
            <w:pPr>
              <w:spacing w:line="360" w:lineRule="auto"/>
              <w:jc w:val="both"/>
              <w:rPr>
                <w:rFonts w:ascii="Arial" w:hAnsi="Arial" w:cs="Arial"/>
                <w:color w:val="222222"/>
                <w:highlight w:val="white"/>
              </w:rPr>
            </w:pPr>
            <w:r w:rsidRPr="002F4F85">
              <w:rPr>
                <w:rFonts w:ascii="Arial" w:hAnsi="Arial" w:cs="Arial"/>
                <w:color w:val="222222"/>
                <w:highlight w:val="white"/>
              </w:rPr>
              <w:t xml:space="preserve">Iweala, O.I., Choudhary, S.K. and </w:t>
            </w:r>
            <w:proofErr w:type="spellStart"/>
            <w:r w:rsidRPr="002F4F85">
              <w:rPr>
                <w:rFonts w:ascii="Arial" w:hAnsi="Arial" w:cs="Arial"/>
                <w:color w:val="222222"/>
                <w:highlight w:val="white"/>
              </w:rPr>
              <w:t>Commins</w:t>
            </w:r>
            <w:proofErr w:type="spellEnd"/>
            <w:r w:rsidRPr="002F4F85">
              <w:rPr>
                <w:rFonts w:ascii="Arial" w:hAnsi="Arial" w:cs="Arial"/>
                <w:color w:val="222222"/>
                <w:highlight w:val="white"/>
              </w:rPr>
              <w:t xml:space="preserve">, S.P., 2018. Food allergy. </w:t>
            </w:r>
            <w:r w:rsidRPr="002F4F85">
              <w:rPr>
                <w:rFonts w:ascii="Arial" w:hAnsi="Arial" w:cs="Arial"/>
                <w:i/>
                <w:color w:val="222222"/>
                <w:highlight w:val="white"/>
              </w:rPr>
              <w:t>Current gastroenterology reports</w:t>
            </w:r>
            <w:r w:rsidRPr="002F4F85">
              <w:rPr>
                <w:rFonts w:ascii="Arial" w:hAnsi="Arial" w:cs="Arial"/>
                <w:color w:val="222222"/>
                <w:highlight w:val="white"/>
              </w:rPr>
              <w:t xml:space="preserve">, </w:t>
            </w:r>
            <w:r w:rsidRPr="002F4F85">
              <w:rPr>
                <w:rFonts w:ascii="Arial" w:hAnsi="Arial" w:cs="Arial"/>
                <w:i/>
                <w:color w:val="222222"/>
                <w:highlight w:val="white"/>
              </w:rPr>
              <w:t>20</w:t>
            </w:r>
            <w:r w:rsidRPr="002F4F85">
              <w:rPr>
                <w:rFonts w:ascii="Arial" w:hAnsi="Arial" w:cs="Arial"/>
                <w:color w:val="222222"/>
                <w:highlight w:val="white"/>
              </w:rPr>
              <w:t>(5), pp.1-6.</w:t>
            </w:r>
          </w:p>
          <w:p w14:paraId="5CAC090A" w14:textId="77777777" w:rsidR="005A7400" w:rsidRPr="002F4F85" w:rsidRDefault="005A7400" w:rsidP="005A7400">
            <w:pPr>
              <w:spacing w:line="360" w:lineRule="auto"/>
              <w:jc w:val="both"/>
              <w:rPr>
                <w:rFonts w:ascii="Arial" w:hAnsi="Arial" w:cs="Arial"/>
                <w:color w:val="222222"/>
                <w:highlight w:val="white"/>
              </w:rPr>
            </w:pPr>
            <w:proofErr w:type="spellStart"/>
            <w:r w:rsidRPr="002F4F85">
              <w:rPr>
                <w:rFonts w:ascii="Arial" w:hAnsi="Arial" w:cs="Arial"/>
                <w:color w:val="222222"/>
                <w:highlight w:val="white"/>
              </w:rPr>
              <w:t>Muthukumar</w:t>
            </w:r>
            <w:proofErr w:type="spellEnd"/>
            <w:r w:rsidRPr="002F4F85">
              <w:rPr>
                <w:rFonts w:ascii="Arial" w:hAnsi="Arial" w:cs="Arial"/>
                <w:color w:val="222222"/>
                <w:highlight w:val="white"/>
              </w:rPr>
              <w:t xml:space="preserve">, J., </w:t>
            </w:r>
            <w:proofErr w:type="spellStart"/>
            <w:r w:rsidRPr="002F4F85">
              <w:rPr>
                <w:rFonts w:ascii="Arial" w:hAnsi="Arial" w:cs="Arial"/>
                <w:color w:val="222222"/>
                <w:highlight w:val="white"/>
              </w:rPr>
              <w:t>Selvasekaran</w:t>
            </w:r>
            <w:proofErr w:type="spellEnd"/>
            <w:r w:rsidRPr="002F4F85">
              <w:rPr>
                <w:rFonts w:ascii="Arial" w:hAnsi="Arial" w:cs="Arial"/>
                <w:color w:val="222222"/>
                <w:highlight w:val="white"/>
              </w:rPr>
              <w:t xml:space="preserve">, P., </w:t>
            </w:r>
            <w:proofErr w:type="spellStart"/>
            <w:r w:rsidRPr="002F4F85">
              <w:rPr>
                <w:rFonts w:ascii="Arial" w:hAnsi="Arial" w:cs="Arial"/>
                <w:color w:val="222222"/>
                <w:highlight w:val="white"/>
              </w:rPr>
              <w:t>Lokanadham</w:t>
            </w:r>
            <w:proofErr w:type="spellEnd"/>
            <w:r w:rsidRPr="002F4F85">
              <w:rPr>
                <w:rFonts w:ascii="Arial" w:hAnsi="Arial" w:cs="Arial"/>
                <w:color w:val="222222"/>
                <w:highlight w:val="white"/>
              </w:rPr>
              <w:t xml:space="preserve">, M. and Chidambaram, R., 2020. Food and food products associated with food allergy and food intolerance–An overview. </w:t>
            </w:r>
            <w:r w:rsidRPr="002F4F85">
              <w:rPr>
                <w:rFonts w:ascii="Arial" w:hAnsi="Arial" w:cs="Arial"/>
                <w:i/>
                <w:color w:val="222222"/>
                <w:highlight w:val="white"/>
              </w:rPr>
              <w:t>Food Research International</w:t>
            </w:r>
            <w:r w:rsidRPr="002F4F85">
              <w:rPr>
                <w:rFonts w:ascii="Arial" w:hAnsi="Arial" w:cs="Arial"/>
                <w:color w:val="222222"/>
                <w:highlight w:val="white"/>
              </w:rPr>
              <w:t xml:space="preserve">, </w:t>
            </w:r>
            <w:r w:rsidRPr="002F4F85">
              <w:rPr>
                <w:rFonts w:ascii="Arial" w:hAnsi="Arial" w:cs="Arial"/>
                <w:i/>
                <w:color w:val="222222"/>
                <w:highlight w:val="white"/>
              </w:rPr>
              <w:t>138</w:t>
            </w:r>
            <w:r w:rsidRPr="002F4F85">
              <w:rPr>
                <w:rFonts w:ascii="Arial" w:hAnsi="Arial" w:cs="Arial"/>
                <w:color w:val="222222"/>
                <w:highlight w:val="white"/>
              </w:rPr>
              <w:t>, p.109780.</w:t>
            </w:r>
          </w:p>
          <w:p w14:paraId="4EE3A630" w14:textId="77777777" w:rsidR="005A7400" w:rsidRPr="002F4F85" w:rsidRDefault="005A7400" w:rsidP="005A7400">
            <w:pPr>
              <w:spacing w:line="360" w:lineRule="auto"/>
              <w:jc w:val="both"/>
              <w:rPr>
                <w:rFonts w:ascii="Arial" w:hAnsi="Arial" w:cs="Arial"/>
                <w:color w:val="222222"/>
                <w:highlight w:val="white"/>
              </w:rPr>
            </w:pPr>
            <w:r w:rsidRPr="002F4F85">
              <w:rPr>
                <w:rFonts w:ascii="Arial" w:hAnsi="Arial" w:cs="Arial"/>
                <w:color w:val="222222"/>
                <w:highlight w:val="white"/>
              </w:rPr>
              <w:t xml:space="preserve">Renz, H., Allen, K.J., </w:t>
            </w:r>
            <w:proofErr w:type="spellStart"/>
            <w:r w:rsidRPr="002F4F85">
              <w:rPr>
                <w:rFonts w:ascii="Arial" w:hAnsi="Arial" w:cs="Arial"/>
                <w:color w:val="222222"/>
                <w:highlight w:val="white"/>
              </w:rPr>
              <w:t>Sicherer</w:t>
            </w:r>
            <w:proofErr w:type="spellEnd"/>
            <w:r w:rsidRPr="002F4F85">
              <w:rPr>
                <w:rFonts w:ascii="Arial" w:hAnsi="Arial" w:cs="Arial"/>
                <w:color w:val="222222"/>
                <w:highlight w:val="white"/>
              </w:rPr>
              <w:t xml:space="preserve">, S.H., Sampson, H.A., Lack, G., Beyer, K. and </w:t>
            </w:r>
            <w:proofErr w:type="spellStart"/>
            <w:r w:rsidRPr="002F4F85">
              <w:rPr>
                <w:rFonts w:ascii="Arial" w:hAnsi="Arial" w:cs="Arial"/>
                <w:color w:val="222222"/>
                <w:highlight w:val="white"/>
              </w:rPr>
              <w:t>Oettgen</w:t>
            </w:r>
            <w:proofErr w:type="spellEnd"/>
            <w:r w:rsidRPr="002F4F85">
              <w:rPr>
                <w:rFonts w:ascii="Arial" w:hAnsi="Arial" w:cs="Arial"/>
                <w:color w:val="222222"/>
                <w:highlight w:val="white"/>
              </w:rPr>
              <w:t xml:space="preserve">, H.C., 2018. Food allergy. </w:t>
            </w:r>
            <w:r w:rsidRPr="002F4F85">
              <w:rPr>
                <w:rFonts w:ascii="Arial" w:hAnsi="Arial" w:cs="Arial"/>
                <w:i/>
                <w:color w:val="222222"/>
                <w:highlight w:val="white"/>
              </w:rPr>
              <w:t>Nature reviews Disease primers</w:t>
            </w:r>
            <w:r w:rsidRPr="002F4F85">
              <w:rPr>
                <w:rFonts w:ascii="Arial" w:hAnsi="Arial" w:cs="Arial"/>
                <w:color w:val="222222"/>
                <w:highlight w:val="white"/>
              </w:rPr>
              <w:t xml:space="preserve">, </w:t>
            </w:r>
            <w:r w:rsidRPr="002F4F85">
              <w:rPr>
                <w:rFonts w:ascii="Arial" w:hAnsi="Arial" w:cs="Arial"/>
                <w:i/>
                <w:color w:val="222222"/>
                <w:highlight w:val="white"/>
              </w:rPr>
              <w:t>4</w:t>
            </w:r>
            <w:r w:rsidRPr="002F4F85">
              <w:rPr>
                <w:rFonts w:ascii="Arial" w:hAnsi="Arial" w:cs="Arial"/>
                <w:color w:val="222222"/>
                <w:highlight w:val="white"/>
              </w:rPr>
              <w:t>(1), pp.1-20.</w:t>
            </w:r>
          </w:p>
          <w:p w14:paraId="0E6B6C50" w14:textId="77777777" w:rsidR="005A7400" w:rsidRPr="002F4F85" w:rsidRDefault="005A7400" w:rsidP="005A7400">
            <w:pPr>
              <w:spacing w:line="360" w:lineRule="auto"/>
              <w:jc w:val="both"/>
              <w:rPr>
                <w:rFonts w:ascii="Arial" w:hAnsi="Arial" w:cs="Arial"/>
                <w:color w:val="222222"/>
                <w:highlight w:val="white"/>
              </w:rPr>
            </w:pPr>
            <w:r w:rsidRPr="002F4F85">
              <w:rPr>
                <w:rFonts w:ascii="Arial" w:hAnsi="Arial" w:cs="Arial"/>
                <w:color w:val="222222"/>
                <w:highlight w:val="white"/>
              </w:rPr>
              <w:t xml:space="preserve">Soares, R.L.S., 2018. Irritable bowel syndrome, food intolerance and non-celiac gluten sensitivity. A new clinical challenge. </w:t>
            </w:r>
            <w:proofErr w:type="spellStart"/>
            <w:r w:rsidRPr="002F4F85">
              <w:rPr>
                <w:rFonts w:ascii="Arial" w:hAnsi="Arial" w:cs="Arial"/>
                <w:i/>
                <w:color w:val="222222"/>
                <w:highlight w:val="white"/>
              </w:rPr>
              <w:t>Arquivos</w:t>
            </w:r>
            <w:proofErr w:type="spellEnd"/>
            <w:r w:rsidRPr="002F4F85">
              <w:rPr>
                <w:rFonts w:ascii="Arial" w:hAnsi="Arial" w:cs="Arial"/>
                <w:i/>
                <w:color w:val="222222"/>
                <w:highlight w:val="white"/>
              </w:rPr>
              <w:t xml:space="preserve"> de </w:t>
            </w:r>
            <w:proofErr w:type="spellStart"/>
            <w:r w:rsidRPr="002F4F85">
              <w:rPr>
                <w:rFonts w:ascii="Arial" w:hAnsi="Arial" w:cs="Arial"/>
                <w:i/>
                <w:color w:val="222222"/>
                <w:highlight w:val="white"/>
              </w:rPr>
              <w:t>gastroenterologia</w:t>
            </w:r>
            <w:proofErr w:type="spellEnd"/>
            <w:r w:rsidRPr="002F4F85">
              <w:rPr>
                <w:rFonts w:ascii="Arial" w:hAnsi="Arial" w:cs="Arial"/>
                <w:color w:val="222222"/>
                <w:highlight w:val="white"/>
              </w:rPr>
              <w:t xml:space="preserve">, </w:t>
            </w:r>
            <w:r w:rsidRPr="002F4F85">
              <w:rPr>
                <w:rFonts w:ascii="Arial" w:hAnsi="Arial" w:cs="Arial"/>
                <w:i/>
                <w:color w:val="222222"/>
                <w:highlight w:val="white"/>
              </w:rPr>
              <w:t>55</w:t>
            </w:r>
            <w:r w:rsidRPr="002F4F85">
              <w:rPr>
                <w:rFonts w:ascii="Arial" w:hAnsi="Arial" w:cs="Arial"/>
                <w:color w:val="222222"/>
                <w:highlight w:val="white"/>
              </w:rPr>
              <w:t>, pp.417-422.</w:t>
            </w:r>
          </w:p>
          <w:p w14:paraId="4A26E99E" w14:textId="77777777" w:rsidR="00375882" w:rsidRPr="002F4F85" w:rsidRDefault="00375882" w:rsidP="007F6692">
            <w:pPr>
              <w:rPr>
                <w:rFonts w:ascii="Arial" w:hAnsi="Arial" w:cs="Arial"/>
                <w:sz w:val="20"/>
                <w:szCs w:val="20"/>
              </w:rPr>
            </w:pPr>
          </w:p>
          <w:p w14:paraId="51DD20D9" w14:textId="77777777" w:rsidR="00375882" w:rsidRDefault="00375882" w:rsidP="007F6692">
            <w:pPr>
              <w:spacing w:line="360" w:lineRule="auto"/>
              <w:jc w:val="both"/>
              <w:rPr>
                <w:rFonts w:ascii="Arial" w:hAnsi="Arial" w:cs="Arial"/>
              </w:rPr>
            </w:pPr>
          </w:p>
          <w:p w14:paraId="2B42057E" w14:textId="77777777" w:rsidR="00375882" w:rsidRDefault="00375882" w:rsidP="007F6692">
            <w:pPr>
              <w:spacing w:line="360" w:lineRule="auto"/>
              <w:jc w:val="both"/>
              <w:rPr>
                <w:rFonts w:ascii="Arial" w:hAnsi="Arial" w:cs="Arial"/>
              </w:rPr>
            </w:pPr>
          </w:p>
          <w:p w14:paraId="1ED97264" w14:textId="77777777" w:rsidR="00375882" w:rsidRDefault="00375882" w:rsidP="007F6692">
            <w:pPr>
              <w:spacing w:line="360" w:lineRule="auto"/>
              <w:jc w:val="both"/>
              <w:rPr>
                <w:rFonts w:ascii="Arial" w:hAnsi="Arial" w:cs="Arial"/>
              </w:rPr>
            </w:pPr>
          </w:p>
          <w:p w14:paraId="170621F9" w14:textId="77777777" w:rsidR="00375882" w:rsidRDefault="00375882" w:rsidP="007F6692">
            <w:pPr>
              <w:spacing w:line="360" w:lineRule="auto"/>
              <w:jc w:val="both"/>
              <w:rPr>
                <w:rFonts w:ascii="Arial" w:hAnsi="Arial" w:cs="Arial"/>
              </w:rPr>
            </w:pPr>
          </w:p>
          <w:p w14:paraId="61521769" w14:textId="77777777" w:rsidR="00375882" w:rsidRDefault="00375882" w:rsidP="007F6692">
            <w:pPr>
              <w:spacing w:line="360" w:lineRule="auto"/>
              <w:jc w:val="both"/>
              <w:rPr>
                <w:rFonts w:ascii="Arial" w:hAnsi="Arial" w:cs="Arial"/>
              </w:rPr>
            </w:pPr>
          </w:p>
          <w:p w14:paraId="2558FBB3" w14:textId="77777777" w:rsidR="00375882" w:rsidRDefault="00375882" w:rsidP="007F6692">
            <w:pPr>
              <w:spacing w:line="360" w:lineRule="auto"/>
              <w:jc w:val="both"/>
              <w:rPr>
                <w:rFonts w:ascii="Arial" w:hAnsi="Arial" w:cs="Arial"/>
              </w:rPr>
            </w:pPr>
          </w:p>
          <w:p w14:paraId="61BCD2B9" w14:textId="77777777" w:rsidR="00375882" w:rsidRDefault="00375882" w:rsidP="007F6692">
            <w:pPr>
              <w:spacing w:line="360" w:lineRule="auto"/>
              <w:jc w:val="both"/>
              <w:rPr>
                <w:rFonts w:ascii="Arial" w:hAnsi="Arial" w:cs="Arial"/>
              </w:rPr>
            </w:pPr>
          </w:p>
          <w:p w14:paraId="23ECF51A" w14:textId="77777777" w:rsidR="00375882" w:rsidRDefault="00375882" w:rsidP="007F6692">
            <w:pPr>
              <w:spacing w:line="360" w:lineRule="auto"/>
              <w:jc w:val="both"/>
              <w:rPr>
                <w:rFonts w:ascii="Arial" w:hAnsi="Arial" w:cs="Arial"/>
              </w:rPr>
            </w:pPr>
          </w:p>
          <w:p w14:paraId="54839D84" w14:textId="77777777" w:rsidR="00375882" w:rsidRDefault="00375882" w:rsidP="007F6692">
            <w:pPr>
              <w:spacing w:line="360" w:lineRule="auto"/>
              <w:jc w:val="both"/>
              <w:rPr>
                <w:rFonts w:ascii="Arial" w:hAnsi="Arial" w:cs="Arial"/>
              </w:rPr>
            </w:pPr>
          </w:p>
          <w:p w14:paraId="583EBE33" w14:textId="77777777" w:rsidR="00375882" w:rsidRDefault="00375882" w:rsidP="007F6692">
            <w:pPr>
              <w:spacing w:line="360" w:lineRule="auto"/>
              <w:jc w:val="both"/>
              <w:rPr>
                <w:rFonts w:ascii="Arial" w:hAnsi="Arial" w:cs="Arial"/>
              </w:rPr>
            </w:pPr>
          </w:p>
          <w:p w14:paraId="7A137DEB" w14:textId="77777777" w:rsidR="00375882" w:rsidRDefault="00375882" w:rsidP="007F6692">
            <w:pPr>
              <w:spacing w:line="360" w:lineRule="auto"/>
              <w:jc w:val="both"/>
              <w:rPr>
                <w:rFonts w:ascii="Arial" w:hAnsi="Arial" w:cs="Arial"/>
              </w:rPr>
            </w:pPr>
          </w:p>
          <w:p w14:paraId="58D2A6F1" w14:textId="77777777" w:rsidR="00375882" w:rsidRDefault="00375882" w:rsidP="007F6692">
            <w:pPr>
              <w:spacing w:line="360" w:lineRule="auto"/>
              <w:jc w:val="both"/>
              <w:rPr>
                <w:rFonts w:ascii="Arial" w:hAnsi="Arial" w:cs="Arial"/>
              </w:rPr>
            </w:pPr>
          </w:p>
          <w:p w14:paraId="245B4E15" w14:textId="77777777" w:rsidR="00375882" w:rsidRDefault="00375882" w:rsidP="007F6692">
            <w:pPr>
              <w:spacing w:line="360" w:lineRule="auto"/>
              <w:jc w:val="both"/>
              <w:rPr>
                <w:rFonts w:ascii="Arial" w:hAnsi="Arial" w:cs="Arial"/>
              </w:rPr>
            </w:pPr>
          </w:p>
          <w:p w14:paraId="5DCF4FFF" w14:textId="77777777" w:rsidR="00375882" w:rsidRDefault="00375882" w:rsidP="007F6692">
            <w:pPr>
              <w:spacing w:line="360" w:lineRule="auto"/>
              <w:jc w:val="both"/>
              <w:rPr>
                <w:rFonts w:ascii="Arial" w:hAnsi="Arial" w:cs="Arial"/>
              </w:rPr>
            </w:pPr>
          </w:p>
          <w:p w14:paraId="753CD7B4" w14:textId="77777777" w:rsidR="00375882" w:rsidRDefault="00375882" w:rsidP="007F6692">
            <w:pPr>
              <w:spacing w:line="360" w:lineRule="auto"/>
              <w:jc w:val="both"/>
              <w:rPr>
                <w:rFonts w:ascii="Arial" w:hAnsi="Arial" w:cs="Arial"/>
              </w:rPr>
            </w:pPr>
          </w:p>
          <w:p w14:paraId="3A2C0E13" w14:textId="77777777" w:rsidR="00375882" w:rsidRDefault="00375882" w:rsidP="007F6692">
            <w:pPr>
              <w:spacing w:line="360" w:lineRule="auto"/>
              <w:jc w:val="both"/>
              <w:rPr>
                <w:rFonts w:ascii="Arial" w:hAnsi="Arial" w:cs="Arial"/>
              </w:rPr>
            </w:pPr>
          </w:p>
          <w:p w14:paraId="4724C824" w14:textId="77777777" w:rsidR="00375882" w:rsidRDefault="00375882" w:rsidP="007F6692">
            <w:pPr>
              <w:spacing w:line="360" w:lineRule="auto"/>
              <w:jc w:val="both"/>
              <w:rPr>
                <w:rFonts w:ascii="Arial" w:hAnsi="Arial" w:cs="Arial"/>
              </w:rPr>
            </w:pPr>
          </w:p>
          <w:p w14:paraId="691EF3BA" w14:textId="77777777" w:rsidR="00375882" w:rsidRDefault="00375882" w:rsidP="007F6692">
            <w:pPr>
              <w:spacing w:line="360" w:lineRule="auto"/>
              <w:jc w:val="both"/>
              <w:rPr>
                <w:rFonts w:ascii="Arial" w:hAnsi="Arial" w:cs="Arial"/>
              </w:rPr>
            </w:pPr>
          </w:p>
          <w:p w14:paraId="637920ED" w14:textId="77777777" w:rsidR="00375882" w:rsidRPr="003C3341" w:rsidRDefault="00375882" w:rsidP="007F6692">
            <w:pPr>
              <w:jc w:val="both"/>
              <w:rPr>
                <w:rFonts w:ascii="Tahoma" w:hAnsi="Tahoma" w:cs="Tahoma"/>
                <w:sz w:val="20"/>
                <w:szCs w:val="20"/>
              </w:rPr>
            </w:pPr>
          </w:p>
        </w:tc>
      </w:tr>
    </w:tbl>
    <w:p w14:paraId="13D9E8DE" w14:textId="77777777" w:rsidR="00B00678" w:rsidRDefault="00B00678" w:rsidP="00B945EA">
      <w:pPr>
        <w:rPr>
          <w:rFonts w:ascii="Tahoma" w:hAnsi="Tahoma" w:cs="Tahoma"/>
          <w:b/>
        </w:rPr>
      </w:pPr>
    </w:p>
    <w:p w14:paraId="29C73DA7" w14:textId="77777777" w:rsidR="00B00678" w:rsidRDefault="00B00678" w:rsidP="00B945EA">
      <w:pPr>
        <w:rPr>
          <w:rFonts w:ascii="Tahoma" w:hAnsi="Tahoma" w:cs="Tahoma"/>
          <w:b/>
        </w:rPr>
      </w:pPr>
    </w:p>
    <w:p w14:paraId="5B950190" w14:textId="77777777" w:rsidR="00B00678" w:rsidRDefault="00B00678" w:rsidP="00B945EA">
      <w:pPr>
        <w:rPr>
          <w:rFonts w:ascii="Tahoma" w:hAnsi="Tahoma" w:cs="Tahoma"/>
          <w:b/>
        </w:rPr>
      </w:pPr>
    </w:p>
    <w:p w14:paraId="7E69DF9A" w14:textId="77777777" w:rsidR="00B00678" w:rsidRDefault="00B00678" w:rsidP="00B945EA">
      <w:pPr>
        <w:rPr>
          <w:rFonts w:ascii="Tahoma" w:hAnsi="Tahoma" w:cs="Tahoma"/>
          <w:b/>
        </w:rPr>
      </w:pPr>
    </w:p>
    <w:p w14:paraId="3EB42589" w14:textId="77777777" w:rsidR="00B00678" w:rsidRDefault="00B00678" w:rsidP="00B945EA">
      <w:pPr>
        <w:rPr>
          <w:rFonts w:ascii="Tahoma" w:hAnsi="Tahoma" w:cs="Tahoma"/>
          <w:b/>
        </w:rPr>
      </w:pPr>
    </w:p>
    <w:p w14:paraId="2010C5B9" w14:textId="77777777" w:rsidR="00B00678" w:rsidRDefault="00B00678" w:rsidP="00B945EA">
      <w:pPr>
        <w:rPr>
          <w:rFonts w:ascii="Tahoma" w:hAnsi="Tahoma" w:cs="Tahoma"/>
          <w:b/>
        </w:rPr>
      </w:pPr>
    </w:p>
    <w:p w14:paraId="3E7E1297"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A06B1" w14:textId="77777777" w:rsidR="00E67BEA" w:rsidRDefault="00E67BEA">
      <w:r>
        <w:separator/>
      </w:r>
    </w:p>
  </w:endnote>
  <w:endnote w:type="continuationSeparator" w:id="0">
    <w:p w14:paraId="0D9A9085" w14:textId="77777777" w:rsidR="00E67BEA" w:rsidRDefault="00E67B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AD50A" w14:textId="77777777" w:rsidR="00682C72" w:rsidRDefault="00682C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3EBAF260" w14:textId="77777777" w:rsidR="00B44B68" w:rsidRDefault="007719BF">
        <w:pPr>
          <w:pStyle w:val="Footer"/>
          <w:jc w:val="right"/>
        </w:pPr>
        <w:r>
          <w:fldChar w:fldCharType="begin"/>
        </w:r>
        <w:r w:rsidR="00B44B68">
          <w:instrText xml:space="preserve"> PAGE   \* MERGEFORMAT </w:instrText>
        </w:r>
        <w:r>
          <w:fldChar w:fldCharType="separate"/>
        </w:r>
        <w:r w:rsidR="00682C72">
          <w:rPr>
            <w:noProof/>
          </w:rPr>
          <w:t>1</w:t>
        </w:r>
        <w:r>
          <w:rPr>
            <w:noProof/>
          </w:rPr>
          <w:fldChar w:fldCharType="end"/>
        </w:r>
      </w:p>
    </w:sdtContent>
  </w:sdt>
  <w:p w14:paraId="24F12CB6" w14:textId="77777777"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BD89F" w14:textId="77777777" w:rsidR="00682C72" w:rsidRDefault="00682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DE35D" w14:textId="77777777" w:rsidR="00E67BEA" w:rsidRDefault="00E67BEA">
      <w:r>
        <w:separator/>
      </w:r>
    </w:p>
  </w:footnote>
  <w:footnote w:type="continuationSeparator" w:id="0">
    <w:p w14:paraId="53DE585B" w14:textId="77777777" w:rsidR="00E67BEA" w:rsidRDefault="00E67B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61014" w14:textId="77777777" w:rsidR="00682C72" w:rsidRDefault="00682C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ECA3D" w14:textId="77777777"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5A574728" wp14:editId="6151A58B">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B24CF" w14:textId="77777777" w:rsidR="00682C72" w:rsidRDefault="00682C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958030102">
    <w:abstractNumId w:val="12"/>
  </w:num>
  <w:num w:numId="2" w16cid:durableId="167838062">
    <w:abstractNumId w:val="4"/>
  </w:num>
  <w:num w:numId="3" w16cid:durableId="154347287">
    <w:abstractNumId w:val="27"/>
  </w:num>
  <w:num w:numId="4" w16cid:durableId="1338120038">
    <w:abstractNumId w:val="5"/>
  </w:num>
  <w:num w:numId="5" w16cid:durableId="900293242">
    <w:abstractNumId w:val="23"/>
  </w:num>
  <w:num w:numId="6" w16cid:durableId="1570730785">
    <w:abstractNumId w:val="6"/>
  </w:num>
  <w:num w:numId="7" w16cid:durableId="125590969">
    <w:abstractNumId w:val="0"/>
  </w:num>
  <w:num w:numId="8" w16cid:durableId="2077388327">
    <w:abstractNumId w:val="26"/>
  </w:num>
  <w:num w:numId="9" w16cid:durableId="465901482">
    <w:abstractNumId w:val="15"/>
  </w:num>
  <w:num w:numId="10" w16cid:durableId="1106190693">
    <w:abstractNumId w:val="18"/>
  </w:num>
  <w:num w:numId="11" w16cid:durableId="170878217">
    <w:abstractNumId w:val="3"/>
  </w:num>
  <w:num w:numId="12" w16cid:durableId="154226329">
    <w:abstractNumId w:val="13"/>
  </w:num>
  <w:num w:numId="13" w16cid:durableId="371729240">
    <w:abstractNumId w:val="2"/>
  </w:num>
  <w:num w:numId="14" w16cid:durableId="259682450">
    <w:abstractNumId w:val="9"/>
  </w:num>
  <w:num w:numId="15" w16cid:durableId="1066152274">
    <w:abstractNumId w:val="17"/>
  </w:num>
  <w:num w:numId="16" w16cid:durableId="1401322267">
    <w:abstractNumId w:val="19"/>
  </w:num>
  <w:num w:numId="17" w16cid:durableId="1793402479">
    <w:abstractNumId w:val="1"/>
  </w:num>
  <w:num w:numId="18" w16cid:durableId="214005037">
    <w:abstractNumId w:val="25"/>
  </w:num>
  <w:num w:numId="19" w16cid:durableId="1769348252">
    <w:abstractNumId w:val="8"/>
  </w:num>
  <w:num w:numId="20" w16cid:durableId="602108183">
    <w:abstractNumId w:val="20"/>
  </w:num>
  <w:num w:numId="21" w16cid:durableId="652176653">
    <w:abstractNumId w:val="11"/>
  </w:num>
  <w:num w:numId="22" w16cid:durableId="1526360807">
    <w:abstractNumId w:val="16"/>
  </w:num>
  <w:num w:numId="23" w16cid:durableId="989167083">
    <w:abstractNumId w:val="24"/>
  </w:num>
  <w:num w:numId="24" w16cid:durableId="1860896102">
    <w:abstractNumId w:val="10"/>
  </w:num>
  <w:num w:numId="25" w16cid:durableId="2018070083">
    <w:abstractNumId w:val="22"/>
  </w:num>
  <w:num w:numId="26" w16cid:durableId="439642754">
    <w:abstractNumId w:val="7"/>
  </w:num>
  <w:num w:numId="27" w16cid:durableId="1824391885">
    <w:abstractNumId w:val="21"/>
  </w:num>
  <w:num w:numId="28" w16cid:durableId="204073747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21242"/>
    <w:rsid w:val="002314D4"/>
    <w:rsid w:val="002430D4"/>
    <w:rsid w:val="00244B89"/>
    <w:rsid w:val="00244F84"/>
    <w:rsid w:val="002659F5"/>
    <w:rsid w:val="00283BE2"/>
    <w:rsid w:val="00294842"/>
    <w:rsid w:val="002E127C"/>
    <w:rsid w:val="002E2CEA"/>
    <w:rsid w:val="002F4F85"/>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4589"/>
    <w:rsid w:val="004C08E2"/>
    <w:rsid w:val="004C7E23"/>
    <w:rsid w:val="005036DE"/>
    <w:rsid w:val="00517154"/>
    <w:rsid w:val="00522B05"/>
    <w:rsid w:val="00542C5B"/>
    <w:rsid w:val="00552EED"/>
    <w:rsid w:val="00563B7C"/>
    <w:rsid w:val="00566333"/>
    <w:rsid w:val="005A7400"/>
    <w:rsid w:val="005C6352"/>
    <w:rsid w:val="005D0DDE"/>
    <w:rsid w:val="005D5D0B"/>
    <w:rsid w:val="0062012D"/>
    <w:rsid w:val="00623CBB"/>
    <w:rsid w:val="00643CB9"/>
    <w:rsid w:val="0066732A"/>
    <w:rsid w:val="00677D1F"/>
    <w:rsid w:val="00682C72"/>
    <w:rsid w:val="00697481"/>
    <w:rsid w:val="006A4F97"/>
    <w:rsid w:val="006C4640"/>
    <w:rsid w:val="006F17A7"/>
    <w:rsid w:val="006F4FB6"/>
    <w:rsid w:val="006F501B"/>
    <w:rsid w:val="00702077"/>
    <w:rsid w:val="00725F0E"/>
    <w:rsid w:val="00734189"/>
    <w:rsid w:val="00735BB1"/>
    <w:rsid w:val="00744482"/>
    <w:rsid w:val="007451E8"/>
    <w:rsid w:val="0076585F"/>
    <w:rsid w:val="007719BF"/>
    <w:rsid w:val="0078654A"/>
    <w:rsid w:val="0079230B"/>
    <w:rsid w:val="00797115"/>
    <w:rsid w:val="007A5E44"/>
    <w:rsid w:val="007D18CA"/>
    <w:rsid w:val="007E4464"/>
    <w:rsid w:val="007E500C"/>
    <w:rsid w:val="007E7BB4"/>
    <w:rsid w:val="007F055A"/>
    <w:rsid w:val="007F418B"/>
    <w:rsid w:val="00814801"/>
    <w:rsid w:val="0082407E"/>
    <w:rsid w:val="00826699"/>
    <w:rsid w:val="008777A1"/>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D92"/>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67BEA"/>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65F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link w:val="Heading1Char"/>
    <w:uiPriority w:val="9"/>
    <w:qFormat/>
    <w:rsid w:val="0076585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76585F"/>
    <w:rPr>
      <w:b/>
      <w:bCs/>
      <w:kern w:val="36"/>
      <w:sz w:val="48"/>
      <w:szCs w:val="48"/>
    </w:rPr>
  </w:style>
  <w:style w:type="character" w:styleId="Hyperlink">
    <w:name w:val="Hyperlink"/>
    <w:basedOn w:val="DefaultParagraphFont"/>
    <w:uiPriority w:val="99"/>
    <w:semiHidden/>
    <w:unhideWhenUsed/>
    <w:rsid w:val="0076585F"/>
    <w:rPr>
      <w:color w:val="0000FF"/>
      <w:u w:val="single"/>
    </w:rPr>
  </w:style>
  <w:style w:type="character" w:styleId="Emphasis">
    <w:name w:val="Emphasis"/>
    <w:basedOn w:val="DefaultParagraphFont"/>
    <w:uiPriority w:val="20"/>
    <w:qFormat/>
    <w:rsid w:val="0076585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774012015">
      <w:bodyDiv w:val="1"/>
      <w:marLeft w:val="0"/>
      <w:marRight w:val="0"/>
      <w:marTop w:val="0"/>
      <w:marBottom w:val="0"/>
      <w:divBdr>
        <w:top w:val="none" w:sz="0" w:space="0" w:color="auto"/>
        <w:left w:val="none" w:sz="0" w:space="0" w:color="auto"/>
        <w:bottom w:val="none" w:sz="0" w:space="0" w:color="auto"/>
        <w:right w:val="none" w:sz="0" w:space="0" w:color="auto"/>
      </w:divBdr>
      <w:divsChild>
        <w:div w:id="1093013082">
          <w:marLeft w:val="0"/>
          <w:marRight w:val="0"/>
          <w:marTop w:val="0"/>
          <w:marBottom w:val="0"/>
          <w:divBdr>
            <w:top w:val="none" w:sz="0" w:space="0" w:color="auto"/>
            <w:left w:val="none" w:sz="0" w:space="0" w:color="auto"/>
            <w:bottom w:val="none" w:sz="0" w:space="0" w:color="auto"/>
            <w:right w:val="none" w:sz="0" w:space="0" w:color="auto"/>
          </w:divBdr>
          <w:divsChild>
            <w:div w:id="73932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58569376">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914</Words>
  <Characters>5214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2022-05-23T10:54:00Z</dcterms:created>
  <dcterms:modified xsi:type="dcterms:W3CDTF">2022-05-23T10:57:00Z</dcterms:modified>
</cp:coreProperties>
</file>