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FE16FE" w14:textId="77777777" w:rsidR="00AC13DE" w:rsidRDefault="00AC13DE" w:rsidP="00AC13DE">
      <w:pPr>
        <w:pStyle w:val="NormalWeb"/>
        <w:spacing w:before="0" w:after="0"/>
        <w:ind w:left="-180" w:right="-334"/>
      </w:pPr>
      <w:r>
        <w:rPr>
          <w:noProof/>
        </w:rPr>
        <w:drawing>
          <wp:inline distT="0" distB="0" distL="0" distR="0" wp14:anchorId="78F9B080" wp14:editId="1DF5206E">
            <wp:extent cx="1905000" cy="628650"/>
            <wp:effectExtent l="19050" t="19050" r="19050" b="19050"/>
            <wp:docPr id="113572101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21019" name="Picture 1"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28650"/>
                    </a:xfrm>
                    <a:prstGeom prst="rect">
                      <a:avLst/>
                    </a:prstGeom>
                    <a:noFill/>
                    <a:ln w="19050" cmpd="sng">
                      <a:solidFill>
                        <a:srgbClr val="000000"/>
                      </a:solidFill>
                      <a:miter lim="800000"/>
                      <a:headEnd/>
                      <a:tailEnd/>
                    </a:ln>
                    <a:effectLst/>
                  </pic:spPr>
                </pic:pic>
              </a:graphicData>
            </a:graphic>
          </wp:inline>
        </w:drawing>
      </w:r>
    </w:p>
    <w:p w14:paraId="54C4FA78" w14:textId="77777777" w:rsidR="00AC13DE" w:rsidRDefault="00AC13DE" w:rsidP="00AC13DE">
      <w:pPr>
        <w:pStyle w:val="NormalWeb"/>
        <w:spacing w:before="0" w:after="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23C9B286" w14:textId="77777777" w:rsidR="00AC13DE" w:rsidRDefault="00AC13DE" w:rsidP="00AC13DE">
      <w:pPr>
        <w:pStyle w:val="NormalWeb"/>
        <w:spacing w:before="0" w:after="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0BD28BDC" w14:textId="77777777" w:rsidR="00AC13DE" w:rsidRDefault="00AC13DE" w:rsidP="00AC13DE">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C13DE" w14:paraId="308796C7" w14:textId="77777777" w:rsidTr="00755815">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274C2DD9" w14:textId="77777777" w:rsidR="00AC13DE" w:rsidRDefault="00AC13DE" w:rsidP="00755815">
            <w:pPr>
              <w:pStyle w:val="NormalWeb"/>
              <w:spacing w:before="0" w:after="0"/>
              <w:ind w:right="34"/>
              <w:rPr>
                <w:rFonts w:ascii="Arial" w:eastAsia="SimSun"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C13DE" w14:paraId="1B38A8F3" w14:textId="77777777" w:rsidTr="00755815">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CB02BEE"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Student Name:</w:t>
            </w:r>
          </w:p>
          <w:p w14:paraId="6D9228EB"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Rufus Maychild</w:t>
            </w:r>
          </w:p>
        </w:tc>
      </w:tr>
      <w:tr w:rsidR="00AC13DE" w14:paraId="5BCD02D7" w14:textId="77777777" w:rsidTr="00755815">
        <w:trPr>
          <w:trHeight w:val="849"/>
        </w:trPr>
        <w:tc>
          <w:tcPr>
            <w:tcW w:w="4788" w:type="dxa"/>
            <w:tcBorders>
              <w:top w:val="single" w:sz="4" w:space="0" w:color="000000"/>
              <w:left w:val="single" w:sz="4" w:space="0" w:color="000000"/>
              <w:bottom w:val="single" w:sz="4" w:space="0" w:color="000000"/>
              <w:right w:val="single" w:sz="4" w:space="0" w:color="000000"/>
            </w:tcBorders>
          </w:tcPr>
          <w:p w14:paraId="27BB0977" w14:textId="77777777" w:rsidR="00AC13DE" w:rsidRPr="00AC13DE" w:rsidRDefault="00AC13DE" w:rsidP="00AC13DE">
            <w:pPr>
              <w:rPr>
                <w:sz w:val="24"/>
                <w:szCs w:val="24"/>
              </w:rPr>
            </w:pPr>
            <w:r>
              <w:rPr>
                <w:rFonts w:ascii="Arial" w:hAnsi="Arial" w:cs="Arial"/>
              </w:rPr>
              <w:t xml:space="preserve">Module code: </w:t>
            </w:r>
            <w:r w:rsidRPr="00AC13DE">
              <w:rPr>
                <w:sz w:val="24"/>
                <w:szCs w:val="24"/>
              </w:rPr>
              <w:t>HPAH7017</w:t>
            </w:r>
          </w:p>
          <w:p w14:paraId="44E31130" w14:textId="72EBB39C" w:rsidR="00AC13DE" w:rsidRPr="00AC13DE" w:rsidRDefault="00AC13DE" w:rsidP="00AC13DE">
            <w:pPr>
              <w:rPr>
                <w:sz w:val="24"/>
                <w:szCs w:val="24"/>
              </w:rPr>
            </w:pPr>
            <w:r w:rsidRPr="00AC13DE">
              <w:rPr>
                <w:sz w:val="24"/>
                <w:szCs w:val="24"/>
              </w:rPr>
              <w:t xml:space="preserve">Religions in China, 1500 BCE - 500 CE </w:t>
            </w:r>
          </w:p>
          <w:p w14:paraId="085C9E21" w14:textId="458D07E1" w:rsidR="00AC13DE" w:rsidRDefault="00273CE3" w:rsidP="00755815">
            <w:pPr>
              <w:pStyle w:val="NormalWeb"/>
              <w:spacing w:before="0" w:after="0"/>
              <w:ind w:right="34"/>
              <w:rPr>
                <w:rFonts w:ascii="Arial" w:hAnsi="Arial" w:cs="Arial"/>
                <w:sz w:val="22"/>
                <w:szCs w:val="22"/>
              </w:rPr>
            </w:pPr>
            <w:r>
              <w:rPr>
                <w:rFonts w:ascii="Arial" w:hAnsi="Arial" w:cs="Arial"/>
                <w:sz w:val="22"/>
                <w:szCs w:val="22"/>
              </w:rPr>
              <w:t>Essay 1</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42B1979"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Student ID number: 2310535</w:t>
            </w:r>
          </w:p>
        </w:tc>
        <w:tc>
          <w:tcPr>
            <w:tcW w:w="1802" w:type="dxa"/>
            <w:tcBorders>
              <w:top w:val="single" w:sz="4" w:space="0" w:color="000000"/>
              <w:left w:val="single" w:sz="4" w:space="0" w:color="000000"/>
              <w:bottom w:val="single" w:sz="4" w:space="0" w:color="000000"/>
              <w:right w:val="single" w:sz="4" w:space="0" w:color="000000"/>
            </w:tcBorders>
            <w:hideMark/>
          </w:tcPr>
          <w:p w14:paraId="647D2DB7"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Educational support needs:</w:t>
            </w:r>
          </w:p>
          <w:p w14:paraId="314FC1DD"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No</w:t>
            </w:r>
          </w:p>
        </w:tc>
      </w:tr>
      <w:tr w:rsidR="00AC13DE" w14:paraId="78F527C9" w14:textId="77777777" w:rsidTr="00755815">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2F2DDDA" w14:textId="4B2C4D80"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Module tutor:  Thomas Jensen</w:t>
            </w:r>
          </w:p>
          <w:p w14:paraId="1A35D5AE" w14:textId="77777777" w:rsidR="00AC13DE" w:rsidRDefault="00AC13DE" w:rsidP="00755815">
            <w:pPr>
              <w:pStyle w:val="NormalWeb"/>
              <w:spacing w:before="0" w:after="0"/>
              <w:ind w:right="34"/>
              <w:rPr>
                <w:rFonts w:ascii="Arial" w:hAnsi="Arial" w:cs="Arial"/>
                <w:sz w:val="22"/>
                <w:szCs w:val="22"/>
              </w:rPr>
            </w:pPr>
          </w:p>
          <w:p w14:paraId="1E5333C1" w14:textId="581DD77A"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Assignment due date: December 20</w:t>
            </w:r>
            <w:r w:rsidRPr="00AC13DE">
              <w:rPr>
                <w:rFonts w:ascii="Arial" w:hAnsi="Arial" w:cs="Arial"/>
                <w:sz w:val="22"/>
                <w:szCs w:val="22"/>
                <w:vertAlign w:val="superscript"/>
              </w:rPr>
              <w:t>th</w:t>
            </w:r>
            <w:r>
              <w:rPr>
                <w:rFonts w:ascii="Arial" w:hAnsi="Arial" w:cs="Arial"/>
                <w:sz w:val="22"/>
                <w:szCs w:val="22"/>
              </w:rPr>
              <w:t xml:space="preserve">  2024</w:t>
            </w:r>
          </w:p>
        </w:tc>
      </w:tr>
      <w:tr w:rsidR="00AC13DE" w14:paraId="0FFCBA9C" w14:textId="77777777" w:rsidTr="00755815">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70043E75" w14:textId="77777777" w:rsidR="00AC13DE" w:rsidRDefault="00AC13DE" w:rsidP="0075581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DDCF2D5" w14:textId="77777777" w:rsidR="00AC13DE" w:rsidRDefault="00AC13DE" w:rsidP="00755815">
            <w:pPr>
              <w:rPr>
                <w:rFonts w:ascii="Arial" w:hAnsi="Arial" w:cs="Arial"/>
              </w:rPr>
            </w:pPr>
          </w:p>
          <w:p w14:paraId="505CB79C" w14:textId="77777777" w:rsidR="00AC13DE" w:rsidRDefault="00AC13DE" w:rsidP="00755815">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sz w:val="24"/>
                <w:szCs w:val="24"/>
              </w:rPr>
            </w:r>
            <w:r>
              <w:rPr>
                <w:rFonts w:ascii="Times New Roman" w:hAnsi="Times New Roman"/>
                <w:sz w:val="24"/>
                <w:szCs w:val="24"/>
              </w:rPr>
              <w:fldChar w:fldCharType="separate"/>
            </w:r>
            <w:r>
              <w:rPr>
                <w:rFonts w:ascii="Times New Roman" w:hAnsi="Times New Roman"/>
                <w:sz w:val="24"/>
                <w:szCs w:val="24"/>
              </w:rPr>
              <w:fldChar w:fldCharType="end"/>
            </w:r>
            <w:bookmarkEnd w:id="5"/>
          </w:p>
        </w:tc>
      </w:tr>
      <w:tr w:rsidR="00AC13DE" w14:paraId="74D98CBE" w14:textId="77777777" w:rsidTr="00755815">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D8FAB77"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r>
              <w:rPr>
                <w:rFonts w:ascii="Calibri" w:hAnsi="Calibri" w:cs="Tahoma"/>
                <w:b/>
                <w:noProof/>
              </w:rPr>
              <w:t xml:space="preserve"> </w:t>
            </w:r>
            <w:r>
              <w:rPr>
                <w:rFonts w:ascii="Calibri" w:hAnsi="Calibri" w:cs="Tahoma"/>
                <w:b/>
                <w:noProof/>
              </w:rPr>
              <w:drawing>
                <wp:inline distT="0" distB="0" distL="0" distR="0" wp14:anchorId="5FE9CE3C" wp14:editId="2799CF6E">
                  <wp:extent cx="2486025" cy="876300"/>
                  <wp:effectExtent l="0" t="0" r="9525" b="0"/>
                  <wp:docPr id="993516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025" cy="876300"/>
                          </a:xfrm>
                          <a:prstGeom prst="rect">
                            <a:avLst/>
                          </a:prstGeom>
                          <a:noFill/>
                          <a:ln>
                            <a:noFill/>
                          </a:ln>
                        </pic:spPr>
                      </pic:pic>
                    </a:graphicData>
                  </a:graphic>
                </wp:inline>
              </w:drawing>
            </w:r>
          </w:p>
          <w:p w14:paraId="3BB1E84C"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Signed ……</w:t>
            </w:r>
          </w:p>
          <w:p w14:paraId="33296D06" w14:textId="77777777" w:rsidR="00AC13DE" w:rsidRDefault="00AC13DE" w:rsidP="00755815">
            <w:pPr>
              <w:pStyle w:val="NormalWeb"/>
              <w:spacing w:before="0" w:after="0"/>
              <w:ind w:right="34"/>
              <w:rPr>
                <w:rFonts w:ascii="Arial" w:hAnsi="Arial" w:cs="Arial"/>
                <w:sz w:val="22"/>
                <w:szCs w:val="22"/>
              </w:rPr>
            </w:pPr>
            <w:r>
              <w:rPr>
                <w:rFonts w:ascii="Arial" w:hAnsi="Arial" w:cs="Arial"/>
                <w:sz w:val="22"/>
                <w:szCs w:val="22"/>
              </w:rPr>
              <w:t xml:space="preserve">(checkbox apparently </w:t>
            </w:r>
            <w:proofErr w:type="spellStart"/>
            <w:r>
              <w:rPr>
                <w:rFonts w:ascii="Arial" w:hAnsi="Arial" w:cs="Arial"/>
                <w:sz w:val="22"/>
                <w:szCs w:val="22"/>
              </w:rPr>
              <w:t>untickable</w:t>
            </w:r>
            <w:proofErr w:type="spellEnd"/>
            <w:r>
              <w:rPr>
                <w:rFonts w:ascii="Arial" w:hAnsi="Arial" w:cs="Arial"/>
                <w:sz w:val="22"/>
                <w:szCs w:val="22"/>
              </w:rPr>
              <w:t>, even when doc marked editable)……  ……………………</w:t>
            </w:r>
          </w:p>
          <w:p w14:paraId="5748489C" w14:textId="77777777" w:rsidR="00AC13DE" w:rsidRDefault="00AC13DE" w:rsidP="00755815">
            <w:pPr>
              <w:pStyle w:val="NormalWeb"/>
              <w:spacing w:before="0" w:after="0"/>
              <w:ind w:right="34"/>
              <w:rPr>
                <w:rFonts w:ascii="Calibri" w:hAnsi="Calibri" w:cs="Calibri"/>
                <w:b/>
                <w:sz w:val="44"/>
                <w:szCs w:val="44"/>
              </w:rPr>
            </w:pPr>
            <w:r>
              <w:rPr>
                <w:rFonts w:ascii="Calibri" w:hAnsi="Calibri" w:cs="Tahoma"/>
                <w:b/>
              </w:rPr>
              <w:t xml:space="preserve">Email submission: if you are submitting this form via email, please tick this box </w:t>
            </w:r>
            <w:r>
              <w:rPr>
                <w:rFonts w:ascii="Calibri" w:hAnsi="Calibri" w:cs="Calibri"/>
                <w:b/>
                <w:sz w:val="44"/>
                <w:szCs w:val="44"/>
              </w:rPr>
              <w:t>□</w:t>
            </w:r>
          </w:p>
          <w:p w14:paraId="0B1662D0" w14:textId="77777777" w:rsidR="00AC13DE" w:rsidRDefault="00AC13DE" w:rsidP="00755815">
            <w:pPr>
              <w:pStyle w:val="NormalWeb"/>
              <w:spacing w:before="0"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AC13DE" w14:paraId="432F2F62" w14:textId="77777777" w:rsidTr="00755815">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8F9444A" w14:textId="77777777" w:rsidR="00AC13DE" w:rsidRDefault="00AC13DE" w:rsidP="00755815">
            <w:pPr>
              <w:rPr>
                <w:rFonts w:ascii="Arial" w:hAnsi="Arial"/>
                <w:b/>
                <w:sz w:val="24"/>
                <w:szCs w:val="24"/>
              </w:rPr>
            </w:pPr>
          </w:p>
          <w:p w14:paraId="6DBDC10B" w14:textId="77777777" w:rsidR="00AC13DE" w:rsidRDefault="00AC13DE" w:rsidP="00755815">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C13DE" w14:paraId="1A8C3A37" w14:textId="77777777" w:rsidTr="00755815">
              <w:tc>
                <w:tcPr>
                  <w:tcW w:w="6970" w:type="dxa"/>
                  <w:tcBorders>
                    <w:top w:val="single" w:sz="4" w:space="0" w:color="auto"/>
                    <w:left w:val="single" w:sz="4" w:space="0" w:color="auto"/>
                    <w:bottom w:val="single" w:sz="4" w:space="0" w:color="auto"/>
                    <w:right w:val="single" w:sz="4" w:space="0" w:color="auto"/>
                  </w:tcBorders>
                </w:tcPr>
                <w:p w14:paraId="23A3ADFF" w14:textId="77777777" w:rsidR="00AC13DE" w:rsidRDefault="00AC13DE" w:rsidP="00755815">
                  <w:pPr>
                    <w:rPr>
                      <w:rFonts w:ascii="Arial" w:hAnsi="Arial"/>
                      <w:sz w:val="20"/>
                      <w:szCs w:val="20"/>
                    </w:rPr>
                  </w:pPr>
                </w:p>
                <w:p w14:paraId="5956D1CC" w14:textId="77777777" w:rsidR="00AC13DE" w:rsidRDefault="00AC13DE" w:rsidP="00755815">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2BB67DB" w14:textId="77777777" w:rsidR="00AC13DE" w:rsidRDefault="00AC13DE" w:rsidP="00755815">
                  <w:pPr>
                    <w:rPr>
                      <w:rFonts w:ascii="Arial" w:hAnsi="Arial"/>
                      <w:sz w:val="20"/>
                      <w:szCs w:val="20"/>
                    </w:rPr>
                  </w:pPr>
                </w:p>
              </w:tc>
            </w:tr>
            <w:tr w:rsidR="00AC13DE" w14:paraId="1D14148E" w14:textId="77777777" w:rsidTr="00755815">
              <w:tc>
                <w:tcPr>
                  <w:tcW w:w="6970" w:type="dxa"/>
                  <w:tcBorders>
                    <w:top w:val="single" w:sz="4" w:space="0" w:color="auto"/>
                    <w:left w:val="single" w:sz="4" w:space="0" w:color="auto"/>
                    <w:bottom w:val="single" w:sz="4" w:space="0" w:color="auto"/>
                    <w:right w:val="single" w:sz="4" w:space="0" w:color="auto"/>
                  </w:tcBorders>
                </w:tcPr>
                <w:p w14:paraId="10A21AFD" w14:textId="77777777" w:rsidR="00AC13DE" w:rsidRDefault="00AC13DE" w:rsidP="00755815">
                  <w:pPr>
                    <w:rPr>
                      <w:rFonts w:ascii="Arial" w:hAnsi="Arial"/>
                      <w:sz w:val="20"/>
                      <w:szCs w:val="20"/>
                    </w:rPr>
                  </w:pPr>
                </w:p>
                <w:p w14:paraId="35F20892" w14:textId="77777777" w:rsidR="00AC13DE" w:rsidRDefault="00AC13DE" w:rsidP="00755815">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13F8668" w14:textId="77777777" w:rsidR="00AC13DE" w:rsidRDefault="00AC13DE" w:rsidP="00755815">
                  <w:pPr>
                    <w:rPr>
                      <w:rFonts w:ascii="Arial" w:hAnsi="Arial"/>
                      <w:sz w:val="20"/>
                      <w:szCs w:val="20"/>
                    </w:rPr>
                  </w:pPr>
                </w:p>
              </w:tc>
            </w:tr>
            <w:tr w:rsidR="00AC13DE" w14:paraId="3F05AADC" w14:textId="77777777" w:rsidTr="00755815">
              <w:tc>
                <w:tcPr>
                  <w:tcW w:w="6970" w:type="dxa"/>
                  <w:tcBorders>
                    <w:top w:val="single" w:sz="4" w:space="0" w:color="auto"/>
                    <w:left w:val="single" w:sz="4" w:space="0" w:color="auto"/>
                    <w:bottom w:val="single" w:sz="4" w:space="0" w:color="auto"/>
                    <w:right w:val="single" w:sz="4" w:space="0" w:color="auto"/>
                  </w:tcBorders>
                </w:tcPr>
                <w:p w14:paraId="26655E15" w14:textId="77777777" w:rsidR="00AC13DE" w:rsidRDefault="00AC13DE" w:rsidP="00755815">
                  <w:pPr>
                    <w:rPr>
                      <w:rFonts w:ascii="Arial" w:hAnsi="Arial"/>
                      <w:color w:val="000000"/>
                      <w:sz w:val="20"/>
                      <w:szCs w:val="20"/>
                    </w:rPr>
                  </w:pPr>
                  <w:r>
                    <w:rPr>
                      <w:rFonts w:ascii="Arial" w:hAnsi="Arial"/>
                      <w:color w:val="000000"/>
                      <w:sz w:val="20"/>
                      <w:szCs w:val="20"/>
                    </w:rPr>
                    <w:t xml:space="preserve">Agreed Internal Mark: </w:t>
                  </w:r>
                </w:p>
                <w:p w14:paraId="19D724F2" w14:textId="77777777" w:rsidR="00AC13DE" w:rsidRDefault="00AC13DE" w:rsidP="00755815">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6DB11F2B" w14:textId="77777777" w:rsidR="00AC13DE" w:rsidRDefault="00AC13DE" w:rsidP="00755815">
                  <w:pPr>
                    <w:rPr>
                      <w:rFonts w:ascii="Arial" w:hAnsi="Arial"/>
                      <w:sz w:val="20"/>
                      <w:szCs w:val="20"/>
                      <w:highlight w:val="yellow"/>
                    </w:rPr>
                  </w:pPr>
                </w:p>
              </w:tc>
            </w:tr>
            <w:tr w:rsidR="00AC13DE" w14:paraId="40A6904A" w14:textId="77777777" w:rsidTr="00755815">
              <w:tc>
                <w:tcPr>
                  <w:tcW w:w="6970" w:type="dxa"/>
                  <w:tcBorders>
                    <w:top w:val="single" w:sz="4" w:space="0" w:color="auto"/>
                    <w:left w:val="single" w:sz="4" w:space="0" w:color="auto"/>
                    <w:bottom w:val="single" w:sz="4" w:space="0" w:color="auto"/>
                    <w:right w:val="single" w:sz="4" w:space="0" w:color="auto"/>
                  </w:tcBorders>
                </w:tcPr>
                <w:p w14:paraId="577885AC" w14:textId="77777777" w:rsidR="00AC13DE" w:rsidRDefault="00AC13DE" w:rsidP="00755815">
                  <w:pPr>
                    <w:rPr>
                      <w:rFonts w:ascii="Arial" w:hAnsi="Arial"/>
                      <w:sz w:val="20"/>
                      <w:szCs w:val="20"/>
                    </w:rPr>
                  </w:pPr>
                </w:p>
                <w:p w14:paraId="45AD09D3" w14:textId="77777777" w:rsidR="00AC13DE" w:rsidRDefault="00AC13DE" w:rsidP="00755815">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A5EC48A" w14:textId="77777777" w:rsidR="00AC13DE" w:rsidRDefault="00AC13DE" w:rsidP="00755815">
                  <w:pPr>
                    <w:rPr>
                      <w:rFonts w:ascii="Arial" w:hAnsi="Arial"/>
                      <w:sz w:val="20"/>
                      <w:szCs w:val="20"/>
                    </w:rPr>
                  </w:pPr>
                </w:p>
              </w:tc>
            </w:tr>
            <w:tr w:rsidR="00AC13DE" w14:paraId="451E7812" w14:textId="77777777" w:rsidTr="00755815">
              <w:tc>
                <w:tcPr>
                  <w:tcW w:w="6970" w:type="dxa"/>
                  <w:tcBorders>
                    <w:top w:val="single" w:sz="4" w:space="0" w:color="auto"/>
                    <w:left w:val="single" w:sz="4" w:space="0" w:color="auto"/>
                    <w:bottom w:val="single" w:sz="4" w:space="0" w:color="auto"/>
                    <w:right w:val="single" w:sz="4" w:space="0" w:color="auto"/>
                  </w:tcBorders>
                </w:tcPr>
                <w:p w14:paraId="50FA3C86" w14:textId="77777777" w:rsidR="00AC13DE" w:rsidRDefault="00AC13DE" w:rsidP="00755815">
                  <w:pPr>
                    <w:rPr>
                      <w:rFonts w:ascii="Arial" w:hAnsi="Arial"/>
                      <w:sz w:val="20"/>
                      <w:szCs w:val="20"/>
                    </w:rPr>
                  </w:pPr>
                </w:p>
                <w:p w14:paraId="2AF0D21F" w14:textId="77777777" w:rsidR="00AC13DE" w:rsidRDefault="00AC13DE" w:rsidP="00755815">
                  <w:pPr>
                    <w:rPr>
                      <w:rFonts w:ascii="Arial" w:hAnsi="Arial"/>
                      <w:b/>
                      <w:sz w:val="20"/>
                      <w:szCs w:val="20"/>
                    </w:rPr>
                  </w:pPr>
                  <w:r>
                    <w:rPr>
                      <w:rFonts w:ascii="Arial" w:hAnsi="Arial"/>
                      <w:b/>
                      <w:sz w:val="20"/>
                      <w:szCs w:val="20"/>
                    </w:rPr>
                    <w:t>Final Mark</w:t>
                  </w:r>
                </w:p>
                <w:p w14:paraId="73B9C93F" w14:textId="77777777" w:rsidR="00AC13DE" w:rsidRDefault="00AC13DE" w:rsidP="00755815">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396A7BDC" w14:textId="77777777" w:rsidR="00AC13DE" w:rsidRDefault="00AC13DE" w:rsidP="00755815">
                  <w:pPr>
                    <w:rPr>
                      <w:rFonts w:ascii="Arial" w:hAnsi="Arial"/>
                      <w:sz w:val="20"/>
                      <w:szCs w:val="20"/>
                    </w:rPr>
                  </w:pPr>
                </w:p>
              </w:tc>
            </w:tr>
          </w:tbl>
          <w:p w14:paraId="3CF11984" w14:textId="77777777" w:rsidR="00AC13DE" w:rsidRDefault="00AC13DE" w:rsidP="00755815">
            <w:pPr>
              <w:pStyle w:val="NormalWeb"/>
              <w:spacing w:before="0" w:after="0"/>
              <w:ind w:left="142" w:right="34"/>
              <w:rPr>
                <w:rFonts w:ascii="Arial" w:hAnsi="Arial" w:cs="Arial"/>
                <w:b/>
                <w:sz w:val="22"/>
                <w:szCs w:val="22"/>
                <w:lang w:eastAsia="zh-CN"/>
              </w:rPr>
            </w:pPr>
          </w:p>
          <w:p w14:paraId="086CA1AB" w14:textId="77777777" w:rsidR="00AC13DE" w:rsidRDefault="00AC13DE" w:rsidP="00755815">
            <w:pPr>
              <w:pStyle w:val="NormalWeb"/>
              <w:spacing w:before="0" w:after="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4A82BFE3" w14:textId="77777777" w:rsidR="00AC13DE" w:rsidRDefault="00AC13DE" w:rsidP="00755815">
            <w:pPr>
              <w:pStyle w:val="NormalWeb"/>
              <w:spacing w:before="0" w:after="0"/>
              <w:rPr>
                <w:rFonts w:ascii="Arial" w:hAnsi="Arial" w:cs="Arial"/>
                <w:b/>
                <w:sz w:val="22"/>
                <w:szCs w:val="22"/>
              </w:rPr>
            </w:pPr>
          </w:p>
          <w:p w14:paraId="15084C19" w14:textId="77777777" w:rsidR="00AC13DE" w:rsidRDefault="00AC13DE" w:rsidP="00755815">
            <w:pPr>
              <w:pStyle w:val="NormalWeb"/>
              <w:spacing w:before="0" w:after="0"/>
              <w:rPr>
                <w:rFonts w:ascii="Arial" w:hAnsi="Arial" w:cs="Arial"/>
                <w:b/>
                <w:sz w:val="22"/>
                <w:szCs w:val="22"/>
              </w:rPr>
            </w:pPr>
          </w:p>
          <w:p w14:paraId="7A5C0C62" w14:textId="77777777" w:rsidR="00AC13DE" w:rsidRDefault="00AC13DE" w:rsidP="00755815">
            <w:pPr>
              <w:pStyle w:val="NormalWeb"/>
              <w:spacing w:before="0" w:after="0"/>
              <w:rPr>
                <w:rFonts w:ascii="Arial" w:hAnsi="Arial" w:cs="Arial"/>
                <w:b/>
                <w:sz w:val="22"/>
                <w:szCs w:val="22"/>
              </w:rPr>
            </w:pPr>
          </w:p>
          <w:p w14:paraId="3853F95F" w14:textId="77777777" w:rsidR="00AC13DE" w:rsidRDefault="00AC13DE" w:rsidP="00755815">
            <w:pPr>
              <w:pStyle w:val="NormalWeb"/>
              <w:spacing w:before="0" w:after="0"/>
              <w:rPr>
                <w:rFonts w:ascii="Arial" w:hAnsi="Arial" w:cs="Arial"/>
                <w:b/>
                <w:sz w:val="22"/>
                <w:szCs w:val="22"/>
              </w:rPr>
            </w:pPr>
          </w:p>
          <w:p w14:paraId="08928F67" w14:textId="77777777" w:rsidR="00AC13DE" w:rsidRDefault="00AC13DE" w:rsidP="00755815">
            <w:pPr>
              <w:pStyle w:val="NormalWeb"/>
              <w:spacing w:before="0" w:after="0"/>
              <w:rPr>
                <w:rFonts w:ascii="Arial" w:hAnsi="Arial" w:cs="Arial"/>
                <w:b/>
                <w:sz w:val="22"/>
                <w:szCs w:val="22"/>
              </w:rPr>
            </w:pPr>
            <w:r>
              <w:rPr>
                <w:rFonts w:ascii="Arial" w:hAnsi="Arial" w:cs="Arial"/>
                <w:b/>
                <w:sz w:val="22"/>
                <w:szCs w:val="22"/>
              </w:rPr>
              <w:t>For completion by Marker 1 :</w:t>
            </w:r>
          </w:p>
          <w:p w14:paraId="79940661" w14:textId="77777777" w:rsidR="00AC13DE" w:rsidRDefault="00AC13DE" w:rsidP="00755815">
            <w:pPr>
              <w:pStyle w:val="NormalWeb"/>
              <w:rPr>
                <w:rFonts w:ascii="Arial" w:hAnsi="Arial" w:cs="Arial"/>
                <w:sz w:val="22"/>
                <w:szCs w:val="22"/>
              </w:rPr>
            </w:pPr>
            <w:r>
              <w:rPr>
                <w:rFonts w:ascii="Arial" w:hAnsi="Arial" w:cs="Arial"/>
                <w:sz w:val="22"/>
                <w:szCs w:val="22"/>
              </w:rPr>
              <w:t>Comments:</w:t>
            </w:r>
          </w:p>
          <w:p w14:paraId="3EC5BEA2" w14:textId="77777777" w:rsidR="00AC13DE" w:rsidRDefault="00AC13DE" w:rsidP="00755815">
            <w:pPr>
              <w:pStyle w:val="NormalWeb"/>
              <w:rPr>
                <w:rFonts w:ascii="Arial" w:hAnsi="Arial" w:cs="Arial"/>
                <w:sz w:val="22"/>
                <w:szCs w:val="22"/>
              </w:rPr>
            </w:pPr>
          </w:p>
        </w:tc>
      </w:tr>
      <w:tr w:rsidR="00AC13DE" w14:paraId="2ACA9C94" w14:textId="77777777" w:rsidTr="00755815">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43996FA" w14:textId="77777777" w:rsidR="00AC13DE" w:rsidRDefault="00AC13DE" w:rsidP="00755815">
            <w:pPr>
              <w:pStyle w:val="NormalWeb"/>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61962A" w14:textId="77777777" w:rsidR="00AC13DE" w:rsidRDefault="00AC13DE" w:rsidP="00755815">
            <w:pPr>
              <w:pStyle w:val="NormalWeb"/>
              <w:spacing w:after="0"/>
              <w:ind w:left="142" w:right="34"/>
              <w:rPr>
                <w:rFonts w:ascii="Arial" w:hAnsi="Arial" w:cs="Arial"/>
                <w:sz w:val="22"/>
                <w:szCs w:val="22"/>
              </w:rPr>
            </w:pPr>
            <w:r>
              <w:rPr>
                <w:rFonts w:ascii="Arial" w:hAnsi="Arial" w:cs="Arial"/>
                <w:sz w:val="22"/>
                <w:szCs w:val="22"/>
              </w:rPr>
              <w:t>Date:</w:t>
            </w:r>
          </w:p>
        </w:tc>
      </w:tr>
      <w:tr w:rsidR="00AC13DE" w14:paraId="443756BC" w14:textId="77777777" w:rsidTr="00755815">
        <w:tc>
          <w:tcPr>
            <w:tcW w:w="8856" w:type="dxa"/>
            <w:gridSpan w:val="5"/>
            <w:tcBorders>
              <w:top w:val="single" w:sz="4" w:space="0" w:color="000000"/>
              <w:left w:val="single" w:sz="4" w:space="0" w:color="000000"/>
              <w:bottom w:val="single" w:sz="4" w:space="0" w:color="000000"/>
              <w:right w:val="single" w:sz="4" w:space="0" w:color="000000"/>
            </w:tcBorders>
          </w:tcPr>
          <w:p w14:paraId="39E5B302" w14:textId="77777777" w:rsidR="00AC13DE" w:rsidRDefault="00AC13DE" w:rsidP="00755815">
            <w:pPr>
              <w:pStyle w:val="NormalWeb"/>
              <w:spacing w:before="0" w:after="0"/>
              <w:ind w:right="-334"/>
              <w:rPr>
                <w:rFonts w:ascii="Arial" w:hAnsi="Arial" w:cs="Arial"/>
                <w:bCs/>
                <w:i/>
                <w:sz w:val="22"/>
                <w:szCs w:val="22"/>
              </w:rPr>
            </w:pPr>
          </w:p>
          <w:p w14:paraId="3C111404" w14:textId="77777777" w:rsidR="00AC13DE" w:rsidRDefault="00AC13DE" w:rsidP="00755815">
            <w:pPr>
              <w:pStyle w:val="NormalWeb"/>
              <w:spacing w:before="0" w:after="0"/>
              <w:ind w:right="-334"/>
              <w:rPr>
                <w:rFonts w:ascii="Arial" w:hAnsi="Arial" w:cs="Arial"/>
                <w:b/>
                <w:bCs/>
                <w:sz w:val="22"/>
                <w:szCs w:val="22"/>
              </w:rPr>
            </w:pPr>
            <w:r>
              <w:rPr>
                <w:rFonts w:ascii="Arial" w:hAnsi="Arial" w:cs="Arial"/>
                <w:b/>
                <w:bCs/>
                <w:sz w:val="22"/>
                <w:szCs w:val="22"/>
              </w:rPr>
              <w:t>For completion by Marker 2/Moderator:</w:t>
            </w:r>
          </w:p>
          <w:p w14:paraId="7639B172" w14:textId="77777777" w:rsidR="00AC13DE" w:rsidRDefault="00AC13DE" w:rsidP="00755815">
            <w:pPr>
              <w:pStyle w:val="NormalWeb"/>
              <w:spacing w:before="0" w:after="0"/>
              <w:ind w:right="-334"/>
              <w:rPr>
                <w:rFonts w:ascii="Arial" w:hAnsi="Arial" w:cs="Arial"/>
                <w:b/>
                <w:bCs/>
                <w:sz w:val="22"/>
                <w:szCs w:val="22"/>
              </w:rPr>
            </w:pPr>
          </w:p>
          <w:p w14:paraId="1E595402" w14:textId="77777777" w:rsidR="00AC13DE" w:rsidRDefault="00AC13DE" w:rsidP="00755815">
            <w:pPr>
              <w:pStyle w:val="NormalWeb"/>
              <w:spacing w:before="0" w:after="0"/>
              <w:ind w:right="-334"/>
              <w:rPr>
                <w:rFonts w:ascii="Arial" w:hAnsi="Arial" w:cs="Arial"/>
                <w:bCs/>
                <w:sz w:val="22"/>
                <w:szCs w:val="22"/>
              </w:rPr>
            </w:pPr>
            <w:r>
              <w:rPr>
                <w:rFonts w:ascii="Arial" w:hAnsi="Arial" w:cs="Arial"/>
                <w:bCs/>
                <w:sz w:val="22"/>
                <w:szCs w:val="22"/>
              </w:rPr>
              <w:t>Comments:</w:t>
            </w:r>
          </w:p>
          <w:p w14:paraId="63F89249" w14:textId="77777777" w:rsidR="00AC13DE" w:rsidRDefault="00AC13DE" w:rsidP="00755815">
            <w:pPr>
              <w:pStyle w:val="NormalWeb"/>
              <w:spacing w:before="0" w:after="0"/>
              <w:ind w:right="-334"/>
              <w:rPr>
                <w:rFonts w:ascii="Arial" w:hAnsi="Arial" w:cs="Arial"/>
                <w:bCs/>
                <w:sz w:val="22"/>
                <w:szCs w:val="22"/>
              </w:rPr>
            </w:pPr>
          </w:p>
          <w:p w14:paraId="5210F840" w14:textId="77777777" w:rsidR="00AC13DE" w:rsidRDefault="00AC13DE" w:rsidP="00755815">
            <w:pPr>
              <w:pStyle w:val="NormalWeb"/>
              <w:spacing w:before="0" w:after="0"/>
              <w:ind w:right="-334"/>
              <w:rPr>
                <w:rFonts w:ascii="Arial" w:hAnsi="Arial" w:cs="Arial"/>
                <w:bCs/>
                <w:sz w:val="22"/>
                <w:szCs w:val="22"/>
              </w:rPr>
            </w:pPr>
          </w:p>
          <w:p w14:paraId="70108125" w14:textId="77777777" w:rsidR="00AC13DE" w:rsidRDefault="00AC13DE" w:rsidP="00755815">
            <w:pPr>
              <w:pStyle w:val="NormalWeb"/>
              <w:spacing w:before="0" w:after="0"/>
              <w:ind w:right="-334"/>
              <w:rPr>
                <w:rFonts w:ascii="Arial" w:hAnsi="Arial" w:cs="Arial"/>
                <w:bCs/>
                <w:sz w:val="22"/>
                <w:szCs w:val="22"/>
              </w:rPr>
            </w:pPr>
          </w:p>
        </w:tc>
      </w:tr>
      <w:tr w:rsidR="00AC13DE" w14:paraId="5CC34E5C" w14:textId="77777777" w:rsidTr="0075581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A075286" w14:textId="77777777" w:rsidR="00AC13DE" w:rsidRDefault="00AC13DE" w:rsidP="00755815">
            <w:pPr>
              <w:pStyle w:val="NormalWeb"/>
              <w:spacing w:before="0" w:after="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5F5AB8F" w14:textId="77777777" w:rsidR="00AC13DE" w:rsidRDefault="00AC13DE" w:rsidP="00755815">
            <w:pPr>
              <w:pStyle w:val="NormalWeb"/>
              <w:spacing w:before="0" w:after="0"/>
              <w:ind w:right="-334"/>
              <w:rPr>
                <w:rFonts w:ascii="Arial" w:hAnsi="Arial" w:cs="Arial"/>
                <w:bCs/>
                <w:sz w:val="22"/>
                <w:szCs w:val="22"/>
              </w:rPr>
            </w:pPr>
            <w:r>
              <w:rPr>
                <w:rFonts w:ascii="Arial" w:hAnsi="Arial" w:cs="Arial"/>
                <w:bCs/>
                <w:sz w:val="22"/>
                <w:szCs w:val="22"/>
              </w:rPr>
              <w:t>Date:</w:t>
            </w:r>
          </w:p>
        </w:tc>
      </w:tr>
      <w:tr w:rsidR="00AC13DE" w14:paraId="23494533" w14:textId="77777777" w:rsidTr="00755815">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BA20F37" w14:textId="77777777" w:rsidR="00AC13DE" w:rsidRDefault="00AC13DE" w:rsidP="00755815">
            <w:pPr>
              <w:rPr>
                <w:rFonts w:ascii="Arial" w:hAnsi="Arial" w:cs="Arial"/>
                <w:b/>
              </w:rPr>
            </w:pPr>
            <w:r>
              <w:rPr>
                <w:rFonts w:ascii="Arial" w:hAnsi="Arial" w:cs="Arial"/>
                <w:b/>
              </w:rPr>
              <w:t>AGREED INTERNAL MARK (where necessary):</w:t>
            </w:r>
          </w:p>
          <w:p w14:paraId="232E8B1F" w14:textId="77777777" w:rsidR="00AC13DE" w:rsidRDefault="00AC13DE" w:rsidP="00755815">
            <w:pPr>
              <w:rPr>
                <w:rFonts w:ascii="Arial" w:hAnsi="Arial" w:cs="Arial"/>
                <w:b/>
              </w:rPr>
            </w:pPr>
          </w:p>
          <w:p w14:paraId="4B9BEB71" w14:textId="77777777" w:rsidR="00AC13DE" w:rsidRDefault="00AC13DE" w:rsidP="00755815">
            <w:pPr>
              <w:rPr>
                <w:rFonts w:ascii="Arial" w:hAnsi="Arial" w:cs="Arial"/>
                <w:b/>
              </w:rPr>
            </w:pPr>
            <w:r>
              <w:rPr>
                <w:rFonts w:ascii="Arial" w:hAnsi="Arial" w:cs="Arial"/>
                <w:b/>
              </w:rPr>
              <w:t>Comment on process of arriving at agreed mark:</w:t>
            </w:r>
          </w:p>
          <w:p w14:paraId="37A43D52" w14:textId="77777777" w:rsidR="00AC13DE" w:rsidRDefault="00AC13DE" w:rsidP="00755815">
            <w:pPr>
              <w:rPr>
                <w:rFonts w:ascii="Arial" w:hAnsi="Arial" w:cs="Arial"/>
                <w:b/>
              </w:rPr>
            </w:pPr>
          </w:p>
          <w:p w14:paraId="32D14284" w14:textId="77777777" w:rsidR="00AC13DE" w:rsidRDefault="00AC13DE" w:rsidP="00755815">
            <w:pPr>
              <w:rPr>
                <w:rFonts w:ascii="Arial" w:hAnsi="Arial" w:cs="Arial"/>
                <w:b/>
              </w:rPr>
            </w:pPr>
          </w:p>
          <w:p w14:paraId="20F17F9F" w14:textId="77777777" w:rsidR="00AC13DE" w:rsidRDefault="00AC13DE" w:rsidP="00755815">
            <w:pPr>
              <w:rPr>
                <w:rFonts w:ascii="Arial" w:hAnsi="Arial" w:cs="Arial"/>
                <w:b/>
              </w:rPr>
            </w:pPr>
          </w:p>
          <w:p w14:paraId="6BB9BD0B" w14:textId="77777777" w:rsidR="00AC13DE" w:rsidRDefault="00AC13DE" w:rsidP="00755815">
            <w:pPr>
              <w:rPr>
                <w:rFonts w:ascii="Arial" w:hAnsi="Arial" w:cs="Arial"/>
                <w:b/>
              </w:rPr>
            </w:pPr>
          </w:p>
          <w:p w14:paraId="4F96375F" w14:textId="77777777" w:rsidR="00AC13DE" w:rsidRDefault="00AC13DE" w:rsidP="00755815">
            <w:pPr>
              <w:rPr>
                <w:rFonts w:ascii="Arial" w:hAnsi="Arial" w:cs="Arial"/>
                <w:b/>
              </w:rPr>
            </w:pPr>
          </w:p>
          <w:p w14:paraId="50D71266" w14:textId="77777777" w:rsidR="00AC13DE" w:rsidRDefault="00AC13DE" w:rsidP="00755815">
            <w:pPr>
              <w:rPr>
                <w:rFonts w:ascii="Arial" w:hAnsi="Arial" w:cs="Arial"/>
                <w:b/>
              </w:rPr>
            </w:pPr>
          </w:p>
          <w:p w14:paraId="65E9B98E" w14:textId="77777777" w:rsidR="00AC13DE" w:rsidRDefault="00AC13DE" w:rsidP="00755815">
            <w:pPr>
              <w:rPr>
                <w:rFonts w:ascii="Arial" w:hAnsi="Arial" w:cs="Arial"/>
                <w:b/>
              </w:rPr>
            </w:pPr>
          </w:p>
          <w:p w14:paraId="52806902" w14:textId="77777777" w:rsidR="00AC13DE" w:rsidRDefault="00AC13DE" w:rsidP="00755815">
            <w:pPr>
              <w:rPr>
                <w:rFonts w:ascii="Arial" w:hAnsi="Arial" w:cs="Arial"/>
                <w:b/>
              </w:rPr>
            </w:pPr>
          </w:p>
        </w:tc>
      </w:tr>
      <w:tr w:rsidR="00AC13DE" w14:paraId="3AC66E38" w14:textId="77777777" w:rsidTr="00755815">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CF07657" w14:textId="77777777" w:rsidR="00AC13DE" w:rsidRDefault="00AC13DE" w:rsidP="00755815">
            <w:pPr>
              <w:rPr>
                <w:rFonts w:ascii="Arial" w:hAnsi="Arial" w:cs="Arial"/>
                <w:b/>
              </w:rPr>
            </w:pPr>
            <w:r>
              <w:rPr>
                <w:rFonts w:ascii="Arial" w:hAnsi="Arial" w:cs="Arial"/>
                <w:b/>
              </w:rPr>
              <w:lastRenderedPageBreak/>
              <w:t>External Examiner’s comments (if relevant)</w:t>
            </w:r>
          </w:p>
          <w:p w14:paraId="3FF8C604" w14:textId="77777777" w:rsidR="00AC13DE" w:rsidRDefault="00AC13DE" w:rsidP="00755815">
            <w:pPr>
              <w:pStyle w:val="NormalWeb"/>
              <w:spacing w:before="0" w:after="0"/>
              <w:ind w:right="-334"/>
              <w:rPr>
                <w:rFonts w:ascii="Arial" w:hAnsi="Arial" w:cs="Arial"/>
                <w:bCs/>
                <w:sz w:val="22"/>
                <w:szCs w:val="22"/>
              </w:rPr>
            </w:pPr>
          </w:p>
          <w:p w14:paraId="45D15C32" w14:textId="77777777" w:rsidR="00AC13DE" w:rsidRDefault="00AC13DE" w:rsidP="00755815">
            <w:pPr>
              <w:pStyle w:val="NormalWeb"/>
              <w:spacing w:before="0" w:after="0"/>
              <w:ind w:right="-334"/>
              <w:rPr>
                <w:rFonts w:ascii="Arial" w:hAnsi="Arial" w:cs="Arial"/>
                <w:bCs/>
                <w:sz w:val="22"/>
                <w:szCs w:val="22"/>
              </w:rPr>
            </w:pPr>
          </w:p>
          <w:p w14:paraId="0BCAD4B7" w14:textId="77777777" w:rsidR="00AC13DE" w:rsidRDefault="00AC13DE" w:rsidP="00755815">
            <w:pPr>
              <w:pStyle w:val="NormalWeb"/>
              <w:spacing w:before="0" w:after="0"/>
              <w:ind w:right="-334"/>
              <w:rPr>
                <w:rFonts w:ascii="Arial" w:hAnsi="Arial" w:cs="Arial"/>
                <w:bCs/>
                <w:sz w:val="22"/>
                <w:szCs w:val="22"/>
              </w:rPr>
            </w:pPr>
          </w:p>
          <w:p w14:paraId="7F4F2F31" w14:textId="77777777" w:rsidR="00AC13DE" w:rsidRDefault="00AC13DE" w:rsidP="00755815">
            <w:pPr>
              <w:pStyle w:val="NormalWeb"/>
              <w:spacing w:before="0" w:after="0"/>
              <w:ind w:right="-334"/>
              <w:rPr>
                <w:rFonts w:ascii="Arial" w:hAnsi="Arial" w:cs="Arial"/>
                <w:bCs/>
                <w:sz w:val="22"/>
                <w:szCs w:val="22"/>
              </w:rPr>
            </w:pPr>
          </w:p>
          <w:p w14:paraId="1BD26C48" w14:textId="77777777" w:rsidR="00AC13DE" w:rsidRDefault="00AC13DE" w:rsidP="00755815">
            <w:pPr>
              <w:pStyle w:val="NormalWeb"/>
              <w:spacing w:before="0" w:after="0"/>
              <w:ind w:right="-334"/>
              <w:rPr>
                <w:rFonts w:ascii="Arial" w:hAnsi="Arial" w:cs="Arial"/>
                <w:bCs/>
                <w:sz w:val="22"/>
                <w:szCs w:val="22"/>
              </w:rPr>
            </w:pPr>
          </w:p>
          <w:p w14:paraId="7290B4D5" w14:textId="77777777" w:rsidR="00AC13DE" w:rsidRDefault="00AC13DE" w:rsidP="00755815">
            <w:pPr>
              <w:pStyle w:val="NormalWeb"/>
              <w:spacing w:before="0" w:after="0"/>
              <w:ind w:right="-334"/>
              <w:rPr>
                <w:rFonts w:ascii="Arial" w:hAnsi="Arial" w:cs="Arial"/>
                <w:bCs/>
                <w:sz w:val="22"/>
                <w:szCs w:val="22"/>
              </w:rPr>
            </w:pPr>
          </w:p>
          <w:p w14:paraId="347655CD" w14:textId="77777777" w:rsidR="00AC13DE" w:rsidRDefault="00AC13DE" w:rsidP="00755815">
            <w:pPr>
              <w:pStyle w:val="NormalWeb"/>
              <w:spacing w:before="0" w:after="0"/>
              <w:ind w:right="-334"/>
              <w:rPr>
                <w:rFonts w:ascii="Arial" w:hAnsi="Arial" w:cs="Arial"/>
                <w:bCs/>
                <w:sz w:val="22"/>
                <w:szCs w:val="22"/>
              </w:rPr>
            </w:pPr>
          </w:p>
        </w:tc>
      </w:tr>
      <w:tr w:rsidR="00AC13DE" w14:paraId="70CEAE5F" w14:textId="77777777" w:rsidTr="0075581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97F1E87" w14:textId="77777777" w:rsidR="00AC13DE" w:rsidRDefault="00AC13DE" w:rsidP="00755815">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CC3061F" w14:textId="77777777" w:rsidR="00AC13DE" w:rsidRDefault="00AC13DE" w:rsidP="00755815">
            <w:pPr>
              <w:rPr>
                <w:rFonts w:ascii="Arial" w:hAnsi="Arial" w:cs="Arial"/>
              </w:rPr>
            </w:pPr>
            <w:r>
              <w:rPr>
                <w:rFonts w:ascii="Arial" w:hAnsi="Arial" w:cs="Arial"/>
              </w:rPr>
              <w:t>Date:</w:t>
            </w:r>
          </w:p>
        </w:tc>
      </w:tr>
    </w:tbl>
    <w:p w14:paraId="44046DEB" w14:textId="77777777" w:rsidR="00AC13DE" w:rsidRDefault="00AC13DE" w:rsidP="00AC13DE">
      <w:pPr>
        <w:pStyle w:val="NormalWeb"/>
        <w:spacing w:before="0" w:after="0"/>
        <w:ind w:right="-334"/>
        <w:rPr>
          <w:rFonts w:ascii="Trebuchet MS" w:hAnsi="Trebuchet MS" w:cs="Tahoma"/>
          <w:bCs/>
          <w:lang w:eastAsia="zh-CN"/>
        </w:rPr>
      </w:pPr>
    </w:p>
    <w:p w14:paraId="284654D9" w14:textId="77777777" w:rsidR="00AC13DE" w:rsidRDefault="00AC13DE">
      <w:pPr>
        <w:suppressAutoHyphens w:val="0"/>
        <w:rPr>
          <w:b/>
          <w:bCs/>
          <w:sz w:val="28"/>
          <w:szCs w:val="28"/>
        </w:rPr>
      </w:pPr>
      <w:r>
        <w:rPr>
          <w:b/>
          <w:bCs/>
          <w:sz w:val="28"/>
          <w:szCs w:val="28"/>
        </w:rPr>
        <w:br w:type="page"/>
      </w:r>
    </w:p>
    <w:p w14:paraId="49A96692" w14:textId="575663FA" w:rsidR="00C9118D" w:rsidRDefault="00000000">
      <w:pPr>
        <w:spacing w:line="480" w:lineRule="auto"/>
        <w:rPr>
          <w:b/>
          <w:bCs/>
          <w:sz w:val="28"/>
          <w:szCs w:val="28"/>
        </w:rPr>
      </w:pPr>
      <w:r>
        <w:rPr>
          <w:b/>
          <w:bCs/>
          <w:sz w:val="28"/>
          <w:szCs w:val="28"/>
        </w:rPr>
        <w:lastRenderedPageBreak/>
        <w:t>Religions in China, 1500 BCE - 500 CE (HPAH7017)</w:t>
      </w:r>
    </w:p>
    <w:p w14:paraId="02D0C62F" w14:textId="77777777" w:rsidR="00C9118D" w:rsidRDefault="00000000">
      <w:pPr>
        <w:spacing w:line="480" w:lineRule="auto"/>
        <w:rPr>
          <w:sz w:val="28"/>
          <w:szCs w:val="28"/>
        </w:rPr>
      </w:pPr>
      <w:r>
        <w:rPr>
          <w:sz w:val="28"/>
          <w:szCs w:val="28"/>
        </w:rPr>
        <w:t>Critical analysis of a text or artifact related to the period of study.</w:t>
      </w:r>
    </w:p>
    <w:p w14:paraId="1E4FB611" w14:textId="77777777" w:rsidR="00C9118D" w:rsidRDefault="00C9118D">
      <w:pPr>
        <w:spacing w:line="480" w:lineRule="auto"/>
      </w:pPr>
    </w:p>
    <w:p w14:paraId="73087E78" w14:textId="77777777" w:rsidR="00C9118D" w:rsidRDefault="00000000">
      <w:pPr>
        <w:spacing w:line="480" w:lineRule="auto"/>
      </w:pPr>
      <w:r>
        <w:rPr>
          <w:rFonts w:cs="Calibri"/>
          <w:sz w:val="24"/>
          <w:szCs w:val="24"/>
        </w:rPr>
        <w:t>This essay is prompted by a silk hanging depicting the deities Fuxi and Nüwa,</w:t>
      </w:r>
      <w:r>
        <w:rPr>
          <w:rStyle w:val="FootnoteReference"/>
          <w:rFonts w:cs="Calibri"/>
          <w:sz w:val="24"/>
          <w:szCs w:val="24"/>
        </w:rPr>
        <w:footnoteReference w:id="1"/>
      </w:r>
      <w:r>
        <w:rPr>
          <w:rFonts w:cs="Calibri"/>
          <w:sz w:val="24"/>
          <w:szCs w:val="24"/>
        </w:rPr>
        <w:t xml:space="preserve"> retrieved from the aristocratic burial site known as the Astana Graves, in the Turfan region of Xinjiang from the 4</w:t>
      </w:r>
      <w:r>
        <w:rPr>
          <w:rFonts w:cs="Calibri"/>
          <w:sz w:val="24"/>
          <w:szCs w:val="24"/>
          <w:vertAlign w:val="superscript"/>
        </w:rPr>
        <w:t>th</w:t>
      </w:r>
      <w:r>
        <w:rPr>
          <w:rFonts w:cs="Calibri"/>
          <w:sz w:val="24"/>
          <w:szCs w:val="24"/>
        </w:rPr>
        <w:t xml:space="preserve"> to 8th centuries CE.</w:t>
      </w:r>
      <w:r>
        <w:rPr>
          <w:rStyle w:val="FootnoteReference"/>
          <w:rFonts w:cs="Calibri"/>
          <w:sz w:val="24"/>
          <w:szCs w:val="24"/>
        </w:rPr>
        <w:footnoteReference w:id="2"/>
      </w:r>
      <w:r>
        <w:rPr>
          <w:rFonts w:cs="Calibri"/>
          <w:sz w:val="24"/>
          <w:szCs w:val="24"/>
        </w:rPr>
        <w:t xml:space="preserve"> This led to further investigation as to the nature of these beings, stories told about them, and other forms of their iconography,</w:t>
      </w:r>
      <w:r>
        <w:rPr>
          <w:rStyle w:val="FootnoteReference"/>
          <w:rFonts w:cs="Calibri"/>
          <w:sz w:val="24"/>
          <w:szCs w:val="24"/>
        </w:rPr>
        <w:footnoteReference w:id="3"/>
      </w:r>
      <w:r>
        <w:rPr>
          <w:rFonts w:cs="Calibri"/>
          <w:sz w:val="24"/>
          <w:szCs w:val="24"/>
        </w:rPr>
        <w:t xml:space="preserve"> with the intention of thinking beyond the descriptive and uncritical recounting of ‘folklore’, without predefined directions.</w:t>
      </w:r>
      <w:r>
        <w:rPr>
          <w:rStyle w:val="FootnoteReference"/>
          <w:rFonts w:cs="Calibri"/>
          <w:sz w:val="24"/>
          <w:szCs w:val="24"/>
        </w:rPr>
        <w:footnoteReference w:id="4"/>
      </w:r>
      <w:r>
        <w:rPr>
          <w:rFonts w:cs="Calibri"/>
          <w:sz w:val="24"/>
          <w:szCs w:val="24"/>
        </w:rPr>
        <w:t xml:space="preserve"> Material relating to Fuxi and Nüwa appears vast: this essay can only consider limited parts of their traditions.</w:t>
      </w:r>
      <w:r>
        <w:rPr>
          <w:rStyle w:val="FootnoteReference"/>
          <w:rFonts w:cs="Calibri"/>
          <w:sz w:val="24"/>
          <w:szCs w:val="24"/>
        </w:rPr>
        <w:footnoteReference w:id="5"/>
      </w:r>
      <w:r>
        <w:rPr>
          <w:rFonts w:cs="Calibri"/>
          <w:sz w:val="24"/>
          <w:szCs w:val="24"/>
        </w:rPr>
        <w:t xml:space="preserve"> </w:t>
      </w:r>
    </w:p>
    <w:p w14:paraId="27E8BFB3" w14:textId="77777777" w:rsidR="00C9118D" w:rsidRDefault="00C9118D">
      <w:pPr>
        <w:spacing w:line="480" w:lineRule="auto"/>
        <w:rPr>
          <w:rFonts w:cs="Calibri"/>
          <w:sz w:val="24"/>
          <w:szCs w:val="24"/>
        </w:rPr>
      </w:pPr>
    </w:p>
    <w:p w14:paraId="270F047B" w14:textId="77777777" w:rsidR="00C9118D" w:rsidRDefault="00000000">
      <w:pPr>
        <w:spacing w:line="480" w:lineRule="auto"/>
        <w:jc w:val="center"/>
      </w:pPr>
      <w:r>
        <w:rPr>
          <w:rFonts w:cs="Calibri"/>
          <w:noProof/>
          <w:sz w:val="24"/>
          <w:szCs w:val="24"/>
        </w:rPr>
        <w:lastRenderedPageBreak/>
        <w:drawing>
          <wp:inline distT="0" distB="0" distL="0" distR="0" wp14:anchorId="38F5F329" wp14:editId="4E7E49C7">
            <wp:extent cx="3878427" cy="8976609"/>
            <wp:effectExtent l="0" t="0" r="7773" b="0"/>
            <wp:docPr id="368286819" name="Picture 1" descr="A painting of a person holding a juggling bal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878427" cy="8976609"/>
                    </a:xfrm>
                    <a:prstGeom prst="rect">
                      <a:avLst/>
                    </a:prstGeom>
                    <a:noFill/>
                    <a:ln>
                      <a:noFill/>
                      <a:prstDash/>
                    </a:ln>
                  </pic:spPr>
                </pic:pic>
              </a:graphicData>
            </a:graphic>
          </wp:inline>
        </w:drawing>
      </w:r>
    </w:p>
    <w:p w14:paraId="062B9CFB" w14:textId="77777777" w:rsidR="00C9118D" w:rsidRDefault="00000000">
      <w:pPr>
        <w:spacing w:line="480" w:lineRule="auto"/>
      </w:pPr>
      <w:r>
        <w:rPr>
          <w:rFonts w:cs="Calibri"/>
          <w:sz w:val="24"/>
          <w:szCs w:val="24"/>
        </w:rPr>
        <w:lastRenderedPageBreak/>
        <w:t>Zhao argues the Turfan style of iconography for Fuxi and Nüwas as fourth and last in a series of stylisations, based on the depictions of sun and moon.</w:t>
      </w:r>
      <w:r>
        <w:rPr>
          <w:rStyle w:val="FootnoteReference"/>
          <w:rFonts w:cs="Calibri"/>
          <w:sz w:val="24"/>
          <w:szCs w:val="24"/>
        </w:rPr>
        <w:footnoteReference w:id="6"/>
      </w:r>
      <w:r>
        <w:rPr>
          <w:rFonts w:cs="Calibri"/>
          <w:sz w:val="24"/>
          <w:szCs w:val="24"/>
        </w:rPr>
        <w:t xml:space="preserve"> For this writer, the posture in this image, particularly that of the central arms, is strongly suggestive of conjoined twins.</w:t>
      </w:r>
      <w:r>
        <w:rPr>
          <w:rStyle w:val="FootnoteReference"/>
          <w:rFonts w:cs="Calibri"/>
          <w:sz w:val="24"/>
          <w:szCs w:val="24"/>
        </w:rPr>
        <w:footnoteReference w:id="7"/>
      </w:r>
      <w:r>
        <w:rPr>
          <w:rFonts w:cs="Calibri"/>
          <w:sz w:val="24"/>
          <w:szCs w:val="24"/>
        </w:rPr>
        <w:t xml:space="preserve"> Alternatively, the style arguably depicts sexual conjunction, perhaps in the manner of the Indian Shiva/Shakti, though concealed by clothing.</w:t>
      </w:r>
      <w:r>
        <w:rPr>
          <w:rStyle w:val="FootnoteReference"/>
          <w:rFonts w:cs="Calibri"/>
          <w:sz w:val="24"/>
          <w:szCs w:val="24"/>
        </w:rPr>
        <w:footnoteReference w:id="8"/>
      </w:r>
      <w:r>
        <w:rPr>
          <w:rFonts w:cs="Calibri"/>
          <w:sz w:val="24"/>
          <w:szCs w:val="24"/>
        </w:rPr>
        <w:t xml:space="preserve"> It is suggested that the Turfan form constitutes a distinct artistic / spiritual vision.</w:t>
      </w:r>
      <w:r>
        <w:rPr>
          <w:rStyle w:val="FootnoteReference"/>
          <w:rFonts w:cs="Calibri"/>
          <w:sz w:val="24"/>
          <w:szCs w:val="24"/>
        </w:rPr>
        <w:footnoteReference w:id="9"/>
      </w:r>
      <w:r>
        <w:rPr>
          <w:rFonts w:cs="Calibri"/>
          <w:sz w:val="24"/>
          <w:szCs w:val="24"/>
        </w:rPr>
        <w:t xml:space="preserve"> </w:t>
      </w:r>
    </w:p>
    <w:p w14:paraId="523208CC" w14:textId="77777777" w:rsidR="00C9118D" w:rsidRDefault="00C9118D">
      <w:pPr>
        <w:spacing w:line="480" w:lineRule="auto"/>
        <w:rPr>
          <w:rFonts w:cs="Calibri"/>
          <w:sz w:val="24"/>
          <w:szCs w:val="24"/>
        </w:rPr>
      </w:pPr>
    </w:p>
    <w:p w14:paraId="64885C1D" w14:textId="77777777" w:rsidR="00C9118D" w:rsidRDefault="00000000">
      <w:pPr>
        <w:spacing w:line="480" w:lineRule="auto"/>
      </w:pPr>
      <w:r>
        <w:rPr>
          <w:rFonts w:cs="Calibri"/>
          <w:sz w:val="24"/>
          <w:szCs w:val="24"/>
        </w:rPr>
        <w:t>Fuxi and Nüwa are displayed with tails, usually described as serpentine. This form is known worldwide for ‘non-ordinary’ or divine beings – Isis and Serapis are sometimes so depicted, Cornwall has ample ‘mermaids’ sometimes with two entwined tails, France has the story of Melusine.</w:t>
      </w:r>
      <w:r>
        <w:rPr>
          <w:rStyle w:val="FootnoteReference"/>
          <w:rFonts w:cs="Calibri"/>
          <w:sz w:val="24"/>
          <w:szCs w:val="24"/>
        </w:rPr>
        <w:footnoteReference w:id="10"/>
      </w:r>
      <w:r>
        <w:rPr>
          <w:rFonts w:cs="Calibri"/>
          <w:sz w:val="24"/>
          <w:szCs w:val="24"/>
        </w:rPr>
        <w:t xml:space="preserve"> Serpents are often linked to chthonic deities, but Fuxi and Nüwa can clearly fly (as did Melusine): they seem rather therefore to be represented as ‘dragon deities’ – </w:t>
      </w:r>
      <w:r>
        <w:rPr>
          <w:rFonts w:cs="Calibri"/>
          <w:sz w:val="24"/>
          <w:szCs w:val="24"/>
        </w:rPr>
        <w:lastRenderedPageBreak/>
        <w:t>spiritual beings with mastery over all elements and all three levels of the cosmos, unconstrained by a single physical form.</w:t>
      </w:r>
      <w:r>
        <w:rPr>
          <w:rStyle w:val="FootnoteReference"/>
          <w:rFonts w:cs="Calibri"/>
          <w:sz w:val="24"/>
          <w:szCs w:val="24"/>
        </w:rPr>
        <w:footnoteReference w:id="11"/>
      </w:r>
      <w:r>
        <w:rPr>
          <w:rFonts w:cs="Calibri"/>
          <w:sz w:val="24"/>
          <w:szCs w:val="24"/>
        </w:rPr>
        <w:t xml:space="preserve"> Ontological primacy of the pair is plausibly indicated by the stars surrounding the two.</w:t>
      </w:r>
      <w:r>
        <w:rPr>
          <w:rStyle w:val="FootnoteReference"/>
          <w:rFonts w:cs="Calibri"/>
          <w:sz w:val="24"/>
          <w:szCs w:val="24"/>
        </w:rPr>
        <w:footnoteReference w:id="12"/>
      </w:r>
    </w:p>
    <w:p w14:paraId="5E42B4DA" w14:textId="77777777" w:rsidR="00C9118D" w:rsidRDefault="00C9118D">
      <w:pPr>
        <w:spacing w:line="480" w:lineRule="auto"/>
        <w:rPr>
          <w:rFonts w:cs="Calibri"/>
          <w:sz w:val="24"/>
          <w:szCs w:val="24"/>
        </w:rPr>
      </w:pPr>
    </w:p>
    <w:p w14:paraId="4020F3C0" w14:textId="77777777" w:rsidR="00C9118D" w:rsidRDefault="00000000">
      <w:pPr>
        <w:spacing w:line="480" w:lineRule="auto"/>
      </w:pPr>
      <w:r>
        <w:rPr>
          <w:rFonts w:cs="Calibri"/>
          <w:sz w:val="24"/>
          <w:szCs w:val="24"/>
        </w:rPr>
        <w:t>An earlier form of Fuxi-Nüwa iconography is found in Han tombs. In the image below, Nüwa can be identified by a ‘crown’ headdress, Fuxi by a ‘mountain-like’ hat.</w:t>
      </w:r>
      <w:r>
        <w:rPr>
          <w:rStyle w:val="FootnoteReference"/>
          <w:rFonts w:cs="Calibri"/>
          <w:sz w:val="24"/>
          <w:szCs w:val="24"/>
        </w:rPr>
        <w:footnoteReference w:id="13"/>
      </w:r>
      <w:r>
        <w:rPr>
          <w:rFonts w:cs="Calibri"/>
          <w:sz w:val="24"/>
          <w:szCs w:val="24"/>
        </w:rPr>
        <w:t xml:space="preserve"> In this image they are accompanied by smaller draconic beings. In both this and the above representations the primary attributes of the pair are the try-square, held by Fuxi and the compasses held by Nüwa. These relate to the traditional Chinese understanding of the universe, in which Heaven is round, and the Earth is square</w:t>
      </w:r>
      <w:r>
        <w:rPr>
          <w:rStyle w:val="FootnoteReference"/>
          <w:rFonts w:cs="Calibri"/>
          <w:sz w:val="24"/>
          <w:szCs w:val="24"/>
        </w:rPr>
        <w:footnoteReference w:id="14"/>
      </w:r>
      <w:r>
        <w:rPr>
          <w:rFonts w:cs="Calibri"/>
          <w:sz w:val="24"/>
          <w:szCs w:val="24"/>
        </w:rPr>
        <w:t xml:space="preserve"> – effectively defining the two as cosmic architects.</w:t>
      </w:r>
      <w:r>
        <w:rPr>
          <w:rStyle w:val="FootnoteReference"/>
          <w:rFonts w:cs="Calibri"/>
          <w:sz w:val="24"/>
          <w:szCs w:val="24"/>
        </w:rPr>
        <w:footnoteReference w:id="15"/>
      </w:r>
      <w:r>
        <w:rPr>
          <w:rFonts w:cs="Calibri"/>
          <w:sz w:val="24"/>
          <w:szCs w:val="24"/>
        </w:rPr>
        <w:t xml:space="preserve"> The correlation of the tools with gender would seem to contradict the more usual dualist equations: Heaven=Yang=Male, Earth=Yin=Female. However, this may be contested - Yang &amp; </w:t>
      </w:r>
      <w:proofErr w:type="gramStart"/>
      <w:r>
        <w:rPr>
          <w:rFonts w:cs="Calibri"/>
          <w:sz w:val="24"/>
          <w:szCs w:val="24"/>
        </w:rPr>
        <w:t>An</w:t>
      </w:r>
      <w:proofErr w:type="gramEnd"/>
      <w:r>
        <w:rPr>
          <w:rFonts w:cs="Calibri"/>
          <w:sz w:val="24"/>
          <w:szCs w:val="24"/>
        </w:rPr>
        <w:t xml:space="preserve"> claim the opposite gender-tool association, whilst Suhadolnik suggests they may be deliberately interchangeable.</w:t>
      </w:r>
      <w:r>
        <w:rPr>
          <w:rStyle w:val="FootnoteReference"/>
          <w:rFonts w:cs="Calibri"/>
          <w:sz w:val="24"/>
          <w:szCs w:val="24"/>
        </w:rPr>
        <w:footnoteReference w:id="16"/>
      </w:r>
    </w:p>
    <w:p w14:paraId="4B33DD73" w14:textId="77777777" w:rsidR="00C9118D" w:rsidRDefault="00000000">
      <w:pPr>
        <w:spacing w:after="240"/>
        <w:jc w:val="center"/>
      </w:pPr>
      <w:r>
        <w:rPr>
          <w:rFonts w:cs="Calibri"/>
          <w:noProof/>
          <w:sz w:val="24"/>
          <w:szCs w:val="24"/>
        </w:rPr>
        <w:lastRenderedPageBreak/>
        <w:drawing>
          <wp:anchor distT="0" distB="0" distL="114300" distR="114300" simplePos="0" relativeHeight="251664384" behindDoc="0" locked="0" layoutInCell="1" allowOverlap="1" wp14:anchorId="5DE147FC" wp14:editId="26936F95">
            <wp:simplePos x="0" y="0"/>
            <wp:positionH relativeFrom="margin">
              <wp:align>left</wp:align>
            </wp:positionH>
            <wp:positionV relativeFrom="paragraph">
              <wp:posOffset>179066</wp:posOffset>
            </wp:positionV>
            <wp:extent cx="5547363" cy="3047366"/>
            <wp:effectExtent l="0" t="0" r="0" b="634"/>
            <wp:wrapSquare wrapText="bothSides"/>
            <wp:docPr id="1192366719" name="Picture 1" descr="A black and white drawing of a mermai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547363" cy="3047366"/>
                    </a:xfrm>
                    <a:prstGeom prst="rect">
                      <a:avLst/>
                    </a:prstGeom>
                    <a:noFill/>
                    <a:ln>
                      <a:noFill/>
                      <a:prstDash/>
                    </a:ln>
                  </pic:spPr>
                </pic:pic>
              </a:graphicData>
            </a:graphic>
          </wp:anchor>
        </w:drawing>
      </w:r>
      <w:r>
        <w:rPr>
          <w:rFonts w:cs="Calibri"/>
          <w:i/>
          <w:iCs/>
          <w:sz w:val="24"/>
          <w:szCs w:val="24"/>
        </w:rPr>
        <w:t xml:space="preserve">Ink rubbing from funerary stone bas-relief, Wu Liang Shrine, Chia-Hsiang county, </w:t>
      </w:r>
      <w:r>
        <w:rPr>
          <w:rFonts w:cs="Calibri"/>
          <w:i/>
          <w:iCs/>
          <w:sz w:val="24"/>
          <w:szCs w:val="24"/>
        </w:rPr>
        <w:br/>
        <w:t xml:space="preserve">Shantung province, dated 151 CE. </w:t>
      </w:r>
      <w:r>
        <w:rPr>
          <w:rStyle w:val="FootnoteReference"/>
          <w:rFonts w:cs="Calibri"/>
          <w:i/>
          <w:iCs/>
          <w:sz w:val="24"/>
          <w:szCs w:val="24"/>
        </w:rPr>
        <w:footnoteReference w:id="17"/>
      </w:r>
    </w:p>
    <w:p w14:paraId="1FC3504F" w14:textId="77777777" w:rsidR="00C9118D" w:rsidRDefault="00000000">
      <w:pPr>
        <w:spacing w:line="480" w:lineRule="auto"/>
      </w:pPr>
      <w:r>
        <w:rPr>
          <w:rFonts w:cs="Calibri"/>
          <w:sz w:val="24"/>
          <w:szCs w:val="24"/>
        </w:rPr>
        <w:t xml:space="preserve">Consideration of earlier imagery suggests that identification of Fuxi and Nüwa cannot always be guaranteed – they are by no means the only draconic figures in Chinese myth. Zhao argues that some represent </w:t>
      </w:r>
      <w:proofErr w:type="spellStart"/>
      <w:r>
        <w:rPr>
          <w:rFonts w:cs="Calibri"/>
          <w:sz w:val="24"/>
          <w:szCs w:val="24"/>
        </w:rPr>
        <w:t>Changyi</w:t>
      </w:r>
      <w:proofErr w:type="spellEnd"/>
      <w:r>
        <w:rPr>
          <w:rFonts w:cs="Calibri"/>
          <w:sz w:val="24"/>
          <w:szCs w:val="24"/>
        </w:rPr>
        <w:t xml:space="preserve"> and </w:t>
      </w:r>
      <w:proofErr w:type="spellStart"/>
      <w:r>
        <w:rPr>
          <w:rFonts w:cs="Calibri"/>
          <w:sz w:val="24"/>
          <w:szCs w:val="24"/>
        </w:rPr>
        <w:t>Xihe</w:t>
      </w:r>
      <w:proofErr w:type="spellEnd"/>
      <w:r>
        <w:rPr>
          <w:rFonts w:cs="Calibri"/>
          <w:sz w:val="24"/>
          <w:szCs w:val="24"/>
        </w:rPr>
        <w:t>, both female, and also linked to sun and moon.</w:t>
      </w:r>
      <w:r>
        <w:rPr>
          <w:rStyle w:val="FootnoteReference"/>
          <w:rFonts w:cs="Calibri"/>
          <w:sz w:val="24"/>
          <w:szCs w:val="24"/>
        </w:rPr>
        <w:footnoteReference w:id="18"/>
      </w:r>
      <w:r>
        <w:rPr>
          <w:rFonts w:cs="Calibri"/>
          <w:sz w:val="24"/>
          <w:szCs w:val="24"/>
        </w:rPr>
        <w:t xml:space="preserve"> In the Turfan silks, gendering is clear, but this is not necessarily the case with earlier representations - Fuxi and Nüwa are not much linked together in narrative or imagery until the Han dynasty </w:t>
      </w:r>
      <w:r>
        <w:rPr>
          <w:rFonts w:cs="Calibri"/>
          <w:i/>
          <w:iCs/>
          <w:sz w:val="24"/>
          <w:szCs w:val="24"/>
        </w:rPr>
        <w:t>Huainanzi</w:t>
      </w:r>
      <w:r>
        <w:rPr>
          <w:rFonts w:cs="Calibri"/>
          <w:sz w:val="24"/>
          <w:szCs w:val="24"/>
        </w:rPr>
        <w:t>.</w:t>
      </w:r>
      <w:r>
        <w:rPr>
          <w:rStyle w:val="FootnoteReference"/>
          <w:rFonts w:cs="Calibri"/>
          <w:sz w:val="24"/>
          <w:szCs w:val="24"/>
        </w:rPr>
        <w:footnoteReference w:id="19"/>
      </w:r>
      <w:r>
        <w:rPr>
          <w:rFonts w:cs="Calibri"/>
          <w:sz w:val="24"/>
          <w:szCs w:val="24"/>
        </w:rPr>
        <w:t xml:space="preserve"> </w:t>
      </w:r>
      <w:r>
        <w:rPr>
          <w:sz w:val="24"/>
          <w:szCs w:val="24"/>
        </w:rPr>
        <w:t>For this writer, what emerges from the discussion is that Fuxi and Nüwa are being depicted as embodiments of Yang and Yin, in which these are active conscious agencies rather than ‘abstract principles’ or ‘merely anthropomorphic representation’.</w:t>
      </w:r>
      <w:r>
        <w:rPr>
          <w:rStyle w:val="FootnoteReference"/>
          <w:sz w:val="24"/>
          <w:szCs w:val="24"/>
        </w:rPr>
        <w:footnoteReference w:id="20"/>
      </w:r>
      <w:r>
        <w:rPr>
          <w:sz w:val="24"/>
          <w:szCs w:val="24"/>
        </w:rPr>
        <w:t xml:space="preserve"> </w:t>
      </w:r>
    </w:p>
    <w:p w14:paraId="22EC9DC6" w14:textId="77777777" w:rsidR="00C9118D" w:rsidRDefault="00C9118D">
      <w:pPr>
        <w:spacing w:line="480" w:lineRule="auto"/>
        <w:rPr>
          <w:rFonts w:cs="Calibri"/>
          <w:sz w:val="24"/>
          <w:szCs w:val="24"/>
        </w:rPr>
      </w:pPr>
    </w:p>
    <w:p w14:paraId="6A6D7BCF" w14:textId="77777777" w:rsidR="00C9118D" w:rsidRDefault="00000000">
      <w:pPr>
        <w:spacing w:line="480" w:lineRule="auto"/>
      </w:pPr>
      <w:r>
        <w:rPr>
          <w:rFonts w:cs="Calibri"/>
          <w:sz w:val="24"/>
          <w:szCs w:val="24"/>
        </w:rPr>
        <w:t xml:space="preserve">Myths are commonly portrayed as taking place ‘in illo tempore’ (“in the beginning”) -certainly well prior to literacy, recorded versions always significantly later than purported mythic events. </w:t>
      </w:r>
      <w:r>
        <w:rPr>
          <w:sz w:val="24"/>
          <w:szCs w:val="24"/>
        </w:rPr>
        <w:t>Birrell describes the existing narratives as “often written in a lapidary style in obscure language and meaning”.</w:t>
      </w:r>
      <w:r>
        <w:rPr>
          <w:rStyle w:val="FootnoteReference"/>
          <w:rFonts w:cs="Calibri"/>
          <w:sz w:val="24"/>
          <w:szCs w:val="24"/>
        </w:rPr>
        <w:footnoteReference w:id="21"/>
      </w:r>
      <w:r>
        <w:rPr>
          <w:sz w:val="24"/>
          <w:szCs w:val="24"/>
        </w:rPr>
        <w:t xml:space="preserve"> Both ancient </w:t>
      </w:r>
      <w:r>
        <w:rPr>
          <w:rFonts w:cs="Calibri"/>
          <w:sz w:val="24"/>
          <w:szCs w:val="24"/>
        </w:rPr>
        <w:t xml:space="preserve">mythographers and the modern idiom of ‘mythology’ frequently attempt to convert fragmentary and mutually contradictory stories into a single coherent narrative, sometimes as a primal </w:t>
      </w:r>
      <w:proofErr w:type="spellStart"/>
      <w:r>
        <w:rPr>
          <w:rFonts w:cs="Calibri"/>
          <w:sz w:val="24"/>
          <w:szCs w:val="24"/>
        </w:rPr>
        <w:t>ur</w:t>
      </w:r>
      <w:proofErr w:type="spellEnd"/>
      <w:r>
        <w:rPr>
          <w:rFonts w:cs="Calibri"/>
          <w:sz w:val="24"/>
          <w:szCs w:val="24"/>
        </w:rPr>
        <w:t>-myth. It should also be expected that stories develop over time, with change both by ‘organic evolution’ and more deliberately by redactors having specific intentions.</w:t>
      </w:r>
      <w:r>
        <w:rPr>
          <w:rStyle w:val="FootnoteReference"/>
          <w:rFonts w:cs="Calibri"/>
          <w:sz w:val="24"/>
          <w:szCs w:val="24"/>
        </w:rPr>
        <w:footnoteReference w:id="22"/>
      </w:r>
      <w:r>
        <w:rPr>
          <w:rFonts w:cs="Calibri"/>
          <w:sz w:val="24"/>
          <w:szCs w:val="24"/>
        </w:rPr>
        <w:t xml:space="preserve"> Stories can split and recombine in a manner than can be described as mycorrhizal.</w:t>
      </w:r>
      <w:r>
        <w:rPr>
          <w:rStyle w:val="FootnoteReference"/>
          <w:rFonts w:cs="Calibri"/>
          <w:sz w:val="24"/>
          <w:szCs w:val="24"/>
        </w:rPr>
        <w:footnoteReference w:id="23"/>
      </w:r>
      <w:r>
        <w:rPr>
          <w:rFonts w:cs="Calibri"/>
          <w:sz w:val="24"/>
          <w:szCs w:val="24"/>
        </w:rPr>
        <w:t xml:space="preserve"> With respect to Chinese mythology the existence of such redaction seems undoubted. Chinese scholars such as Gu Jiegang developed a heuristic of ‘chronological reversal’ in which the supposed date of mythic events correlates inversely with the first date of the story being recorded.</w:t>
      </w:r>
      <w:r>
        <w:rPr>
          <w:rStyle w:val="FootnoteReference"/>
          <w:rFonts w:cs="Calibri"/>
          <w:sz w:val="24"/>
          <w:szCs w:val="24"/>
        </w:rPr>
        <w:footnoteReference w:id="24"/>
      </w:r>
      <w:r>
        <w:rPr>
          <w:rFonts w:cs="Calibri"/>
          <w:sz w:val="24"/>
          <w:szCs w:val="24"/>
        </w:rPr>
        <w:t xml:space="preserve"> This may however be in part a consequence of the ‘book burning’ ordered by the Qin Emperor in 213 </w:t>
      </w:r>
      <w:r>
        <w:rPr>
          <w:rFonts w:cs="Calibri"/>
          <w:sz w:val="24"/>
          <w:szCs w:val="24"/>
        </w:rPr>
        <w:lastRenderedPageBreak/>
        <w:t>BCE, destroying earlier literature that might have posed challenge to his position.</w:t>
      </w:r>
      <w:r>
        <w:rPr>
          <w:rStyle w:val="FootnoteReference"/>
          <w:rFonts w:cs="Calibri"/>
          <w:sz w:val="24"/>
          <w:szCs w:val="24"/>
        </w:rPr>
        <w:footnoteReference w:id="25"/>
      </w:r>
      <w:r>
        <w:rPr>
          <w:rFonts w:cs="Calibri"/>
          <w:sz w:val="24"/>
          <w:szCs w:val="24"/>
        </w:rPr>
        <w:t xml:space="preserve"> It seems accepted that recorded Chinese material experienced a significant process of ‘historicization’ or ‘reverse-Euhemerism’ (a transformation of deities into humans) or ‘rewritten as literature or philosophy’- much of this can be attributed to ‘Confucian rationalism’.</w:t>
      </w:r>
      <w:r>
        <w:rPr>
          <w:rStyle w:val="FootnoteReference"/>
          <w:rFonts w:cs="Calibri"/>
          <w:sz w:val="24"/>
          <w:szCs w:val="24"/>
        </w:rPr>
        <w:footnoteReference w:id="26"/>
      </w:r>
    </w:p>
    <w:p w14:paraId="0533ADF6" w14:textId="77777777" w:rsidR="00C9118D" w:rsidRDefault="00C9118D">
      <w:pPr>
        <w:spacing w:line="480" w:lineRule="auto"/>
        <w:rPr>
          <w:rFonts w:cs="Calibri"/>
          <w:sz w:val="24"/>
          <w:szCs w:val="24"/>
        </w:rPr>
      </w:pPr>
    </w:p>
    <w:p w14:paraId="2AA57037" w14:textId="6CBD281D" w:rsidR="00C9118D" w:rsidRDefault="00000000">
      <w:pPr>
        <w:spacing w:line="480" w:lineRule="auto"/>
      </w:pPr>
      <w:r>
        <w:rPr>
          <w:rFonts w:cs="Calibri"/>
          <w:sz w:val="24"/>
          <w:szCs w:val="24"/>
        </w:rPr>
        <w:t>Fuxi and Nüwa have jointly been incorporated into the large mythic complex regarding repopulation of the world after a disastrous flood.</w:t>
      </w:r>
      <w:r>
        <w:rPr>
          <w:rStyle w:val="FootnoteReference"/>
          <w:rFonts w:cs="Calibri"/>
          <w:sz w:val="24"/>
          <w:szCs w:val="24"/>
        </w:rPr>
        <w:footnoteReference w:id="27"/>
      </w:r>
      <w:r>
        <w:rPr>
          <w:rFonts w:cs="Calibri"/>
          <w:sz w:val="24"/>
          <w:szCs w:val="24"/>
        </w:rPr>
        <w:t xml:space="preserve"> Archaeological evidence proves flooding in both Yellow River and Yangtse basins, in particular a major event dated around 2000 BCE: the most popular version of the associated myth has the flood tamed by the heroic Yu, founder of the purported Xia dynasty.</w:t>
      </w:r>
      <w:r>
        <w:rPr>
          <w:rStyle w:val="FootnoteReference"/>
          <w:rFonts w:cs="Calibri"/>
          <w:sz w:val="24"/>
          <w:szCs w:val="24"/>
        </w:rPr>
        <w:footnoteReference w:id="28"/>
      </w:r>
      <w:r>
        <w:rPr>
          <w:rFonts w:cs="Calibri"/>
          <w:sz w:val="24"/>
          <w:szCs w:val="24"/>
        </w:rPr>
        <w:t xml:space="preserve"> Various Chinese ethnic groups tell of the sole surviving brother and sister (Fuxi and Nüwa </w:t>
      </w:r>
      <w:r w:rsidR="004F4377">
        <w:rPr>
          <w:rFonts w:cs="Calibri"/>
          <w:sz w:val="24"/>
          <w:szCs w:val="24"/>
        </w:rPr>
        <w:t xml:space="preserve">are </w:t>
      </w:r>
      <w:r>
        <w:rPr>
          <w:rFonts w:cs="Calibri"/>
          <w:sz w:val="24"/>
          <w:szCs w:val="24"/>
        </w:rPr>
        <w:t xml:space="preserve">also so described) being initially reluctant, and often subsequently ashamed, to engage in incest: they divine (typically either by throwing millstones or by building two initially separate fires), proceeding when this </w:t>
      </w:r>
      <w:r>
        <w:rPr>
          <w:rFonts w:cs="Calibri"/>
          <w:sz w:val="24"/>
          <w:szCs w:val="24"/>
        </w:rPr>
        <w:lastRenderedPageBreak/>
        <w:t>process approves.</w:t>
      </w:r>
      <w:r>
        <w:rPr>
          <w:rStyle w:val="FootnoteReference"/>
          <w:rFonts w:cs="Calibri"/>
          <w:sz w:val="24"/>
          <w:szCs w:val="24"/>
        </w:rPr>
        <w:footnoteReference w:id="29"/>
      </w:r>
      <w:r>
        <w:rPr>
          <w:rFonts w:cs="Calibri"/>
          <w:sz w:val="24"/>
          <w:szCs w:val="24"/>
        </w:rPr>
        <w:t xml:space="preserve"> A version of the story has a Nüwa giving birth to a ‘sphere of flesh’: Fuxi and Nüwa cut this into pieces, which run about in the woods, only becoming human when they touch different species of trees, taking their names, presumably as subsequent exogamous clans.</w:t>
      </w:r>
      <w:r>
        <w:rPr>
          <w:rStyle w:val="FootnoteReference"/>
          <w:rFonts w:cs="Calibri"/>
          <w:sz w:val="24"/>
          <w:szCs w:val="24"/>
        </w:rPr>
        <w:footnoteReference w:id="30"/>
      </w:r>
      <w:r>
        <w:rPr>
          <w:rFonts w:cs="Calibri"/>
          <w:sz w:val="24"/>
          <w:szCs w:val="24"/>
        </w:rPr>
        <w:t xml:space="preserve"> The version told by the Tuija ethnic group follows this closely, their Two becoming the highest deities of the Tuija cosmology.</w:t>
      </w:r>
      <w:r>
        <w:rPr>
          <w:rStyle w:val="FootnoteReference"/>
          <w:rFonts w:cs="Calibri"/>
          <w:sz w:val="24"/>
          <w:szCs w:val="24"/>
        </w:rPr>
        <w:footnoteReference w:id="31"/>
      </w:r>
      <w:r>
        <w:rPr>
          <w:rFonts w:cs="Calibri"/>
          <w:sz w:val="24"/>
          <w:szCs w:val="24"/>
        </w:rPr>
        <w:t xml:space="preserve"> </w:t>
      </w:r>
    </w:p>
    <w:p w14:paraId="27CEAA26" w14:textId="77777777" w:rsidR="00C9118D" w:rsidRDefault="00C9118D">
      <w:pPr>
        <w:spacing w:line="480" w:lineRule="auto"/>
        <w:rPr>
          <w:rFonts w:cs="Calibri"/>
          <w:sz w:val="24"/>
          <w:szCs w:val="24"/>
        </w:rPr>
      </w:pPr>
    </w:p>
    <w:p w14:paraId="3E62482D" w14:textId="77777777" w:rsidR="00C9118D" w:rsidRDefault="00000000">
      <w:pPr>
        <w:spacing w:line="480" w:lineRule="auto"/>
      </w:pPr>
      <w:r>
        <w:rPr>
          <w:rFonts w:cs="Calibri"/>
          <w:sz w:val="24"/>
          <w:szCs w:val="24"/>
        </w:rPr>
        <w:t>A rather different myth of the origin of current human beings is associated mainly with Nüwa (though Fuxi sometimes assists). In this story, Nüwa creates humans initially from yellow clay and later from mud.</w:t>
      </w:r>
      <w:r>
        <w:rPr>
          <w:rStyle w:val="FootnoteReference"/>
          <w:rFonts w:cs="Calibri"/>
          <w:sz w:val="24"/>
          <w:szCs w:val="24"/>
        </w:rPr>
        <w:footnoteReference w:id="32"/>
      </w:r>
      <w:r>
        <w:rPr>
          <w:rFonts w:cs="Calibri"/>
          <w:sz w:val="24"/>
          <w:szCs w:val="24"/>
        </w:rPr>
        <w:t xml:space="preserve"> In the latter process She uses a knotted cord: this is also an architectural attribute. Both Fuxi and Nüwa themselves are described as miraculously conceived, without male parent – indeed the saying “Who shaped the body of Nüwa” seems to have become a ‘philosophical question”.</w:t>
      </w:r>
      <w:r>
        <w:rPr>
          <w:rStyle w:val="FootnoteReference"/>
          <w:rFonts w:cs="Calibri"/>
          <w:sz w:val="24"/>
          <w:szCs w:val="24"/>
        </w:rPr>
        <w:footnoteReference w:id="33"/>
      </w:r>
      <w:r>
        <w:t xml:space="preserve"> </w:t>
      </w:r>
      <w:r>
        <w:rPr>
          <w:rFonts w:cs="Calibri"/>
          <w:sz w:val="24"/>
          <w:szCs w:val="24"/>
        </w:rPr>
        <w:t xml:space="preserve">It is argued that stories of this kind with any form of non-normal human origin are female-primary, hence should be considered evidence </w:t>
      </w:r>
      <w:r>
        <w:rPr>
          <w:rFonts w:cs="Calibri"/>
          <w:sz w:val="24"/>
          <w:szCs w:val="24"/>
        </w:rPr>
        <w:lastRenderedPageBreak/>
        <w:t>of early ‘matriarchy’: their details demonstrate both Fuxi and Nüwa as deities, not simply some early humans.</w:t>
      </w:r>
      <w:r>
        <w:rPr>
          <w:rStyle w:val="FootnoteReference"/>
          <w:rFonts w:cs="Calibri"/>
          <w:sz w:val="24"/>
          <w:szCs w:val="24"/>
        </w:rPr>
        <w:footnoteReference w:id="34"/>
      </w:r>
      <w:r>
        <w:rPr>
          <w:rFonts w:cs="Calibri"/>
          <w:sz w:val="24"/>
          <w:szCs w:val="24"/>
        </w:rPr>
        <w:t xml:space="preserve"> </w:t>
      </w:r>
    </w:p>
    <w:p w14:paraId="5B77AE0D" w14:textId="77777777" w:rsidR="00C9118D" w:rsidRDefault="00C9118D">
      <w:pPr>
        <w:spacing w:line="480" w:lineRule="auto"/>
        <w:rPr>
          <w:rFonts w:cs="Calibri"/>
          <w:b/>
          <w:bCs/>
          <w:sz w:val="24"/>
          <w:szCs w:val="24"/>
        </w:rPr>
      </w:pPr>
    </w:p>
    <w:p w14:paraId="195D2269" w14:textId="4225565A" w:rsidR="00C9118D" w:rsidRDefault="00000000">
      <w:pPr>
        <w:spacing w:line="480" w:lineRule="auto"/>
      </w:pPr>
      <w:r>
        <w:rPr>
          <w:rFonts w:cs="Calibri"/>
          <w:sz w:val="24"/>
          <w:szCs w:val="24"/>
        </w:rPr>
        <w:t>Fuxi and Nüwa are mythically linked to the ‘establishment of marriage’ – a term which might well be considered euphemism for a prehistoric cultural shift from ‘matriarchy’ to ‘patriarchy’, described by Engels as the ‘world-historic defeat of the female sex</w:t>
      </w:r>
      <w:r w:rsidR="004F4377">
        <w:rPr>
          <w:rFonts w:cs="Calibri"/>
          <w:sz w:val="24"/>
          <w:szCs w:val="24"/>
        </w:rPr>
        <w:t>’</w:t>
      </w:r>
      <w:r>
        <w:rPr>
          <w:rFonts w:cs="Calibri"/>
          <w:sz w:val="24"/>
          <w:szCs w:val="24"/>
        </w:rPr>
        <w:t>.</w:t>
      </w:r>
      <w:r>
        <w:rPr>
          <w:rStyle w:val="FootnoteReference"/>
          <w:rFonts w:cs="Calibri"/>
          <w:sz w:val="24"/>
          <w:szCs w:val="24"/>
        </w:rPr>
        <w:footnoteReference w:id="35"/>
      </w:r>
      <w:r>
        <w:rPr>
          <w:rFonts w:cs="Calibri"/>
          <w:sz w:val="24"/>
          <w:szCs w:val="24"/>
        </w:rPr>
        <w:t xml:space="preserve">. Birrell cites the presentation of this by </w:t>
      </w:r>
      <w:proofErr w:type="spellStart"/>
      <w:r>
        <w:rPr>
          <w:rFonts w:cs="Calibri"/>
          <w:sz w:val="24"/>
          <w:szCs w:val="24"/>
        </w:rPr>
        <w:t>T’ang</w:t>
      </w:r>
      <w:proofErr w:type="spellEnd"/>
      <w:r>
        <w:rPr>
          <w:rFonts w:cs="Calibri"/>
          <w:sz w:val="24"/>
          <w:szCs w:val="24"/>
        </w:rPr>
        <w:t xml:space="preserve"> author Li Jung as an explicit devaluation of Nüwa’s primary divinity and mythic power.</w:t>
      </w:r>
      <w:r>
        <w:rPr>
          <w:rStyle w:val="FootnoteReference"/>
          <w:rFonts w:cs="Calibri"/>
          <w:sz w:val="24"/>
          <w:szCs w:val="24"/>
        </w:rPr>
        <w:footnoteReference w:id="36"/>
      </w:r>
      <w:r>
        <w:rPr>
          <w:rFonts w:cs="Calibri"/>
          <w:sz w:val="24"/>
          <w:szCs w:val="24"/>
        </w:rPr>
        <w:t xml:space="preserve"> The early Daoist writer Zhuangzi is much quoted that in ‘ancient times’ people “knew their mothers but not their fathers” – clearly the concept of </w:t>
      </w:r>
      <w:proofErr w:type="spellStart"/>
      <w:r>
        <w:rPr>
          <w:rFonts w:cs="Calibri"/>
          <w:sz w:val="24"/>
          <w:szCs w:val="24"/>
        </w:rPr>
        <w:t>matrilineality</w:t>
      </w:r>
      <w:proofErr w:type="spellEnd"/>
      <w:r>
        <w:rPr>
          <w:rFonts w:cs="Calibri"/>
          <w:sz w:val="24"/>
          <w:szCs w:val="24"/>
        </w:rPr>
        <w:t xml:space="preserve"> is widely accepted in China.</w:t>
      </w:r>
      <w:r>
        <w:rPr>
          <w:rStyle w:val="FootnoteReference"/>
          <w:rFonts w:cs="Calibri"/>
          <w:sz w:val="24"/>
          <w:szCs w:val="24"/>
        </w:rPr>
        <w:footnoteReference w:id="37"/>
      </w:r>
      <w:r>
        <w:rPr>
          <w:rFonts w:cs="Calibri"/>
          <w:sz w:val="24"/>
          <w:szCs w:val="24"/>
        </w:rPr>
        <w:t xml:space="preserve"> More modern scholarship on this theme must include that present-day China includes a ‘living matriarchy’ in the Mosuo people of the Sichuan-Yunnan border region – evidence from that community suggests that the </w:t>
      </w:r>
      <w:r w:rsidR="004F4377">
        <w:rPr>
          <w:rFonts w:cs="Calibri"/>
          <w:sz w:val="24"/>
          <w:szCs w:val="24"/>
        </w:rPr>
        <w:t xml:space="preserve">‘fatherhood </w:t>
      </w:r>
      <w:r>
        <w:rPr>
          <w:rFonts w:cs="Calibri"/>
          <w:sz w:val="24"/>
          <w:szCs w:val="24"/>
        </w:rPr>
        <w:t>claim</w:t>
      </w:r>
      <w:r w:rsidR="004F4377">
        <w:rPr>
          <w:rFonts w:cs="Calibri"/>
          <w:sz w:val="24"/>
          <w:szCs w:val="24"/>
        </w:rPr>
        <w:t>’</w:t>
      </w:r>
      <w:r>
        <w:rPr>
          <w:rFonts w:cs="Calibri"/>
          <w:sz w:val="24"/>
          <w:szCs w:val="24"/>
        </w:rPr>
        <w:t xml:space="preserve"> was always mostly patriarchal propaganda.</w:t>
      </w:r>
      <w:r>
        <w:rPr>
          <w:rStyle w:val="FootnoteReference"/>
          <w:rFonts w:cs="Calibri"/>
          <w:sz w:val="24"/>
          <w:szCs w:val="24"/>
        </w:rPr>
        <w:footnoteReference w:id="38"/>
      </w:r>
    </w:p>
    <w:p w14:paraId="24FDC906" w14:textId="77777777" w:rsidR="00C9118D" w:rsidRDefault="00C9118D">
      <w:pPr>
        <w:spacing w:line="480" w:lineRule="auto"/>
        <w:rPr>
          <w:rFonts w:cs="Calibri"/>
          <w:sz w:val="24"/>
          <w:szCs w:val="24"/>
        </w:rPr>
      </w:pPr>
    </w:p>
    <w:p w14:paraId="3715AB78" w14:textId="45ABE7F7" w:rsidR="00C9118D" w:rsidRDefault="00000000">
      <w:pPr>
        <w:spacing w:line="480" w:lineRule="auto"/>
      </w:pPr>
      <w:r>
        <w:rPr>
          <w:rFonts w:cs="Calibri"/>
          <w:sz w:val="24"/>
          <w:szCs w:val="24"/>
        </w:rPr>
        <w:lastRenderedPageBreak/>
        <w:t>It is commonplace for Fuxi and (sometimes Nüwa also) to be described as ‘culture hero’.</w:t>
      </w:r>
      <w:r>
        <w:rPr>
          <w:rStyle w:val="FootnoteReference"/>
          <w:rFonts w:cs="Calibri"/>
          <w:sz w:val="24"/>
          <w:szCs w:val="24"/>
        </w:rPr>
        <w:footnoteReference w:id="39"/>
      </w:r>
      <w:r>
        <w:rPr>
          <w:rFonts w:cs="Calibri"/>
          <w:sz w:val="24"/>
          <w:szCs w:val="24"/>
        </w:rPr>
        <w:t xml:space="preserve"> The term was introduced by Kurt Breysig in 1905: he </w:t>
      </w:r>
      <w:r>
        <w:rPr>
          <w:sz w:val="24"/>
          <w:szCs w:val="24"/>
        </w:rPr>
        <w:t>originally used the term ‘Heilbringer’ which should translate as ‘Saviour’, applying it variously applied to beings of mixed ontology - deities, demigods, and others that are ‘only a spirit’</w:t>
      </w:r>
      <w:r>
        <w:rPr>
          <w:rFonts w:cs="Calibri"/>
          <w:sz w:val="24"/>
          <w:szCs w:val="24"/>
        </w:rPr>
        <w:t>, no more than as a label for any ‘non-ordinary being’ that interacts positively with humans.</w:t>
      </w:r>
      <w:r>
        <w:rPr>
          <w:rStyle w:val="FootnoteReference"/>
          <w:rFonts w:cs="Calibri"/>
          <w:sz w:val="24"/>
          <w:szCs w:val="24"/>
        </w:rPr>
        <w:footnoteReference w:id="40"/>
      </w:r>
      <w:r>
        <w:rPr>
          <w:rFonts w:cs="Calibri"/>
          <w:sz w:val="24"/>
          <w:szCs w:val="24"/>
        </w:rPr>
        <w:t xml:space="preserve"> This was a time when pseudo-evolutionary concepts dominated anthropology, ‘history of religions’ and related academic fields.</w:t>
      </w:r>
      <w:r>
        <w:rPr>
          <w:rStyle w:val="FootnoteReference"/>
          <w:rFonts w:cs="Calibri"/>
          <w:sz w:val="24"/>
          <w:szCs w:val="24"/>
        </w:rPr>
        <w:footnoteReference w:id="41"/>
      </w:r>
      <w:r>
        <w:rPr>
          <w:rFonts w:cs="Calibri"/>
          <w:sz w:val="24"/>
          <w:szCs w:val="24"/>
        </w:rPr>
        <w:t xml:space="preserve"> Breysig “saw the culture hero as belonging to a stage of religious development that was not only earlier than, but also inferior to, humankind’s awareness of a personal supreme being”</w:t>
      </w:r>
      <w:r>
        <w:rPr>
          <w:rStyle w:val="FootnoteReference"/>
          <w:rFonts w:cs="Calibri"/>
          <w:sz w:val="24"/>
          <w:szCs w:val="24"/>
        </w:rPr>
        <w:footnoteReference w:id="42"/>
      </w:r>
      <w:r>
        <w:rPr>
          <w:rFonts w:cs="Calibri"/>
          <w:sz w:val="24"/>
          <w:szCs w:val="24"/>
        </w:rPr>
        <w:t>. Bodde’s perspective follows this view, evincing a Greek / Hebrew model of what myth ‘should be’: he downgrades Nüwa stories as “not a true creation myth” and having “no real story of creation.</w:t>
      </w:r>
      <w:r>
        <w:rPr>
          <w:rStyle w:val="FootnoteReference"/>
          <w:rFonts w:cs="Calibri"/>
          <w:sz w:val="24"/>
          <w:szCs w:val="24"/>
        </w:rPr>
        <w:footnoteReference w:id="43"/>
      </w:r>
      <w:r>
        <w:rPr>
          <w:rFonts w:cs="Calibri"/>
          <w:sz w:val="24"/>
          <w:szCs w:val="24"/>
        </w:rPr>
        <w:t xml:space="preserve"> Bucková’s discussion makes it clear that there was no agreement amongst earlier scholars as to the characteristics of the ‘culture hero’.</w:t>
      </w:r>
      <w:r>
        <w:rPr>
          <w:rStyle w:val="FootnoteReference"/>
          <w:rFonts w:cs="Calibri"/>
          <w:sz w:val="24"/>
          <w:szCs w:val="24"/>
        </w:rPr>
        <w:footnoteReference w:id="44"/>
      </w:r>
      <w:r>
        <w:rPr>
          <w:rFonts w:cs="Calibri"/>
          <w:sz w:val="24"/>
          <w:szCs w:val="24"/>
        </w:rPr>
        <w:t xml:space="preserve"> The notion seems to have been further confused by Campbell’s ‘Hero’ concepts, heavily dependent on Jungian psychology and a widespread modern ideology of ‘hero culture’ and modern ‘heroes’ in general.</w:t>
      </w:r>
      <w:r>
        <w:rPr>
          <w:rStyle w:val="FootnoteReference"/>
          <w:rFonts w:cs="Calibri"/>
          <w:sz w:val="24"/>
          <w:szCs w:val="24"/>
        </w:rPr>
        <w:footnoteReference w:id="45"/>
      </w:r>
      <w:r>
        <w:rPr>
          <w:rFonts w:cs="Calibri"/>
          <w:sz w:val="24"/>
          <w:szCs w:val="24"/>
        </w:rPr>
        <w:t xml:space="preserve"> More recent scholarship seems strongly oriented to even </w:t>
      </w:r>
      <w:r>
        <w:rPr>
          <w:rFonts w:cs="Calibri"/>
          <w:sz w:val="24"/>
          <w:szCs w:val="24"/>
        </w:rPr>
        <w:lastRenderedPageBreak/>
        <w:t>vaguer psychological notions: for example, Leeming writes “the culture hero embodies the very soul of a culture”.</w:t>
      </w:r>
      <w:r>
        <w:rPr>
          <w:rStyle w:val="FootnoteReference"/>
          <w:rFonts w:cs="Calibri"/>
          <w:sz w:val="24"/>
          <w:szCs w:val="24"/>
        </w:rPr>
        <w:footnoteReference w:id="46"/>
      </w:r>
      <w:r>
        <w:rPr>
          <w:rFonts w:cs="Calibri"/>
          <w:sz w:val="24"/>
          <w:szCs w:val="24"/>
        </w:rPr>
        <w:t xml:space="preserve"> Evolutionism nowadays discredited, it is suggested that the ‘culture hero’ notion is entirely inadequate in understanding the nature of Fuxi and Nüwa: Suhadolnik’s description of Fuxi and Nüwa as the “greatest primaeval cosmogonic deities” in Chinese myth seems more appropriate.</w:t>
      </w:r>
      <w:r>
        <w:rPr>
          <w:rStyle w:val="FootnoteReference"/>
          <w:rFonts w:cs="Calibri"/>
          <w:sz w:val="24"/>
          <w:szCs w:val="24"/>
        </w:rPr>
        <w:footnoteReference w:id="47"/>
      </w:r>
      <w:r w:rsidR="005F6A7F">
        <w:rPr>
          <w:rFonts w:cs="Calibri"/>
          <w:sz w:val="24"/>
          <w:szCs w:val="24"/>
        </w:rPr>
        <w:t xml:space="preserve"> </w:t>
      </w:r>
    </w:p>
    <w:p w14:paraId="555FEE96" w14:textId="77777777" w:rsidR="00C9118D" w:rsidRDefault="00C9118D">
      <w:pPr>
        <w:spacing w:line="480" w:lineRule="auto"/>
        <w:rPr>
          <w:rFonts w:cs="Calibri"/>
          <w:sz w:val="24"/>
          <w:szCs w:val="24"/>
        </w:rPr>
      </w:pPr>
    </w:p>
    <w:p w14:paraId="5C50E215" w14:textId="77777777" w:rsidR="00C9118D" w:rsidRDefault="00000000">
      <w:pPr>
        <w:spacing w:line="480" w:lineRule="auto"/>
      </w:pPr>
      <w:r>
        <w:rPr>
          <w:rFonts w:cs="Calibri"/>
          <w:sz w:val="24"/>
          <w:szCs w:val="24"/>
        </w:rPr>
        <w:t xml:space="preserve">In the principal myth of Nüwa individually, She is saviour of the world: the most detailed primary account is in </w:t>
      </w:r>
      <w:r>
        <w:rPr>
          <w:rFonts w:cs="Calibri"/>
          <w:i/>
          <w:iCs/>
          <w:sz w:val="24"/>
          <w:szCs w:val="24"/>
        </w:rPr>
        <w:t>Huainanzi</w:t>
      </w:r>
      <w:r>
        <w:rPr>
          <w:rFonts w:cs="Calibri"/>
          <w:sz w:val="24"/>
          <w:szCs w:val="24"/>
        </w:rPr>
        <w:t xml:space="preserve"> 6.</w:t>
      </w:r>
      <w:r>
        <w:rPr>
          <w:rStyle w:val="FootnoteReference"/>
          <w:rFonts w:cs="Calibri"/>
          <w:sz w:val="24"/>
          <w:szCs w:val="24"/>
        </w:rPr>
        <w:footnoteReference w:id="48"/>
      </w:r>
      <w:r>
        <w:rPr>
          <w:rFonts w:cs="Calibri"/>
          <w:sz w:val="24"/>
          <w:szCs w:val="24"/>
        </w:rPr>
        <w:t xml:space="preserve"> Nüwa fixes the disastrously broken heavens by smelting stones of five colours, the rainbow resulting.</w:t>
      </w:r>
      <w:r>
        <w:rPr>
          <w:rStyle w:val="FootnoteReference"/>
          <w:rFonts w:cs="Calibri"/>
          <w:sz w:val="24"/>
          <w:szCs w:val="24"/>
        </w:rPr>
        <w:footnoteReference w:id="49"/>
      </w:r>
      <w:r>
        <w:rPr>
          <w:rFonts w:cs="Calibri"/>
          <w:sz w:val="24"/>
          <w:szCs w:val="24"/>
        </w:rPr>
        <w:t xml:space="preserve"> She further establishes four new pillars for heaven from the legs of a giant turtle.</w:t>
      </w:r>
      <w:r>
        <w:rPr>
          <w:rStyle w:val="FootnoteReference"/>
          <w:rFonts w:cs="Calibri"/>
          <w:sz w:val="24"/>
          <w:szCs w:val="24"/>
        </w:rPr>
        <w:footnoteReference w:id="50"/>
      </w:r>
      <w:r>
        <w:rPr>
          <w:rFonts w:cs="Calibri"/>
          <w:sz w:val="24"/>
          <w:szCs w:val="24"/>
        </w:rPr>
        <w:t xml:space="preserve"> The story is often linked to that in </w:t>
      </w:r>
      <w:r>
        <w:rPr>
          <w:rFonts w:cs="Calibri"/>
          <w:i/>
          <w:iCs/>
          <w:sz w:val="24"/>
          <w:szCs w:val="24"/>
        </w:rPr>
        <w:t>Huainanzi</w:t>
      </w:r>
      <w:r>
        <w:rPr>
          <w:rFonts w:cs="Calibri"/>
          <w:sz w:val="24"/>
          <w:szCs w:val="24"/>
        </w:rPr>
        <w:t xml:space="preserve"> 3, where the damage is ascribed to the giant Gonggong’s rampage: the Earth’s axial tilt, hence the seasons, are derived from this.</w:t>
      </w:r>
      <w:r>
        <w:rPr>
          <w:rStyle w:val="FootnoteReference"/>
          <w:rFonts w:cs="Calibri"/>
          <w:sz w:val="24"/>
          <w:szCs w:val="24"/>
        </w:rPr>
        <w:footnoteReference w:id="51"/>
      </w:r>
      <w:r>
        <w:rPr>
          <w:rFonts w:cs="Calibri"/>
          <w:sz w:val="24"/>
          <w:szCs w:val="24"/>
        </w:rPr>
        <w:t xml:space="preserve">  A seventeenth century illustration of the event gives Nüwa a serpentine body, only head and arms anthropomorphic, very different from that </w:t>
      </w:r>
      <w:r>
        <w:rPr>
          <w:rFonts w:cs="Calibri"/>
          <w:sz w:val="24"/>
          <w:szCs w:val="24"/>
        </w:rPr>
        <w:lastRenderedPageBreak/>
        <w:t>above.</w:t>
      </w:r>
      <w:r>
        <w:rPr>
          <w:rStyle w:val="FootnoteReference"/>
          <w:rFonts w:cs="Calibri"/>
          <w:sz w:val="24"/>
          <w:szCs w:val="24"/>
        </w:rPr>
        <w:footnoteReference w:id="52"/>
      </w:r>
      <w:r>
        <w:rPr>
          <w:rFonts w:cs="Calibri"/>
          <w:sz w:val="24"/>
          <w:szCs w:val="24"/>
        </w:rPr>
        <w:t xml:space="preserve"> An entirely desacralized historicization of the story is known.</w:t>
      </w:r>
      <w:r>
        <w:rPr>
          <w:rStyle w:val="FootnoteReference"/>
          <w:rFonts w:cs="Calibri"/>
          <w:sz w:val="24"/>
          <w:szCs w:val="24"/>
        </w:rPr>
        <w:footnoteReference w:id="53"/>
      </w:r>
      <w:r>
        <w:rPr>
          <w:rFonts w:cs="Calibri"/>
          <w:sz w:val="24"/>
          <w:szCs w:val="24"/>
        </w:rPr>
        <w:t xml:space="preserve"> Nüwa’s work also inspired one of the greatest classical novels of Chinese literature.</w:t>
      </w:r>
      <w:r>
        <w:rPr>
          <w:rStyle w:val="FootnoteReference"/>
          <w:rFonts w:cs="Calibri"/>
          <w:sz w:val="24"/>
          <w:szCs w:val="24"/>
        </w:rPr>
        <w:footnoteReference w:id="54"/>
      </w:r>
    </w:p>
    <w:p w14:paraId="25FE278E" w14:textId="77777777" w:rsidR="00C9118D" w:rsidRDefault="00000000">
      <w:r>
        <w:rPr>
          <w:rFonts w:cs="Calibri"/>
          <w:i/>
          <w:iCs/>
          <w:noProof/>
          <w:sz w:val="24"/>
          <w:szCs w:val="24"/>
        </w:rPr>
        <w:drawing>
          <wp:anchor distT="0" distB="0" distL="114300" distR="114300" simplePos="0" relativeHeight="251666432" behindDoc="0" locked="0" layoutInCell="1" allowOverlap="1" wp14:anchorId="012C633A" wp14:editId="1EE74F1C">
            <wp:simplePos x="0" y="0"/>
            <wp:positionH relativeFrom="column">
              <wp:posOffset>0</wp:posOffset>
            </wp:positionH>
            <wp:positionV relativeFrom="paragraph">
              <wp:posOffset>0</wp:posOffset>
            </wp:positionV>
            <wp:extent cx="3797932" cy="2877817"/>
            <wp:effectExtent l="0" t="0" r="0" b="0"/>
            <wp:wrapSquare wrapText="bothSides"/>
            <wp:docPr id="527134190"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797932" cy="2877817"/>
                    </a:xfrm>
                    <a:prstGeom prst="rect">
                      <a:avLst/>
                    </a:prstGeom>
                    <a:noFill/>
                    <a:ln>
                      <a:noFill/>
                      <a:prstDash/>
                    </a:ln>
                  </pic:spPr>
                </pic:pic>
              </a:graphicData>
            </a:graphic>
          </wp:anchor>
        </w:drawing>
      </w:r>
    </w:p>
    <w:p w14:paraId="224049F4" w14:textId="77777777" w:rsidR="00C9118D" w:rsidRDefault="00000000">
      <w:r>
        <w:rPr>
          <w:rFonts w:cs="Calibri"/>
          <w:i/>
          <w:iCs/>
          <w:sz w:val="24"/>
          <w:szCs w:val="24"/>
        </w:rPr>
        <w:t xml:space="preserve">Nüwa mending the heavens is a popular theme in modern </w:t>
      </w:r>
      <w:proofErr w:type="gramStart"/>
      <w:r>
        <w:rPr>
          <w:rFonts w:cs="Calibri"/>
          <w:i/>
          <w:iCs/>
          <w:sz w:val="24"/>
          <w:szCs w:val="24"/>
        </w:rPr>
        <w:t>web-pages</w:t>
      </w:r>
      <w:proofErr w:type="gramEnd"/>
      <w:r>
        <w:rPr>
          <w:rFonts w:cs="Calibri"/>
          <w:i/>
          <w:iCs/>
          <w:sz w:val="24"/>
          <w:szCs w:val="24"/>
        </w:rPr>
        <w:t xml:space="preserve"> and children’s literature. Most illustrations are uncredited – this is from the cover of a book in Chinese. </w:t>
      </w:r>
      <w:hyperlink r:id="rId12" w:history="1">
        <w:r w:rsidR="00C9118D">
          <w:rPr>
            <w:rStyle w:val="Hyperlink"/>
            <w:rFonts w:cs="Calibri"/>
            <w:i/>
            <w:iCs/>
          </w:rPr>
          <w:t>https://www</w:t>
        </w:r>
      </w:hyperlink>
      <w:r>
        <w:rPr>
          <w:rFonts w:cs="Calibri"/>
          <w:i/>
          <w:iCs/>
        </w:rPr>
        <w:t>.amazon.co.uk/</w:t>
      </w:r>
      <w:r>
        <w:rPr>
          <w:rFonts w:cs="Calibri"/>
          <w:i/>
          <w:iCs/>
        </w:rPr>
        <w:br/>
        <w:t>Nüwa-Mends-Heavens</w:t>
      </w:r>
      <w:r>
        <w:rPr>
          <w:rFonts w:cs="Calibri"/>
          <w:i/>
          <w:iCs/>
        </w:rPr>
        <w:br/>
        <w:t>-Hardcover-Chinese/</w:t>
      </w:r>
      <w:r>
        <w:rPr>
          <w:rFonts w:cs="Calibri"/>
          <w:i/>
          <w:iCs/>
        </w:rPr>
        <w:br/>
      </w:r>
      <w:proofErr w:type="spellStart"/>
      <w:r>
        <w:rPr>
          <w:rFonts w:cs="Calibri"/>
          <w:i/>
          <w:iCs/>
        </w:rPr>
        <w:t>dp</w:t>
      </w:r>
      <w:proofErr w:type="spellEnd"/>
      <w:r>
        <w:rPr>
          <w:rFonts w:cs="Calibri"/>
          <w:i/>
          <w:iCs/>
        </w:rPr>
        <w:t xml:space="preserve">/7558600448/ </w:t>
      </w:r>
    </w:p>
    <w:p w14:paraId="1761E78A" w14:textId="77777777" w:rsidR="00C9118D" w:rsidRDefault="00C9118D">
      <w:pPr>
        <w:spacing w:line="480" w:lineRule="auto"/>
        <w:rPr>
          <w:rFonts w:cs="Calibri"/>
          <w:sz w:val="24"/>
          <w:szCs w:val="24"/>
        </w:rPr>
      </w:pPr>
    </w:p>
    <w:p w14:paraId="21FC6111" w14:textId="77777777" w:rsidR="00C9118D" w:rsidRDefault="00C9118D">
      <w:pPr>
        <w:spacing w:line="480" w:lineRule="auto"/>
        <w:rPr>
          <w:rFonts w:cs="Calibri"/>
          <w:sz w:val="24"/>
          <w:szCs w:val="24"/>
        </w:rPr>
      </w:pPr>
    </w:p>
    <w:p w14:paraId="6A248B09" w14:textId="4293DAB7" w:rsidR="00C9118D" w:rsidRDefault="00000000">
      <w:pPr>
        <w:spacing w:line="480" w:lineRule="auto"/>
      </w:pPr>
      <w:r>
        <w:rPr>
          <w:rFonts w:cs="Calibri"/>
          <w:sz w:val="24"/>
          <w:szCs w:val="24"/>
        </w:rPr>
        <w:t>Birrell cites a variety of name variants for Fuxi, mostly on the theme of ‘sacrifice’ and ‘victim’.</w:t>
      </w:r>
      <w:r>
        <w:rPr>
          <w:rStyle w:val="FootnoteReference"/>
          <w:rFonts w:cs="Calibri"/>
          <w:sz w:val="24"/>
          <w:szCs w:val="24"/>
        </w:rPr>
        <w:footnoteReference w:id="55"/>
      </w:r>
      <w:r>
        <w:rPr>
          <w:rFonts w:cs="Calibri"/>
          <w:sz w:val="24"/>
          <w:szCs w:val="24"/>
        </w:rPr>
        <w:t xml:space="preserve"> Bodde interprets the name as Fuxi as ‘Subduer of Animals’.</w:t>
      </w:r>
      <w:r>
        <w:rPr>
          <w:rStyle w:val="FootnoteReference"/>
          <w:rFonts w:cs="Calibri"/>
          <w:sz w:val="24"/>
          <w:szCs w:val="24"/>
        </w:rPr>
        <w:footnoteReference w:id="56"/>
      </w:r>
      <w:r>
        <w:rPr>
          <w:rFonts w:cs="Calibri"/>
          <w:sz w:val="24"/>
          <w:szCs w:val="24"/>
        </w:rPr>
        <w:t xml:space="preserve"> These would seem to push his ‘historical’ existence into pre-Neolithic times: the idea of Fuxi as inventing string nets would assign him </w:t>
      </w:r>
      <w:r w:rsidR="000A01FF">
        <w:rPr>
          <w:rFonts w:cs="Calibri"/>
          <w:sz w:val="24"/>
          <w:szCs w:val="24"/>
        </w:rPr>
        <w:t xml:space="preserve">much </w:t>
      </w:r>
      <w:r>
        <w:rPr>
          <w:rFonts w:cs="Calibri"/>
          <w:sz w:val="24"/>
          <w:szCs w:val="24"/>
        </w:rPr>
        <w:t>further</w:t>
      </w:r>
      <w:r w:rsidR="000A01FF">
        <w:rPr>
          <w:rFonts w:cs="Calibri"/>
          <w:sz w:val="24"/>
          <w:szCs w:val="24"/>
        </w:rPr>
        <w:t xml:space="preserve"> back</w:t>
      </w:r>
      <w:r>
        <w:rPr>
          <w:rFonts w:cs="Calibri"/>
          <w:sz w:val="24"/>
          <w:szCs w:val="24"/>
        </w:rPr>
        <w:t xml:space="preserve">, </w:t>
      </w:r>
      <w:r w:rsidR="000A01FF">
        <w:rPr>
          <w:rFonts w:cs="Calibri"/>
          <w:sz w:val="24"/>
          <w:szCs w:val="24"/>
        </w:rPr>
        <w:t>in</w:t>
      </w:r>
      <w:r>
        <w:rPr>
          <w:rFonts w:cs="Calibri"/>
          <w:sz w:val="24"/>
          <w:szCs w:val="24"/>
        </w:rPr>
        <w:t xml:space="preserve">to the Upper Palaeolithic. The traditional assignment of Fuxi and Nüwa as two of the Three Divine Sovereigns and the link with the flood and Yu suggest that popular understanding dates them shortly before the Xia dynasty, </w:t>
      </w:r>
      <w:r>
        <w:rPr>
          <w:rFonts w:cs="Calibri"/>
          <w:sz w:val="24"/>
          <w:szCs w:val="24"/>
        </w:rPr>
        <w:lastRenderedPageBreak/>
        <w:t>itself around the beginning of the Chinese Bronze Age (c. 2000 BCE), a candidate point for the matriarchy-patriarchy shift.</w:t>
      </w:r>
      <w:r>
        <w:rPr>
          <w:rStyle w:val="FootnoteReference"/>
          <w:rFonts w:cs="Calibri"/>
          <w:sz w:val="24"/>
          <w:szCs w:val="24"/>
        </w:rPr>
        <w:footnoteReference w:id="57"/>
      </w:r>
      <w:r>
        <w:rPr>
          <w:rFonts w:cs="Calibri"/>
          <w:sz w:val="24"/>
          <w:szCs w:val="24"/>
        </w:rPr>
        <w:t xml:space="preserve"> </w:t>
      </w:r>
    </w:p>
    <w:p w14:paraId="16F6CB83" w14:textId="77777777" w:rsidR="00C9118D" w:rsidRDefault="00C9118D">
      <w:pPr>
        <w:spacing w:line="480" w:lineRule="auto"/>
        <w:rPr>
          <w:rFonts w:cs="Calibri"/>
          <w:sz w:val="24"/>
          <w:szCs w:val="24"/>
        </w:rPr>
      </w:pPr>
    </w:p>
    <w:p w14:paraId="14EA2201" w14:textId="77777777" w:rsidR="00C9118D" w:rsidRDefault="00000000">
      <w:pPr>
        <w:spacing w:line="480" w:lineRule="auto"/>
      </w:pPr>
      <w:r>
        <w:rPr>
          <w:rFonts w:cs="Calibri"/>
          <w:sz w:val="24"/>
          <w:szCs w:val="24"/>
        </w:rPr>
        <w:t>The most complex story of Fuxi individually claims him as inventor of China’s primary book-based divinatory system, the Yijing.</w:t>
      </w:r>
      <w:r>
        <w:rPr>
          <w:rStyle w:val="FootnoteReference"/>
          <w:rFonts w:cs="Calibri"/>
          <w:sz w:val="24"/>
          <w:szCs w:val="24"/>
        </w:rPr>
        <w:footnoteReference w:id="58"/>
      </w:r>
      <w:r>
        <w:rPr>
          <w:rFonts w:cs="Calibri"/>
          <w:sz w:val="24"/>
          <w:szCs w:val="24"/>
        </w:rPr>
        <w:t xml:space="preserve"> Shaughnessy cites the celebrated Han historian Sima Qian quoting the Zhou Changes:</w:t>
      </w:r>
      <w:r>
        <w:rPr>
          <w:rStyle w:val="FootnoteReference"/>
          <w:rFonts w:cs="Calibri"/>
          <w:sz w:val="24"/>
          <w:szCs w:val="24"/>
        </w:rPr>
        <w:footnoteReference w:id="59"/>
      </w:r>
    </w:p>
    <w:p w14:paraId="752749CA" w14:textId="77777777" w:rsidR="00C9118D" w:rsidRDefault="00000000">
      <w:pPr>
        <w:ind w:left="720"/>
      </w:pPr>
      <w:r>
        <w:rPr>
          <w:rFonts w:cs="Calibri"/>
          <w:sz w:val="24"/>
          <w:szCs w:val="24"/>
        </w:rPr>
        <w:t xml:space="preserve">Bao Xi looked up and contemplated the images in the heavens and looked down and contemplated the patterns on the earth…he invented the eight trigrams to </w:t>
      </w:r>
      <w:proofErr w:type="gramStart"/>
      <w:r>
        <w:rPr>
          <w:rFonts w:cs="Calibri"/>
          <w:sz w:val="24"/>
          <w:szCs w:val="24"/>
        </w:rPr>
        <w:t>enter into</w:t>
      </w:r>
      <w:proofErr w:type="gramEnd"/>
      <w:r>
        <w:rPr>
          <w:rFonts w:cs="Calibri"/>
          <w:sz w:val="24"/>
          <w:szCs w:val="24"/>
        </w:rPr>
        <w:t xml:space="preserve"> connection with the virtue of the light of the gods and  to regulate the condition of all beings.</w:t>
      </w:r>
      <w:r>
        <w:rPr>
          <w:rStyle w:val="FootnoteReference"/>
          <w:rFonts w:cs="Calibri"/>
          <w:sz w:val="24"/>
          <w:szCs w:val="24"/>
        </w:rPr>
        <w:footnoteReference w:id="60"/>
      </w:r>
    </w:p>
    <w:p w14:paraId="7F46CAE2" w14:textId="6116531C" w:rsidR="00C9118D" w:rsidRDefault="00000000">
      <w:pPr>
        <w:spacing w:line="480" w:lineRule="auto"/>
      </w:pPr>
      <w:r>
        <w:rPr>
          <w:rFonts w:cs="Calibri"/>
          <w:sz w:val="24"/>
          <w:szCs w:val="24"/>
        </w:rPr>
        <w:t xml:space="preserve">A popular story, perhaps of later origin, has Fuxi deriving the eight trigrams, the </w:t>
      </w:r>
      <w:r>
        <w:rPr>
          <w:rFonts w:cs="Calibri"/>
          <w:i/>
          <w:iCs/>
          <w:sz w:val="24"/>
          <w:szCs w:val="24"/>
        </w:rPr>
        <w:t xml:space="preserve">ba </w:t>
      </w:r>
      <w:proofErr w:type="spellStart"/>
      <w:r>
        <w:rPr>
          <w:rFonts w:cs="Calibri"/>
          <w:i/>
          <w:iCs/>
          <w:sz w:val="24"/>
          <w:szCs w:val="24"/>
        </w:rPr>
        <w:t>guà</w:t>
      </w:r>
      <w:proofErr w:type="spellEnd"/>
      <w:r>
        <w:rPr>
          <w:rFonts w:cs="Calibri"/>
          <w:i/>
          <w:iCs/>
          <w:sz w:val="24"/>
          <w:szCs w:val="24"/>
        </w:rPr>
        <w:t>,</w:t>
      </w:r>
      <w:r>
        <w:rPr>
          <w:rFonts w:cs="Calibri"/>
          <w:sz w:val="24"/>
          <w:szCs w:val="24"/>
        </w:rPr>
        <w:t xml:space="preserve"> after seeing patterns on the back of a turtle (or a ‘dragon horse’) emerging from the Yellow and/or Luo Rivers.</w:t>
      </w:r>
      <w:r>
        <w:rPr>
          <w:rStyle w:val="FootnoteReference"/>
          <w:rFonts w:cs="Calibri"/>
          <w:sz w:val="24"/>
          <w:szCs w:val="24"/>
        </w:rPr>
        <w:footnoteReference w:id="61"/>
      </w:r>
      <w:r>
        <w:rPr>
          <w:rFonts w:cs="Calibri"/>
          <w:sz w:val="24"/>
          <w:szCs w:val="24"/>
        </w:rPr>
        <w:t xml:space="preserve"> A vast number of turtle shells have been found at Shang-dynasty sites, used for pyromantic divination,</w:t>
      </w:r>
      <w:r>
        <w:rPr>
          <w:rStyle w:val="FootnoteReference"/>
          <w:rFonts w:cs="Calibri"/>
          <w:sz w:val="24"/>
          <w:szCs w:val="24"/>
        </w:rPr>
        <w:footnoteReference w:id="62"/>
      </w:r>
      <w:r>
        <w:rPr>
          <w:rFonts w:cs="Calibri"/>
          <w:sz w:val="24"/>
          <w:szCs w:val="24"/>
        </w:rPr>
        <w:t xml:space="preserve"> but, no clear process of derivation has ever been attempted by which the pattern of cracks could be mapped into the recorded divinatory meaning, nor do any extant shells have cracks at all similar to the Fuxi trigram </w:t>
      </w:r>
      <w:r>
        <w:rPr>
          <w:rFonts w:cs="Calibri"/>
          <w:sz w:val="24"/>
          <w:szCs w:val="24"/>
        </w:rPr>
        <w:lastRenderedPageBreak/>
        <w:t>arrangement.</w:t>
      </w:r>
      <w:r>
        <w:rPr>
          <w:rStyle w:val="FootnoteReference"/>
          <w:rFonts w:cs="Calibri"/>
          <w:sz w:val="24"/>
          <w:szCs w:val="24"/>
        </w:rPr>
        <w:footnoteReference w:id="63"/>
      </w:r>
      <w:r>
        <w:rPr>
          <w:rFonts w:cs="Calibri"/>
          <w:sz w:val="24"/>
          <w:szCs w:val="24"/>
        </w:rPr>
        <w:t xml:space="preserve"> The turtle story is consistent with Allan’s argument of the turtle as “model of the Shang cosmos” – plastron as Earth, upper shell as Heaven.</w:t>
      </w:r>
      <w:r>
        <w:rPr>
          <w:rStyle w:val="FootnoteReference"/>
          <w:rFonts w:cs="Calibri"/>
          <w:sz w:val="24"/>
          <w:szCs w:val="24"/>
        </w:rPr>
        <w:footnoteReference w:id="64"/>
      </w:r>
      <w:r>
        <w:rPr>
          <w:rFonts w:cs="Calibri"/>
          <w:sz w:val="24"/>
          <w:szCs w:val="24"/>
        </w:rPr>
        <w:t xml:space="preserve"> She argues the Earth’s shape was viewed not as a simple square, but rather as quadrate (central square with four surrounding squares) correlating this with the turtle shell,  the cross-quarter ‘tortoise leg’ pillars of Heaven and tomb design.</w:t>
      </w:r>
      <w:r>
        <w:rPr>
          <w:rStyle w:val="FootnoteReference"/>
          <w:rFonts w:cs="Calibri"/>
          <w:sz w:val="24"/>
          <w:szCs w:val="24"/>
        </w:rPr>
        <w:footnoteReference w:id="65"/>
      </w:r>
      <w:r>
        <w:rPr>
          <w:rFonts w:cs="Calibri"/>
          <w:sz w:val="24"/>
          <w:szCs w:val="24"/>
        </w:rPr>
        <w:t xml:space="preserve"> Turtles being primarily water creatures, divination thereby combined fire and water – a conjunction of Yin and Yang (exactly as are Fuxi and Nüwa).</w:t>
      </w:r>
      <w:r>
        <w:rPr>
          <w:rStyle w:val="FootnoteReference"/>
          <w:rFonts w:cs="Calibri"/>
          <w:sz w:val="24"/>
          <w:szCs w:val="24"/>
        </w:rPr>
        <w:footnoteReference w:id="66"/>
      </w:r>
    </w:p>
    <w:p w14:paraId="59E22DB8" w14:textId="77777777" w:rsidR="00C9118D" w:rsidRDefault="00C9118D">
      <w:pPr>
        <w:spacing w:line="480" w:lineRule="auto"/>
        <w:rPr>
          <w:rFonts w:cs="Calibri"/>
          <w:sz w:val="24"/>
          <w:szCs w:val="24"/>
        </w:rPr>
      </w:pPr>
    </w:p>
    <w:p w14:paraId="5500E228" w14:textId="77777777" w:rsidR="00C9118D" w:rsidRDefault="00000000">
      <w:pPr>
        <w:spacing w:line="480" w:lineRule="auto"/>
      </w:pPr>
      <w:r>
        <w:rPr>
          <w:rFonts w:cs="Calibri"/>
          <w:sz w:val="24"/>
          <w:szCs w:val="24"/>
        </w:rPr>
        <w:t>The logical coherence of the trigrams suggests to this writer that they derive from a single visionary / shamanic experience of Fuxi’s gift, perhaps on the lines of the illustration below, which seems also to show Fuxi as a ‘mountain-god’.</w:t>
      </w:r>
      <w:r>
        <w:rPr>
          <w:rStyle w:val="FootnoteReference"/>
          <w:rFonts w:cs="Calibri"/>
          <w:sz w:val="24"/>
          <w:szCs w:val="24"/>
        </w:rPr>
        <w:footnoteReference w:id="67"/>
      </w:r>
      <w:r>
        <w:rPr>
          <w:rFonts w:cs="Calibri"/>
          <w:sz w:val="24"/>
          <w:szCs w:val="24"/>
        </w:rPr>
        <w:t xml:space="preserve"> It may be noted however that this image shows the trigrams in ‘Later Heaven’ arrangement and not the ‘Earlier Heaven’ arrangement that is traditionally ascribed to Fuxi.</w:t>
      </w:r>
      <w:r>
        <w:rPr>
          <w:rStyle w:val="FootnoteReference"/>
          <w:rFonts w:cs="Calibri"/>
          <w:sz w:val="24"/>
          <w:szCs w:val="24"/>
        </w:rPr>
        <w:footnoteReference w:id="68"/>
      </w:r>
    </w:p>
    <w:p w14:paraId="1DF0EB1B" w14:textId="77777777" w:rsidR="00C9118D" w:rsidRDefault="00000000">
      <w:pPr>
        <w:spacing w:line="480" w:lineRule="auto"/>
      </w:pPr>
      <w:r>
        <w:rPr>
          <w:rFonts w:cs="Calibri"/>
          <w:noProof/>
          <w:sz w:val="24"/>
          <w:szCs w:val="24"/>
        </w:rPr>
        <w:lastRenderedPageBreak/>
        <w:drawing>
          <wp:anchor distT="0" distB="0" distL="114300" distR="114300" simplePos="0" relativeHeight="251663360" behindDoc="0" locked="0" layoutInCell="1" allowOverlap="1" wp14:anchorId="2AD2B101" wp14:editId="6FDD2B72">
            <wp:simplePos x="0" y="0"/>
            <wp:positionH relativeFrom="column">
              <wp:posOffset>0</wp:posOffset>
            </wp:positionH>
            <wp:positionV relativeFrom="paragraph">
              <wp:posOffset>0</wp:posOffset>
            </wp:positionV>
            <wp:extent cx="3504245" cy="2695578"/>
            <wp:effectExtent l="0" t="0" r="955" b="9522"/>
            <wp:wrapSquare wrapText="bothSides"/>
            <wp:docPr id="1201804622" name="Picture 2" descr="A drawing of a person with long hai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504245" cy="2695578"/>
                    </a:xfrm>
                    <a:prstGeom prst="rect">
                      <a:avLst/>
                    </a:prstGeom>
                    <a:noFill/>
                    <a:ln>
                      <a:noFill/>
                      <a:prstDash/>
                    </a:ln>
                  </pic:spPr>
                </pic:pic>
              </a:graphicData>
            </a:graphic>
          </wp:anchor>
        </w:drawing>
      </w:r>
    </w:p>
    <w:p w14:paraId="3E7824BB" w14:textId="77777777" w:rsidR="00C9118D" w:rsidRDefault="00000000">
      <w:pPr>
        <w:spacing w:line="360" w:lineRule="auto"/>
        <w:rPr>
          <w:rFonts w:cs="Calibri"/>
          <w:i/>
          <w:iCs/>
        </w:rPr>
      </w:pPr>
      <w:r>
        <w:rPr>
          <w:rFonts w:cs="Calibri"/>
          <w:i/>
          <w:iCs/>
        </w:rPr>
        <w:t xml:space="preserve">Woodcut from Li </w:t>
      </w:r>
      <w:proofErr w:type="spellStart"/>
      <w:r>
        <w:rPr>
          <w:rFonts w:cs="Calibri"/>
          <w:i/>
          <w:iCs/>
        </w:rPr>
        <w:t>ung</w:t>
      </w:r>
      <w:proofErr w:type="spellEnd"/>
      <w:r>
        <w:rPr>
          <w:rFonts w:cs="Calibri"/>
          <w:i/>
          <w:iCs/>
        </w:rPr>
        <w:t xml:space="preserve"> Bing - Outlines of Chinese History, Shanghai 1914, via Wikimedia Commons</w:t>
      </w:r>
    </w:p>
    <w:p w14:paraId="2225DD12" w14:textId="77777777" w:rsidR="00C9118D" w:rsidRDefault="00C9118D">
      <w:pPr>
        <w:spacing w:line="480" w:lineRule="auto"/>
        <w:rPr>
          <w:rFonts w:cs="Calibri"/>
          <w:sz w:val="24"/>
          <w:szCs w:val="24"/>
        </w:rPr>
      </w:pPr>
    </w:p>
    <w:p w14:paraId="219ECBCA" w14:textId="77777777" w:rsidR="00C9118D" w:rsidRDefault="00C9118D">
      <w:pPr>
        <w:spacing w:line="480" w:lineRule="auto"/>
        <w:rPr>
          <w:rFonts w:cs="Calibri"/>
          <w:sz w:val="24"/>
          <w:szCs w:val="24"/>
        </w:rPr>
      </w:pPr>
    </w:p>
    <w:p w14:paraId="63FCCC76" w14:textId="77777777" w:rsidR="00C9118D" w:rsidRDefault="00C9118D">
      <w:pPr>
        <w:spacing w:line="480" w:lineRule="auto"/>
        <w:rPr>
          <w:rFonts w:cs="Calibri"/>
          <w:sz w:val="24"/>
          <w:szCs w:val="24"/>
        </w:rPr>
      </w:pPr>
    </w:p>
    <w:p w14:paraId="743CC107" w14:textId="77777777" w:rsidR="00C9118D" w:rsidRDefault="00000000">
      <w:pPr>
        <w:spacing w:line="480" w:lineRule="auto"/>
      </w:pPr>
      <w:r>
        <w:rPr>
          <w:rFonts w:cs="Calibri"/>
          <w:sz w:val="24"/>
          <w:szCs w:val="24"/>
        </w:rPr>
        <w:t xml:space="preserve">The ‘Earlier Heaven’ arrangement, surrounding the Yin-Yang </w:t>
      </w:r>
      <w:r>
        <w:rPr>
          <w:rFonts w:cs="Calibri"/>
          <w:i/>
          <w:iCs/>
          <w:sz w:val="24"/>
          <w:szCs w:val="24"/>
        </w:rPr>
        <w:t>taijitu</w:t>
      </w:r>
      <w:r>
        <w:rPr>
          <w:rFonts w:cs="Calibri"/>
          <w:sz w:val="24"/>
          <w:szCs w:val="24"/>
        </w:rPr>
        <w:t>, was adopted as a principal diagram of Daoism.</w:t>
      </w:r>
      <w:r>
        <w:rPr>
          <w:rStyle w:val="FootnoteReference"/>
          <w:rFonts w:cs="Calibri"/>
          <w:sz w:val="24"/>
          <w:szCs w:val="24"/>
        </w:rPr>
        <w:footnoteReference w:id="69"/>
      </w:r>
    </w:p>
    <w:p w14:paraId="59C6148A" w14:textId="77777777" w:rsidR="00C9118D" w:rsidRDefault="00C9118D">
      <w:pPr>
        <w:spacing w:line="480" w:lineRule="auto"/>
        <w:rPr>
          <w:rFonts w:cs="Calibri"/>
          <w:sz w:val="24"/>
          <w:szCs w:val="24"/>
        </w:rPr>
      </w:pPr>
    </w:p>
    <w:p w14:paraId="1F0EDAA9" w14:textId="77777777" w:rsidR="00C9118D" w:rsidRDefault="00000000">
      <w:pPr>
        <w:spacing w:line="480" w:lineRule="auto"/>
      </w:pPr>
      <w:r>
        <w:rPr>
          <w:rFonts w:cs="Calibri"/>
          <w:sz w:val="24"/>
          <w:szCs w:val="24"/>
        </w:rPr>
        <w:t>Sima Qian ascribes the ‘doubling’ of the trigrams to King Wen, supposedly founder of the Zhou dynasty.</w:t>
      </w:r>
      <w:r>
        <w:rPr>
          <w:rStyle w:val="FootnoteReference"/>
          <w:rFonts w:cs="Calibri"/>
          <w:sz w:val="24"/>
          <w:szCs w:val="24"/>
        </w:rPr>
        <w:footnoteReference w:id="70"/>
      </w:r>
      <w:r>
        <w:rPr>
          <w:rFonts w:cs="Calibri"/>
          <w:sz w:val="24"/>
          <w:szCs w:val="24"/>
        </w:rPr>
        <w:t xml:space="preserve"> This would seem to contradict the later tradition of a specific hexagram arrangement (sequence) ascribed to Fuxi, entirely different from the ‘received‘ ‘King Wen’ version. The ‘Fuxi arrangement’ has a straightforward binary logic, whereas the 'King Wen arrangement’ rather more resembles the unfolding of a Hegelian dialectic.</w:t>
      </w:r>
      <w:r>
        <w:rPr>
          <w:rStyle w:val="FootnoteReference"/>
          <w:rFonts w:cs="Calibri"/>
          <w:sz w:val="24"/>
          <w:szCs w:val="24"/>
        </w:rPr>
        <w:footnoteReference w:id="71"/>
      </w:r>
      <w:r>
        <w:rPr>
          <w:rFonts w:cs="Calibri"/>
          <w:sz w:val="24"/>
          <w:szCs w:val="24"/>
        </w:rPr>
        <w:t xml:space="preserve"> Walker unequivocally (but without any clear evidence) argues the change in arrangement as </w:t>
      </w:r>
      <w:r>
        <w:rPr>
          <w:rFonts w:cs="Calibri"/>
          <w:sz w:val="24"/>
          <w:szCs w:val="24"/>
        </w:rPr>
        <w:lastRenderedPageBreak/>
        <w:t>‘muddled and arbitrary’ and as patriarchal destruction of earlier matriarchal works.</w:t>
      </w:r>
      <w:r>
        <w:rPr>
          <w:rStyle w:val="FootnoteReference"/>
          <w:rFonts w:cs="Calibri"/>
          <w:sz w:val="24"/>
          <w:szCs w:val="24"/>
        </w:rPr>
        <w:footnoteReference w:id="72"/>
      </w:r>
      <w:r>
        <w:rPr>
          <w:rFonts w:cs="Calibri"/>
          <w:sz w:val="24"/>
          <w:szCs w:val="24"/>
        </w:rPr>
        <w:t xml:space="preserve"> It is difficult nonetheless to see why a later writer might retrospectively ascribe something arguably ‘more logical': it is therefore suggested that the Fuxi arrangement genuinely did have priority.</w:t>
      </w:r>
      <w:r>
        <w:rPr>
          <w:rStyle w:val="FootnoteReference"/>
          <w:rFonts w:cs="Calibri"/>
          <w:sz w:val="24"/>
          <w:szCs w:val="24"/>
        </w:rPr>
        <w:footnoteReference w:id="73"/>
      </w:r>
      <w:r>
        <w:rPr>
          <w:rFonts w:cs="Calibri"/>
          <w:sz w:val="24"/>
          <w:szCs w:val="24"/>
        </w:rPr>
        <w:t xml:space="preserve"> </w:t>
      </w:r>
    </w:p>
    <w:p w14:paraId="17E747C9" w14:textId="77777777" w:rsidR="00C9118D" w:rsidRDefault="00C9118D">
      <w:pPr>
        <w:spacing w:line="480" w:lineRule="auto"/>
        <w:rPr>
          <w:rFonts w:cs="Calibri"/>
          <w:sz w:val="24"/>
          <w:szCs w:val="24"/>
        </w:rPr>
      </w:pPr>
    </w:p>
    <w:p w14:paraId="1EB99AF3" w14:textId="77777777" w:rsidR="00C9118D" w:rsidRDefault="00000000">
      <w:pPr>
        <w:spacing w:line="480" w:lineRule="auto"/>
      </w:pPr>
      <w:r>
        <w:rPr>
          <w:rFonts w:cs="Calibri"/>
          <w:i/>
          <w:iCs/>
          <w:noProof/>
        </w:rPr>
        <w:drawing>
          <wp:anchor distT="0" distB="0" distL="114300" distR="114300" simplePos="0" relativeHeight="251665408" behindDoc="0" locked="0" layoutInCell="1" allowOverlap="1" wp14:anchorId="12D89FD4" wp14:editId="1B783700">
            <wp:simplePos x="0" y="0"/>
            <wp:positionH relativeFrom="margin">
              <wp:align>left</wp:align>
            </wp:positionH>
            <wp:positionV relativeFrom="paragraph">
              <wp:posOffset>1878963</wp:posOffset>
            </wp:positionV>
            <wp:extent cx="4695828" cy="1924053"/>
            <wp:effectExtent l="0" t="0" r="9522" b="0"/>
            <wp:wrapSquare wrapText="bothSides"/>
            <wp:docPr id="414804034" name="Picture 2" descr="A drawing of a tree and bird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695828" cy="1924053"/>
                    </a:xfrm>
                    <a:prstGeom prst="rect">
                      <a:avLst/>
                    </a:prstGeom>
                    <a:noFill/>
                    <a:ln>
                      <a:noFill/>
                      <a:prstDash/>
                    </a:ln>
                  </pic:spPr>
                </pic:pic>
              </a:graphicData>
            </a:graphic>
          </wp:anchor>
        </w:drawing>
      </w:r>
      <w:r>
        <w:rPr>
          <w:rFonts w:cs="Calibri"/>
          <w:sz w:val="24"/>
          <w:szCs w:val="24"/>
        </w:rPr>
        <w:t>Usually treated as little more than a footnote, both Fuxi and Nüwa are credited with the invention of musical instruments: the music produced thereby was not ‘artform’ but would have been for people to dance.</w:t>
      </w:r>
      <w:r>
        <w:rPr>
          <w:rStyle w:val="FootnoteReference"/>
          <w:rFonts w:cs="Calibri"/>
          <w:sz w:val="24"/>
          <w:szCs w:val="24"/>
        </w:rPr>
        <w:footnoteReference w:id="74"/>
      </w:r>
      <w:r>
        <w:rPr>
          <w:rFonts w:cs="Calibri"/>
          <w:sz w:val="24"/>
          <w:szCs w:val="24"/>
        </w:rPr>
        <w:t xml:space="preserve"> Further, as inventors of music, they “open the door for the spirit of the shaman who requires music to make the journey”.</w:t>
      </w:r>
      <w:r>
        <w:rPr>
          <w:rStyle w:val="FootnoteReference"/>
          <w:rFonts w:cs="Calibri"/>
          <w:sz w:val="24"/>
          <w:szCs w:val="24"/>
        </w:rPr>
        <w:footnoteReference w:id="75"/>
      </w:r>
      <w:r>
        <w:rPr>
          <w:rFonts w:cs="Calibri"/>
          <w:sz w:val="24"/>
          <w:szCs w:val="24"/>
        </w:rPr>
        <w:t xml:space="preserve"> A feature of the Fuxi-Nüwa imagery even more but footnoted is the wide sleeves of the deities’ garments.</w:t>
      </w:r>
      <w:r>
        <w:rPr>
          <w:rStyle w:val="FootnoteReference"/>
          <w:rFonts w:cs="Calibri"/>
          <w:sz w:val="24"/>
          <w:szCs w:val="24"/>
        </w:rPr>
        <w:footnoteReference w:id="76"/>
      </w:r>
      <w:r>
        <w:rPr>
          <w:rFonts w:cs="Calibri"/>
          <w:sz w:val="24"/>
          <w:szCs w:val="24"/>
        </w:rPr>
        <w:t xml:space="preserve"> </w:t>
      </w:r>
    </w:p>
    <w:p w14:paraId="517A2734" w14:textId="77777777" w:rsidR="00C9118D" w:rsidRDefault="00000000">
      <w:r>
        <w:rPr>
          <w:rFonts w:cs="Calibri"/>
          <w:i/>
          <w:iCs/>
        </w:rPr>
        <w:t>Wu</w:t>
      </w:r>
      <w:r>
        <w:rPr>
          <w:rFonts w:cs="Calibri"/>
        </w:rPr>
        <w:t xml:space="preserve"> </w:t>
      </w:r>
      <w:r>
        <w:rPr>
          <w:rFonts w:cs="Calibri"/>
          <w:i/>
          <w:iCs/>
        </w:rPr>
        <w:t xml:space="preserve">dancing and drumming outdoors. From Dashu, 2011: described as a bronze from </w:t>
      </w:r>
      <w:proofErr w:type="spellStart"/>
      <w:r>
        <w:rPr>
          <w:rFonts w:cs="Calibri"/>
          <w:i/>
          <w:iCs/>
        </w:rPr>
        <w:t>Pingdu</w:t>
      </w:r>
      <w:proofErr w:type="spellEnd"/>
      <w:r>
        <w:rPr>
          <w:rFonts w:cs="Calibri"/>
          <w:i/>
          <w:iCs/>
        </w:rPr>
        <w:t>, Shandong.</w:t>
      </w:r>
      <w:r>
        <w:rPr>
          <w:rStyle w:val="FootnoteReference"/>
          <w:rFonts w:cs="Calibri"/>
          <w:i/>
          <w:iCs/>
        </w:rPr>
        <w:footnoteReference w:id="77"/>
      </w:r>
    </w:p>
    <w:p w14:paraId="563EE84E" w14:textId="77777777" w:rsidR="00C9118D" w:rsidRDefault="00000000">
      <w:pPr>
        <w:spacing w:line="480" w:lineRule="auto"/>
      </w:pPr>
      <w:r>
        <w:rPr>
          <w:rFonts w:cs="Calibri"/>
          <w:noProof/>
          <w:sz w:val="24"/>
          <w:szCs w:val="24"/>
        </w:rPr>
        <w:lastRenderedPageBreak/>
        <w:drawing>
          <wp:anchor distT="0" distB="0" distL="114300" distR="114300" simplePos="0" relativeHeight="251667456" behindDoc="0" locked="0" layoutInCell="1" allowOverlap="1" wp14:anchorId="6DE2AA34" wp14:editId="2BA8775E">
            <wp:simplePos x="0" y="0"/>
            <wp:positionH relativeFrom="column">
              <wp:posOffset>0</wp:posOffset>
            </wp:positionH>
            <wp:positionV relativeFrom="paragraph">
              <wp:posOffset>0</wp:posOffset>
            </wp:positionV>
            <wp:extent cx="3787371" cy="3571874"/>
            <wp:effectExtent l="0" t="0" r="3579" b="0"/>
            <wp:wrapSquare wrapText="bothSides"/>
            <wp:docPr id="1698093986" name="Picture 5" descr="A black and white image of a pers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787371" cy="3571874"/>
                    </a:xfrm>
                    <a:prstGeom prst="rect">
                      <a:avLst/>
                    </a:prstGeom>
                    <a:noFill/>
                    <a:ln>
                      <a:noFill/>
                      <a:prstDash/>
                    </a:ln>
                  </pic:spPr>
                </pic:pic>
              </a:graphicData>
            </a:graphic>
          </wp:anchor>
        </w:drawing>
      </w:r>
    </w:p>
    <w:p w14:paraId="4662E030" w14:textId="77777777" w:rsidR="00C9118D" w:rsidRDefault="00C9118D">
      <w:pPr>
        <w:spacing w:line="480" w:lineRule="auto"/>
        <w:rPr>
          <w:rFonts w:cs="Calibri"/>
          <w:sz w:val="24"/>
          <w:szCs w:val="24"/>
        </w:rPr>
      </w:pPr>
    </w:p>
    <w:p w14:paraId="5A3F61D6" w14:textId="77777777" w:rsidR="00C9118D" w:rsidRDefault="00000000">
      <w:r>
        <w:rPr>
          <w:rFonts w:cs="Calibri"/>
          <w:i/>
          <w:iCs/>
        </w:rPr>
        <w:t xml:space="preserve">Wu-shaman with long sleeves, painted on a zither excavated from </w:t>
      </w:r>
      <w:proofErr w:type="spellStart"/>
      <w:r>
        <w:rPr>
          <w:rFonts w:cs="Calibri"/>
          <w:i/>
          <w:iCs/>
        </w:rPr>
        <w:t>Changtaiguan</w:t>
      </w:r>
      <w:proofErr w:type="spellEnd"/>
      <w:r>
        <w:rPr>
          <w:rFonts w:cs="Calibri"/>
          <w:i/>
          <w:iCs/>
        </w:rPr>
        <w:t>, Xinyang, Henan.</w:t>
      </w:r>
      <w:r>
        <w:rPr>
          <w:rStyle w:val="FootnoteReference"/>
          <w:rFonts w:cs="Calibri"/>
          <w:i/>
          <w:iCs/>
        </w:rPr>
        <w:footnoteReference w:id="78"/>
      </w:r>
      <w:r>
        <w:rPr>
          <w:rFonts w:cs="Calibri"/>
          <w:i/>
          <w:iCs/>
        </w:rPr>
        <w:t xml:space="preserve"> </w:t>
      </w:r>
    </w:p>
    <w:p w14:paraId="4C9924C2" w14:textId="77777777" w:rsidR="00C9118D" w:rsidRDefault="00C9118D">
      <w:pPr>
        <w:spacing w:line="480" w:lineRule="auto"/>
        <w:rPr>
          <w:rFonts w:cs="Calibri"/>
          <w:sz w:val="24"/>
          <w:szCs w:val="24"/>
        </w:rPr>
      </w:pPr>
    </w:p>
    <w:p w14:paraId="2A241466" w14:textId="77777777" w:rsidR="00C9118D" w:rsidRDefault="00C9118D">
      <w:pPr>
        <w:spacing w:line="480" w:lineRule="auto"/>
        <w:rPr>
          <w:rFonts w:cs="Calibri"/>
          <w:sz w:val="24"/>
          <w:szCs w:val="24"/>
        </w:rPr>
      </w:pPr>
    </w:p>
    <w:p w14:paraId="452F5270" w14:textId="77777777" w:rsidR="00C9118D" w:rsidRDefault="00C9118D">
      <w:pPr>
        <w:spacing w:line="480" w:lineRule="auto"/>
        <w:rPr>
          <w:rFonts w:cs="Calibri"/>
          <w:sz w:val="24"/>
          <w:szCs w:val="24"/>
        </w:rPr>
      </w:pPr>
    </w:p>
    <w:p w14:paraId="437A742B" w14:textId="77777777" w:rsidR="00C9118D" w:rsidRDefault="00C9118D">
      <w:pPr>
        <w:spacing w:line="480" w:lineRule="auto"/>
        <w:rPr>
          <w:rFonts w:cs="Calibri"/>
          <w:sz w:val="24"/>
          <w:szCs w:val="24"/>
        </w:rPr>
      </w:pPr>
    </w:p>
    <w:p w14:paraId="4BC77B86" w14:textId="77777777" w:rsidR="00C9118D" w:rsidRDefault="00C9118D">
      <w:pPr>
        <w:spacing w:line="480" w:lineRule="auto"/>
        <w:rPr>
          <w:rFonts w:cs="Calibri"/>
          <w:sz w:val="24"/>
          <w:szCs w:val="24"/>
        </w:rPr>
      </w:pPr>
    </w:p>
    <w:p w14:paraId="3EDA9EB8" w14:textId="291871E1" w:rsidR="00C9118D" w:rsidRDefault="00000000">
      <w:pPr>
        <w:spacing w:line="480" w:lineRule="auto"/>
      </w:pPr>
      <w:r>
        <w:rPr>
          <w:rFonts w:cs="Calibri"/>
          <w:sz w:val="24"/>
          <w:szCs w:val="24"/>
        </w:rPr>
        <w:t>Not just ‘fashion’, sleeves seem to be spiritually significant. A Han dynasty tomb-tile showing "long-sleeved dancers" exactly matches a modern folk-dance ‘water sleeve dress’.</w:t>
      </w:r>
      <w:r>
        <w:rPr>
          <w:rStyle w:val="FootnoteReference"/>
          <w:rFonts w:cs="Calibri"/>
          <w:sz w:val="24"/>
          <w:szCs w:val="24"/>
        </w:rPr>
        <w:footnoteReference w:id="79"/>
      </w:r>
      <w:r>
        <w:rPr>
          <w:rFonts w:cs="Calibri"/>
          <w:sz w:val="24"/>
          <w:szCs w:val="24"/>
        </w:rPr>
        <w:t xml:space="preserve"> Erickson writes of the sleeve-dancers connecting Heaven, Earth and Underworld, a role that is fundamentally shamanic.</w:t>
      </w:r>
      <w:r>
        <w:rPr>
          <w:rStyle w:val="FootnoteReference"/>
          <w:rFonts w:cs="Calibri"/>
          <w:sz w:val="24"/>
          <w:szCs w:val="24"/>
        </w:rPr>
        <w:footnoteReference w:id="80"/>
      </w:r>
      <w:r>
        <w:rPr>
          <w:rFonts w:cs="Calibri"/>
          <w:sz w:val="24"/>
          <w:szCs w:val="24"/>
        </w:rPr>
        <w:t xml:space="preserve"> </w:t>
      </w:r>
      <w:r w:rsidR="00AC13DE">
        <w:rPr>
          <w:rFonts w:cs="Calibri"/>
          <w:sz w:val="24"/>
          <w:szCs w:val="24"/>
        </w:rPr>
        <w:t xml:space="preserve">Ching argues that the homophony of the word </w:t>
      </w:r>
      <w:proofErr w:type="spellStart"/>
      <w:r w:rsidR="00AC13DE">
        <w:rPr>
          <w:rFonts w:cs="Calibri"/>
          <w:sz w:val="24"/>
          <w:szCs w:val="24"/>
        </w:rPr>
        <w:t>wu</w:t>
      </w:r>
      <w:proofErr w:type="spellEnd"/>
      <w:r w:rsidR="00AC13DE">
        <w:rPr>
          <w:rFonts w:cs="Calibri"/>
          <w:sz w:val="24"/>
          <w:szCs w:val="24"/>
        </w:rPr>
        <w:t xml:space="preserve"> (shaman / dance) indicates the connection.</w:t>
      </w:r>
      <w:r w:rsidR="00AC13DE">
        <w:rPr>
          <w:rStyle w:val="FootnoteReference"/>
          <w:rFonts w:cs="Calibri"/>
          <w:sz w:val="24"/>
          <w:szCs w:val="24"/>
        </w:rPr>
        <w:footnoteReference w:id="81"/>
      </w:r>
      <w:r w:rsidR="00AC13DE">
        <w:rPr>
          <w:rFonts w:cs="Calibri"/>
          <w:sz w:val="24"/>
          <w:szCs w:val="24"/>
        </w:rPr>
        <w:t xml:space="preserve"> </w:t>
      </w:r>
      <w:r>
        <w:rPr>
          <w:rFonts w:cs="Calibri"/>
          <w:sz w:val="24"/>
          <w:szCs w:val="24"/>
        </w:rPr>
        <w:t xml:space="preserve">Barber, writing about dance traditions in Eastern Europe </w:t>
      </w:r>
      <w:r>
        <w:rPr>
          <w:rFonts w:cs="Calibri"/>
          <w:sz w:val="24"/>
          <w:szCs w:val="24"/>
        </w:rPr>
        <w:lastRenderedPageBreak/>
        <w:t xml:space="preserve">argues long sleeves as primary attributes of dancing </w:t>
      </w:r>
      <w:proofErr w:type="spellStart"/>
      <w:r>
        <w:rPr>
          <w:rFonts w:cs="Calibri"/>
          <w:sz w:val="24"/>
          <w:szCs w:val="24"/>
        </w:rPr>
        <w:t>Vily</w:t>
      </w:r>
      <w:proofErr w:type="spellEnd"/>
      <w:r>
        <w:rPr>
          <w:rFonts w:cs="Calibri"/>
          <w:sz w:val="24"/>
          <w:szCs w:val="24"/>
        </w:rPr>
        <w:t xml:space="preserve"> Goddesses.</w:t>
      </w:r>
      <w:r>
        <w:rPr>
          <w:rStyle w:val="FootnoteReference"/>
          <w:rFonts w:cs="Calibri"/>
          <w:sz w:val="24"/>
          <w:szCs w:val="24"/>
        </w:rPr>
        <w:footnoteReference w:id="82"/>
      </w:r>
      <w:r>
        <w:rPr>
          <w:rFonts w:cs="Calibri"/>
          <w:sz w:val="24"/>
          <w:szCs w:val="24"/>
        </w:rPr>
        <w:t xml:space="preserve"> It is suggested that the sleeves are not just indicators of material status , but rather clearly mark Fuxi and Nüwa as ‘shamanic deities’.</w:t>
      </w:r>
      <w:r>
        <w:rPr>
          <w:rStyle w:val="FootnoteReference"/>
          <w:rFonts w:cs="Calibri"/>
          <w:sz w:val="24"/>
          <w:szCs w:val="24"/>
        </w:rPr>
        <w:footnoteReference w:id="83"/>
      </w:r>
    </w:p>
    <w:p w14:paraId="6407C6EB" w14:textId="77777777" w:rsidR="00C9118D" w:rsidRDefault="00C9118D">
      <w:pPr>
        <w:spacing w:line="480" w:lineRule="auto"/>
        <w:rPr>
          <w:rFonts w:cs="Calibri"/>
          <w:sz w:val="24"/>
          <w:szCs w:val="24"/>
        </w:rPr>
      </w:pPr>
    </w:p>
    <w:p w14:paraId="1967098E" w14:textId="77777777" w:rsidR="00C9118D" w:rsidRDefault="00000000">
      <w:pPr>
        <w:spacing w:line="480" w:lineRule="auto"/>
      </w:pPr>
      <w:r>
        <w:rPr>
          <w:rFonts w:cs="Calibri"/>
          <w:sz w:val="24"/>
          <w:szCs w:val="24"/>
        </w:rPr>
        <w:t>In early twentieth century China a dichotomy was invented between</w:t>
      </w:r>
      <w:r>
        <w:rPr>
          <w:sz w:val="24"/>
          <w:szCs w:val="24"/>
        </w:rPr>
        <w:t xml:space="preserve"> </w:t>
      </w:r>
      <w:proofErr w:type="spellStart"/>
      <w:r>
        <w:rPr>
          <w:i/>
          <w:iCs/>
          <w:sz w:val="24"/>
          <w:szCs w:val="24"/>
        </w:rPr>
        <w:t>zongjiao</w:t>
      </w:r>
      <w:proofErr w:type="spellEnd"/>
      <w:r>
        <w:rPr>
          <w:sz w:val="24"/>
          <w:szCs w:val="24"/>
        </w:rPr>
        <w:t>/ (institutionalised) ’religion’</w:t>
      </w:r>
      <w:r>
        <w:rPr>
          <w:rFonts w:cs="Calibri"/>
          <w:sz w:val="24"/>
          <w:szCs w:val="24"/>
        </w:rPr>
        <w:t xml:space="preserve"> and </w:t>
      </w:r>
      <w:proofErr w:type="spellStart"/>
      <w:r>
        <w:rPr>
          <w:rFonts w:cs="Calibri"/>
          <w:i/>
          <w:iCs/>
          <w:sz w:val="24"/>
          <w:szCs w:val="24"/>
        </w:rPr>
        <w:t>mixin</w:t>
      </w:r>
      <w:proofErr w:type="spellEnd"/>
      <w:r>
        <w:rPr>
          <w:rFonts w:cs="Calibri"/>
          <w:sz w:val="24"/>
          <w:szCs w:val="24"/>
        </w:rPr>
        <w:t xml:space="preserve"> / (‘feudal’) ‘superstition’: this rapidly gained the character of ‘hegemonic discourse’ such that Goossaert cites ‘old ladies’ happily saying that “I don’t believe in religion, I believe in superstition”.</w:t>
      </w:r>
      <w:r>
        <w:rPr>
          <w:rStyle w:val="FootnoteReference"/>
          <w:rFonts w:cs="Calibri"/>
          <w:sz w:val="24"/>
          <w:szCs w:val="24"/>
        </w:rPr>
        <w:t xml:space="preserve"> </w:t>
      </w:r>
      <w:r>
        <w:rPr>
          <w:rStyle w:val="FootnoteReference"/>
          <w:rFonts w:cs="Calibri"/>
          <w:sz w:val="24"/>
          <w:szCs w:val="24"/>
        </w:rPr>
        <w:footnoteReference w:id="84"/>
      </w:r>
      <w:r>
        <w:rPr>
          <w:rFonts w:cs="Calibri"/>
          <w:sz w:val="24"/>
          <w:szCs w:val="24"/>
        </w:rPr>
        <w:t xml:space="preserve"> More recently however, the official Chinese government position has effectively redefined ‘popular religion’ from ‘superstition’ to ‘Intangible Cultural Heritage’</w:t>
      </w:r>
      <w:r>
        <w:rPr>
          <w:rStyle w:val="FootnoteReference"/>
          <w:rFonts w:cs="Calibri"/>
          <w:sz w:val="24"/>
          <w:szCs w:val="24"/>
        </w:rPr>
        <w:footnoteReference w:id="85"/>
      </w:r>
      <w:r>
        <w:rPr>
          <w:rFonts w:cs="Calibri"/>
          <w:sz w:val="24"/>
          <w:szCs w:val="24"/>
        </w:rPr>
        <w:t xml:space="preserve"> This policy is certainly a generator of tourist income and is considered to “enhance the cohesion of the nation”.</w:t>
      </w:r>
      <w:r>
        <w:rPr>
          <w:rStyle w:val="FootnoteReference"/>
          <w:rFonts w:cs="Calibri"/>
          <w:sz w:val="24"/>
          <w:szCs w:val="24"/>
        </w:rPr>
        <w:footnoteReference w:id="86"/>
      </w:r>
      <w:r>
        <w:rPr>
          <w:rFonts w:cs="Calibri"/>
          <w:sz w:val="24"/>
          <w:szCs w:val="24"/>
        </w:rPr>
        <w:t xml:space="preserve"> It has undoubtedly raised the ‘status and prestige’ of popular religion, but shifts ownership and control of both ‘religious assets’ and the ’religious process’ from the immediate community towards the state. Commercialisation of religions is encouraged together with a wider process that threatens </w:t>
      </w:r>
      <w:r>
        <w:rPr>
          <w:rFonts w:cs="Calibri"/>
          <w:sz w:val="24"/>
          <w:szCs w:val="24"/>
        </w:rPr>
        <w:lastRenderedPageBreak/>
        <w:t>popular religion “ losing its spiritual significance and symbolic meaning”, arguably effecting a transformation of worship into spectacle.</w:t>
      </w:r>
      <w:r>
        <w:rPr>
          <w:rStyle w:val="FootnoteReference"/>
          <w:rFonts w:cs="Calibri"/>
          <w:sz w:val="24"/>
          <w:szCs w:val="24"/>
        </w:rPr>
        <w:footnoteReference w:id="87"/>
      </w:r>
    </w:p>
    <w:p w14:paraId="20E63A72" w14:textId="77777777" w:rsidR="00C9118D" w:rsidRDefault="00C9118D">
      <w:pPr>
        <w:spacing w:line="480" w:lineRule="auto"/>
        <w:rPr>
          <w:rFonts w:cs="Calibri"/>
          <w:sz w:val="24"/>
          <w:szCs w:val="24"/>
        </w:rPr>
      </w:pPr>
    </w:p>
    <w:p w14:paraId="3B5CE12F" w14:textId="77777777" w:rsidR="00C9118D" w:rsidRDefault="00000000">
      <w:pPr>
        <w:spacing w:line="480" w:lineRule="auto"/>
      </w:pPr>
      <w:r>
        <w:rPr>
          <w:rFonts w:cs="Calibri"/>
          <w:sz w:val="24"/>
          <w:szCs w:val="24"/>
        </w:rPr>
        <w:t xml:space="preserve">A festival of Fuxi is now held annually at Tianshui, northwest China's Gansu Province, considered his birthplace </w:t>
      </w:r>
      <w:r>
        <w:rPr>
          <w:rStyle w:val="FootnoteReference"/>
          <w:rFonts w:cs="Calibri"/>
          <w:sz w:val="24"/>
          <w:szCs w:val="24"/>
        </w:rPr>
        <w:footnoteReference w:id="88"/>
      </w:r>
      <w:r>
        <w:rPr>
          <w:rFonts w:cs="Calibri"/>
          <w:sz w:val="24"/>
          <w:szCs w:val="24"/>
        </w:rPr>
        <w:t>. The birthday of Nüwa is celebrated in She county, Henan province (supposedly the location of her cosmic repair), during March each year – the festival includes a women-only dance.</w:t>
      </w:r>
      <w:r>
        <w:rPr>
          <w:rStyle w:val="FootnoteReference"/>
          <w:rFonts w:cs="Calibri"/>
          <w:sz w:val="24"/>
          <w:szCs w:val="24"/>
        </w:rPr>
        <w:footnoteReference w:id="89"/>
      </w:r>
      <w:r>
        <w:rPr>
          <w:rFonts w:cs="Calibri"/>
          <w:sz w:val="24"/>
          <w:szCs w:val="24"/>
        </w:rPr>
        <w:t xml:space="preserve"> The China Daily website uses the term ‘worship’ for this celebration.</w:t>
      </w:r>
      <w:r>
        <w:rPr>
          <w:rStyle w:val="FootnoteReference"/>
          <w:rFonts w:cs="Calibri"/>
          <w:sz w:val="24"/>
          <w:szCs w:val="24"/>
        </w:rPr>
        <w:footnoteReference w:id="90"/>
      </w:r>
      <w:r>
        <w:rPr>
          <w:rFonts w:cs="Calibri"/>
          <w:sz w:val="24"/>
          <w:szCs w:val="24"/>
        </w:rPr>
        <w:t xml:space="preserve"> The religious celebration of Fuxi and Nüwa seems alive and well: it may well have spanned a period of at least four thousand years and appears to be flourishing in a further millennium.</w:t>
      </w:r>
    </w:p>
    <w:p w14:paraId="298C5D0C" w14:textId="77777777" w:rsidR="00DD215E" w:rsidRDefault="00DD215E">
      <w:pPr>
        <w:suppressAutoHyphens w:val="0"/>
        <w:rPr>
          <w:rFonts w:cs="Calibri"/>
          <w:sz w:val="24"/>
          <w:szCs w:val="24"/>
          <w:u w:val="single"/>
        </w:rPr>
      </w:pPr>
      <w:r>
        <w:rPr>
          <w:rFonts w:cs="Calibri"/>
          <w:sz w:val="24"/>
          <w:szCs w:val="24"/>
          <w:u w:val="single"/>
        </w:rPr>
        <w:br w:type="page"/>
      </w:r>
    </w:p>
    <w:p w14:paraId="728D7CB4" w14:textId="3CA88F40" w:rsidR="00C9118D" w:rsidRDefault="00000000">
      <w:pPr>
        <w:spacing w:line="480" w:lineRule="auto"/>
        <w:rPr>
          <w:rFonts w:cs="Calibri"/>
          <w:sz w:val="24"/>
          <w:szCs w:val="24"/>
          <w:u w:val="single"/>
        </w:rPr>
      </w:pPr>
      <w:r>
        <w:rPr>
          <w:rFonts w:cs="Calibri"/>
          <w:sz w:val="24"/>
          <w:szCs w:val="24"/>
          <w:u w:val="single"/>
        </w:rPr>
        <w:lastRenderedPageBreak/>
        <w:t>Works Cited</w:t>
      </w:r>
    </w:p>
    <w:p w14:paraId="7A8D7E66" w14:textId="77777777" w:rsidR="00DD215E" w:rsidRPr="00DD215E" w:rsidRDefault="00DD215E" w:rsidP="00DD215E">
      <w:pPr>
        <w:rPr>
          <w:sz w:val="24"/>
          <w:szCs w:val="24"/>
        </w:rPr>
      </w:pPr>
      <w:r w:rsidRPr="00DD215E">
        <w:rPr>
          <w:sz w:val="24"/>
          <w:szCs w:val="24"/>
        </w:rPr>
        <w:t>ALLAN, S., 1991. </w:t>
      </w:r>
      <w:r w:rsidRPr="00DD215E">
        <w:rPr>
          <w:i/>
          <w:iCs/>
          <w:sz w:val="24"/>
          <w:szCs w:val="24"/>
        </w:rPr>
        <w:t>The shape of the turtle : myth, art and cosmos In early China. </w:t>
      </w:r>
      <w:r w:rsidRPr="00DD215E">
        <w:rPr>
          <w:sz w:val="24"/>
          <w:szCs w:val="24"/>
        </w:rPr>
        <w:t>Albany: State University Press of New York.</w:t>
      </w:r>
    </w:p>
    <w:p w14:paraId="2136F6FC" w14:textId="77777777" w:rsidR="00DD215E" w:rsidRPr="00DD215E" w:rsidRDefault="00DD215E" w:rsidP="00DD215E">
      <w:pPr>
        <w:rPr>
          <w:sz w:val="24"/>
          <w:szCs w:val="24"/>
        </w:rPr>
      </w:pPr>
      <w:r w:rsidRPr="00DD215E">
        <w:rPr>
          <w:sz w:val="24"/>
          <w:szCs w:val="24"/>
        </w:rPr>
        <w:t>ALLEN, J.P., 1988. </w:t>
      </w:r>
      <w:r w:rsidRPr="00DD215E">
        <w:rPr>
          <w:i/>
          <w:iCs/>
          <w:sz w:val="24"/>
          <w:szCs w:val="24"/>
        </w:rPr>
        <w:t>Genesis in Egypt. </w:t>
      </w:r>
      <w:r w:rsidRPr="00DD215E">
        <w:rPr>
          <w:sz w:val="24"/>
          <w:szCs w:val="24"/>
        </w:rPr>
        <w:t>New Haven, Connecticut: Yale University.</w:t>
      </w:r>
    </w:p>
    <w:p w14:paraId="54ADD2A0" w14:textId="77777777" w:rsidR="00DD215E" w:rsidRPr="00DD215E" w:rsidRDefault="00DD215E" w:rsidP="00DD215E">
      <w:pPr>
        <w:rPr>
          <w:sz w:val="24"/>
          <w:szCs w:val="24"/>
        </w:rPr>
      </w:pPr>
      <w:r w:rsidRPr="00DD215E">
        <w:rPr>
          <w:sz w:val="24"/>
          <w:szCs w:val="24"/>
        </w:rPr>
        <w:t>BARBER, E.W., 2013. </w:t>
      </w:r>
      <w:r w:rsidRPr="00DD215E">
        <w:rPr>
          <w:i/>
          <w:iCs/>
          <w:sz w:val="24"/>
          <w:szCs w:val="24"/>
        </w:rPr>
        <w:t>The dancing goddesses: folklore, archaeology, and the origins of European dance. </w:t>
      </w:r>
      <w:r w:rsidRPr="00DD215E">
        <w:rPr>
          <w:sz w:val="24"/>
          <w:szCs w:val="24"/>
        </w:rPr>
        <w:t>New York: W. W. Norton.</w:t>
      </w:r>
    </w:p>
    <w:p w14:paraId="2B761CFE" w14:textId="0883658C" w:rsidR="00DD215E" w:rsidRPr="00DD215E" w:rsidRDefault="00DD215E" w:rsidP="00DD215E">
      <w:pPr>
        <w:rPr>
          <w:sz w:val="24"/>
          <w:szCs w:val="24"/>
        </w:rPr>
      </w:pPr>
      <w:r w:rsidRPr="00DD215E">
        <w:rPr>
          <w:sz w:val="24"/>
          <w:szCs w:val="24"/>
        </w:rPr>
        <w:t>BIROCO, J., 2004-last update, A critical survey of I Ching books. Available: </w:t>
      </w:r>
      <w:r w:rsidRPr="00273CE3">
        <w:rPr>
          <w:sz w:val="24"/>
          <w:szCs w:val="24"/>
        </w:rPr>
        <w:t>https://www.biroco.com/yijing/survey.html</w:t>
      </w:r>
      <w:r w:rsidRPr="00DD215E">
        <w:rPr>
          <w:sz w:val="24"/>
          <w:szCs w:val="24"/>
        </w:rPr>
        <w:t>.</w:t>
      </w:r>
    </w:p>
    <w:p w14:paraId="6D430015" w14:textId="77777777" w:rsidR="00DD215E" w:rsidRPr="00DD215E" w:rsidRDefault="00DD215E" w:rsidP="00DD215E">
      <w:pPr>
        <w:rPr>
          <w:sz w:val="24"/>
          <w:szCs w:val="24"/>
        </w:rPr>
      </w:pPr>
      <w:r w:rsidRPr="00DD215E">
        <w:rPr>
          <w:sz w:val="24"/>
          <w:szCs w:val="24"/>
        </w:rPr>
        <w:t>BIRRELL, A., 1999. </w:t>
      </w:r>
      <w:r w:rsidRPr="00DD215E">
        <w:rPr>
          <w:i/>
          <w:iCs/>
          <w:sz w:val="24"/>
          <w:szCs w:val="24"/>
        </w:rPr>
        <w:t>Chinese mythology: an introduction. </w:t>
      </w:r>
      <w:r w:rsidRPr="00DD215E">
        <w:rPr>
          <w:sz w:val="24"/>
          <w:szCs w:val="24"/>
        </w:rPr>
        <w:t>Baltimore: Johns Hopkins University Press.</w:t>
      </w:r>
    </w:p>
    <w:p w14:paraId="3E670E3B" w14:textId="77777777" w:rsidR="00DD215E" w:rsidRPr="00DD215E" w:rsidRDefault="00DD215E" w:rsidP="00DD215E">
      <w:pPr>
        <w:rPr>
          <w:sz w:val="24"/>
          <w:szCs w:val="24"/>
        </w:rPr>
      </w:pPr>
      <w:r w:rsidRPr="00DD215E">
        <w:rPr>
          <w:sz w:val="24"/>
          <w:szCs w:val="24"/>
        </w:rPr>
        <w:t>BODDE, D., 1961. Myths of Ancient China. In: S.N. KRAMER, ed, </w:t>
      </w:r>
      <w:r w:rsidRPr="00DD215E">
        <w:rPr>
          <w:i/>
          <w:iCs/>
          <w:sz w:val="24"/>
          <w:szCs w:val="24"/>
        </w:rPr>
        <w:t>Mythologies of the Ancient World. </w:t>
      </w:r>
      <w:r w:rsidRPr="00DD215E">
        <w:rPr>
          <w:sz w:val="24"/>
          <w:szCs w:val="24"/>
        </w:rPr>
        <w:t>Chicago: Quadrangle, pp. 369–408.</w:t>
      </w:r>
    </w:p>
    <w:p w14:paraId="1299B6CB" w14:textId="77777777" w:rsidR="00DD215E" w:rsidRPr="00DD215E" w:rsidRDefault="00DD215E" w:rsidP="00DD215E">
      <w:pPr>
        <w:rPr>
          <w:sz w:val="24"/>
          <w:szCs w:val="24"/>
        </w:rPr>
      </w:pPr>
      <w:r w:rsidRPr="00DD215E">
        <w:rPr>
          <w:sz w:val="24"/>
          <w:szCs w:val="24"/>
        </w:rPr>
        <w:t>BUCKOVÁ, M., 2012. The Phenomenon of the Culture Hero in Polynesian Mythological Systems. </w:t>
      </w:r>
      <w:r w:rsidRPr="00DD215E">
        <w:rPr>
          <w:i/>
          <w:iCs/>
          <w:sz w:val="24"/>
          <w:szCs w:val="24"/>
        </w:rPr>
        <w:t>Asian and African Studies, </w:t>
      </w:r>
      <w:r w:rsidRPr="00DD215E">
        <w:rPr>
          <w:b/>
          <w:bCs/>
          <w:sz w:val="24"/>
          <w:szCs w:val="24"/>
        </w:rPr>
        <w:t>21</w:t>
      </w:r>
      <w:r w:rsidRPr="00DD215E">
        <w:rPr>
          <w:sz w:val="24"/>
          <w:szCs w:val="24"/>
        </w:rPr>
        <w:t>(2), pp. 220–239.</w:t>
      </w:r>
    </w:p>
    <w:p w14:paraId="2E06368E" w14:textId="77777777" w:rsidR="00DD215E" w:rsidRPr="00DD215E" w:rsidRDefault="00DD215E" w:rsidP="00DD215E">
      <w:pPr>
        <w:rPr>
          <w:sz w:val="24"/>
          <w:szCs w:val="24"/>
        </w:rPr>
      </w:pPr>
      <w:r w:rsidRPr="00DD215E">
        <w:rPr>
          <w:sz w:val="24"/>
          <w:szCs w:val="24"/>
        </w:rPr>
        <w:t>CAI, H.&amp;.H., Asti, 2001. </w:t>
      </w:r>
      <w:r w:rsidRPr="00DD215E">
        <w:rPr>
          <w:i/>
          <w:iCs/>
          <w:sz w:val="24"/>
          <w:szCs w:val="24"/>
        </w:rPr>
        <w:t>A society without fathers or husbands: the Na of China. </w:t>
      </w:r>
      <w:r w:rsidRPr="00DD215E">
        <w:rPr>
          <w:sz w:val="24"/>
          <w:szCs w:val="24"/>
        </w:rPr>
        <w:t>New York: Zone Books.</w:t>
      </w:r>
    </w:p>
    <w:p w14:paraId="3F67B0E4" w14:textId="77777777" w:rsidR="00DD215E" w:rsidRPr="00DD215E" w:rsidRDefault="00DD215E" w:rsidP="00DD215E">
      <w:pPr>
        <w:rPr>
          <w:sz w:val="24"/>
          <w:szCs w:val="24"/>
        </w:rPr>
      </w:pPr>
      <w:r w:rsidRPr="00DD215E">
        <w:rPr>
          <w:sz w:val="24"/>
          <w:szCs w:val="24"/>
        </w:rPr>
        <w:t>CAMPBELL, J., 2008. </w:t>
      </w:r>
      <w:r w:rsidRPr="00DD215E">
        <w:rPr>
          <w:i/>
          <w:iCs/>
          <w:sz w:val="24"/>
          <w:szCs w:val="24"/>
        </w:rPr>
        <w:t>The hero with a thousand faces. </w:t>
      </w:r>
      <w:r w:rsidRPr="00DD215E">
        <w:rPr>
          <w:sz w:val="24"/>
          <w:szCs w:val="24"/>
        </w:rPr>
        <w:t>3rd. edn. Novato, Calif: New World Library.</w:t>
      </w:r>
    </w:p>
    <w:p w14:paraId="07F9E35D" w14:textId="77777777" w:rsidR="00DD215E" w:rsidRPr="00DD215E" w:rsidRDefault="00DD215E" w:rsidP="00DD215E">
      <w:pPr>
        <w:rPr>
          <w:sz w:val="24"/>
          <w:szCs w:val="24"/>
        </w:rPr>
      </w:pPr>
      <w:r w:rsidRPr="00DD215E">
        <w:rPr>
          <w:sz w:val="24"/>
          <w:szCs w:val="24"/>
        </w:rPr>
        <w:t>CHAN, L.M., 1972. The Burning of Books in China 213 BC. </w:t>
      </w:r>
      <w:r w:rsidRPr="00DD215E">
        <w:rPr>
          <w:i/>
          <w:iCs/>
          <w:sz w:val="24"/>
          <w:szCs w:val="24"/>
        </w:rPr>
        <w:t>The Journal of Library History, </w:t>
      </w:r>
      <w:r w:rsidRPr="00DD215E">
        <w:rPr>
          <w:b/>
          <w:bCs/>
          <w:sz w:val="24"/>
          <w:szCs w:val="24"/>
        </w:rPr>
        <w:t>7</w:t>
      </w:r>
      <w:r w:rsidRPr="00DD215E">
        <w:rPr>
          <w:sz w:val="24"/>
          <w:szCs w:val="24"/>
        </w:rPr>
        <w:t>(2), pp. 101–108.</w:t>
      </w:r>
    </w:p>
    <w:p w14:paraId="189413AC" w14:textId="118C4BC6" w:rsidR="00DD215E" w:rsidRDefault="00DD215E" w:rsidP="00DD215E">
      <w:pPr>
        <w:rPr>
          <w:sz w:val="24"/>
          <w:szCs w:val="24"/>
        </w:rPr>
      </w:pPr>
      <w:r w:rsidRPr="00DD215E">
        <w:rPr>
          <w:sz w:val="24"/>
          <w:szCs w:val="24"/>
        </w:rPr>
        <w:t xml:space="preserve">CHENG, C.M.B., 2004. Matriarchy at the Edge: the Mythic Cult of Nu </w:t>
      </w:r>
      <w:proofErr w:type="spellStart"/>
      <w:r w:rsidRPr="00DD215E">
        <w:rPr>
          <w:sz w:val="24"/>
          <w:szCs w:val="24"/>
        </w:rPr>
        <w:t>Wa</w:t>
      </w:r>
      <w:proofErr w:type="spellEnd"/>
      <w:r w:rsidRPr="00DD215E">
        <w:rPr>
          <w:sz w:val="24"/>
          <w:szCs w:val="24"/>
        </w:rPr>
        <w:t xml:space="preserve"> in Macao, </w:t>
      </w:r>
      <w:r w:rsidRPr="00DD215E">
        <w:rPr>
          <w:i/>
          <w:iCs/>
          <w:sz w:val="24"/>
          <w:szCs w:val="24"/>
        </w:rPr>
        <w:t>17th Triennial Congre</w:t>
      </w:r>
      <w:r>
        <w:rPr>
          <w:i/>
          <w:iCs/>
          <w:sz w:val="24"/>
          <w:szCs w:val="24"/>
        </w:rPr>
        <w:t>ss</w:t>
      </w:r>
      <w:r w:rsidRPr="00DD215E">
        <w:rPr>
          <w:i/>
          <w:iCs/>
          <w:sz w:val="24"/>
          <w:szCs w:val="24"/>
        </w:rPr>
        <w:t xml:space="preserve"> of the International Comparative Literature Association</w:t>
      </w:r>
      <w:r w:rsidRPr="00DD215E">
        <w:rPr>
          <w:sz w:val="24"/>
          <w:szCs w:val="24"/>
        </w:rPr>
        <w:t xml:space="preserve">, August 8-15, </w:t>
      </w:r>
      <w:proofErr w:type="gramStart"/>
      <w:r w:rsidRPr="00DD215E">
        <w:rPr>
          <w:sz w:val="24"/>
          <w:szCs w:val="24"/>
        </w:rPr>
        <w:t>2004</w:t>
      </w:r>
      <w:proofErr w:type="gramEnd"/>
      <w:r w:rsidRPr="00DD215E">
        <w:rPr>
          <w:sz w:val="24"/>
          <w:szCs w:val="24"/>
        </w:rPr>
        <w:t xml:space="preserve"> 2004.</w:t>
      </w:r>
    </w:p>
    <w:p w14:paraId="78A77C86" w14:textId="416BD2E3" w:rsidR="00AC13DE" w:rsidRPr="00DD215E" w:rsidRDefault="00AC13DE" w:rsidP="00DD215E">
      <w:pPr>
        <w:rPr>
          <w:sz w:val="24"/>
          <w:szCs w:val="24"/>
        </w:rPr>
      </w:pPr>
      <w:r w:rsidRPr="00AC13DE">
        <w:rPr>
          <w:sz w:val="24"/>
          <w:szCs w:val="24"/>
        </w:rPr>
        <w:t>CHING, J., 1997. </w:t>
      </w:r>
      <w:r w:rsidRPr="00AC13DE">
        <w:rPr>
          <w:i/>
          <w:iCs/>
          <w:sz w:val="24"/>
          <w:szCs w:val="24"/>
        </w:rPr>
        <w:t>Mysticism and kingship in China : the heart of Chinese wisdom. </w:t>
      </w:r>
      <w:r w:rsidRPr="00AC13DE">
        <w:rPr>
          <w:sz w:val="24"/>
          <w:szCs w:val="24"/>
        </w:rPr>
        <w:t>Cambridge: Cambridge University Press.</w:t>
      </w:r>
    </w:p>
    <w:p w14:paraId="03C35965" w14:textId="4AEA3A08" w:rsidR="00DD215E" w:rsidRPr="00DD215E" w:rsidRDefault="00DD215E" w:rsidP="00DD215E">
      <w:pPr>
        <w:rPr>
          <w:sz w:val="24"/>
          <w:szCs w:val="24"/>
        </w:rPr>
      </w:pPr>
      <w:r w:rsidRPr="00DD215E">
        <w:rPr>
          <w:sz w:val="24"/>
          <w:szCs w:val="24"/>
        </w:rPr>
        <w:t>DASHU, M., 2011-last update, Wu: female shamans in ancient China. Available: </w:t>
      </w:r>
      <w:r w:rsidRPr="00273CE3">
        <w:rPr>
          <w:sz w:val="24"/>
          <w:szCs w:val="24"/>
        </w:rPr>
        <w:t>https://www.academia.edu/4075139/Wu_female_shamans_of_ancient_China</w:t>
      </w:r>
      <w:r w:rsidRPr="00DD215E">
        <w:rPr>
          <w:sz w:val="24"/>
          <w:szCs w:val="24"/>
        </w:rPr>
        <w:t> [November 4t, 2024].</w:t>
      </w:r>
    </w:p>
    <w:p w14:paraId="78493C19" w14:textId="19A87AC5" w:rsidR="00DD215E" w:rsidRPr="00DD215E" w:rsidRDefault="00DD215E" w:rsidP="00DD215E">
      <w:pPr>
        <w:rPr>
          <w:sz w:val="24"/>
          <w:szCs w:val="24"/>
        </w:rPr>
      </w:pPr>
      <w:r w:rsidRPr="00DD215E">
        <w:rPr>
          <w:sz w:val="24"/>
          <w:szCs w:val="24"/>
        </w:rPr>
        <w:t>DU MA LA MU, July 1, 2022-last update, Perspectives of Traditional Culture of the Matrilineal Mosuo of Lugu Lake Part 1: Children Born from Sese (Visitor) Marriages Know Who Their Mothers and Fathers Are. Available: </w:t>
      </w:r>
      <w:r w:rsidRPr="00273CE3">
        <w:rPr>
          <w:sz w:val="24"/>
          <w:szCs w:val="24"/>
        </w:rPr>
        <w:t>https://www.childresearch.net/papers/new/2022_03.html</w:t>
      </w:r>
      <w:r w:rsidRPr="00DD215E">
        <w:rPr>
          <w:sz w:val="24"/>
          <w:szCs w:val="24"/>
        </w:rPr>
        <w:t> [October 24t, 2024].</w:t>
      </w:r>
    </w:p>
    <w:p w14:paraId="2C938511" w14:textId="77777777" w:rsidR="00DD215E" w:rsidRPr="00DD215E" w:rsidRDefault="00DD215E" w:rsidP="00DD215E">
      <w:pPr>
        <w:rPr>
          <w:sz w:val="24"/>
          <w:szCs w:val="24"/>
        </w:rPr>
      </w:pPr>
      <w:r w:rsidRPr="00DD215E">
        <w:rPr>
          <w:sz w:val="24"/>
          <w:szCs w:val="24"/>
        </w:rPr>
        <w:t>ERICKSON, S.N., 1994. "Twirling Their Long Sleeves, They Dance Again and Again...": Jade Plaque Sleeve Dancers of the Western Han Dynasty. </w:t>
      </w:r>
      <w:r w:rsidRPr="00DD215E">
        <w:rPr>
          <w:i/>
          <w:iCs/>
          <w:sz w:val="24"/>
          <w:szCs w:val="24"/>
        </w:rPr>
        <w:t xml:space="preserve">Ars </w:t>
      </w:r>
      <w:proofErr w:type="spellStart"/>
      <w:r w:rsidRPr="00DD215E">
        <w:rPr>
          <w:i/>
          <w:iCs/>
          <w:sz w:val="24"/>
          <w:szCs w:val="24"/>
        </w:rPr>
        <w:t>orientalis</w:t>
      </w:r>
      <w:proofErr w:type="spellEnd"/>
      <w:r w:rsidRPr="00DD215E">
        <w:rPr>
          <w:i/>
          <w:iCs/>
          <w:sz w:val="24"/>
          <w:szCs w:val="24"/>
        </w:rPr>
        <w:t>, </w:t>
      </w:r>
      <w:r w:rsidRPr="00DD215E">
        <w:rPr>
          <w:b/>
          <w:bCs/>
          <w:sz w:val="24"/>
          <w:szCs w:val="24"/>
        </w:rPr>
        <w:t>24</w:t>
      </w:r>
      <w:r w:rsidRPr="00DD215E">
        <w:rPr>
          <w:sz w:val="24"/>
          <w:szCs w:val="24"/>
        </w:rPr>
        <w:t>, pp. 39–63.</w:t>
      </w:r>
    </w:p>
    <w:p w14:paraId="3264ABED" w14:textId="77777777" w:rsidR="00DD215E" w:rsidRPr="00DD215E" w:rsidRDefault="00DD215E" w:rsidP="00DD215E">
      <w:pPr>
        <w:rPr>
          <w:sz w:val="24"/>
          <w:szCs w:val="24"/>
        </w:rPr>
      </w:pPr>
      <w:r w:rsidRPr="00DD215E">
        <w:rPr>
          <w:sz w:val="24"/>
          <w:szCs w:val="24"/>
        </w:rPr>
        <w:t>GOOSSAERT, V., 2022. </w:t>
      </w:r>
      <w:r w:rsidRPr="00DD215E">
        <w:rPr>
          <w:i/>
          <w:iCs/>
          <w:sz w:val="24"/>
          <w:szCs w:val="24"/>
        </w:rPr>
        <w:t>Making the Gods Speak: The Ritual Production of Revelation in Chinese Religious History. </w:t>
      </w:r>
      <w:r w:rsidRPr="00DD215E">
        <w:rPr>
          <w:sz w:val="24"/>
          <w:szCs w:val="24"/>
        </w:rPr>
        <w:t>Cambridge, Massachusetts: Harvard University Asia Center.</w:t>
      </w:r>
    </w:p>
    <w:p w14:paraId="5B247944" w14:textId="77777777" w:rsidR="00DD215E" w:rsidRPr="00DD215E" w:rsidRDefault="00DD215E" w:rsidP="00DD215E">
      <w:pPr>
        <w:rPr>
          <w:sz w:val="24"/>
          <w:szCs w:val="24"/>
        </w:rPr>
      </w:pPr>
      <w:r w:rsidRPr="00DD215E">
        <w:rPr>
          <w:sz w:val="24"/>
          <w:szCs w:val="24"/>
        </w:rPr>
        <w:lastRenderedPageBreak/>
        <w:t>GOOSSAERT, V., 2005. The Concept of Religion in China and the West. </w:t>
      </w:r>
      <w:r w:rsidRPr="00DD215E">
        <w:rPr>
          <w:i/>
          <w:iCs/>
          <w:sz w:val="24"/>
          <w:szCs w:val="24"/>
        </w:rPr>
        <w:t>Diogenes, </w:t>
      </w:r>
      <w:r w:rsidRPr="00DD215E">
        <w:rPr>
          <w:sz w:val="24"/>
          <w:szCs w:val="24"/>
        </w:rPr>
        <w:t>(205), pp. 13–20.</w:t>
      </w:r>
    </w:p>
    <w:p w14:paraId="214CFB33" w14:textId="77777777" w:rsidR="00DD215E" w:rsidRPr="00DD215E" w:rsidRDefault="00DD215E" w:rsidP="00DD215E">
      <w:pPr>
        <w:rPr>
          <w:sz w:val="24"/>
          <w:szCs w:val="24"/>
        </w:rPr>
      </w:pPr>
      <w:r w:rsidRPr="00DD215E">
        <w:rPr>
          <w:sz w:val="24"/>
          <w:szCs w:val="24"/>
        </w:rPr>
        <w:t xml:space="preserve">GUO, L., HSIEH, M., GORODETSKAYA, O., FAN, Z. and CHIU, S., 2023. </w:t>
      </w:r>
      <w:proofErr w:type="spellStart"/>
      <w:r w:rsidRPr="00DD215E">
        <w:rPr>
          <w:sz w:val="24"/>
          <w:szCs w:val="24"/>
        </w:rPr>
        <w:t>Jianghan</w:t>
      </w:r>
      <w:proofErr w:type="spellEnd"/>
      <w:r w:rsidRPr="00DD215E">
        <w:rPr>
          <w:sz w:val="24"/>
          <w:szCs w:val="24"/>
        </w:rPr>
        <w:t xml:space="preserve"> plain, the locale of China’s Great Flood four thousand years ago. </w:t>
      </w:r>
      <w:r w:rsidRPr="00DD215E">
        <w:rPr>
          <w:i/>
          <w:iCs/>
          <w:sz w:val="24"/>
          <w:szCs w:val="24"/>
        </w:rPr>
        <w:t>TAO : Terrestrial, atmospheric, and oceanic sciences, </w:t>
      </w:r>
      <w:r w:rsidRPr="00DD215E">
        <w:rPr>
          <w:b/>
          <w:bCs/>
          <w:sz w:val="24"/>
          <w:szCs w:val="24"/>
        </w:rPr>
        <w:t>34</w:t>
      </w:r>
      <w:r w:rsidRPr="00DD215E">
        <w:rPr>
          <w:sz w:val="24"/>
          <w:szCs w:val="24"/>
        </w:rPr>
        <w:t>(1), pp. 14–26.</w:t>
      </w:r>
    </w:p>
    <w:p w14:paraId="214D90AC" w14:textId="77777777" w:rsidR="00DD215E" w:rsidRPr="00DD215E" w:rsidRDefault="00DD215E" w:rsidP="00DD215E">
      <w:pPr>
        <w:rPr>
          <w:sz w:val="24"/>
          <w:szCs w:val="24"/>
        </w:rPr>
      </w:pPr>
      <w:r w:rsidRPr="00DD215E">
        <w:rPr>
          <w:sz w:val="24"/>
          <w:szCs w:val="24"/>
        </w:rPr>
        <w:t>HACKETT, J.A., 1989. Can a sexist model liberate us? </w:t>
      </w:r>
      <w:r w:rsidRPr="00DD215E">
        <w:rPr>
          <w:i/>
          <w:iCs/>
          <w:sz w:val="24"/>
          <w:szCs w:val="24"/>
        </w:rPr>
        <w:t>Journal of feminist studies in religion, </w:t>
      </w:r>
      <w:r w:rsidRPr="00DD215E">
        <w:rPr>
          <w:b/>
          <w:bCs/>
          <w:sz w:val="24"/>
          <w:szCs w:val="24"/>
        </w:rPr>
        <w:t>5</w:t>
      </w:r>
      <w:r w:rsidRPr="00DD215E">
        <w:rPr>
          <w:sz w:val="24"/>
          <w:szCs w:val="24"/>
        </w:rPr>
        <w:t>(1), pp. 65.</w:t>
      </w:r>
    </w:p>
    <w:p w14:paraId="37B3D25A" w14:textId="77777777" w:rsidR="00DD215E" w:rsidRPr="00DD215E" w:rsidRDefault="00DD215E" w:rsidP="00DD215E">
      <w:pPr>
        <w:rPr>
          <w:sz w:val="24"/>
          <w:szCs w:val="24"/>
        </w:rPr>
      </w:pPr>
      <w:r w:rsidRPr="00DD215E">
        <w:rPr>
          <w:sz w:val="24"/>
          <w:szCs w:val="24"/>
        </w:rPr>
        <w:t>HANNEY, R., 2024. One myth to rule them all and in the darkness bind them: a critical examination of Joseph Campbell's The Hero's Journey. </w:t>
      </w:r>
      <w:r w:rsidRPr="00DD215E">
        <w:rPr>
          <w:i/>
          <w:iCs/>
          <w:sz w:val="24"/>
          <w:szCs w:val="24"/>
        </w:rPr>
        <w:t>Media practice and education, </w:t>
      </w:r>
      <w:r w:rsidRPr="00DD215E">
        <w:rPr>
          <w:b/>
          <w:bCs/>
          <w:sz w:val="24"/>
          <w:szCs w:val="24"/>
        </w:rPr>
        <w:t>25</w:t>
      </w:r>
      <w:r w:rsidRPr="00DD215E">
        <w:rPr>
          <w:sz w:val="24"/>
          <w:szCs w:val="24"/>
        </w:rPr>
        <w:t>(2), pp. 113–122.</w:t>
      </w:r>
    </w:p>
    <w:p w14:paraId="0899A58F" w14:textId="77777777" w:rsidR="00DD215E" w:rsidRPr="00DD215E" w:rsidRDefault="00DD215E" w:rsidP="00DD215E">
      <w:pPr>
        <w:rPr>
          <w:sz w:val="24"/>
          <w:szCs w:val="24"/>
        </w:rPr>
      </w:pPr>
      <w:r w:rsidRPr="00DD215E">
        <w:rPr>
          <w:sz w:val="24"/>
          <w:szCs w:val="24"/>
        </w:rPr>
        <w:t>HARDY, K., 2008. Prehistoric string theory. How twisted fibres helped to shape the world. </w:t>
      </w:r>
      <w:r w:rsidRPr="00DD215E">
        <w:rPr>
          <w:i/>
          <w:iCs/>
          <w:sz w:val="24"/>
          <w:szCs w:val="24"/>
        </w:rPr>
        <w:t>Antiquity, </w:t>
      </w:r>
      <w:r w:rsidRPr="00DD215E">
        <w:rPr>
          <w:b/>
          <w:bCs/>
          <w:sz w:val="24"/>
          <w:szCs w:val="24"/>
        </w:rPr>
        <w:t>82</w:t>
      </w:r>
      <w:r w:rsidRPr="00DD215E">
        <w:rPr>
          <w:sz w:val="24"/>
          <w:szCs w:val="24"/>
        </w:rPr>
        <w:t>(316), pp. 271–280.</w:t>
      </w:r>
    </w:p>
    <w:p w14:paraId="097110C8" w14:textId="77777777" w:rsidR="00DD215E" w:rsidRPr="00DD215E" w:rsidRDefault="00DD215E" w:rsidP="00DD215E">
      <w:pPr>
        <w:rPr>
          <w:sz w:val="24"/>
          <w:szCs w:val="24"/>
        </w:rPr>
      </w:pPr>
      <w:r w:rsidRPr="00DD215E">
        <w:rPr>
          <w:sz w:val="24"/>
          <w:szCs w:val="24"/>
        </w:rPr>
        <w:t>HITCHCOCK, L., 2008. </w:t>
      </w:r>
      <w:r w:rsidRPr="00DD215E">
        <w:rPr>
          <w:i/>
          <w:iCs/>
          <w:sz w:val="24"/>
          <w:szCs w:val="24"/>
        </w:rPr>
        <w:t>Theory for classics: a student's guide. </w:t>
      </w:r>
      <w:r w:rsidRPr="00DD215E">
        <w:rPr>
          <w:sz w:val="24"/>
          <w:szCs w:val="24"/>
        </w:rPr>
        <w:t>New York: Routledge.</w:t>
      </w:r>
    </w:p>
    <w:p w14:paraId="519D741D" w14:textId="77777777" w:rsidR="00DD215E" w:rsidRPr="00DD215E" w:rsidRDefault="00DD215E" w:rsidP="00DD215E">
      <w:pPr>
        <w:rPr>
          <w:sz w:val="24"/>
          <w:szCs w:val="24"/>
        </w:rPr>
      </w:pPr>
      <w:r w:rsidRPr="00DD215E">
        <w:rPr>
          <w:sz w:val="24"/>
          <w:szCs w:val="24"/>
        </w:rPr>
        <w:t>HOOK, D.F., 1973. </w:t>
      </w:r>
      <w:r w:rsidRPr="00DD215E">
        <w:rPr>
          <w:i/>
          <w:iCs/>
          <w:sz w:val="24"/>
          <w:szCs w:val="24"/>
        </w:rPr>
        <w:t>The I Ching and You. </w:t>
      </w:r>
      <w:r w:rsidRPr="00DD215E">
        <w:rPr>
          <w:sz w:val="24"/>
          <w:szCs w:val="24"/>
        </w:rPr>
        <w:t>London: Routledge &amp; Kegan Paul.</w:t>
      </w:r>
    </w:p>
    <w:p w14:paraId="207C63DD" w14:textId="77777777" w:rsidR="00DD215E" w:rsidRPr="00DD215E" w:rsidRDefault="00DD215E" w:rsidP="00DD215E">
      <w:pPr>
        <w:rPr>
          <w:sz w:val="24"/>
          <w:szCs w:val="24"/>
        </w:rPr>
      </w:pPr>
      <w:r w:rsidRPr="00DD215E">
        <w:rPr>
          <w:sz w:val="24"/>
          <w:szCs w:val="24"/>
        </w:rPr>
        <w:t>LEEMING, D.A., 2010. Culture Heroes. In: LEEMING, A. DAVID, MADDEN, &amp;. KATHRYN, MARLAN and STANTON, eds, </w:t>
      </w:r>
      <w:r w:rsidRPr="00DD215E">
        <w:rPr>
          <w:i/>
          <w:iCs/>
          <w:sz w:val="24"/>
          <w:szCs w:val="24"/>
        </w:rPr>
        <w:t>Encyclopedia of Psychology and Religion. </w:t>
      </w:r>
      <w:r w:rsidRPr="00DD215E">
        <w:rPr>
          <w:sz w:val="24"/>
          <w:szCs w:val="24"/>
        </w:rPr>
        <w:t>New York: Springer, pp. 191.</w:t>
      </w:r>
    </w:p>
    <w:p w14:paraId="5F0FDB44" w14:textId="77777777" w:rsidR="00DD215E" w:rsidRPr="00DD215E" w:rsidRDefault="00DD215E" w:rsidP="00DD215E">
      <w:pPr>
        <w:rPr>
          <w:sz w:val="24"/>
          <w:szCs w:val="24"/>
        </w:rPr>
      </w:pPr>
      <w:r w:rsidRPr="00DD215E">
        <w:rPr>
          <w:sz w:val="24"/>
          <w:szCs w:val="24"/>
        </w:rPr>
        <w:t>LEWIS, M.E., 2006. </w:t>
      </w:r>
      <w:r w:rsidRPr="00DD215E">
        <w:rPr>
          <w:i/>
          <w:iCs/>
          <w:sz w:val="24"/>
          <w:szCs w:val="24"/>
        </w:rPr>
        <w:t>The flood myths of early China. </w:t>
      </w:r>
      <w:r w:rsidRPr="00DD215E">
        <w:rPr>
          <w:sz w:val="24"/>
          <w:szCs w:val="24"/>
        </w:rPr>
        <w:t>Albany: State University of New York Press.</w:t>
      </w:r>
    </w:p>
    <w:p w14:paraId="7E5BB291" w14:textId="77777777" w:rsidR="00DD215E" w:rsidRPr="00DD215E" w:rsidRDefault="00DD215E" w:rsidP="00DD215E">
      <w:pPr>
        <w:rPr>
          <w:sz w:val="24"/>
          <w:szCs w:val="24"/>
        </w:rPr>
      </w:pPr>
      <w:r w:rsidRPr="00DD215E">
        <w:rPr>
          <w:sz w:val="24"/>
          <w:szCs w:val="24"/>
        </w:rPr>
        <w:t>LI, L., 2015. </w:t>
      </w:r>
      <w:r w:rsidRPr="00DD215E">
        <w:rPr>
          <w:i/>
          <w:iCs/>
          <w:sz w:val="24"/>
          <w:szCs w:val="24"/>
        </w:rPr>
        <w:t>Popular religion in modern China : the new role of Nuo. </w:t>
      </w:r>
      <w:r w:rsidRPr="00DD215E">
        <w:rPr>
          <w:sz w:val="24"/>
          <w:szCs w:val="24"/>
        </w:rPr>
        <w:t>Farnham, Surrey, UK, England ;: Ashgate.</w:t>
      </w:r>
    </w:p>
    <w:p w14:paraId="1EDE4FFA" w14:textId="77777777" w:rsidR="00DD215E" w:rsidRPr="00DD215E" w:rsidRDefault="00DD215E" w:rsidP="00DD215E">
      <w:pPr>
        <w:rPr>
          <w:sz w:val="24"/>
          <w:szCs w:val="24"/>
        </w:rPr>
      </w:pPr>
      <w:r w:rsidRPr="00DD215E">
        <w:rPr>
          <w:sz w:val="24"/>
          <w:szCs w:val="24"/>
        </w:rPr>
        <w:t>LINDGREN, L.A., 2010. </w:t>
      </w:r>
      <w:r w:rsidRPr="00DD215E">
        <w:rPr>
          <w:i/>
          <w:iCs/>
          <w:sz w:val="24"/>
          <w:szCs w:val="24"/>
        </w:rPr>
        <w:t xml:space="preserve">Shamanism and Chinese goddesses : Xi </w:t>
      </w:r>
      <w:proofErr w:type="spellStart"/>
      <w:r w:rsidRPr="00DD215E">
        <w:rPr>
          <w:i/>
          <w:iCs/>
          <w:sz w:val="24"/>
          <w:szCs w:val="24"/>
        </w:rPr>
        <w:t>wangmu</w:t>
      </w:r>
      <w:proofErr w:type="spellEnd"/>
      <w:r w:rsidRPr="00DD215E">
        <w:rPr>
          <w:i/>
          <w:iCs/>
          <w:sz w:val="24"/>
          <w:szCs w:val="24"/>
        </w:rPr>
        <w:t xml:space="preserve"> and </w:t>
      </w:r>
      <w:proofErr w:type="spellStart"/>
      <w:r w:rsidRPr="00DD215E">
        <w:rPr>
          <w:i/>
          <w:iCs/>
          <w:sz w:val="24"/>
          <w:szCs w:val="24"/>
        </w:rPr>
        <w:t>Nugua</w:t>
      </w:r>
      <w:proofErr w:type="spellEnd"/>
      <w:r w:rsidRPr="00DD215E">
        <w:rPr>
          <w:sz w:val="24"/>
          <w:szCs w:val="24"/>
        </w:rPr>
        <w:t>.</w:t>
      </w:r>
    </w:p>
    <w:p w14:paraId="51AEE17E" w14:textId="77777777" w:rsidR="00DD215E" w:rsidRPr="00DD215E" w:rsidRDefault="00DD215E" w:rsidP="00DD215E">
      <w:pPr>
        <w:rPr>
          <w:sz w:val="24"/>
          <w:szCs w:val="24"/>
        </w:rPr>
      </w:pPr>
      <w:r w:rsidRPr="00DD215E">
        <w:rPr>
          <w:sz w:val="24"/>
          <w:szCs w:val="24"/>
        </w:rPr>
        <w:t>MAJOR, J.S., 1993. </w:t>
      </w:r>
      <w:r w:rsidRPr="00DD215E">
        <w:rPr>
          <w:i/>
          <w:iCs/>
          <w:sz w:val="24"/>
          <w:szCs w:val="24"/>
        </w:rPr>
        <w:t>Heaven and Earth in Early Han Thought: Chapters Three, Four and Five of the Huainanzi. </w:t>
      </w:r>
      <w:r w:rsidRPr="00DD215E">
        <w:rPr>
          <w:sz w:val="24"/>
          <w:szCs w:val="24"/>
        </w:rPr>
        <w:t>New York: State University of New York Press.</w:t>
      </w:r>
    </w:p>
    <w:p w14:paraId="3D0D770A" w14:textId="260D07E6" w:rsidR="00DD215E" w:rsidRPr="00DD215E" w:rsidRDefault="00DD215E" w:rsidP="00DD215E">
      <w:pPr>
        <w:rPr>
          <w:sz w:val="24"/>
          <w:szCs w:val="24"/>
        </w:rPr>
      </w:pPr>
      <w:r w:rsidRPr="00DD215E">
        <w:rPr>
          <w:sz w:val="24"/>
          <w:szCs w:val="24"/>
        </w:rPr>
        <w:t>MAJOR, J.S., QUEEN, SARAH A., MEYER, A.S.&amp; ROTH, H.D.(.A.E., 2010. </w:t>
      </w:r>
      <w:r w:rsidRPr="00DD215E">
        <w:rPr>
          <w:i/>
          <w:iCs/>
          <w:sz w:val="24"/>
          <w:szCs w:val="24"/>
        </w:rPr>
        <w:t xml:space="preserve">The Huainanzi, A Guide to the Theory and Practice of Government in Early Han China of </w:t>
      </w:r>
      <w:proofErr w:type="spellStart"/>
      <w:r w:rsidRPr="00DD215E">
        <w:rPr>
          <w:i/>
          <w:iCs/>
          <w:sz w:val="24"/>
          <w:szCs w:val="24"/>
        </w:rPr>
        <w:t>LiuAn</w:t>
      </w:r>
      <w:proofErr w:type="spellEnd"/>
      <w:r w:rsidRPr="00DD215E">
        <w:rPr>
          <w:i/>
          <w:iCs/>
          <w:sz w:val="24"/>
          <w:szCs w:val="24"/>
        </w:rPr>
        <w:t>, King of Huainan. </w:t>
      </w:r>
      <w:r w:rsidRPr="00DD215E">
        <w:rPr>
          <w:sz w:val="24"/>
          <w:szCs w:val="24"/>
        </w:rPr>
        <w:t>New York: Columbia University Press.</w:t>
      </w:r>
    </w:p>
    <w:p w14:paraId="489C936C" w14:textId="234A3D0C" w:rsidR="00DD215E" w:rsidRDefault="00DD215E" w:rsidP="00DD215E">
      <w:pPr>
        <w:rPr>
          <w:sz w:val="24"/>
          <w:szCs w:val="24"/>
        </w:rPr>
      </w:pPr>
      <w:r w:rsidRPr="00DD215E">
        <w:rPr>
          <w:sz w:val="24"/>
          <w:szCs w:val="24"/>
        </w:rPr>
        <w:t>NIELD, C.P., 2022-last update, The Hero’s Journey is Hollywood’s McMyth. Available: </w:t>
      </w:r>
      <w:r w:rsidRPr="00273CE3">
        <w:rPr>
          <w:sz w:val="24"/>
          <w:szCs w:val="24"/>
        </w:rPr>
        <w:t>https://evolutionofstory.info/the-heros-journey-is-hollywoods-mcmyth/</w:t>
      </w:r>
      <w:r w:rsidRPr="00DD215E">
        <w:rPr>
          <w:sz w:val="24"/>
          <w:szCs w:val="24"/>
        </w:rPr>
        <w:t> [October 28t, 2024].</w:t>
      </w:r>
    </w:p>
    <w:p w14:paraId="5C46EFF7" w14:textId="016AF7C0" w:rsidR="00320CCC" w:rsidRPr="00DD215E" w:rsidRDefault="00320CCC" w:rsidP="00DD215E">
      <w:pPr>
        <w:rPr>
          <w:sz w:val="24"/>
          <w:szCs w:val="24"/>
        </w:rPr>
      </w:pPr>
      <w:r w:rsidRPr="00320CCC">
        <w:rPr>
          <w:sz w:val="24"/>
          <w:szCs w:val="24"/>
        </w:rPr>
        <w:t>PANKENIER, D.W.(.W., 2013. </w:t>
      </w:r>
      <w:r w:rsidRPr="00320CCC">
        <w:rPr>
          <w:i/>
          <w:iCs/>
          <w:sz w:val="24"/>
          <w:szCs w:val="24"/>
        </w:rPr>
        <w:t>Astrology and cosmology in early China : conforming earth to heaven. </w:t>
      </w:r>
      <w:r w:rsidRPr="00320CCC">
        <w:rPr>
          <w:sz w:val="24"/>
          <w:szCs w:val="24"/>
        </w:rPr>
        <w:t>New York: Cambridge University Press.</w:t>
      </w:r>
    </w:p>
    <w:p w14:paraId="39D07971" w14:textId="77777777" w:rsidR="00DD215E" w:rsidRPr="00DD215E" w:rsidRDefault="00DD215E" w:rsidP="00DD215E">
      <w:pPr>
        <w:rPr>
          <w:sz w:val="24"/>
          <w:szCs w:val="24"/>
        </w:rPr>
      </w:pPr>
      <w:r w:rsidRPr="00DD215E">
        <w:rPr>
          <w:sz w:val="24"/>
          <w:szCs w:val="24"/>
        </w:rPr>
        <w:t>SHAUGHNESSY, E.L., 2022. </w:t>
      </w:r>
      <w:r w:rsidRPr="00DD215E">
        <w:rPr>
          <w:i/>
          <w:iCs/>
          <w:sz w:val="24"/>
          <w:szCs w:val="24"/>
        </w:rPr>
        <w:t>The Origin and Early Development of the Zhou Changes. </w:t>
      </w:r>
      <w:r w:rsidRPr="00DD215E">
        <w:rPr>
          <w:sz w:val="24"/>
          <w:szCs w:val="24"/>
        </w:rPr>
        <w:t xml:space="preserve">Leiden, The Netherlands: </w:t>
      </w:r>
      <w:proofErr w:type="spellStart"/>
      <w:r w:rsidRPr="00DD215E">
        <w:rPr>
          <w:sz w:val="24"/>
          <w:szCs w:val="24"/>
        </w:rPr>
        <w:t>Koninklijke</w:t>
      </w:r>
      <w:proofErr w:type="spellEnd"/>
      <w:r w:rsidRPr="00DD215E">
        <w:rPr>
          <w:sz w:val="24"/>
          <w:szCs w:val="24"/>
        </w:rPr>
        <w:t xml:space="preserve"> Brill </w:t>
      </w:r>
      <w:proofErr w:type="spellStart"/>
      <w:r w:rsidRPr="00DD215E">
        <w:rPr>
          <w:sz w:val="24"/>
          <w:szCs w:val="24"/>
        </w:rPr>
        <w:t>nv</w:t>
      </w:r>
      <w:proofErr w:type="spellEnd"/>
      <w:r w:rsidRPr="00DD215E">
        <w:rPr>
          <w:sz w:val="24"/>
          <w:szCs w:val="24"/>
        </w:rPr>
        <w:t>.</w:t>
      </w:r>
    </w:p>
    <w:p w14:paraId="0DCFAA69" w14:textId="77777777" w:rsidR="00DD215E" w:rsidRPr="00DD215E" w:rsidRDefault="00DD215E" w:rsidP="00DD215E">
      <w:pPr>
        <w:rPr>
          <w:sz w:val="24"/>
          <w:szCs w:val="24"/>
        </w:rPr>
      </w:pPr>
      <w:r w:rsidRPr="00DD215E">
        <w:rPr>
          <w:sz w:val="24"/>
          <w:szCs w:val="24"/>
        </w:rPr>
        <w:t>SHAUGHNESSY, E.L., 1996. </w:t>
      </w:r>
      <w:r w:rsidRPr="00DD215E">
        <w:rPr>
          <w:i/>
          <w:iCs/>
          <w:sz w:val="24"/>
          <w:szCs w:val="24"/>
        </w:rPr>
        <w:t>I Ching : the classic of changes. </w:t>
      </w:r>
      <w:r w:rsidRPr="00DD215E">
        <w:rPr>
          <w:sz w:val="24"/>
          <w:szCs w:val="24"/>
        </w:rPr>
        <w:t>New York: Ballantine Books.</w:t>
      </w:r>
    </w:p>
    <w:p w14:paraId="72C9471F" w14:textId="77777777" w:rsidR="00DD215E" w:rsidRPr="00DD215E" w:rsidRDefault="00DD215E" w:rsidP="00DD215E">
      <w:pPr>
        <w:rPr>
          <w:sz w:val="24"/>
          <w:szCs w:val="24"/>
        </w:rPr>
      </w:pPr>
      <w:r w:rsidRPr="00DD215E">
        <w:rPr>
          <w:sz w:val="24"/>
          <w:szCs w:val="24"/>
        </w:rPr>
        <w:t>STRASSBERG, R.E., 2002. </w:t>
      </w:r>
      <w:r w:rsidRPr="00DD215E">
        <w:rPr>
          <w:i/>
          <w:iCs/>
          <w:sz w:val="24"/>
          <w:szCs w:val="24"/>
        </w:rPr>
        <w:t>A Chinese Bestiary: Strange Creatures from the Guideways Through Mountains and Seas. </w:t>
      </w:r>
      <w:r w:rsidRPr="00DD215E">
        <w:rPr>
          <w:sz w:val="24"/>
          <w:szCs w:val="24"/>
        </w:rPr>
        <w:t>Berkeley: University of California Press.</w:t>
      </w:r>
    </w:p>
    <w:p w14:paraId="2EBA6D52" w14:textId="77777777" w:rsidR="00DD215E" w:rsidRPr="00DD215E" w:rsidRDefault="00DD215E" w:rsidP="00DD215E">
      <w:pPr>
        <w:rPr>
          <w:sz w:val="24"/>
          <w:szCs w:val="24"/>
        </w:rPr>
      </w:pPr>
      <w:r w:rsidRPr="00DD215E">
        <w:rPr>
          <w:sz w:val="24"/>
          <w:szCs w:val="24"/>
        </w:rPr>
        <w:lastRenderedPageBreak/>
        <w:t>SUHADOLNIK, N.V., 2019. Transmission of Han Pictorial Motifs into the Western Periphery: Fuxi and Nüwa in the Wei-Jin Mural Tombs in the Hexi Corridor. </w:t>
      </w:r>
      <w:proofErr w:type="spellStart"/>
      <w:r w:rsidRPr="00DD215E">
        <w:rPr>
          <w:i/>
          <w:iCs/>
          <w:sz w:val="24"/>
          <w:szCs w:val="24"/>
        </w:rPr>
        <w:t>Azijske</w:t>
      </w:r>
      <w:proofErr w:type="spellEnd"/>
      <w:r w:rsidRPr="00DD215E">
        <w:rPr>
          <w:i/>
          <w:iCs/>
          <w:sz w:val="24"/>
          <w:szCs w:val="24"/>
        </w:rPr>
        <w:t xml:space="preserve"> </w:t>
      </w:r>
      <w:proofErr w:type="spellStart"/>
      <w:r w:rsidRPr="00DD215E">
        <w:rPr>
          <w:i/>
          <w:iCs/>
          <w:sz w:val="24"/>
          <w:szCs w:val="24"/>
        </w:rPr>
        <w:t>študije</w:t>
      </w:r>
      <w:proofErr w:type="spellEnd"/>
      <w:r w:rsidRPr="00DD215E">
        <w:rPr>
          <w:i/>
          <w:iCs/>
          <w:sz w:val="24"/>
          <w:szCs w:val="24"/>
        </w:rPr>
        <w:t xml:space="preserve"> (</w:t>
      </w:r>
      <w:proofErr w:type="spellStart"/>
      <w:r w:rsidRPr="00DD215E">
        <w:rPr>
          <w:i/>
          <w:iCs/>
          <w:sz w:val="24"/>
          <w:szCs w:val="24"/>
        </w:rPr>
        <w:t>Spletna</w:t>
      </w:r>
      <w:proofErr w:type="spellEnd"/>
      <w:r w:rsidRPr="00DD215E">
        <w:rPr>
          <w:i/>
          <w:iCs/>
          <w:sz w:val="24"/>
          <w:szCs w:val="24"/>
        </w:rPr>
        <w:t xml:space="preserve"> </w:t>
      </w:r>
      <w:proofErr w:type="spellStart"/>
      <w:r w:rsidRPr="00DD215E">
        <w:rPr>
          <w:i/>
          <w:iCs/>
          <w:sz w:val="24"/>
          <w:szCs w:val="24"/>
        </w:rPr>
        <w:t>izd</w:t>
      </w:r>
      <w:proofErr w:type="spellEnd"/>
      <w:r w:rsidRPr="00DD215E">
        <w:rPr>
          <w:i/>
          <w:iCs/>
          <w:sz w:val="24"/>
          <w:szCs w:val="24"/>
        </w:rPr>
        <w:t>.), </w:t>
      </w:r>
      <w:r w:rsidRPr="00DD215E">
        <w:rPr>
          <w:b/>
          <w:bCs/>
          <w:sz w:val="24"/>
          <w:szCs w:val="24"/>
        </w:rPr>
        <w:t>7</w:t>
      </w:r>
      <w:r w:rsidRPr="00DD215E">
        <w:rPr>
          <w:sz w:val="24"/>
          <w:szCs w:val="24"/>
        </w:rPr>
        <w:t>(2</w:t>
      </w:r>
      <w:proofErr w:type="gramStart"/>
      <w:r w:rsidRPr="00DD215E">
        <w:rPr>
          <w:sz w:val="24"/>
          <w:szCs w:val="24"/>
        </w:rPr>
        <w:t>),.</w:t>
      </w:r>
      <w:proofErr w:type="gramEnd"/>
    </w:p>
    <w:p w14:paraId="41009C69" w14:textId="1DCBE959" w:rsidR="00DD215E" w:rsidRPr="00DD215E" w:rsidRDefault="00DD215E" w:rsidP="00DD215E">
      <w:pPr>
        <w:rPr>
          <w:sz w:val="24"/>
          <w:szCs w:val="24"/>
        </w:rPr>
      </w:pPr>
      <w:r w:rsidRPr="00DD215E">
        <w:rPr>
          <w:sz w:val="24"/>
          <w:szCs w:val="24"/>
        </w:rPr>
        <w:t xml:space="preserve">THEOBALD, U., 2012-last update, Hetu </w:t>
      </w:r>
      <w:proofErr w:type="spellStart"/>
      <w:r w:rsidRPr="00DD215E">
        <w:rPr>
          <w:sz w:val="24"/>
          <w:szCs w:val="24"/>
        </w:rPr>
        <w:t>luoshu</w:t>
      </w:r>
      <w:proofErr w:type="spellEnd"/>
      <w:r w:rsidRPr="00DD215E">
        <w:rPr>
          <w:sz w:val="24"/>
          <w:szCs w:val="24"/>
        </w:rPr>
        <w:t>, the River Chart and the Inscription of the Luo. Available: </w:t>
      </w:r>
      <w:r w:rsidRPr="00273CE3">
        <w:rPr>
          <w:sz w:val="24"/>
          <w:szCs w:val="24"/>
        </w:rPr>
        <w:t>http://www.chinaknowledge.de/Literature/Daoists/hetuluoshu.html</w:t>
      </w:r>
      <w:r w:rsidRPr="00DD215E">
        <w:rPr>
          <w:sz w:val="24"/>
          <w:szCs w:val="24"/>
        </w:rPr>
        <w:t> [November 4t, 2024].</w:t>
      </w:r>
    </w:p>
    <w:p w14:paraId="4F7D35C5" w14:textId="77777777" w:rsidR="00DD215E" w:rsidRPr="00DD215E" w:rsidRDefault="00DD215E" w:rsidP="00DD215E">
      <w:pPr>
        <w:rPr>
          <w:sz w:val="24"/>
          <w:szCs w:val="24"/>
        </w:rPr>
      </w:pPr>
      <w:r w:rsidRPr="00DD215E">
        <w:rPr>
          <w:sz w:val="24"/>
          <w:szCs w:val="24"/>
        </w:rPr>
        <w:t>WALKER, B., 1986. </w:t>
      </w:r>
      <w:r w:rsidRPr="00DD215E">
        <w:rPr>
          <w:i/>
          <w:iCs/>
          <w:sz w:val="24"/>
          <w:szCs w:val="24"/>
        </w:rPr>
        <w:t>The I Ching of the Goddess. </w:t>
      </w:r>
      <w:r w:rsidRPr="00DD215E">
        <w:rPr>
          <w:sz w:val="24"/>
          <w:szCs w:val="24"/>
        </w:rPr>
        <w:t>San Francisco: Harper Collins.</w:t>
      </w:r>
    </w:p>
    <w:p w14:paraId="1184A74D" w14:textId="77777777" w:rsidR="00DD215E" w:rsidRPr="00DD215E" w:rsidRDefault="00DD215E" w:rsidP="00DD215E">
      <w:pPr>
        <w:rPr>
          <w:sz w:val="24"/>
          <w:szCs w:val="24"/>
        </w:rPr>
      </w:pPr>
      <w:r w:rsidRPr="00DD215E">
        <w:rPr>
          <w:sz w:val="24"/>
          <w:szCs w:val="24"/>
        </w:rPr>
        <w:t>WATSON, B., 2013. </w:t>
      </w:r>
      <w:r w:rsidRPr="00DD215E">
        <w:rPr>
          <w:i/>
          <w:iCs/>
          <w:sz w:val="24"/>
          <w:szCs w:val="24"/>
        </w:rPr>
        <w:t>The Complete Works of Zhuangzi. </w:t>
      </w:r>
      <w:r w:rsidRPr="00DD215E">
        <w:rPr>
          <w:sz w:val="24"/>
          <w:szCs w:val="24"/>
        </w:rPr>
        <w:t>New York: Columbia University Press.</w:t>
      </w:r>
    </w:p>
    <w:p w14:paraId="2912FB8F" w14:textId="77777777" w:rsidR="00DD215E" w:rsidRPr="00DD215E" w:rsidRDefault="00DD215E" w:rsidP="00DD215E">
      <w:pPr>
        <w:rPr>
          <w:sz w:val="24"/>
          <w:szCs w:val="24"/>
        </w:rPr>
      </w:pPr>
      <w:r w:rsidRPr="00DD215E">
        <w:rPr>
          <w:sz w:val="24"/>
          <w:szCs w:val="24"/>
        </w:rPr>
        <w:t>YANG LIHUI, AN DEMING &amp; TURNER, JESSICA A, 2005. </w:t>
      </w:r>
      <w:r w:rsidRPr="00DD215E">
        <w:rPr>
          <w:i/>
          <w:iCs/>
          <w:sz w:val="24"/>
          <w:szCs w:val="24"/>
        </w:rPr>
        <w:t>Handbook Of Chinese Mythology. </w:t>
      </w:r>
      <w:r w:rsidRPr="00DD215E">
        <w:rPr>
          <w:sz w:val="24"/>
          <w:szCs w:val="24"/>
        </w:rPr>
        <w:t>New York: Oxford University Press.</w:t>
      </w:r>
    </w:p>
    <w:p w14:paraId="58495478" w14:textId="77777777" w:rsidR="00DD215E" w:rsidRPr="00DD215E" w:rsidRDefault="00DD215E" w:rsidP="00DD215E">
      <w:pPr>
        <w:rPr>
          <w:sz w:val="24"/>
          <w:szCs w:val="24"/>
        </w:rPr>
      </w:pPr>
      <w:r w:rsidRPr="00DD215E">
        <w:rPr>
          <w:sz w:val="24"/>
          <w:szCs w:val="24"/>
        </w:rPr>
        <w:t>ZHAO, J., 2019. Integration and Transformation: A Study of the Sun and the Moon Depicted in the Imagery of Fuxi and Nüwa. </w:t>
      </w:r>
      <w:proofErr w:type="spellStart"/>
      <w:r w:rsidRPr="00DD215E">
        <w:rPr>
          <w:i/>
          <w:iCs/>
          <w:sz w:val="24"/>
          <w:szCs w:val="24"/>
        </w:rPr>
        <w:t>Azijske</w:t>
      </w:r>
      <w:proofErr w:type="spellEnd"/>
      <w:r w:rsidRPr="00DD215E">
        <w:rPr>
          <w:i/>
          <w:iCs/>
          <w:sz w:val="24"/>
          <w:szCs w:val="24"/>
        </w:rPr>
        <w:t xml:space="preserve"> </w:t>
      </w:r>
      <w:proofErr w:type="spellStart"/>
      <w:r w:rsidRPr="00DD215E">
        <w:rPr>
          <w:i/>
          <w:iCs/>
          <w:sz w:val="24"/>
          <w:szCs w:val="24"/>
        </w:rPr>
        <w:t>študije</w:t>
      </w:r>
      <w:proofErr w:type="spellEnd"/>
      <w:r w:rsidRPr="00DD215E">
        <w:rPr>
          <w:i/>
          <w:iCs/>
          <w:sz w:val="24"/>
          <w:szCs w:val="24"/>
        </w:rPr>
        <w:t xml:space="preserve"> (</w:t>
      </w:r>
      <w:proofErr w:type="spellStart"/>
      <w:r w:rsidRPr="00DD215E">
        <w:rPr>
          <w:i/>
          <w:iCs/>
          <w:sz w:val="24"/>
          <w:szCs w:val="24"/>
        </w:rPr>
        <w:t>Spletna</w:t>
      </w:r>
      <w:proofErr w:type="spellEnd"/>
      <w:r w:rsidRPr="00DD215E">
        <w:rPr>
          <w:i/>
          <w:iCs/>
          <w:sz w:val="24"/>
          <w:szCs w:val="24"/>
        </w:rPr>
        <w:t xml:space="preserve"> </w:t>
      </w:r>
      <w:proofErr w:type="spellStart"/>
      <w:r w:rsidRPr="00DD215E">
        <w:rPr>
          <w:i/>
          <w:iCs/>
          <w:sz w:val="24"/>
          <w:szCs w:val="24"/>
        </w:rPr>
        <w:t>izd</w:t>
      </w:r>
      <w:proofErr w:type="spellEnd"/>
      <w:r w:rsidRPr="00DD215E">
        <w:rPr>
          <w:i/>
          <w:iCs/>
          <w:sz w:val="24"/>
          <w:szCs w:val="24"/>
        </w:rPr>
        <w:t>.), </w:t>
      </w:r>
      <w:r w:rsidRPr="00DD215E">
        <w:rPr>
          <w:b/>
          <w:bCs/>
          <w:sz w:val="24"/>
          <w:szCs w:val="24"/>
        </w:rPr>
        <w:t>7</w:t>
      </w:r>
      <w:r w:rsidRPr="00DD215E">
        <w:rPr>
          <w:sz w:val="24"/>
          <w:szCs w:val="24"/>
        </w:rPr>
        <w:t>(2</w:t>
      </w:r>
      <w:proofErr w:type="gramStart"/>
      <w:r w:rsidRPr="00DD215E">
        <w:rPr>
          <w:sz w:val="24"/>
          <w:szCs w:val="24"/>
        </w:rPr>
        <w:t>),.</w:t>
      </w:r>
      <w:proofErr w:type="gramEnd"/>
    </w:p>
    <w:p w14:paraId="3D423C36" w14:textId="77777777" w:rsidR="00DD215E" w:rsidRDefault="00DD215E">
      <w:pPr>
        <w:spacing w:line="480" w:lineRule="auto"/>
      </w:pPr>
    </w:p>
    <w:sectPr w:rsidR="00DD215E">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2FA4D" w14:textId="77777777" w:rsidR="00D01066" w:rsidRDefault="00D01066">
      <w:pPr>
        <w:spacing w:after="0"/>
      </w:pPr>
      <w:r>
        <w:separator/>
      </w:r>
    </w:p>
  </w:endnote>
  <w:endnote w:type="continuationSeparator" w:id="0">
    <w:p w14:paraId="70CD5E31" w14:textId="77777777" w:rsidR="00D01066" w:rsidRDefault="00D0106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70702F" w14:textId="77777777" w:rsidR="00D8376A" w:rsidRDefault="00000000">
    <w:pPr>
      <w:pStyle w:val="Footer"/>
    </w:pPr>
    <w:r>
      <w:t>2310535</w:t>
    </w:r>
    <w:r>
      <w:tab/>
      <w:t>HPAH7017 – Essay 1 2024</w:t>
    </w:r>
    <w:r>
      <w:tab/>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5D8CBB20" w14:textId="77777777" w:rsidR="00D8376A" w:rsidRDefault="00D83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EDF4FD" w14:textId="77777777" w:rsidR="00D01066" w:rsidRDefault="00D01066">
      <w:pPr>
        <w:spacing w:after="0"/>
      </w:pPr>
      <w:r>
        <w:rPr>
          <w:color w:val="000000"/>
        </w:rPr>
        <w:separator/>
      </w:r>
    </w:p>
  </w:footnote>
  <w:footnote w:type="continuationSeparator" w:id="0">
    <w:p w14:paraId="14BB48F3" w14:textId="77777777" w:rsidR="00D01066" w:rsidRDefault="00D01066">
      <w:pPr>
        <w:spacing w:after="0"/>
      </w:pPr>
      <w:r>
        <w:continuationSeparator/>
      </w:r>
    </w:p>
  </w:footnote>
  <w:footnote w:id="1">
    <w:p w14:paraId="336F2579" w14:textId="6296949B" w:rsidR="00C9118D" w:rsidRDefault="00000000">
      <w:pPr>
        <w:pStyle w:val="FootnoteText"/>
        <w:spacing w:after="120"/>
      </w:pPr>
      <w:r>
        <w:rPr>
          <w:rStyle w:val="FootnoteReference"/>
        </w:rPr>
        <w:footnoteRef/>
      </w:r>
      <w:r>
        <w:rPr>
          <w:sz w:val="22"/>
          <w:szCs w:val="22"/>
        </w:rPr>
        <w:t xml:space="preserve"> Various forms of the names are found, syllables sometimes separated and/or hyphenated: Fu Hsi and Nu Gua are common versions together with other forms. The name </w:t>
      </w:r>
      <w:r>
        <w:rPr>
          <w:rFonts w:cs="Calibri"/>
          <w:sz w:val="22"/>
          <w:szCs w:val="22"/>
        </w:rPr>
        <w:t>Bao Xi is also a common alternate for Fuxi (</w:t>
      </w:r>
      <w:r w:rsidR="00AA1DBB">
        <w:rPr>
          <w:rFonts w:cs="Calibri"/>
          <w:sz w:val="22"/>
          <w:szCs w:val="22"/>
        </w:rPr>
        <w:t xml:space="preserve">also </w:t>
      </w:r>
      <w:r>
        <w:rPr>
          <w:rFonts w:cs="Calibri"/>
          <w:sz w:val="22"/>
          <w:szCs w:val="22"/>
        </w:rPr>
        <w:t xml:space="preserve">below). </w:t>
      </w:r>
      <w:r w:rsidR="00146A0D">
        <w:rPr>
          <w:rFonts w:cs="Calibri"/>
          <w:sz w:val="22"/>
          <w:szCs w:val="22"/>
        </w:rPr>
        <w:t xml:space="preserve">Pankenier, 2013, p. 385, argues that </w:t>
      </w:r>
      <w:r w:rsidR="00146A0D" w:rsidRPr="00546B5F">
        <w:rPr>
          <w:rFonts w:cs="Calibri"/>
          <w:i/>
          <w:iCs/>
          <w:sz w:val="22"/>
          <w:szCs w:val="22"/>
        </w:rPr>
        <w:t>Huainanzi</w:t>
      </w:r>
      <w:r w:rsidR="00146A0D">
        <w:rPr>
          <w:rFonts w:cs="Calibri"/>
          <w:sz w:val="22"/>
          <w:szCs w:val="22"/>
        </w:rPr>
        <w:t xml:space="preserve"> 4 equates the two with Tai Hao and Gou Mang. </w:t>
      </w:r>
      <w:r>
        <w:rPr>
          <w:sz w:val="22"/>
          <w:szCs w:val="22"/>
        </w:rPr>
        <w:t xml:space="preserve">The above versions are used throughout this essay. </w:t>
      </w:r>
    </w:p>
  </w:footnote>
  <w:footnote w:id="2">
    <w:p w14:paraId="49FD6634" w14:textId="77777777" w:rsidR="00C9118D" w:rsidRDefault="00000000">
      <w:pPr>
        <w:pStyle w:val="FootnoteText"/>
        <w:spacing w:after="120"/>
      </w:pPr>
      <w:r>
        <w:rPr>
          <w:rStyle w:val="FootnoteReference"/>
        </w:rPr>
        <w:footnoteRef/>
      </w:r>
      <w:r>
        <w:rPr>
          <w:sz w:val="22"/>
          <w:szCs w:val="22"/>
        </w:rPr>
        <w:t xml:space="preserve"> Online sources provide a substantial number of very similar images, varying in colouration and certain details. It is presumed therefore that there were many such silks recovered in this design.</w:t>
      </w:r>
    </w:p>
  </w:footnote>
  <w:footnote w:id="3">
    <w:p w14:paraId="1946AB2A" w14:textId="77777777" w:rsidR="00C9118D" w:rsidRDefault="00000000">
      <w:pPr>
        <w:pStyle w:val="FootnoteText"/>
        <w:spacing w:after="120"/>
      </w:pPr>
      <w:r>
        <w:rPr>
          <w:rStyle w:val="FootnoteReference"/>
        </w:rPr>
        <w:footnoteRef/>
      </w:r>
      <w:r>
        <w:rPr>
          <w:sz w:val="22"/>
          <w:szCs w:val="22"/>
        </w:rPr>
        <w:t xml:space="preserve"> Lewis, 2006, p. 126, argues that the iconography of Fuxi and Nüwa is restricted to funerary art.</w:t>
      </w:r>
    </w:p>
  </w:footnote>
  <w:footnote w:id="4">
    <w:p w14:paraId="47212EAB" w14:textId="77777777" w:rsidR="00C9118D" w:rsidRDefault="00000000">
      <w:pPr>
        <w:pStyle w:val="FootnoteText"/>
        <w:spacing w:after="120"/>
      </w:pPr>
      <w:r>
        <w:rPr>
          <w:rStyle w:val="FootnoteReference"/>
        </w:rPr>
        <w:footnoteRef/>
      </w:r>
      <w:r>
        <w:t xml:space="preserve"> </w:t>
      </w:r>
      <w:r>
        <w:rPr>
          <w:sz w:val="22"/>
          <w:szCs w:val="22"/>
        </w:rPr>
        <w:t>Lewis, 2006, pp. 109-145, repeatedly refers to Nüwa as “mainly a goddess of fertility” (p. 110 is the first usage of the term) whilst other writers such as Birrell and Yang &amp; An do not use such language. For this writer, the tired trope of ‘fertility’, invented in the nineteenth century as a euphemism for sexual intercourse as a part of religious rites, has no place in modern scholarship. Hackett, 1989, p. 68, argues (with respect to the Near East) that there is ‘virtually no evidence that there ever were any “fertility goddesses” or “fertility cults” …</w:t>
      </w:r>
      <w:r>
        <w:rPr>
          <w:i/>
          <w:iCs/>
          <w:sz w:val="22"/>
          <w:szCs w:val="22"/>
        </w:rPr>
        <w:t>as they are described in the scholarly literature</w:t>
      </w:r>
      <w:r>
        <w:rPr>
          <w:sz w:val="22"/>
          <w:szCs w:val="22"/>
        </w:rPr>
        <w:t>”’ (her emphases). The issue must remain beyond the scope of this essay.</w:t>
      </w:r>
    </w:p>
  </w:footnote>
  <w:footnote w:id="5">
    <w:p w14:paraId="5F0829BD" w14:textId="77777777" w:rsidR="00C9118D" w:rsidRDefault="00000000">
      <w:pPr>
        <w:pStyle w:val="FootnoteText"/>
        <w:spacing w:after="120"/>
      </w:pPr>
      <w:r>
        <w:rPr>
          <w:rStyle w:val="FootnoteReference"/>
        </w:rPr>
        <w:footnoteRef/>
      </w:r>
      <w:r>
        <w:rPr>
          <w:sz w:val="22"/>
          <w:szCs w:val="22"/>
        </w:rPr>
        <w:t xml:space="preserve"> Yang &amp; An, 2005, pp. 118, 170. Yang’s monumental study ‘The Cult of Nüwa’ (in Chinese so not referenced directly) refers to more than 500 myths about Nüwa (Yang &amp; An, 2005, p. 16.</w:t>
      </w:r>
    </w:p>
  </w:footnote>
  <w:footnote w:id="6">
    <w:p w14:paraId="57362CC6" w14:textId="77777777" w:rsidR="00C9118D" w:rsidRDefault="00000000">
      <w:pPr>
        <w:pStyle w:val="FootnoteText"/>
        <w:spacing w:after="120"/>
      </w:pPr>
      <w:r>
        <w:rPr>
          <w:rStyle w:val="FootnoteReference"/>
        </w:rPr>
        <w:footnoteRef/>
      </w:r>
      <w:r>
        <w:rPr>
          <w:sz w:val="22"/>
          <w:szCs w:val="22"/>
        </w:rPr>
        <w:t xml:space="preserve"> Zhao, 2019. In this image, the sun is </w:t>
      </w:r>
      <w:r>
        <w:rPr>
          <w:rFonts w:cs="Calibri"/>
          <w:sz w:val="22"/>
          <w:szCs w:val="22"/>
        </w:rPr>
        <w:t xml:space="preserve">at the top, the moon at the bottom. </w:t>
      </w:r>
      <w:r>
        <w:rPr>
          <w:sz w:val="22"/>
          <w:szCs w:val="22"/>
        </w:rPr>
        <w:t>Sun and moon are standard components in Fuxi and Nüwa imagery: the sun often linked to / containing a three-legged bird and the moon a toad (Zhao, 2019, p. 16). Zhao, 2019, p. 38, argues a “clear departure from traditional depiction” with respect to this image, hypothesising a relationship to Buddhist cave-temple art.</w:t>
      </w:r>
    </w:p>
  </w:footnote>
  <w:footnote w:id="7">
    <w:p w14:paraId="54607E19" w14:textId="77777777" w:rsidR="00C9118D" w:rsidRDefault="00000000">
      <w:pPr>
        <w:pStyle w:val="FootnoteText"/>
        <w:spacing w:after="120"/>
      </w:pPr>
      <w:r>
        <w:rPr>
          <w:rStyle w:val="FootnoteReference"/>
        </w:rPr>
        <w:footnoteRef/>
      </w:r>
      <w:r>
        <w:rPr>
          <w:sz w:val="22"/>
          <w:szCs w:val="22"/>
        </w:rPr>
        <w:t xml:space="preserve"> The </w:t>
      </w:r>
      <w:r>
        <w:rPr>
          <w:i/>
          <w:iCs/>
          <w:sz w:val="22"/>
          <w:szCs w:val="22"/>
        </w:rPr>
        <w:t>Shanhaijing</w:t>
      </w:r>
      <w:r>
        <w:rPr>
          <w:sz w:val="22"/>
          <w:szCs w:val="22"/>
        </w:rPr>
        <w:t xml:space="preserve"> contains at various further examples of ‘conjunction’ (though not denoted as Fuxi or Nüwa) including a serpentine form with two heads and upper parts but a single tail (LXXV/342) and ‘shared-shoulder people’ (XLV/230, specific image Strassberg, 2002, p. 68).</w:t>
      </w:r>
    </w:p>
  </w:footnote>
  <w:footnote w:id="8">
    <w:p w14:paraId="14D25A94" w14:textId="38031379" w:rsidR="00C9118D" w:rsidRDefault="00000000">
      <w:pPr>
        <w:pStyle w:val="FootnoteText"/>
        <w:spacing w:after="120"/>
      </w:pPr>
      <w:r>
        <w:rPr>
          <w:rStyle w:val="FootnoteReference"/>
        </w:rPr>
        <w:footnoteRef/>
      </w:r>
      <w:r>
        <w:rPr>
          <w:sz w:val="22"/>
          <w:szCs w:val="22"/>
        </w:rPr>
        <w:t xml:space="preserve"> There seems to be little mythic tradition regarding the usual consequence of children for the pair. The minimal mentions of Nüwa’s daughters mention no fathers: Strassberg, 2002, p. 132 (</w:t>
      </w:r>
      <w:r>
        <w:rPr>
          <w:i/>
          <w:iCs/>
          <w:sz w:val="22"/>
          <w:szCs w:val="22"/>
        </w:rPr>
        <w:t>Shanhaijing</w:t>
      </w:r>
      <w:r>
        <w:rPr>
          <w:sz w:val="22"/>
          <w:szCs w:val="22"/>
        </w:rPr>
        <w:t xml:space="preserve"> XXV/133) assigns Nüwa a daughter, Jianwei (but Yang &amp; An, 2005, p. 55 argue this as a separate Nüwa); Yang &amp; An, 2005, p. 175, recount a myth, with an unnamed daughter (see also below).</w:t>
      </w:r>
    </w:p>
  </w:footnote>
  <w:footnote w:id="9">
    <w:p w14:paraId="64E99CE8" w14:textId="77777777" w:rsidR="00C9118D" w:rsidRDefault="00000000">
      <w:pPr>
        <w:pStyle w:val="FootnoteText"/>
        <w:spacing w:after="120"/>
      </w:pPr>
      <w:r>
        <w:rPr>
          <w:rStyle w:val="FootnoteReference"/>
        </w:rPr>
        <w:footnoteRef/>
      </w:r>
      <w:r>
        <w:rPr>
          <w:sz w:val="22"/>
          <w:szCs w:val="22"/>
        </w:rPr>
        <w:t xml:space="preserve"> This writer does not endorse the customary ‘functionalist’ interpretation of ancient religion, instead seeing spiritual / religious experience as major causative principle. It is noted however, that the recent work by Goossaert (2022, p. 1) writes of revelatory experiences being “found in overwhelming numbers throughout Chinese religious history” and of the different modes in which revelation occurs.</w:t>
      </w:r>
    </w:p>
  </w:footnote>
  <w:footnote w:id="10">
    <w:p w14:paraId="71355282" w14:textId="47731913" w:rsidR="00C9118D" w:rsidRDefault="00000000">
      <w:pPr>
        <w:pStyle w:val="FootnoteText"/>
        <w:spacing w:after="120"/>
      </w:pPr>
      <w:r>
        <w:rPr>
          <w:rStyle w:val="FootnoteReference"/>
        </w:rPr>
        <w:footnoteRef/>
      </w:r>
      <w:r>
        <w:rPr>
          <w:sz w:val="22"/>
          <w:szCs w:val="22"/>
        </w:rPr>
        <w:t xml:space="preserve"> </w:t>
      </w:r>
      <w:r w:rsidR="009A0E5A">
        <w:rPr>
          <w:sz w:val="22"/>
          <w:szCs w:val="22"/>
        </w:rPr>
        <w:t xml:space="preserve">The vast scope of serpents in religion must remain beyond scope of this essay. </w:t>
      </w:r>
      <w:r>
        <w:rPr>
          <w:sz w:val="22"/>
          <w:szCs w:val="22"/>
        </w:rPr>
        <w:t xml:space="preserve">The image of Melusine is popular – adopted for example by the Starbucks coffeeshop chain. </w:t>
      </w:r>
    </w:p>
  </w:footnote>
  <w:footnote w:id="11">
    <w:p w14:paraId="25AB4A73" w14:textId="75188D5A" w:rsidR="00C9118D" w:rsidRDefault="00000000">
      <w:pPr>
        <w:pStyle w:val="FootnoteText"/>
        <w:spacing w:after="120"/>
      </w:pPr>
      <w:r>
        <w:rPr>
          <w:rStyle w:val="FootnoteReference"/>
        </w:rPr>
        <w:footnoteRef/>
      </w:r>
      <w:r>
        <w:rPr>
          <w:sz w:val="22"/>
          <w:szCs w:val="22"/>
        </w:rPr>
        <w:t xml:space="preserve"> Zhao, 2019, p. 26 comments on ‘dragon’ versus serpent. Suhadolnik, 2019, p. 56, also mentions representations where their feet end in tiger paws. </w:t>
      </w:r>
      <w:r w:rsidR="00146A0D">
        <w:rPr>
          <w:sz w:val="22"/>
          <w:szCs w:val="22"/>
        </w:rPr>
        <w:t>Pankenier, 2013, p. 388, cites a tenth-century source, material though to date four centuries earlier, in which Fuxi can use ‘dragon-speech’.</w:t>
      </w:r>
    </w:p>
  </w:footnote>
  <w:footnote w:id="12">
    <w:p w14:paraId="3753F61E" w14:textId="145D8C1F" w:rsidR="00C9118D" w:rsidRDefault="00000000">
      <w:pPr>
        <w:pStyle w:val="FootnoteText"/>
        <w:spacing w:after="120"/>
      </w:pPr>
      <w:r>
        <w:rPr>
          <w:rStyle w:val="FootnoteReference"/>
        </w:rPr>
        <w:footnoteRef/>
      </w:r>
      <w:r>
        <w:rPr>
          <w:sz w:val="22"/>
          <w:szCs w:val="22"/>
        </w:rPr>
        <w:t xml:space="preserve"> The stars are sometimes (perhaps always, digital reproductions may be lacking clarity) joined with lines into ‘constellations’. Ursa Major is thought to be that at Nüwa’s knee. It is plausible also that the stars as depicted in the Turfan silks are related to the Yellow River or Luo River diagrams from which the Yijing trigrams are traditionally derived (also below</w:t>
      </w:r>
      <w:r w:rsidR="00AA1DBB">
        <w:rPr>
          <w:sz w:val="22"/>
          <w:szCs w:val="22"/>
        </w:rPr>
        <w:t>)</w:t>
      </w:r>
      <w:r>
        <w:rPr>
          <w:sz w:val="22"/>
          <w:szCs w:val="22"/>
        </w:rPr>
        <w:t>.</w:t>
      </w:r>
      <w:r w:rsidR="00146A0D">
        <w:rPr>
          <w:sz w:val="22"/>
          <w:szCs w:val="22"/>
        </w:rPr>
        <w:t xml:space="preserve"> Pankenier, 2013, p. 389, considers that the star patterns represent 28 </w:t>
      </w:r>
      <w:proofErr w:type="gramStart"/>
      <w:r w:rsidR="00146A0D">
        <w:rPr>
          <w:sz w:val="22"/>
          <w:szCs w:val="22"/>
        </w:rPr>
        <w:t>lunar</w:t>
      </w:r>
      <w:proofErr w:type="gramEnd"/>
      <w:r w:rsidR="00146A0D">
        <w:rPr>
          <w:sz w:val="22"/>
          <w:szCs w:val="22"/>
        </w:rPr>
        <w:t xml:space="preserve"> ‘lodges’.</w:t>
      </w:r>
    </w:p>
  </w:footnote>
  <w:footnote w:id="13">
    <w:p w14:paraId="2B15BCA9" w14:textId="77777777" w:rsidR="00C9118D" w:rsidRDefault="00000000">
      <w:pPr>
        <w:pStyle w:val="FootnoteText"/>
        <w:spacing w:after="120"/>
      </w:pPr>
      <w:r>
        <w:rPr>
          <w:rStyle w:val="FootnoteReference"/>
        </w:rPr>
        <w:footnoteRef/>
      </w:r>
      <w:r>
        <w:rPr>
          <w:sz w:val="22"/>
          <w:szCs w:val="22"/>
        </w:rPr>
        <w:t xml:space="preserve"> Zhao, 2019, p. 29, argues that this an ‘official hat’ seen only on males</w:t>
      </w:r>
      <w:r>
        <w:t>.</w:t>
      </w:r>
    </w:p>
  </w:footnote>
  <w:footnote w:id="14">
    <w:p w14:paraId="7BF3581D" w14:textId="23B6EB6F" w:rsidR="00C9118D" w:rsidRDefault="00000000">
      <w:pPr>
        <w:pStyle w:val="FootnoteText"/>
        <w:spacing w:after="120"/>
      </w:pPr>
      <w:r>
        <w:rPr>
          <w:rStyle w:val="FootnoteReference"/>
        </w:rPr>
        <w:footnoteRef/>
      </w:r>
      <w:r>
        <w:rPr>
          <w:sz w:val="22"/>
          <w:szCs w:val="22"/>
        </w:rPr>
        <w:t xml:space="preserve"> Major, 1993, p. 32, ‘The most basic principle of Huang-Lo cosmography…’. See further below (n 48</w:t>
      </w:r>
      <w:r w:rsidR="00146A0D">
        <w:rPr>
          <w:sz w:val="22"/>
          <w:szCs w:val="22"/>
        </w:rPr>
        <w:t>).</w:t>
      </w:r>
    </w:p>
  </w:footnote>
  <w:footnote w:id="15">
    <w:p w14:paraId="41883DA2" w14:textId="17FFCC3C" w:rsidR="00C9118D" w:rsidRDefault="00000000">
      <w:pPr>
        <w:pStyle w:val="FootnoteText"/>
        <w:spacing w:after="120"/>
      </w:pPr>
      <w:r>
        <w:rPr>
          <w:rStyle w:val="FootnoteReference"/>
        </w:rPr>
        <w:footnoteRef/>
      </w:r>
      <w:r>
        <w:rPr>
          <w:sz w:val="22"/>
          <w:szCs w:val="22"/>
        </w:rPr>
        <w:t xml:space="preserve"> Suhadolnik, 2019, p. 67.</w:t>
      </w:r>
      <w:r w:rsidR="00146A0D">
        <w:rPr>
          <w:sz w:val="22"/>
          <w:szCs w:val="22"/>
        </w:rPr>
        <w:t xml:space="preserve"> Pankenier, 2013, p. 135 uses the phrase ‘cosmic demiurges’.</w:t>
      </w:r>
    </w:p>
  </w:footnote>
  <w:footnote w:id="16">
    <w:p w14:paraId="22B13550" w14:textId="77777777" w:rsidR="00C9118D" w:rsidRDefault="00000000">
      <w:pPr>
        <w:pStyle w:val="FootnoteText"/>
        <w:spacing w:after="120"/>
      </w:pPr>
      <w:r>
        <w:rPr>
          <w:rStyle w:val="FootnoteReference"/>
        </w:rPr>
        <w:footnoteRef/>
      </w:r>
      <w:r>
        <w:rPr>
          <w:sz w:val="22"/>
          <w:szCs w:val="22"/>
        </w:rPr>
        <w:t xml:space="preserve"> Yang &amp; An, 2005, p. 119; Suhadolnik, 2019, pp. 67-68.</w:t>
      </w:r>
    </w:p>
  </w:footnote>
  <w:footnote w:id="17">
    <w:p w14:paraId="03570027" w14:textId="77777777" w:rsidR="00C9118D" w:rsidRDefault="00000000">
      <w:pPr>
        <w:pStyle w:val="FootnoteText"/>
        <w:spacing w:after="120"/>
      </w:pPr>
      <w:r>
        <w:rPr>
          <w:rStyle w:val="FootnoteReference"/>
        </w:rPr>
        <w:footnoteRef/>
      </w:r>
      <w:r>
        <w:rPr>
          <w:sz w:val="22"/>
          <w:szCs w:val="22"/>
        </w:rPr>
        <w:t xml:space="preserve"> Image taken from Birrell, 1999, p. 71. A modern sculpture of Fuxi and </w:t>
      </w:r>
      <w:r>
        <w:rPr>
          <w:rFonts w:cs="Calibri"/>
          <w:sz w:val="22"/>
          <w:szCs w:val="22"/>
        </w:rPr>
        <w:t xml:space="preserve">Nüwa arranged similarly to this image may be found near Qin </w:t>
      </w:r>
      <w:proofErr w:type="spellStart"/>
      <w:r>
        <w:rPr>
          <w:rFonts w:cs="Calibri"/>
          <w:sz w:val="22"/>
          <w:szCs w:val="22"/>
        </w:rPr>
        <w:t>Shihuang</w:t>
      </w:r>
      <w:proofErr w:type="spellEnd"/>
      <w:r>
        <w:rPr>
          <w:rFonts w:cs="Calibri"/>
          <w:sz w:val="22"/>
          <w:szCs w:val="22"/>
        </w:rPr>
        <w:t xml:space="preserve"> Mausoleum, </w:t>
      </w:r>
      <w:proofErr w:type="spellStart"/>
      <w:r>
        <w:rPr>
          <w:rFonts w:cs="Calibri"/>
          <w:sz w:val="22"/>
          <w:szCs w:val="22"/>
        </w:rPr>
        <w:t>Lintong</w:t>
      </w:r>
      <w:proofErr w:type="spellEnd"/>
      <w:r>
        <w:rPr>
          <w:rFonts w:cs="Calibri"/>
          <w:sz w:val="22"/>
          <w:szCs w:val="22"/>
        </w:rPr>
        <w:t xml:space="preserve">, Shaanxi. </w:t>
      </w:r>
      <w:r>
        <w:rPr>
          <w:sz w:val="22"/>
          <w:szCs w:val="22"/>
        </w:rPr>
        <w:t>https://www.flickr.com/photos/101561334@N08/26649027842</w:t>
      </w:r>
    </w:p>
  </w:footnote>
  <w:footnote w:id="18">
    <w:p w14:paraId="3BAD9396" w14:textId="77777777" w:rsidR="00C9118D" w:rsidRDefault="00000000">
      <w:pPr>
        <w:pStyle w:val="FootnoteText"/>
        <w:spacing w:after="120"/>
      </w:pPr>
      <w:r>
        <w:rPr>
          <w:rStyle w:val="FootnoteReference"/>
        </w:rPr>
        <w:footnoteRef/>
      </w:r>
      <w:r>
        <w:rPr>
          <w:sz w:val="22"/>
          <w:szCs w:val="22"/>
        </w:rPr>
        <w:t xml:space="preserve"> Zhao, 2019, p. 26. These images are not usually labelled in the helpful manner of Greek pottery.</w:t>
      </w:r>
    </w:p>
  </w:footnote>
  <w:footnote w:id="19">
    <w:p w14:paraId="0D03BCE8" w14:textId="77777777" w:rsidR="00C9118D" w:rsidRDefault="00000000">
      <w:pPr>
        <w:pStyle w:val="FootnoteText"/>
        <w:spacing w:after="120"/>
      </w:pPr>
      <w:r>
        <w:rPr>
          <w:rStyle w:val="FootnoteReference"/>
        </w:rPr>
        <w:footnoteRef/>
      </w:r>
      <w:r>
        <w:rPr>
          <w:sz w:val="22"/>
          <w:szCs w:val="22"/>
        </w:rPr>
        <w:t xml:space="preserve"> Yang &amp; An, 2005, p. 119.</w:t>
      </w:r>
    </w:p>
  </w:footnote>
  <w:footnote w:id="20">
    <w:p w14:paraId="6372DAD5" w14:textId="77777777" w:rsidR="00C9118D" w:rsidRDefault="00000000">
      <w:pPr>
        <w:spacing w:after="120"/>
      </w:pPr>
      <w:r>
        <w:rPr>
          <w:rStyle w:val="FootnoteReference"/>
        </w:rPr>
        <w:footnoteRef/>
      </w:r>
      <w:r>
        <w:t xml:space="preserve"> The latter phrase is in Zhao, 2019, p. 27. Suhadolnik, 2019, p. 64,  comments in contrast “in weaving the warp and woof of the cosmos, they significantly contribute to the perpetual creation of the harmonic relations inside the cosmic visualisation”. It is interesting that Allen, 1988, p. 8, writing of Egyptian religion, considers</w:t>
      </w:r>
      <w:r>
        <w:rPr>
          <w:rFonts w:cs="Calibri"/>
        </w:rPr>
        <w:t xml:space="preserve"> deities not as ‘personifications’ but active entitles with identity, consciousness and agency</w:t>
      </w:r>
      <w:r>
        <w:t xml:space="preserve"> (his emphases): “the Egyptians lived in a universe composed not of </w:t>
      </w:r>
      <w:r>
        <w:rPr>
          <w:i/>
          <w:iCs/>
        </w:rPr>
        <w:t>things</w:t>
      </w:r>
      <w:r>
        <w:t xml:space="preserve">, but of </w:t>
      </w:r>
      <w:r>
        <w:rPr>
          <w:i/>
          <w:iCs/>
        </w:rPr>
        <w:t>beings</w:t>
      </w:r>
      <w:r>
        <w:t>”.</w:t>
      </w:r>
      <w:r>
        <w:rPr>
          <w:rFonts w:cs="Calibri"/>
        </w:rPr>
        <w:t xml:space="preserve"> It may be argued that such is indeed the ‘normal’ mode of religious / spiritual understanding with Abrahamic religions the exception.</w:t>
      </w:r>
    </w:p>
  </w:footnote>
  <w:footnote w:id="21">
    <w:p w14:paraId="48421351" w14:textId="77777777" w:rsidR="00C9118D" w:rsidRDefault="00000000">
      <w:pPr>
        <w:pStyle w:val="FootnoteText"/>
        <w:spacing w:after="120"/>
      </w:pPr>
      <w:r>
        <w:rPr>
          <w:rStyle w:val="FootnoteReference"/>
        </w:rPr>
        <w:footnoteRef/>
      </w:r>
      <w:r>
        <w:rPr>
          <w:sz w:val="22"/>
          <w:szCs w:val="22"/>
        </w:rPr>
        <w:t xml:space="preserve"> Birrell , 1999, p. 1.</w:t>
      </w:r>
      <w:r>
        <w:t xml:space="preserve"> </w:t>
      </w:r>
    </w:p>
  </w:footnote>
  <w:footnote w:id="22">
    <w:p w14:paraId="29EBE085" w14:textId="77777777" w:rsidR="00C9118D" w:rsidRDefault="00000000">
      <w:pPr>
        <w:pStyle w:val="FootnoteText"/>
        <w:spacing w:after="120"/>
      </w:pPr>
      <w:r>
        <w:rPr>
          <w:rStyle w:val="FootnoteReference"/>
        </w:rPr>
        <w:footnoteRef/>
      </w:r>
      <w:r>
        <w:rPr>
          <w:sz w:val="22"/>
          <w:szCs w:val="22"/>
        </w:rPr>
        <w:t xml:space="preserve"> Many commentators seem to ignore issues of questionable redaction: for example, Lewis, 2006, pp. 109-110 writes of myths about ‘nuclear families’ as though this was a wholly non-contested issue.</w:t>
      </w:r>
    </w:p>
  </w:footnote>
  <w:footnote w:id="23">
    <w:p w14:paraId="59111CD7" w14:textId="77777777" w:rsidR="00C9118D" w:rsidRDefault="00000000">
      <w:pPr>
        <w:pStyle w:val="FootnoteText"/>
        <w:spacing w:after="120"/>
      </w:pPr>
      <w:r>
        <w:rPr>
          <w:rStyle w:val="FootnoteReference"/>
        </w:rPr>
        <w:footnoteRef/>
      </w:r>
      <w:r>
        <w:rPr>
          <w:sz w:val="22"/>
          <w:szCs w:val="22"/>
        </w:rPr>
        <w:t xml:space="preserve"> Deleuze &amp; Guattari introduced the metaphor of the rhizome with the desire to break away from the ubiquity of the single-trunked tree as metaphor for all time-unfolding processes.(Hitchcock,2008,  pp. 106-112). Actually, this is still botanically inadequate: a rhizome structure has many roots and many stems in a single ‘organism’, but actually is still a </w:t>
      </w:r>
      <w:proofErr w:type="gramStart"/>
      <w:r>
        <w:rPr>
          <w:sz w:val="22"/>
          <w:szCs w:val="22"/>
        </w:rPr>
        <w:t>singly-connected</w:t>
      </w:r>
      <w:proofErr w:type="gramEnd"/>
      <w:r>
        <w:rPr>
          <w:sz w:val="22"/>
          <w:szCs w:val="22"/>
        </w:rPr>
        <w:t xml:space="preserve"> network in mathematical terms. Stories seem rather to be </w:t>
      </w:r>
      <w:proofErr w:type="gramStart"/>
      <w:r>
        <w:rPr>
          <w:sz w:val="22"/>
          <w:szCs w:val="22"/>
        </w:rPr>
        <w:t>multiply-connected</w:t>
      </w:r>
      <w:proofErr w:type="gramEnd"/>
      <w:r>
        <w:rPr>
          <w:sz w:val="22"/>
          <w:szCs w:val="22"/>
        </w:rPr>
        <w:t xml:space="preserve">, as are both mycorrhiza and neural networks. </w:t>
      </w:r>
    </w:p>
  </w:footnote>
  <w:footnote w:id="24">
    <w:p w14:paraId="008C4BBC" w14:textId="77777777" w:rsidR="00C9118D" w:rsidRDefault="00000000">
      <w:pPr>
        <w:pStyle w:val="FootnoteText"/>
        <w:spacing w:after="120"/>
      </w:pPr>
      <w:r>
        <w:rPr>
          <w:rStyle w:val="FootnoteReference"/>
        </w:rPr>
        <w:footnoteRef/>
      </w:r>
      <w:r>
        <w:rPr>
          <w:sz w:val="22"/>
          <w:szCs w:val="22"/>
        </w:rPr>
        <w:t xml:space="preserve"> </w:t>
      </w:r>
      <w:r>
        <w:rPr>
          <w:rFonts w:cs="Calibri"/>
          <w:sz w:val="22"/>
          <w:szCs w:val="22"/>
        </w:rPr>
        <w:t>Bodde, 1961, p. 404. (The Wade-Giles form of this name, Ku Chieh-kang, is also used).</w:t>
      </w:r>
    </w:p>
  </w:footnote>
  <w:footnote w:id="25">
    <w:p w14:paraId="214226CB" w14:textId="77777777" w:rsidR="00C9118D" w:rsidRDefault="00000000">
      <w:pPr>
        <w:pStyle w:val="FootnoteText"/>
        <w:spacing w:after="120"/>
      </w:pPr>
      <w:r>
        <w:rPr>
          <w:rStyle w:val="FootnoteReference"/>
        </w:rPr>
        <w:footnoteRef/>
      </w:r>
      <w:r>
        <w:rPr>
          <w:sz w:val="22"/>
          <w:szCs w:val="22"/>
        </w:rPr>
        <w:t xml:space="preserve"> Chan, 1972. Additionally, a few years later at the termination of the dynasty, imperial archives (possibly holding copies of otherwise destroyed texts) were destroyed by fire (Chan, 1972, p. 107). Arguably these holocausts were more disastrous than the destruction of the Library of Alexandria, in that we do at least know of the former existence of many Greco-Roman ‘classical’ texts.</w:t>
      </w:r>
    </w:p>
  </w:footnote>
  <w:footnote w:id="26">
    <w:p w14:paraId="01D6F5C5" w14:textId="77777777" w:rsidR="00C9118D" w:rsidRDefault="00000000">
      <w:pPr>
        <w:pStyle w:val="FootnoteText"/>
        <w:spacing w:after="120"/>
      </w:pPr>
      <w:r>
        <w:rPr>
          <w:rStyle w:val="FootnoteReference"/>
        </w:rPr>
        <w:footnoteRef/>
      </w:r>
      <w:r>
        <w:rPr>
          <w:sz w:val="22"/>
          <w:szCs w:val="22"/>
        </w:rPr>
        <w:t xml:space="preserve"> Yang &amp; An, 2005, pp. 12-14.  Bodde, 1961, pp. 372-376. Euhemerus himself, a Greek (4</w:t>
      </w:r>
      <w:r>
        <w:rPr>
          <w:sz w:val="22"/>
          <w:szCs w:val="22"/>
          <w:vertAlign w:val="superscript"/>
        </w:rPr>
        <w:t>th</w:t>
      </w:r>
      <w:r>
        <w:rPr>
          <w:sz w:val="22"/>
          <w:szCs w:val="22"/>
        </w:rPr>
        <w:t xml:space="preserve"> century BCE) argued the converse, deriving deities from kings and queens. Yang &amp; An also cite however, Yuan Ke (1916-2001), that Chinese myths are </w:t>
      </w:r>
      <w:proofErr w:type="gramStart"/>
      <w:r>
        <w:rPr>
          <w:sz w:val="22"/>
          <w:szCs w:val="22"/>
        </w:rPr>
        <w:t>actually more</w:t>
      </w:r>
      <w:proofErr w:type="gramEnd"/>
      <w:r>
        <w:rPr>
          <w:sz w:val="22"/>
          <w:szCs w:val="22"/>
        </w:rPr>
        <w:t xml:space="preserve"> ‘pristine’ than the Greek material in Homer and Hesiod. A properly Euhemerist view is also present in Chinese scholarship (Yang &amp; An, p. 58, n. 22).</w:t>
      </w:r>
    </w:p>
  </w:footnote>
  <w:footnote w:id="27">
    <w:p w14:paraId="2E9F3223" w14:textId="6DBC52B0" w:rsidR="00C9118D" w:rsidRDefault="00000000">
      <w:pPr>
        <w:pStyle w:val="FootnoteText"/>
        <w:spacing w:after="120"/>
      </w:pPr>
      <w:r>
        <w:rPr>
          <w:rStyle w:val="FootnoteReference"/>
        </w:rPr>
        <w:footnoteRef/>
      </w:r>
      <w:r>
        <w:rPr>
          <w:sz w:val="22"/>
          <w:szCs w:val="22"/>
        </w:rPr>
        <w:t xml:space="preserve"> The ubiquity of flood-myths is a commonplace of comparative mythology. The most obvious cause of this (excluding the Bible narrative of course) is th</w:t>
      </w:r>
      <w:r w:rsidR="004F4377">
        <w:rPr>
          <w:sz w:val="22"/>
          <w:szCs w:val="22"/>
        </w:rPr>
        <w:t>e</w:t>
      </w:r>
      <w:r>
        <w:rPr>
          <w:sz w:val="22"/>
          <w:szCs w:val="22"/>
        </w:rPr>
        <w:t xml:space="preserve"> large-scale coastal inundation that certainly  occurred at the end of the most recent glaciation (Major, 1993, p. 45). However, other than the occasional tsunami, that process would have been of slow tempo, not cataclysmic: it was pre-Neolithic, so requires a very long ‘cultural memory’. </w:t>
      </w:r>
    </w:p>
  </w:footnote>
  <w:footnote w:id="28">
    <w:p w14:paraId="2C534751" w14:textId="77777777" w:rsidR="00C9118D" w:rsidRDefault="00000000">
      <w:pPr>
        <w:pStyle w:val="FootnoteText"/>
        <w:spacing w:after="120"/>
      </w:pPr>
      <w:r>
        <w:rPr>
          <w:rStyle w:val="FootnoteReference"/>
        </w:rPr>
        <w:footnoteRef/>
      </w:r>
      <w:r>
        <w:rPr>
          <w:sz w:val="22"/>
          <w:szCs w:val="22"/>
        </w:rPr>
        <w:t xml:space="preserve"> Guo et. al., 2023. Lewis, 2006, p. 134, describes Nüwa as ‘wife’ of Yu in a few early texts.</w:t>
      </w:r>
    </w:p>
  </w:footnote>
  <w:footnote w:id="29">
    <w:p w14:paraId="11E3B20D" w14:textId="77777777" w:rsidR="00C9118D" w:rsidRDefault="00000000">
      <w:pPr>
        <w:pStyle w:val="FootnoteText"/>
        <w:spacing w:after="120"/>
      </w:pPr>
      <w:r>
        <w:rPr>
          <w:rStyle w:val="FootnoteReference"/>
        </w:rPr>
        <w:footnoteRef/>
      </w:r>
      <w:r>
        <w:rPr>
          <w:sz w:val="22"/>
          <w:szCs w:val="22"/>
        </w:rPr>
        <w:t xml:space="preserve"> For a Fuxi and Nüwa version , Yang &amp; An, 2005, p. 172, cite the </w:t>
      </w:r>
      <w:r>
        <w:rPr>
          <w:i/>
          <w:iCs/>
          <w:sz w:val="22"/>
          <w:szCs w:val="22"/>
        </w:rPr>
        <w:t>Duyixhi (A Treatise on Strange Beings and Things)</w:t>
      </w:r>
      <w:r>
        <w:rPr>
          <w:sz w:val="22"/>
          <w:szCs w:val="22"/>
        </w:rPr>
        <w:t xml:space="preserve"> by Tang writer Li Ron c. 846-874 CE. </w:t>
      </w:r>
    </w:p>
  </w:footnote>
  <w:footnote w:id="30">
    <w:p w14:paraId="673260B8" w14:textId="77777777" w:rsidR="00C9118D" w:rsidRDefault="00000000">
      <w:pPr>
        <w:pStyle w:val="FootnoteText"/>
        <w:spacing w:after="120"/>
      </w:pPr>
      <w:r>
        <w:rPr>
          <w:rStyle w:val="FootnoteReference"/>
        </w:rPr>
        <w:footnoteRef/>
      </w:r>
      <w:r>
        <w:rPr>
          <w:sz w:val="22"/>
          <w:szCs w:val="22"/>
        </w:rPr>
        <w:t xml:space="preserve"> Yang &amp; An, 2005, p. 173.</w:t>
      </w:r>
    </w:p>
  </w:footnote>
  <w:footnote w:id="31">
    <w:p w14:paraId="12B559B0" w14:textId="77777777" w:rsidR="00C9118D" w:rsidRDefault="00000000">
      <w:pPr>
        <w:pStyle w:val="FootnoteText"/>
        <w:spacing w:after="120"/>
      </w:pPr>
      <w:r>
        <w:rPr>
          <w:rStyle w:val="FootnoteReference"/>
        </w:rPr>
        <w:footnoteRef/>
      </w:r>
      <w:r>
        <w:rPr>
          <w:sz w:val="22"/>
          <w:szCs w:val="22"/>
        </w:rPr>
        <w:t xml:space="preserve"> Li, 2015, pp. 56-58. Li also tells how their rites were later ‘organised’ by the founder of Daoism, </w:t>
      </w:r>
      <w:proofErr w:type="spellStart"/>
      <w:r>
        <w:rPr>
          <w:sz w:val="22"/>
          <w:szCs w:val="22"/>
        </w:rPr>
        <w:t>Taishang</w:t>
      </w:r>
      <w:proofErr w:type="spellEnd"/>
      <w:r>
        <w:rPr>
          <w:sz w:val="22"/>
          <w:szCs w:val="22"/>
        </w:rPr>
        <w:t xml:space="preserve"> </w:t>
      </w:r>
      <w:proofErr w:type="spellStart"/>
      <w:r>
        <w:rPr>
          <w:sz w:val="22"/>
          <w:szCs w:val="22"/>
        </w:rPr>
        <w:t>Laojun</w:t>
      </w:r>
      <w:proofErr w:type="spellEnd"/>
      <w:r>
        <w:rPr>
          <w:sz w:val="22"/>
          <w:szCs w:val="22"/>
        </w:rPr>
        <w:t>.</w:t>
      </w:r>
    </w:p>
  </w:footnote>
  <w:footnote w:id="32">
    <w:p w14:paraId="523E60D8" w14:textId="095A9E30" w:rsidR="00C9118D" w:rsidRPr="001B6809" w:rsidRDefault="00000000">
      <w:pPr>
        <w:pStyle w:val="FootnoteText"/>
        <w:spacing w:after="120"/>
        <w:rPr>
          <w:sz w:val="22"/>
          <w:szCs w:val="22"/>
        </w:rPr>
      </w:pPr>
      <w:r w:rsidRPr="001B6809">
        <w:rPr>
          <w:rStyle w:val="FootnoteReference"/>
          <w:sz w:val="22"/>
          <w:szCs w:val="22"/>
        </w:rPr>
        <w:footnoteRef/>
      </w:r>
      <w:r w:rsidRPr="001B6809">
        <w:rPr>
          <w:sz w:val="22"/>
          <w:szCs w:val="22"/>
        </w:rPr>
        <w:t xml:space="preserve"> This story is used as an aetiology for social classes – the nobles being made carefully from the clay, commoners more sloppily from the mud (Birrell, 1999, p. 35).</w:t>
      </w:r>
      <w:r w:rsidR="005F6A7F" w:rsidRPr="001B6809">
        <w:rPr>
          <w:sz w:val="22"/>
          <w:szCs w:val="22"/>
        </w:rPr>
        <w:t xml:space="preserve"> Nonetheless, there is no suggestion that </w:t>
      </w:r>
      <w:r w:rsidR="005F6A7F" w:rsidRPr="001B6809">
        <w:rPr>
          <w:rFonts w:cs="Calibri"/>
          <w:sz w:val="22"/>
          <w:szCs w:val="22"/>
        </w:rPr>
        <w:t>Nüwa made humans ‘in her own image’.</w:t>
      </w:r>
      <w:r w:rsidRPr="001B6809">
        <w:rPr>
          <w:sz w:val="22"/>
          <w:szCs w:val="22"/>
        </w:rPr>
        <w:t xml:space="preserve"> It is noted that the Hebrew Yahweh makes the first human (male) from clay (Genesis 2:7) but that deity is never dismissed as ‘culture hero’.</w:t>
      </w:r>
    </w:p>
  </w:footnote>
  <w:footnote w:id="33">
    <w:p w14:paraId="3E16293E" w14:textId="32A7D076" w:rsidR="00C9118D" w:rsidRDefault="00000000">
      <w:pPr>
        <w:pStyle w:val="FootnoteText"/>
        <w:spacing w:after="120"/>
      </w:pPr>
      <w:r>
        <w:rPr>
          <w:rStyle w:val="FootnoteReference"/>
        </w:rPr>
        <w:footnoteRef/>
      </w:r>
      <w:r>
        <w:rPr>
          <w:sz w:val="22"/>
          <w:szCs w:val="22"/>
        </w:rPr>
        <w:t xml:space="preserve"> For this question, Birrell, 1993, p. 35 cites primary text </w:t>
      </w:r>
      <w:r>
        <w:rPr>
          <w:i/>
          <w:iCs/>
          <w:sz w:val="22"/>
          <w:szCs w:val="22"/>
        </w:rPr>
        <w:t xml:space="preserve">Ch’u </w:t>
      </w:r>
      <w:proofErr w:type="spellStart"/>
      <w:r>
        <w:rPr>
          <w:i/>
          <w:iCs/>
          <w:sz w:val="22"/>
          <w:szCs w:val="22"/>
        </w:rPr>
        <w:t>Tz’u</w:t>
      </w:r>
      <w:proofErr w:type="spellEnd"/>
      <w:r>
        <w:rPr>
          <w:i/>
          <w:iCs/>
          <w:sz w:val="22"/>
          <w:szCs w:val="22"/>
        </w:rPr>
        <w:t>, T’ien wen</w:t>
      </w:r>
      <w:r>
        <w:rPr>
          <w:sz w:val="22"/>
          <w:szCs w:val="22"/>
        </w:rPr>
        <w:t>, SPTK 3.20b. In one story, Fuxi’s mother becomes pregnant after stepping in a huge footprint (Yang &amp; An, p. 119). A very similar story has been told of Nüwa, who is also sometimes included in the later</w:t>
      </w:r>
      <w:r w:rsidR="004F4377">
        <w:rPr>
          <w:sz w:val="22"/>
          <w:szCs w:val="22"/>
        </w:rPr>
        <w:t xml:space="preserve"> and more patriarchal</w:t>
      </w:r>
      <w:r>
        <w:rPr>
          <w:sz w:val="22"/>
          <w:szCs w:val="22"/>
        </w:rPr>
        <w:t xml:space="preserve"> (Three Kingdoms) myth of (male) Pangu – Nüwa’s mother </w:t>
      </w:r>
      <w:proofErr w:type="spellStart"/>
      <w:r>
        <w:rPr>
          <w:sz w:val="22"/>
          <w:szCs w:val="22"/>
        </w:rPr>
        <w:t>Huanzu</w:t>
      </w:r>
      <w:proofErr w:type="spellEnd"/>
      <w:r>
        <w:rPr>
          <w:sz w:val="22"/>
          <w:szCs w:val="22"/>
        </w:rPr>
        <w:t xml:space="preserve"> somehow emanating from him. Neither Birrell nor Yang &amp; </w:t>
      </w:r>
      <w:proofErr w:type="gramStart"/>
      <w:r>
        <w:rPr>
          <w:sz w:val="22"/>
          <w:szCs w:val="22"/>
        </w:rPr>
        <w:t>An</w:t>
      </w:r>
      <w:proofErr w:type="gramEnd"/>
      <w:r>
        <w:rPr>
          <w:sz w:val="22"/>
          <w:szCs w:val="22"/>
        </w:rPr>
        <w:t xml:space="preserve"> give any ancestor deities for Nüwa.</w:t>
      </w:r>
    </w:p>
  </w:footnote>
  <w:footnote w:id="34">
    <w:p w14:paraId="73390324" w14:textId="77777777" w:rsidR="00C9118D" w:rsidRDefault="00000000">
      <w:pPr>
        <w:pStyle w:val="FootnoteText"/>
        <w:spacing w:after="120"/>
      </w:pPr>
      <w:r>
        <w:rPr>
          <w:rStyle w:val="FootnoteReference"/>
        </w:rPr>
        <w:footnoteRef/>
      </w:r>
      <w:r>
        <w:rPr>
          <w:sz w:val="22"/>
          <w:szCs w:val="22"/>
        </w:rPr>
        <w:t xml:space="preserve"> Yang &amp; An, 2005, pp. 64-65, refer to a corpus of such as ‘</w:t>
      </w:r>
      <w:proofErr w:type="spellStart"/>
      <w:r>
        <w:rPr>
          <w:sz w:val="22"/>
          <w:szCs w:val="22"/>
        </w:rPr>
        <w:t>Gansheng</w:t>
      </w:r>
      <w:proofErr w:type="spellEnd"/>
      <w:r>
        <w:rPr>
          <w:sz w:val="22"/>
          <w:szCs w:val="22"/>
        </w:rPr>
        <w:t xml:space="preserve"> </w:t>
      </w:r>
      <w:proofErr w:type="gramStart"/>
      <w:r>
        <w:rPr>
          <w:sz w:val="22"/>
          <w:szCs w:val="22"/>
        </w:rPr>
        <w:t>myths’</w:t>
      </w:r>
      <w:proofErr w:type="gramEnd"/>
      <w:r>
        <w:rPr>
          <w:sz w:val="22"/>
          <w:szCs w:val="22"/>
        </w:rPr>
        <w:t>.</w:t>
      </w:r>
    </w:p>
  </w:footnote>
  <w:footnote w:id="35">
    <w:p w14:paraId="6D3A7130" w14:textId="77777777" w:rsidR="00C9118D" w:rsidRDefault="00000000">
      <w:pPr>
        <w:pStyle w:val="FootnoteText"/>
        <w:spacing w:after="120"/>
      </w:pPr>
      <w:r>
        <w:rPr>
          <w:rStyle w:val="FootnoteReference"/>
        </w:rPr>
        <w:footnoteRef/>
      </w:r>
      <w:r>
        <w:rPr>
          <w:sz w:val="22"/>
          <w:szCs w:val="22"/>
        </w:rPr>
        <w:t xml:space="preserve"> Engels, 1968, p. 488. Originally published 1884. It is important to note Engels’ phrase is in no way ‘evolutionist’. Engels’ work does not seem to have been subject to serious criticism in China.</w:t>
      </w:r>
    </w:p>
  </w:footnote>
  <w:footnote w:id="36">
    <w:p w14:paraId="76153B0A" w14:textId="77777777" w:rsidR="00C9118D" w:rsidRDefault="00000000">
      <w:pPr>
        <w:pStyle w:val="FootnoteText"/>
        <w:spacing w:after="120"/>
      </w:pPr>
      <w:r>
        <w:rPr>
          <w:rStyle w:val="FootnoteReference"/>
        </w:rPr>
        <w:footnoteRef/>
      </w:r>
      <w:r>
        <w:rPr>
          <w:sz w:val="22"/>
          <w:szCs w:val="22"/>
        </w:rPr>
        <w:t xml:space="preserve"> Birrell. 1999, pp. 203-204.</w:t>
      </w:r>
    </w:p>
  </w:footnote>
  <w:footnote w:id="37">
    <w:p w14:paraId="2786F189" w14:textId="77777777" w:rsidR="00C9118D" w:rsidRDefault="00000000">
      <w:pPr>
        <w:pStyle w:val="FootnoteText"/>
        <w:spacing w:after="120"/>
      </w:pPr>
      <w:r>
        <w:rPr>
          <w:rStyle w:val="FootnoteReference"/>
        </w:rPr>
        <w:footnoteRef/>
      </w:r>
      <w:r>
        <w:rPr>
          <w:sz w:val="22"/>
          <w:szCs w:val="22"/>
        </w:rPr>
        <w:t xml:space="preserve"> Watson, 2013, p. 255. An unreferenced quote is in the ‘official’ publication of the Association for Promoting the Protection and Use of the Imperial Temples of Emperors of Successive Dynasties in Beijing. </w:t>
      </w:r>
      <w:r>
        <w:rPr>
          <w:i/>
          <w:iCs/>
          <w:sz w:val="22"/>
          <w:szCs w:val="22"/>
        </w:rPr>
        <w:t>Worshiping the Three Sage Kings and Five Virtuous Emperors - The Imperial Temple of Emperors of Successive Dynasties in Beijing.</w:t>
      </w:r>
      <w:r>
        <w:rPr>
          <w:sz w:val="22"/>
          <w:szCs w:val="22"/>
        </w:rPr>
        <w:t xml:space="preserve"> (Beijing: Foreign Language Press, 2007. </w:t>
      </w:r>
    </w:p>
  </w:footnote>
  <w:footnote w:id="38">
    <w:p w14:paraId="7EECD4D4" w14:textId="77777777" w:rsidR="00C9118D" w:rsidRDefault="00000000">
      <w:pPr>
        <w:pStyle w:val="FootnoteText"/>
        <w:spacing w:after="120"/>
      </w:pPr>
      <w:r>
        <w:rPr>
          <w:rStyle w:val="FootnoteReference"/>
        </w:rPr>
        <w:footnoteRef/>
      </w:r>
      <w:r>
        <w:rPr>
          <w:sz w:val="22"/>
          <w:szCs w:val="22"/>
        </w:rPr>
        <w:t xml:space="preserve"> Da Mu La Mu, 2022. (series of seven articles by the author on this website). Cai, 2001, provides a substantial ethnographic analysis. The point is that biological fathers are frequently known, but not acknowledged in kinship systems.</w:t>
      </w:r>
    </w:p>
  </w:footnote>
  <w:footnote w:id="39">
    <w:p w14:paraId="5EADD4D5" w14:textId="77777777" w:rsidR="00C9118D" w:rsidRDefault="00000000">
      <w:pPr>
        <w:pStyle w:val="FootnoteText"/>
        <w:spacing w:after="120"/>
      </w:pPr>
      <w:r>
        <w:rPr>
          <w:rStyle w:val="FootnoteReference"/>
        </w:rPr>
        <w:footnoteRef/>
      </w:r>
      <w:r>
        <w:rPr>
          <w:sz w:val="22"/>
          <w:szCs w:val="22"/>
        </w:rPr>
        <w:t xml:space="preserve"> Birrell’s use of the term ‘culture bearer’ (1999, p. 40 ) does not to differ significantly – though she does argue against ‘simplistic similarities’ in myth and for the ‘particular differentiation’ of Chinese tradition.</w:t>
      </w:r>
    </w:p>
  </w:footnote>
  <w:footnote w:id="40">
    <w:p w14:paraId="4DCAC71F" w14:textId="77777777" w:rsidR="00C9118D" w:rsidRDefault="00000000">
      <w:pPr>
        <w:pStyle w:val="FootnoteText"/>
        <w:spacing w:after="120"/>
      </w:pPr>
      <w:r>
        <w:rPr>
          <w:rStyle w:val="FootnoteReference"/>
        </w:rPr>
        <w:footnoteRef/>
      </w:r>
      <w:r>
        <w:rPr>
          <w:sz w:val="22"/>
          <w:szCs w:val="22"/>
        </w:rPr>
        <w:t xml:space="preserve"> Bucková, 2012, p. 221.</w:t>
      </w:r>
    </w:p>
  </w:footnote>
  <w:footnote w:id="41">
    <w:p w14:paraId="7745BEA2" w14:textId="77777777" w:rsidR="00C9118D" w:rsidRDefault="00000000">
      <w:pPr>
        <w:pStyle w:val="FootnoteText"/>
        <w:spacing w:after="120"/>
      </w:pPr>
      <w:r>
        <w:rPr>
          <w:rStyle w:val="FootnoteReference"/>
        </w:rPr>
        <w:footnoteRef/>
      </w:r>
      <w:r>
        <w:rPr>
          <w:sz w:val="22"/>
          <w:szCs w:val="22"/>
        </w:rPr>
        <w:t xml:space="preserve"> The term ‘pseudo’ is prefixed because these notions have very little to do with biological evolution (the concept of which is based on random mutation and natural selection) but rather are teleologies of ‘progress’, ideologies directly associated with the worldview of capitalism.</w:t>
      </w:r>
    </w:p>
  </w:footnote>
  <w:footnote w:id="42">
    <w:p w14:paraId="49AF4CE7" w14:textId="77777777" w:rsidR="00C9118D" w:rsidRDefault="00000000">
      <w:pPr>
        <w:pStyle w:val="FootnoteText"/>
        <w:spacing w:after="120"/>
      </w:pPr>
      <w:r>
        <w:rPr>
          <w:rStyle w:val="FootnoteReference"/>
        </w:rPr>
        <w:footnoteRef/>
      </w:r>
      <w:r>
        <w:rPr>
          <w:sz w:val="22"/>
          <w:szCs w:val="22"/>
        </w:rPr>
        <w:t xml:space="preserve"> Bucková, 2012, p. 221.</w:t>
      </w:r>
    </w:p>
  </w:footnote>
  <w:footnote w:id="43">
    <w:p w14:paraId="65262417" w14:textId="77777777" w:rsidR="00C9118D" w:rsidRDefault="00000000">
      <w:pPr>
        <w:pStyle w:val="FootnoteText"/>
        <w:spacing w:after="120"/>
      </w:pPr>
      <w:r>
        <w:rPr>
          <w:rStyle w:val="FootnoteReference"/>
        </w:rPr>
        <w:footnoteRef/>
      </w:r>
      <w:r>
        <w:rPr>
          <w:sz w:val="22"/>
          <w:szCs w:val="22"/>
        </w:rPr>
        <w:t xml:space="preserve"> Bodde, 1962, pp. 390. 405.</w:t>
      </w:r>
    </w:p>
  </w:footnote>
  <w:footnote w:id="44">
    <w:p w14:paraId="03436EF6" w14:textId="77777777" w:rsidR="00C9118D" w:rsidRDefault="00000000">
      <w:pPr>
        <w:pStyle w:val="FootnoteText"/>
        <w:spacing w:after="120"/>
      </w:pPr>
      <w:r>
        <w:rPr>
          <w:rStyle w:val="FootnoteReference"/>
        </w:rPr>
        <w:footnoteRef/>
      </w:r>
      <w:r>
        <w:rPr>
          <w:sz w:val="22"/>
          <w:szCs w:val="22"/>
        </w:rPr>
        <w:t xml:space="preserve"> Bucková, 2012, pp. 226-277.</w:t>
      </w:r>
    </w:p>
  </w:footnote>
  <w:footnote w:id="45">
    <w:p w14:paraId="4D04765C" w14:textId="77777777" w:rsidR="00C9118D" w:rsidRDefault="00000000">
      <w:pPr>
        <w:pStyle w:val="FootnoteText"/>
        <w:spacing w:after="120"/>
      </w:pPr>
      <w:r>
        <w:rPr>
          <w:rStyle w:val="FootnoteReference"/>
        </w:rPr>
        <w:footnoteRef/>
      </w:r>
      <w:r>
        <w:rPr>
          <w:sz w:val="22"/>
          <w:szCs w:val="22"/>
        </w:rPr>
        <w:t xml:space="preserve"> This corruption of language is standard in present-day media: dead soldiers are invariably ‘heroes’, </w:t>
      </w:r>
      <w:r w:rsidRPr="00273CE3">
        <w:rPr>
          <w:sz w:val="22"/>
          <w:szCs w:val="22"/>
        </w:rPr>
        <w:t xml:space="preserve">successful sportspersons always such. </w:t>
      </w:r>
      <w:r w:rsidRPr="00273CE3">
        <w:rPr>
          <w:rFonts w:cs="Calibri"/>
          <w:sz w:val="22"/>
          <w:szCs w:val="22"/>
        </w:rPr>
        <w:t>Nield, 2022, refers to Campbell’s ideas as ‘McMyth’ (that is, putting them on a par with the burger chain.)</w:t>
      </w:r>
    </w:p>
  </w:footnote>
  <w:footnote w:id="46">
    <w:p w14:paraId="3F3D7A98" w14:textId="77777777" w:rsidR="00C9118D" w:rsidRDefault="00000000">
      <w:pPr>
        <w:pStyle w:val="FootnoteText"/>
        <w:spacing w:after="120"/>
      </w:pPr>
      <w:r>
        <w:rPr>
          <w:rStyle w:val="FootnoteReference"/>
        </w:rPr>
        <w:footnoteRef/>
      </w:r>
      <w:r>
        <w:rPr>
          <w:sz w:val="22"/>
          <w:szCs w:val="22"/>
        </w:rPr>
        <w:t xml:space="preserve"> Leeming, 2010, p.191. He further claims Jesus, Mohamed and the Buddha as culture heroes. The entire ‘encyclopaedia’ is significantly skewed to Christian theology.</w:t>
      </w:r>
    </w:p>
  </w:footnote>
  <w:footnote w:id="47">
    <w:p w14:paraId="3494FB87" w14:textId="02D49586" w:rsidR="00C9118D" w:rsidRPr="005F6A7F" w:rsidRDefault="00000000">
      <w:pPr>
        <w:pStyle w:val="FootnoteText"/>
        <w:spacing w:after="120"/>
        <w:rPr>
          <w:sz w:val="22"/>
          <w:szCs w:val="22"/>
        </w:rPr>
      </w:pPr>
      <w:r w:rsidRPr="005F6A7F">
        <w:rPr>
          <w:rStyle w:val="FootnoteReference"/>
          <w:sz w:val="22"/>
          <w:szCs w:val="22"/>
        </w:rPr>
        <w:footnoteRef/>
      </w:r>
      <w:r w:rsidRPr="005F6A7F">
        <w:rPr>
          <w:sz w:val="22"/>
          <w:szCs w:val="22"/>
        </w:rPr>
        <w:t xml:space="preserve"> Suhadolnik, 2019, p. 48.</w:t>
      </w:r>
      <w:r w:rsidR="005F6A7F" w:rsidRPr="005F6A7F">
        <w:rPr>
          <w:sz w:val="22"/>
          <w:szCs w:val="22"/>
        </w:rPr>
        <w:t xml:space="preserve"> Cheng, 2004, similarly describes </w:t>
      </w:r>
      <w:r w:rsidR="005F6A7F" w:rsidRPr="005F6A7F">
        <w:rPr>
          <w:rFonts w:cs="Calibri"/>
          <w:sz w:val="22"/>
          <w:szCs w:val="22"/>
        </w:rPr>
        <w:t>Nüwa as ‘matriarchal primogenetrix par excellence”.</w:t>
      </w:r>
    </w:p>
  </w:footnote>
  <w:footnote w:id="48">
    <w:p w14:paraId="52822982" w14:textId="77777777" w:rsidR="00C9118D" w:rsidRDefault="00000000">
      <w:pPr>
        <w:pStyle w:val="FootnoteText"/>
        <w:spacing w:after="120"/>
      </w:pPr>
      <w:r>
        <w:rPr>
          <w:rStyle w:val="FootnoteReference"/>
        </w:rPr>
        <w:footnoteRef/>
      </w:r>
      <w:r>
        <w:rPr>
          <w:sz w:val="22"/>
          <w:szCs w:val="22"/>
        </w:rPr>
        <w:t xml:space="preserve"> Lewis, 2006, p. 111. Birrell, 1993, p. 69-72, assigns Nüwa into this category amongst others, noting that the ‘soteriological’ usage of the term is not applicable in China.</w:t>
      </w:r>
    </w:p>
  </w:footnote>
  <w:footnote w:id="49">
    <w:p w14:paraId="667F344B" w14:textId="77777777" w:rsidR="00C9118D" w:rsidRDefault="00000000">
      <w:pPr>
        <w:pStyle w:val="FootnoteText"/>
        <w:spacing w:after="120"/>
      </w:pPr>
      <w:r>
        <w:rPr>
          <w:rStyle w:val="FootnoteReference"/>
        </w:rPr>
        <w:footnoteRef/>
      </w:r>
      <w:r>
        <w:rPr>
          <w:rFonts w:cs="Calibri"/>
          <w:sz w:val="22"/>
          <w:szCs w:val="22"/>
        </w:rPr>
        <w:t xml:space="preserve"> Suhadolnik, 2019, p. 67, characterises these as </w:t>
      </w:r>
      <w:proofErr w:type="gramStart"/>
      <w:r>
        <w:rPr>
          <w:rFonts w:cs="Calibri"/>
          <w:sz w:val="22"/>
          <w:szCs w:val="22"/>
        </w:rPr>
        <w:t>gem stones</w:t>
      </w:r>
      <w:proofErr w:type="gramEnd"/>
      <w:r>
        <w:rPr>
          <w:rFonts w:cs="Calibri"/>
          <w:sz w:val="22"/>
          <w:szCs w:val="22"/>
        </w:rPr>
        <w:t xml:space="preserve">, not just ordinary rocks. (Major, 1993, p. 26, similarly, whilst Major, et.al., 2010, p. 244 uses the hyphenated ‘five-coloured’.) </w:t>
      </w:r>
      <w:r>
        <w:rPr>
          <w:sz w:val="22"/>
          <w:szCs w:val="22"/>
        </w:rPr>
        <w:t>The Chinese concept of the rainbow hence contrasts with the Newtonian seven-coloured rainbow system. A possibly apocryphal anecdote has a colour-blind Newton asking a friend how many colours there were, and when this person answered six, the purportedly ’scientific’ Newton insisted, based on the mysticism that underlies all his work, that there ‘must be’ seven.</w:t>
      </w:r>
      <w:r>
        <w:rPr>
          <w:rFonts w:cs="Calibri"/>
          <w:sz w:val="22"/>
          <w:szCs w:val="22"/>
        </w:rPr>
        <w:t xml:space="preserve"> The five-coloured stones clearly correspond with ontological philosophy of five phases or </w:t>
      </w:r>
      <w:r>
        <w:rPr>
          <w:rFonts w:cs="Calibri"/>
          <w:i/>
          <w:iCs/>
          <w:sz w:val="22"/>
          <w:szCs w:val="22"/>
        </w:rPr>
        <w:t>wuxing</w:t>
      </w:r>
      <w:r>
        <w:rPr>
          <w:rFonts w:cs="Calibri"/>
          <w:sz w:val="22"/>
          <w:szCs w:val="22"/>
        </w:rPr>
        <w:t xml:space="preserve"> which Nüwa returns to harmony (Lewis, 2006, pp. 111-112).</w:t>
      </w:r>
    </w:p>
  </w:footnote>
  <w:footnote w:id="50">
    <w:p w14:paraId="390619CE" w14:textId="77777777" w:rsidR="00C9118D" w:rsidRDefault="00000000">
      <w:pPr>
        <w:pStyle w:val="FootnoteText"/>
        <w:spacing w:after="120"/>
      </w:pPr>
      <w:r>
        <w:rPr>
          <w:rStyle w:val="FootnoteReference"/>
        </w:rPr>
        <w:footnoteRef/>
      </w:r>
      <w:r>
        <w:rPr>
          <w:sz w:val="22"/>
          <w:szCs w:val="22"/>
        </w:rPr>
        <w:t xml:space="preserve"> The pillars are at ‘cross-quarters’, that is northeast, northwest, southeast, southwest rather than the cardinal points, hence close to the Earth’s ‘square’ (noted below).</w:t>
      </w:r>
    </w:p>
  </w:footnote>
  <w:footnote w:id="51">
    <w:p w14:paraId="3A18D7A4" w14:textId="77777777" w:rsidR="00C9118D" w:rsidRDefault="00000000">
      <w:pPr>
        <w:pStyle w:val="FootnoteText"/>
        <w:spacing w:after="120"/>
      </w:pPr>
      <w:r>
        <w:rPr>
          <w:rStyle w:val="FootnoteReference"/>
        </w:rPr>
        <w:footnoteRef/>
      </w:r>
      <w:r>
        <w:rPr>
          <w:sz w:val="22"/>
          <w:szCs w:val="22"/>
        </w:rPr>
        <w:t xml:space="preserve"> Major, 1993, p. 32 demonstrates how the pattern of consequent azimuths of sunrise and sunset at summer and winter solstices define the Earth as ‘square’.</w:t>
      </w:r>
    </w:p>
  </w:footnote>
  <w:footnote w:id="52">
    <w:p w14:paraId="66158651" w14:textId="77777777" w:rsidR="00C9118D" w:rsidRDefault="00000000">
      <w:pPr>
        <w:pStyle w:val="FootnoteText"/>
        <w:spacing w:after="120"/>
      </w:pPr>
      <w:r>
        <w:rPr>
          <w:rStyle w:val="FootnoteReference"/>
        </w:rPr>
        <w:footnoteRef/>
      </w:r>
      <w:r>
        <w:rPr>
          <w:sz w:val="22"/>
          <w:szCs w:val="22"/>
        </w:rPr>
        <w:t xml:space="preserve"> Yang &amp; An, 2005, p. 11.</w:t>
      </w:r>
    </w:p>
  </w:footnote>
  <w:footnote w:id="53">
    <w:p w14:paraId="62CEC62A" w14:textId="77777777" w:rsidR="00C9118D" w:rsidRDefault="00000000">
      <w:pPr>
        <w:pStyle w:val="FootnoteText"/>
        <w:spacing w:after="120"/>
      </w:pPr>
      <w:r>
        <w:rPr>
          <w:rStyle w:val="FootnoteReference"/>
        </w:rPr>
        <w:footnoteRef/>
      </w:r>
      <w:r>
        <w:rPr>
          <w:sz w:val="22"/>
          <w:szCs w:val="22"/>
        </w:rPr>
        <w:t xml:space="preserve"> Yang &amp; An, 2005, pp. 12-13. The Southern Song scholar Luo Mi claimed the events as an empress Nüwa putting down a rebellion by one of her dukes.</w:t>
      </w:r>
    </w:p>
  </w:footnote>
  <w:footnote w:id="54">
    <w:p w14:paraId="319512F3" w14:textId="01CE4414" w:rsidR="00C9118D" w:rsidRDefault="00000000">
      <w:pPr>
        <w:pStyle w:val="FootnoteText"/>
        <w:spacing w:after="120"/>
      </w:pPr>
      <w:r>
        <w:rPr>
          <w:rStyle w:val="FootnoteReference"/>
        </w:rPr>
        <w:footnoteRef/>
      </w:r>
      <w:r>
        <w:rPr>
          <w:sz w:val="22"/>
          <w:szCs w:val="22"/>
        </w:rPr>
        <w:t xml:space="preserve"> Cao </w:t>
      </w:r>
      <w:proofErr w:type="spellStart"/>
      <w:r>
        <w:rPr>
          <w:sz w:val="22"/>
          <w:szCs w:val="22"/>
        </w:rPr>
        <w:t>Xuequin</w:t>
      </w:r>
      <w:proofErr w:type="spellEnd"/>
      <w:r>
        <w:rPr>
          <w:sz w:val="22"/>
          <w:szCs w:val="22"/>
        </w:rPr>
        <w:t xml:space="preserve">. </w:t>
      </w:r>
      <w:r w:rsidRPr="001C4FFA">
        <w:rPr>
          <w:i/>
          <w:iCs/>
          <w:sz w:val="22"/>
          <w:szCs w:val="22"/>
        </w:rPr>
        <w:t>Dream of the Red Chamber or The Story of the Stone</w:t>
      </w:r>
      <w:r>
        <w:rPr>
          <w:sz w:val="22"/>
          <w:szCs w:val="22"/>
        </w:rPr>
        <w:t>. Written in the 18</w:t>
      </w:r>
      <w:r>
        <w:rPr>
          <w:sz w:val="22"/>
          <w:szCs w:val="22"/>
          <w:vertAlign w:val="superscript"/>
        </w:rPr>
        <w:t>th</w:t>
      </w:r>
      <w:r>
        <w:rPr>
          <w:sz w:val="22"/>
          <w:szCs w:val="22"/>
        </w:rPr>
        <w:t xml:space="preserve"> century. Modern edition in English: Penguin, 2012, 5 vols.</w:t>
      </w:r>
      <w:r w:rsidR="001C4FFA">
        <w:rPr>
          <w:sz w:val="22"/>
          <w:szCs w:val="22"/>
        </w:rPr>
        <w:t xml:space="preserve"> From a little earlier, the Ming dynasty novel </w:t>
      </w:r>
      <w:r w:rsidR="001C4FFA" w:rsidRPr="001C4FFA">
        <w:rPr>
          <w:i/>
          <w:iCs/>
          <w:sz w:val="22"/>
          <w:szCs w:val="22"/>
        </w:rPr>
        <w:t>Creation of the Gods</w:t>
      </w:r>
      <w:r w:rsidR="001C4FFA">
        <w:rPr>
          <w:sz w:val="22"/>
          <w:szCs w:val="22"/>
        </w:rPr>
        <w:t xml:space="preserve"> has Nüwa active agent in the destruction of the last Shang emperor after his attempt </w:t>
      </w:r>
      <w:r w:rsidR="004F4377">
        <w:rPr>
          <w:sz w:val="22"/>
          <w:szCs w:val="22"/>
        </w:rPr>
        <w:t xml:space="preserve">to </w:t>
      </w:r>
      <w:r w:rsidR="001C4FFA">
        <w:rPr>
          <w:sz w:val="22"/>
          <w:szCs w:val="22"/>
        </w:rPr>
        <w:t>importun</w:t>
      </w:r>
      <w:r w:rsidR="004F4377">
        <w:rPr>
          <w:sz w:val="22"/>
          <w:szCs w:val="22"/>
        </w:rPr>
        <w:t>e Her</w:t>
      </w:r>
      <w:r w:rsidR="001C4FFA">
        <w:rPr>
          <w:sz w:val="22"/>
          <w:szCs w:val="22"/>
        </w:rPr>
        <w:t>.</w:t>
      </w:r>
    </w:p>
  </w:footnote>
  <w:footnote w:id="55">
    <w:p w14:paraId="3F04B803" w14:textId="77777777" w:rsidR="00C9118D" w:rsidRDefault="00000000">
      <w:pPr>
        <w:pStyle w:val="FootnoteText"/>
        <w:spacing w:after="120"/>
      </w:pPr>
      <w:r>
        <w:rPr>
          <w:rStyle w:val="FootnoteReference"/>
        </w:rPr>
        <w:footnoteRef/>
      </w:r>
      <w:r>
        <w:rPr>
          <w:sz w:val="22"/>
          <w:szCs w:val="22"/>
        </w:rPr>
        <w:t xml:space="preserve"> Birrell, 1999, p. 45.</w:t>
      </w:r>
    </w:p>
  </w:footnote>
  <w:footnote w:id="56">
    <w:p w14:paraId="33142CB9" w14:textId="68F7E49B" w:rsidR="00C9118D" w:rsidRDefault="00000000">
      <w:pPr>
        <w:pStyle w:val="FootnoteText"/>
        <w:spacing w:after="120"/>
      </w:pPr>
      <w:r>
        <w:rPr>
          <w:rStyle w:val="FootnoteReference"/>
        </w:rPr>
        <w:footnoteRef/>
      </w:r>
      <w:r>
        <w:rPr>
          <w:sz w:val="22"/>
          <w:szCs w:val="22"/>
        </w:rPr>
        <w:t xml:space="preserve"> Bodde, 1961, p. 386.</w:t>
      </w:r>
      <w:r w:rsidR="000A01FF">
        <w:rPr>
          <w:sz w:val="22"/>
          <w:szCs w:val="22"/>
        </w:rPr>
        <w:t xml:space="preserve"> There seems to be a plethora of quite different derivations for the names of both Fuxi and Nüwa.</w:t>
      </w:r>
    </w:p>
  </w:footnote>
  <w:footnote w:id="57">
    <w:p w14:paraId="280482AF" w14:textId="77777777" w:rsidR="00C9118D" w:rsidRDefault="00000000">
      <w:pPr>
        <w:pStyle w:val="FootnoteText"/>
        <w:spacing w:after="120"/>
      </w:pPr>
      <w:r>
        <w:rPr>
          <w:rStyle w:val="FootnoteReference"/>
        </w:rPr>
        <w:footnoteRef/>
      </w:r>
      <w:r>
        <w:rPr>
          <w:sz w:val="22"/>
          <w:szCs w:val="22"/>
        </w:rPr>
        <w:t xml:space="preserve"> Yang &amp; An, p. 121. The Xia are only documented in later literature, their correlation with the cultures known archaeologically is a matter of academic discussion.</w:t>
      </w:r>
    </w:p>
  </w:footnote>
  <w:footnote w:id="58">
    <w:p w14:paraId="5016465F" w14:textId="77777777" w:rsidR="00C9118D" w:rsidRDefault="00000000">
      <w:pPr>
        <w:pStyle w:val="FootnoteText"/>
        <w:spacing w:after="120"/>
      </w:pPr>
      <w:r>
        <w:rPr>
          <w:rStyle w:val="FootnoteReference"/>
        </w:rPr>
        <w:footnoteRef/>
      </w:r>
      <w:r>
        <w:rPr>
          <w:sz w:val="22"/>
          <w:szCs w:val="22"/>
        </w:rPr>
        <w:t xml:space="preserve"> There appear to have been other modes of milfoil divination (Shaughnessy, 2022, p. 289, n.1), including a system with three types of line (hence not in any way dualistic), from which 81 quadrigrams are constructed. Shaughnessy refers to this as the ‘recently discovered Jing </w:t>
      </w:r>
      <w:proofErr w:type="spellStart"/>
      <w:r>
        <w:rPr>
          <w:sz w:val="22"/>
          <w:szCs w:val="22"/>
        </w:rPr>
        <w:t>jue</w:t>
      </w:r>
      <w:proofErr w:type="spellEnd"/>
      <w:r>
        <w:rPr>
          <w:sz w:val="22"/>
          <w:szCs w:val="22"/>
        </w:rPr>
        <w:t xml:space="preserve"> manuscript’, though Derek Walters and Xiong Yang produced a popular edition in The Alternative I Ching (1987). </w:t>
      </w:r>
    </w:p>
  </w:footnote>
  <w:footnote w:id="59">
    <w:p w14:paraId="01967957" w14:textId="77777777" w:rsidR="00C9118D" w:rsidRDefault="00000000">
      <w:pPr>
        <w:pStyle w:val="FootnoteText"/>
        <w:spacing w:after="120"/>
      </w:pPr>
      <w:r>
        <w:rPr>
          <w:rStyle w:val="FootnoteReference"/>
        </w:rPr>
        <w:footnoteRef/>
      </w:r>
      <w:r>
        <w:rPr>
          <w:sz w:val="22"/>
          <w:szCs w:val="22"/>
        </w:rPr>
        <w:t xml:space="preserve"> This name, also </w:t>
      </w:r>
      <w:r>
        <w:rPr>
          <w:i/>
          <w:iCs/>
          <w:sz w:val="22"/>
          <w:szCs w:val="22"/>
        </w:rPr>
        <w:t>Zhouyi</w:t>
      </w:r>
      <w:r>
        <w:rPr>
          <w:sz w:val="22"/>
          <w:szCs w:val="22"/>
        </w:rPr>
        <w:t>, is used for an early version of the oracle, without ‘Confucian’ commentary.</w:t>
      </w:r>
    </w:p>
  </w:footnote>
  <w:footnote w:id="60">
    <w:p w14:paraId="04B9B562" w14:textId="77777777" w:rsidR="00C9118D" w:rsidRDefault="00000000">
      <w:pPr>
        <w:pStyle w:val="FootnoteText"/>
        <w:spacing w:after="120"/>
      </w:pPr>
      <w:r>
        <w:rPr>
          <w:rStyle w:val="FootnoteReference"/>
        </w:rPr>
        <w:footnoteRef/>
      </w:r>
      <w:r>
        <w:rPr>
          <w:sz w:val="22"/>
          <w:szCs w:val="22"/>
        </w:rPr>
        <w:t xml:space="preserve"> Shaughnessy, 2022, p. 23. </w:t>
      </w:r>
    </w:p>
  </w:footnote>
  <w:footnote w:id="61">
    <w:p w14:paraId="63701B9C" w14:textId="77777777" w:rsidR="00C9118D" w:rsidRDefault="00000000">
      <w:pPr>
        <w:pStyle w:val="FootnoteText"/>
        <w:spacing w:after="120"/>
      </w:pPr>
      <w:r>
        <w:rPr>
          <w:rStyle w:val="FootnoteReference"/>
        </w:rPr>
        <w:footnoteRef/>
      </w:r>
      <w:r>
        <w:rPr>
          <w:sz w:val="22"/>
          <w:szCs w:val="22"/>
        </w:rPr>
        <w:t xml:space="preserve"> Theobald, 2012, has the Yellow River Map first mentioned by Han era scholar Kong Anguo, and the Luo River inscription in the book </w:t>
      </w:r>
      <w:r>
        <w:rPr>
          <w:i/>
          <w:iCs/>
          <w:sz w:val="22"/>
          <w:szCs w:val="22"/>
        </w:rPr>
        <w:t>Guanzi</w:t>
      </w:r>
      <w:r>
        <w:rPr>
          <w:sz w:val="22"/>
          <w:szCs w:val="22"/>
        </w:rPr>
        <w:t>.</w:t>
      </w:r>
    </w:p>
  </w:footnote>
  <w:footnote w:id="62">
    <w:p w14:paraId="5EE01F0C" w14:textId="77777777" w:rsidR="00C9118D" w:rsidRDefault="00000000">
      <w:pPr>
        <w:pStyle w:val="FootnoteText"/>
        <w:spacing w:after="120"/>
      </w:pPr>
      <w:r>
        <w:rPr>
          <w:rStyle w:val="FootnoteReference"/>
        </w:rPr>
        <w:footnoteRef/>
      </w:r>
      <w:r>
        <w:rPr>
          <w:sz w:val="22"/>
          <w:szCs w:val="22"/>
        </w:rPr>
        <w:t xml:space="preserve"> Shaughnessy, 1996, p. 2, cites a figure of over one hundred thousand oracular bones and shells combined. </w:t>
      </w:r>
    </w:p>
  </w:footnote>
  <w:footnote w:id="63">
    <w:p w14:paraId="5713F51C" w14:textId="77777777" w:rsidR="00C9118D" w:rsidRDefault="00000000">
      <w:pPr>
        <w:pStyle w:val="FootnoteText"/>
        <w:spacing w:after="120"/>
      </w:pPr>
      <w:r>
        <w:rPr>
          <w:rStyle w:val="FootnoteReference"/>
        </w:rPr>
        <w:footnoteRef/>
      </w:r>
      <w:r>
        <w:rPr>
          <w:sz w:val="22"/>
          <w:szCs w:val="22"/>
        </w:rPr>
        <w:t xml:space="preserve"> The Shang divination, from those with associated description, seems rather to have produced binary results. The nearest resemblance would seem to be a single mention, dated 563 BCE, in the </w:t>
      </w:r>
      <w:r>
        <w:rPr>
          <w:i/>
          <w:iCs/>
          <w:sz w:val="22"/>
          <w:szCs w:val="22"/>
        </w:rPr>
        <w:t>Zuo zhuan</w:t>
      </w:r>
      <w:r>
        <w:rPr>
          <w:sz w:val="22"/>
          <w:szCs w:val="22"/>
        </w:rPr>
        <w:t>, quoted by Shaughnessy, (1996, p. 8) of a crack ‘like a mountain peak’. (‘Mountain’ is one of the trigrams). Allan, 1991, pp. 81, 116-117 has examples of cracked plastrons.</w:t>
      </w:r>
    </w:p>
  </w:footnote>
  <w:footnote w:id="64">
    <w:p w14:paraId="33AF26A3" w14:textId="77777777" w:rsidR="00C9118D" w:rsidRDefault="00000000">
      <w:pPr>
        <w:pStyle w:val="FootnoteText"/>
        <w:spacing w:after="120"/>
      </w:pPr>
      <w:r>
        <w:rPr>
          <w:rStyle w:val="FootnoteReference"/>
        </w:rPr>
        <w:footnoteRef/>
      </w:r>
      <w:r>
        <w:rPr>
          <w:sz w:val="22"/>
          <w:szCs w:val="22"/>
        </w:rPr>
        <w:t xml:space="preserve"> Allan, 1991, pp. 101-104.</w:t>
      </w:r>
    </w:p>
  </w:footnote>
  <w:footnote w:id="65">
    <w:p w14:paraId="616A1188" w14:textId="77777777" w:rsidR="00C9118D" w:rsidRDefault="00000000">
      <w:pPr>
        <w:pStyle w:val="FootnoteText"/>
        <w:spacing w:after="120"/>
      </w:pPr>
      <w:r>
        <w:rPr>
          <w:rStyle w:val="FootnoteReference"/>
        </w:rPr>
        <w:footnoteRef/>
      </w:r>
      <w:r>
        <w:rPr>
          <w:sz w:val="22"/>
          <w:szCs w:val="22"/>
        </w:rPr>
        <w:t xml:space="preserve"> </w:t>
      </w:r>
      <w:r>
        <w:rPr>
          <w:rFonts w:cs="Calibri"/>
          <w:sz w:val="22"/>
          <w:szCs w:val="22"/>
        </w:rPr>
        <w:t>Allan, 1991, pp. 74-111.</w:t>
      </w:r>
    </w:p>
  </w:footnote>
  <w:footnote w:id="66">
    <w:p w14:paraId="3D2F71D6" w14:textId="77777777" w:rsidR="00C9118D" w:rsidRDefault="00000000">
      <w:pPr>
        <w:pStyle w:val="FootnoteText"/>
        <w:spacing w:after="120"/>
      </w:pPr>
      <w:r>
        <w:rPr>
          <w:rStyle w:val="FootnoteReference"/>
        </w:rPr>
        <w:footnoteRef/>
      </w:r>
      <w:r>
        <w:rPr>
          <w:sz w:val="22"/>
          <w:szCs w:val="22"/>
        </w:rPr>
        <w:t xml:space="preserve"> Allan, 1991, p. 111.</w:t>
      </w:r>
    </w:p>
  </w:footnote>
  <w:footnote w:id="67">
    <w:p w14:paraId="602EFA01" w14:textId="77777777" w:rsidR="00C9118D" w:rsidRDefault="00000000">
      <w:pPr>
        <w:spacing w:after="120"/>
      </w:pPr>
      <w:r>
        <w:rPr>
          <w:rStyle w:val="FootnoteReference"/>
        </w:rPr>
        <w:footnoteRef/>
      </w:r>
      <w:r>
        <w:t xml:space="preserve"> Fuxi and Nüwa are jointly associated with the Kunlun mountain(s), geographically in the far </w:t>
      </w:r>
      <w:r>
        <w:rPr>
          <w:i/>
          <w:iCs/>
        </w:rPr>
        <w:t>west</w:t>
      </w:r>
      <w:r>
        <w:t xml:space="preserve"> of modern China, but also treated as ‘mythical’ ‘uttermost west’ in earlier texts such as </w:t>
      </w:r>
      <w:r>
        <w:rPr>
          <w:i/>
          <w:iCs/>
        </w:rPr>
        <w:t>Shanhaijing</w:t>
      </w:r>
      <w:r>
        <w:t xml:space="preserve"> In some stories they survive there after the great flood. </w:t>
      </w:r>
      <w:r>
        <w:rPr>
          <w:rFonts w:cs="Calibri"/>
        </w:rPr>
        <w:t>The mountainous conception of Fuxi continues in the present day: a giant sculpture has been carved into an abandoned quarry in Xiangyang, Hubei. (https://www.srsstone.com/news/the-largest-mountain-statue-in-china-transform-52632026.html</w:t>
      </w:r>
    </w:p>
  </w:footnote>
  <w:footnote w:id="68">
    <w:p w14:paraId="0539DB59" w14:textId="77777777" w:rsidR="00C9118D" w:rsidRDefault="00000000">
      <w:pPr>
        <w:pStyle w:val="FootnoteText"/>
        <w:spacing w:after="120"/>
      </w:pPr>
      <w:r>
        <w:rPr>
          <w:rStyle w:val="FootnoteReference"/>
        </w:rPr>
        <w:footnoteRef/>
      </w:r>
      <w:r>
        <w:rPr>
          <w:sz w:val="22"/>
          <w:szCs w:val="22"/>
        </w:rPr>
        <w:t xml:space="preserve"> In ‘Later Heaven’, Qian / </w:t>
      </w:r>
      <w:r>
        <w:rPr>
          <w:rFonts w:cs="Calibri"/>
          <w:sz w:val="22"/>
          <w:szCs w:val="22"/>
        </w:rPr>
        <w:t xml:space="preserve">all Yang is at northwest, Kun / all Yin at southwest whereas Earlier Heaven has Qian at north, Kun diametrically opposite at south, with all eight in explicit yin/yang opposition pairings. (Hook, 1973, especially pp. 49-55). (It has not been possible to ascertain transliterations are which ‘precisely correct’: those used here are as the Stanford Encyclopedia Yijing entry.) </w:t>
      </w:r>
      <w:r>
        <w:rPr>
          <w:sz w:val="22"/>
          <w:szCs w:val="22"/>
        </w:rPr>
        <w:t xml:space="preserve">It is noted though that many more recent images, otherwise of the same genre, such as a painted status of Fuxi at the </w:t>
      </w:r>
      <w:proofErr w:type="spellStart"/>
      <w:r>
        <w:rPr>
          <w:sz w:val="22"/>
          <w:szCs w:val="22"/>
        </w:rPr>
        <w:t>Taihao</w:t>
      </w:r>
      <w:proofErr w:type="spellEnd"/>
      <w:r>
        <w:rPr>
          <w:sz w:val="22"/>
          <w:szCs w:val="22"/>
        </w:rPr>
        <w:t xml:space="preserve"> temple uses the Earlier Heaven arrangement: https://www.alamy.com/the-huge-painted-statue-of-fuxi-at-fuxi-temple-or-taihao-palace-also-image60244795.html</w:t>
      </w:r>
    </w:p>
  </w:footnote>
  <w:footnote w:id="69">
    <w:p w14:paraId="17A096CA" w14:textId="77777777" w:rsidR="00C9118D" w:rsidRDefault="00000000">
      <w:pPr>
        <w:pStyle w:val="FootnoteText"/>
        <w:spacing w:after="120"/>
      </w:pPr>
      <w:r>
        <w:rPr>
          <w:rStyle w:val="FootnoteReference"/>
        </w:rPr>
        <w:footnoteRef/>
      </w:r>
      <w:r>
        <w:rPr>
          <w:sz w:val="22"/>
          <w:szCs w:val="22"/>
        </w:rPr>
        <w:t xml:space="preserve"> Theobald, 2012</w:t>
      </w:r>
    </w:p>
  </w:footnote>
  <w:footnote w:id="70">
    <w:p w14:paraId="06C5725E" w14:textId="77777777" w:rsidR="00C9118D" w:rsidRDefault="00000000">
      <w:pPr>
        <w:pStyle w:val="FootnoteText"/>
        <w:spacing w:after="120"/>
      </w:pPr>
      <w:r>
        <w:rPr>
          <w:rStyle w:val="FootnoteReference"/>
        </w:rPr>
        <w:footnoteRef/>
      </w:r>
      <w:r>
        <w:rPr>
          <w:sz w:val="22"/>
          <w:szCs w:val="22"/>
        </w:rPr>
        <w:t xml:space="preserve"> Shaughnessy, 2022, p. 23.</w:t>
      </w:r>
    </w:p>
  </w:footnote>
  <w:footnote w:id="71">
    <w:p w14:paraId="5FC12F5A" w14:textId="26163A83" w:rsidR="00C9118D" w:rsidRDefault="00000000">
      <w:pPr>
        <w:pStyle w:val="FootnoteText"/>
        <w:spacing w:after="120"/>
      </w:pPr>
      <w:r>
        <w:rPr>
          <w:rStyle w:val="FootnoteReference"/>
        </w:rPr>
        <w:footnoteRef/>
      </w:r>
      <w:r>
        <w:rPr>
          <w:sz w:val="22"/>
          <w:szCs w:val="22"/>
        </w:rPr>
        <w:t xml:space="preserve"> If the unbroken / yang lines are designated by 0, and the broken / yin lines by 1, lines counted from bottom, the Fuxi sequence gives precisely the 6-digit binary representations of the numbers 0 to 63. </w:t>
      </w:r>
      <w:r w:rsidR="00EC638A">
        <w:rPr>
          <w:sz w:val="22"/>
          <w:szCs w:val="22"/>
        </w:rPr>
        <w:t xml:space="preserve">Various </w:t>
      </w:r>
      <w:r w:rsidR="00EC638A" w:rsidRPr="00EC638A">
        <w:rPr>
          <w:i/>
          <w:iCs/>
          <w:sz w:val="22"/>
          <w:szCs w:val="22"/>
        </w:rPr>
        <w:t>Yijing</w:t>
      </w:r>
      <w:r w:rsidR="00EC638A">
        <w:rPr>
          <w:sz w:val="22"/>
          <w:szCs w:val="22"/>
        </w:rPr>
        <w:t xml:space="preserve"> editions provide a graphical demonstration of this sequence. </w:t>
      </w:r>
      <w:r>
        <w:rPr>
          <w:sz w:val="22"/>
          <w:szCs w:val="22"/>
        </w:rPr>
        <w:t>The King Wen arrangement is paired, each either a yin / yang complement (hence 2 / Kun = all yin follows 1 / Jian = all yang) or, when the first of the pair is vertically asymmetrical, the second is a vertical inversion. How these pairs are then sequenced requires a ‘philosophical’ interpretation.</w:t>
      </w:r>
    </w:p>
  </w:footnote>
  <w:footnote w:id="72">
    <w:p w14:paraId="11427A2C" w14:textId="77777777" w:rsidR="00C9118D" w:rsidRDefault="00000000">
      <w:pPr>
        <w:pStyle w:val="FootnoteText"/>
        <w:spacing w:after="120"/>
      </w:pPr>
      <w:r>
        <w:rPr>
          <w:rStyle w:val="FootnoteReference"/>
        </w:rPr>
        <w:footnoteRef/>
      </w:r>
      <w:r>
        <w:rPr>
          <w:sz w:val="22"/>
          <w:szCs w:val="22"/>
        </w:rPr>
        <w:t xml:space="preserve"> Walker, 1986, p. 13. It may be noted that Biroco, 2004, describes Walker’s I Ching interpretation as ‘preposterous’. (Biroco is a pseudonym of J. S. Marshall, author of </w:t>
      </w:r>
      <w:r>
        <w:rPr>
          <w:i/>
          <w:iCs/>
          <w:sz w:val="22"/>
          <w:szCs w:val="22"/>
        </w:rPr>
        <w:t>The Mandate of Heaven</w:t>
      </w:r>
      <w:r>
        <w:rPr>
          <w:sz w:val="22"/>
          <w:szCs w:val="22"/>
        </w:rPr>
        <w:t>.)</w:t>
      </w:r>
    </w:p>
  </w:footnote>
  <w:footnote w:id="73">
    <w:p w14:paraId="3E55A1BB" w14:textId="77777777" w:rsidR="00C9118D" w:rsidRDefault="00000000">
      <w:pPr>
        <w:pStyle w:val="FootnoteText"/>
        <w:spacing w:after="120"/>
      </w:pPr>
      <w:r>
        <w:rPr>
          <w:rStyle w:val="FootnoteReference"/>
        </w:rPr>
        <w:footnoteRef/>
      </w:r>
      <w:r>
        <w:rPr>
          <w:sz w:val="22"/>
          <w:szCs w:val="22"/>
        </w:rPr>
        <w:t xml:space="preserve"> A vast academic literature exists on the development of the Yijing texts, the discussion of which is well beyond the scope of this essay.</w:t>
      </w:r>
    </w:p>
  </w:footnote>
  <w:footnote w:id="74">
    <w:p w14:paraId="762A622A" w14:textId="77777777" w:rsidR="00C9118D" w:rsidRDefault="00000000">
      <w:pPr>
        <w:pStyle w:val="FootnoteText"/>
        <w:spacing w:after="120"/>
      </w:pPr>
      <w:r>
        <w:rPr>
          <w:rStyle w:val="FootnoteReference"/>
        </w:rPr>
        <w:footnoteRef/>
      </w:r>
      <w:r>
        <w:rPr>
          <w:sz w:val="22"/>
          <w:szCs w:val="22"/>
        </w:rPr>
        <w:t xml:space="preserve"> </w:t>
      </w:r>
      <w:r>
        <w:rPr>
          <w:rFonts w:cs="Calibri"/>
          <w:sz w:val="22"/>
          <w:szCs w:val="22"/>
        </w:rPr>
        <w:t>Yang &amp; An, pp. 72-73, 121, 174; Birrell, p. 44.</w:t>
      </w:r>
    </w:p>
  </w:footnote>
  <w:footnote w:id="75">
    <w:p w14:paraId="5304E04A" w14:textId="77777777" w:rsidR="00C9118D" w:rsidRDefault="00000000">
      <w:pPr>
        <w:pStyle w:val="FootnoteText"/>
        <w:spacing w:after="120"/>
      </w:pPr>
      <w:r>
        <w:rPr>
          <w:rStyle w:val="FootnoteReference"/>
        </w:rPr>
        <w:footnoteRef/>
      </w:r>
      <w:r>
        <w:rPr>
          <w:sz w:val="22"/>
          <w:szCs w:val="22"/>
        </w:rPr>
        <w:t xml:space="preserve"> Lindgren, 2010, p. 96.</w:t>
      </w:r>
    </w:p>
  </w:footnote>
  <w:footnote w:id="76">
    <w:p w14:paraId="7D1D5A9C" w14:textId="77777777" w:rsidR="00C9118D" w:rsidRDefault="00000000">
      <w:pPr>
        <w:pStyle w:val="FootnoteText"/>
        <w:spacing w:after="120"/>
      </w:pPr>
      <w:r>
        <w:rPr>
          <w:rStyle w:val="FootnoteReference"/>
        </w:rPr>
        <w:footnoteRef/>
      </w:r>
      <w:r>
        <w:rPr>
          <w:sz w:val="22"/>
          <w:szCs w:val="22"/>
        </w:rPr>
        <w:t xml:space="preserve"> Suhadolnik 2019, 56, comments that this is a ‘typical Han clothing style’.</w:t>
      </w:r>
    </w:p>
  </w:footnote>
  <w:footnote w:id="77">
    <w:p w14:paraId="6A2A09CE" w14:textId="77777777" w:rsidR="00C9118D" w:rsidRDefault="00000000">
      <w:pPr>
        <w:pStyle w:val="FootnoteText"/>
        <w:spacing w:after="120"/>
      </w:pPr>
      <w:r>
        <w:rPr>
          <w:rStyle w:val="FootnoteReference"/>
        </w:rPr>
        <w:footnoteRef/>
      </w:r>
      <w:r>
        <w:rPr>
          <w:sz w:val="22"/>
          <w:szCs w:val="22"/>
        </w:rPr>
        <w:t xml:space="preserve"> Dashu, 2011, p.7. (It has not been possible to find a primary source for this image.) Another image Dashu, 2011, p. 4.</w:t>
      </w:r>
    </w:p>
  </w:footnote>
  <w:footnote w:id="78">
    <w:p w14:paraId="69C71CD8" w14:textId="77777777" w:rsidR="00C9118D" w:rsidRDefault="00000000">
      <w:pPr>
        <w:pStyle w:val="FootnoteText"/>
        <w:spacing w:after="120"/>
      </w:pPr>
      <w:r>
        <w:rPr>
          <w:rStyle w:val="FootnoteReference"/>
        </w:rPr>
        <w:footnoteRef/>
      </w:r>
      <w:r>
        <w:rPr>
          <w:sz w:val="22"/>
          <w:szCs w:val="22"/>
        </w:rPr>
        <w:t xml:space="preserve"> Image extracted from lecture notes (also in Dashu, 2011, p.3). Original in Henan Provincial Museum</w:t>
      </w:r>
    </w:p>
  </w:footnote>
  <w:footnote w:id="79">
    <w:p w14:paraId="16AA71B9" w14:textId="77777777" w:rsidR="00C9118D" w:rsidRDefault="00000000">
      <w:pPr>
        <w:spacing w:after="120"/>
      </w:pPr>
      <w:r>
        <w:rPr>
          <w:rStyle w:val="FootnoteReference"/>
        </w:rPr>
        <w:footnoteRef/>
      </w:r>
      <w:r>
        <w:t xml:space="preserve"> Photo by </w:t>
      </w:r>
      <w:r>
        <w:rPr>
          <w:rFonts w:cs="Calibri"/>
        </w:rPr>
        <w:t>Gary Lee Todd of Han tile:- http://picasaweb.google.com/GaryLeeTodd/HenanProvincialMuseum1ZhengzhouPrehistoryThroughHanDynasty#, Henan Provincial Museum</w:t>
      </w:r>
      <w:r>
        <w:rPr>
          <w:rFonts w:cs="Calibri"/>
        </w:rPr>
        <w:br/>
        <w:t>Modern dance costume: https://www.wholesaledancedress.com/chinese-folk-dance-dresses-for-women-water-sleeve-dance-dress-elegant-chinese-style-</w:t>
      </w:r>
      <w:bookmarkStart w:id="6" w:name="_Hlt181624225"/>
      <w:bookmarkStart w:id="7" w:name="_Hlt181624226"/>
      <w:r>
        <w:rPr>
          <w:rFonts w:cs="Calibri"/>
        </w:rPr>
        <w:t>c</w:t>
      </w:r>
      <w:bookmarkEnd w:id="6"/>
      <w:bookmarkEnd w:id="7"/>
      <w:r>
        <w:rPr>
          <w:rFonts w:cs="Calibri"/>
        </w:rPr>
        <w:t>lassical-dance-costume-fairy-sleeve-swinging-han-costume-ancient-style-startling-dance-costume-female-625868144766</w:t>
      </w:r>
    </w:p>
  </w:footnote>
  <w:footnote w:id="80">
    <w:p w14:paraId="23D98539" w14:textId="77777777" w:rsidR="00C9118D" w:rsidRDefault="00000000">
      <w:pPr>
        <w:pStyle w:val="FootnoteText"/>
        <w:spacing w:after="120"/>
      </w:pPr>
      <w:r>
        <w:rPr>
          <w:rStyle w:val="FootnoteReference"/>
        </w:rPr>
        <w:footnoteRef/>
      </w:r>
      <w:r>
        <w:rPr>
          <w:sz w:val="22"/>
          <w:szCs w:val="22"/>
        </w:rPr>
        <w:t xml:space="preserve"> Erickson, 1994, p. 50.</w:t>
      </w:r>
    </w:p>
  </w:footnote>
  <w:footnote w:id="81">
    <w:p w14:paraId="29D59A02" w14:textId="690A7C1F" w:rsidR="00AC13DE" w:rsidRPr="00AC13DE" w:rsidRDefault="00AC13DE">
      <w:pPr>
        <w:pStyle w:val="FootnoteText"/>
        <w:rPr>
          <w:sz w:val="22"/>
          <w:szCs w:val="22"/>
        </w:rPr>
      </w:pPr>
      <w:r w:rsidRPr="00AC13DE">
        <w:rPr>
          <w:rStyle w:val="FootnoteReference"/>
          <w:sz w:val="22"/>
          <w:szCs w:val="22"/>
        </w:rPr>
        <w:footnoteRef/>
      </w:r>
      <w:r w:rsidRPr="00AC13DE">
        <w:rPr>
          <w:sz w:val="22"/>
          <w:szCs w:val="22"/>
        </w:rPr>
        <w:t xml:space="preserve"> Ching, p. 20. She further suggests that the word “points to the raising of the sleeves as a dance-like gesture” and “It can refer both to a person who is skilled in dancing, and to someone holding in two hands the instruments of magic or divination”.</w:t>
      </w:r>
    </w:p>
  </w:footnote>
  <w:footnote w:id="82">
    <w:p w14:paraId="6AD8AC54" w14:textId="26858EF4" w:rsidR="00C9118D" w:rsidRDefault="00000000">
      <w:pPr>
        <w:pStyle w:val="FootnoteText"/>
        <w:spacing w:after="120"/>
      </w:pPr>
      <w:r>
        <w:rPr>
          <w:rStyle w:val="FootnoteReference"/>
        </w:rPr>
        <w:footnoteRef/>
      </w:r>
      <w:r>
        <w:rPr>
          <w:sz w:val="22"/>
          <w:szCs w:val="22"/>
        </w:rPr>
        <w:t xml:space="preserve"> Barber, 2013, pp. 183-200. She argues for a</w:t>
      </w:r>
      <w:r>
        <w:rPr>
          <w:rFonts w:cs="Calibri"/>
          <w:sz w:val="22"/>
          <w:szCs w:val="22"/>
        </w:rPr>
        <w:t xml:space="preserve"> link between shamanic dance traditions across Eurasia. Whether the identity of imagery is due to ‘cultural </w:t>
      </w:r>
      <w:r>
        <w:rPr>
          <w:sz w:val="22"/>
          <w:szCs w:val="22"/>
        </w:rPr>
        <w:t xml:space="preserve"> interaction’ or an identity of shamanic experience is not known.</w:t>
      </w:r>
      <w:r w:rsidR="000A01FF">
        <w:rPr>
          <w:sz w:val="22"/>
          <w:szCs w:val="22"/>
        </w:rPr>
        <w:t xml:space="preserve"> Modern shamanic literature seems not to mention this concept.</w:t>
      </w:r>
    </w:p>
  </w:footnote>
  <w:footnote w:id="83">
    <w:p w14:paraId="1557FD71" w14:textId="77777777" w:rsidR="00C9118D" w:rsidRDefault="00000000">
      <w:pPr>
        <w:spacing w:after="120"/>
      </w:pPr>
      <w:r>
        <w:rPr>
          <w:rStyle w:val="FootnoteReference"/>
        </w:rPr>
        <w:footnoteRef/>
      </w:r>
      <w:r>
        <w:t xml:space="preserve"> </w:t>
      </w:r>
      <w:r>
        <w:rPr>
          <w:rFonts w:cs="Calibri"/>
        </w:rPr>
        <w:t xml:space="preserve">This writer has personal knowledge of a Bosnian dance </w:t>
      </w:r>
      <w:proofErr w:type="spellStart"/>
      <w:r>
        <w:rPr>
          <w:rFonts w:cs="Calibri"/>
        </w:rPr>
        <w:t>Bojarka</w:t>
      </w:r>
      <w:proofErr w:type="spellEnd"/>
      <w:r>
        <w:rPr>
          <w:rFonts w:cs="Calibri"/>
        </w:rPr>
        <w:t>, movements traditionally said to be intended for the wealthier dancers to show off their fine sleeves. It is also noted that pointlessly long sleeves, hanging down from where the hands emerge, exactly as per the zither image above, are a feature of the MA gown of Cambridge University. Not simply examples of conspicuous consumption, these may be considered relics of former ‘shamanic’ status.</w:t>
      </w:r>
    </w:p>
  </w:footnote>
  <w:footnote w:id="84">
    <w:p w14:paraId="6BA29351" w14:textId="77777777" w:rsidR="00C9118D" w:rsidRDefault="00000000">
      <w:pPr>
        <w:pStyle w:val="FootnoteText"/>
        <w:spacing w:after="120"/>
      </w:pPr>
      <w:r>
        <w:rPr>
          <w:rStyle w:val="FootnoteReference"/>
        </w:rPr>
        <w:footnoteRef/>
      </w:r>
      <w:r>
        <w:rPr>
          <w:sz w:val="22"/>
          <w:szCs w:val="22"/>
        </w:rPr>
        <w:t xml:space="preserve"> Goossaert, 2005, p. 15.’</w:t>
      </w:r>
    </w:p>
  </w:footnote>
  <w:footnote w:id="85">
    <w:p w14:paraId="56FA7E44" w14:textId="77777777" w:rsidR="00C9118D" w:rsidRDefault="00000000">
      <w:pPr>
        <w:pStyle w:val="FootnoteText"/>
        <w:spacing w:after="120"/>
      </w:pPr>
      <w:r>
        <w:rPr>
          <w:rStyle w:val="FootnoteReference"/>
        </w:rPr>
        <w:footnoteRef/>
      </w:r>
      <w:r>
        <w:rPr>
          <w:sz w:val="22"/>
          <w:szCs w:val="22"/>
        </w:rPr>
        <w:t xml:space="preserve"> This is in accordance with the UNESCO Convention on Intangible Cultural Heritage, adopted 2003 (Li, 2015, pp. 181-216). </w:t>
      </w:r>
    </w:p>
  </w:footnote>
  <w:footnote w:id="86">
    <w:p w14:paraId="62CAC9A6" w14:textId="77777777" w:rsidR="00C9118D" w:rsidRDefault="00000000">
      <w:pPr>
        <w:pStyle w:val="FootnoteText"/>
        <w:spacing w:after="120"/>
      </w:pPr>
      <w:r>
        <w:rPr>
          <w:rStyle w:val="FootnoteReference"/>
        </w:rPr>
        <w:footnoteRef/>
      </w:r>
      <w:r>
        <w:rPr>
          <w:sz w:val="22"/>
          <w:szCs w:val="22"/>
        </w:rPr>
        <w:t xml:space="preserve"> Li, 2015, p. 181.</w:t>
      </w:r>
    </w:p>
  </w:footnote>
  <w:footnote w:id="87">
    <w:p w14:paraId="18A6C212" w14:textId="77777777" w:rsidR="00C9118D" w:rsidRDefault="00000000">
      <w:pPr>
        <w:pStyle w:val="FootnoteText"/>
        <w:spacing w:after="120"/>
      </w:pPr>
      <w:r>
        <w:rPr>
          <w:rStyle w:val="FootnoteReference"/>
        </w:rPr>
        <w:footnoteRef/>
      </w:r>
      <w:r>
        <w:rPr>
          <w:sz w:val="22"/>
          <w:szCs w:val="22"/>
        </w:rPr>
        <w:t xml:space="preserve"> Li, 2015, p. 216, writing specifically of the </w:t>
      </w:r>
      <w:r>
        <w:rPr>
          <w:i/>
          <w:iCs/>
          <w:sz w:val="22"/>
          <w:szCs w:val="22"/>
        </w:rPr>
        <w:t>nuo</w:t>
      </w:r>
      <w:r>
        <w:rPr>
          <w:sz w:val="22"/>
          <w:szCs w:val="22"/>
        </w:rPr>
        <w:t xml:space="preserve"> religion of the Tujia people. The issues are surely generic.</w:t>
      </w:r>
    </w:p>
  </w:footnote>
  <w:footnote w:id="88">
    <w:p w14:paraId="506FDB12" w14:textId="77777777" w:rsidR="00C9118D" w:rsidRDefault="00000000">
      <w:pPr>
        <w:pStyle w:val="FootnoteText"/>
        <w:spacing w:after="120"/>
      </w:pPr>
      <w:r>
        <w:rPr>
          <w:rStyle w:val="FootnoteReference"/>
        </w:rPr>
        <w:footnoteRef/>
      </w:r>
      <w:r>
        <w:rPr>
          <w:sz w:val="22"/>
          <w:szCs w:val="22"/>
        </w:rPr>
        <w:t xml:space="preserve"> China Daily website report: Tianshui https://www.chinadaily.com.cn/a/202306/23/WS649564f3a310bf8a75d6b4ae.html</w:t>
      </w:r>
      <w:r>
        <w:rPr>
          <w:rFonts w:cs="Calibri"/>
          <w:sz w:val="22"/>
          <w:szCs w:val="22"/>
        </w:rPr>
        <w:t xml:space="preserve">. </w:t>
      </w:r>
      <w:r>
        <w:rPr>
          <w:rFonts w:cs="Calibri"/>
          <w:sz w:val="22"/>
          <w:szCs w:val="22"/>
        </w:rPr>
        <w:br/>
        <w:t>A similar festival is held in separately administered Taiwan:</w:t>
      </w:r>
      <w:r>
        <w:rPr>
          <w:sz w:val="22"/>
          <w:szCs w:val="22"/>
        </w:rPr>
        <w:t xml:space="preserve"> https://www.chinadaily.com.cn/a/202406/23/WS667776cda31095c5</w:t>
      </w:r>
      <w:bookmarkStart w:id="8" w:name="_Hlt181955608"/>
      <w:bookmarkStart w:id="9" w:name="_Hlt181955609"/>
      <w:r>
        <w:rPr>
          <w:sz w:val="22"/>
          <w:szCs w:val="22"/>
        </w:rPr>
        <w:t>1</w:t>
      </w:r>
      <w:bookmarkEnd w:id="8"/>
      <w:bookmarkEnd w:id="9"/>
      <w:r>
        <w:rPr>
          <w:sz w:val="22"/>
          <w:szCs w:val="22"/>
        </w:rPr>
        <w:t>c50a500.html</w:t>
      </w:r>
    </w:p>
  </w:footnote>
  <w:footnote w:id="89">
    <w:p w14:paraId="6E3413A8" w14:textId="77777777" w:rsidR="00C9118D" w:rsidRDefault="00000000">
      <w:pPr>
        <w:pStyle w:val="FootnoteText"/>
        <w:spacing w:after="120"/>
      </w:pPr>
      <w:r>
        <w:rPr>
          <w:rStyle w:val="FootnoteReference"/>
        </w:rPr>
        <w:footnoteRef/>
      </w:r>
      <w:r>
        <w:rPr>
          <w:sz w:val="22"/>
          <w:szCs w:val="22"/>
        </w:rPr>
        <w:t xml:space="preserve"> Yang &amp; An, 2005, pp. 175-176. The lunar calendar is used – the fifth day of the third lunar is considered the specific proper date.</w:t>
      </w:r>
    </w:p>
  </w:footnote>
  <w:footnote w:id="90">
    <w:p w14:paraId="5EE3173B" w14:textId="77777777" w:rsidR="00C9118D" w:rsidRDefault="00000000">
      <w:pPr>
        <w:spacing w:after="120"/>
      </w:pPr>
      <w:r>
        <w:rPr>
          <w:rStyle w:val="FootnoteReference"/>
        </w:rPr>
        <w:footnoteRef/>
      </w:r>
      <w:r>
        <w:t xml:space="preserve"> See report: </w:t>
      </w:r>
      <w:r>
        <w:rPr>
          <w:rFonts w:cs="Calibri"/>
        </w:rPr>
        <w:t>https://www.chinadaily.com.cn/culture/2016-04</w:t>
      </w:r>
      <w:bookmarkStart w:id="10" w:name="_Hlt181955779"/>
      <w:bookmarkStart w:id="11" w:name="_Hlt181955780"/>
      <w:r>
        <w:rPr>
          <w:rFonts w:cs="Calibri"/>
        </w:rPr>
        <w:t>/</w:t>
      </w:r>
      <w:bookmarkEnd w:id="10"/>
      <w:bookmarkEnd w:id="11"/>
      <w:r>
        <w:rPr>
          <w:rFonts w:cs="Calibri"/>
        </w:rPr>
        <w:t>08/content_24383049.htm. This perhaps contentious term is also used of the Taiwan Fuxi festival, but not of that in Tianshui noted above.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18D"/>
    <w:rsid w:val="000A01FF"/>
    <w:rsid w:val="00146A0D"/>
    <w:rsid w:val="001B6809"/>
    <w:rsid w:val="001C4FFA"/>
    <w:rsid w:val="00273CE3"/>
    <w:rsid w:val="00320CCC"/>
    <w:rsid w:val="004F4377"/>
    <w:rsid w:val="00546B5F"/>
    <w:rsid w:val="005F6A7F"/>
    <w:rsid w:val="008A4F75"/>
    <w:rsid w:val="008C1ED8"/>
    <w:rsid w:val="009A0E5A"/>
    <w:rsid w:val="00A018F9"/>
    <w:rsid w:val="00A34EF2"/>
    <w:rsid w:val="00A54EE3"/>
    <w:rsid w:val="00AA1DBB"/>
    <w:rsid w:val="00AB1887"/>
    <w:rsid w:val="00AC13DE"/>
    <w:rsid w:val="00C9118D"/>
    <w:rsid w:val="00D01066"/>
    <w:rsid w:val="00D8376A"/>
    <w:rsid w:val="00DD215E"/>
    <w:rsid w:val="00DF1166"/>
    <w:rsid w:val="00EC638A"/>
    <w:rsid w:val="00F1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1272C7"/>
  <w15:docId w15:val="{65AF789F-9EEB-4B39-AAF8-7D8FB8E60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3">
    <w:name w:val="heading 3"/>
    <w:basedOn w:val="Normal"/>
    <w:next w:val="Normal"/>
    <w:link w:val="Heading3Char"/>
    <w:uiPriority w:val="9"/>
    <w:semiHidden/>
    <w:unhideWhenUsed/>
    <w:qFormat/>
    <w:rsid w:val="00AC13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ListParagraph">
    <w:name w:val="List Paragraph"/>
    <w:basedOn w:val="Normal"/>
    <w:pPr>
      <w:ind w:left="720"/>
      <w:contextualSpacing/>
    </w:pPr>
  </w:style>
  <w:style w:type="character" w:styleId="FollowedHyperlink">
    <w:name w:val="FollowedHyperlink"/>
    <w:basedOn w:val="DefaultParagraphFont"/>
    <w:rPr>
      <w:color w:val="96607D"/>
      <w:u w:val="single"/>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3Char">
    <w:name w:val="Heading 3 Char"/>
    <w:basedOn w:val="DefaultParagraphFont"/>
    <w:link w:val="Heading3"/>
    <w:uiPriority w:val="9"/>
    <w:semiHidden/>
    <w:rsid w:val="00AC13DE"/>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AC13DE"/>
    <w:pPr>
      <w:spacing w:before="100" w:after="100"/>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1333296">
      <w:bodyDiv w:val="1"/>
      <w:marLeft w:val="0"/>
      <w:marRight w:val="0"/>
      <w:marTop w:val="0"/>
      <w:marBottom w:val="0"/>
      <w:divBdr>
        <w:top w:val="none" w:sz="0" w:space="0" w:color="auto"/>
        <w:left w:val="none" w:sz="0" w:space="0" w:color="auto"/>
        <w:bottom w:val="none" w:sz="0" w:space="0" w:color="auto"/>
        <w:right w:val="none" w:sz="0" w:space="0" w:color="auto"/>
      </w:divBdr>
    </w:div>
    <w:div w:id="14606111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FDCBD-FF52-42A9-8A3C-F682B8DEE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25</Pages>
  <Words>3620</Words>
  <Characters>20636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Maychild</dc:creator>
  <dc:description/>
  <cp:lastModifiedBy>Rufus Maychild</cp:lastModifiedBy>
  <cp:revision>9</cp:revision>
  <cp:lastPrinted>2024-11-08T11:36:00Z</cp:lastPrinted>
  <dcterms:created xsi:type="dcterms:W3CDTF">2024-11-27T11:55:00Z</dcterms:created>
  <dcterms:modified xsi:type="dcterms:W3CDTF">2024-12-13T11:33:00Z</dcterms:modified>
</cp:coreProperties>
</file>